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D14E" w14:textId="77777777" w:rsidR="00230F35" w:rsidRPr="007B6E84" w:rsidRDefault="00A27520" w:rsidP="00230F35">
      <w:pPr>
        <w:pStyle w:val="NormalWeb"/>
        <w:spacing w:before="0" w:beforeAutospacing="0" w:after="0" w:afterAutospacing="0"/>
        <w:ind w:left="-180" w:right="-334"/>
      </w:pPr>
      <w:r w:rsidRPr="007B6E84">
        <w:rPr>
          <w:noProof/>
          <w:lang w:eastAsia="pt-PT"/>
        </w:rPr>
        <w:drawing>
          <wp:inline distT="0" distB="0" distL="0" distR="0" wp14:anchorId="75DB6EBE" wp14:editId="7E34766A">
            <wp:extent cx="1906270" cy="638175"/>
            <wp:effectExtent l="19050" t="1905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1800438D" w14:textId="77777777" w:rsidR="00230F35" w:rsidRPr="007B6E84" w:rsidRDefault="00230F35" w:rsidP="00230F35">
      <w:pPr>
        <w:pStyle w:val="NormalWeb"/>
        <w:spacing w:before="0" w:beforeAutospacing="0" w:after="0" w:afterAutospacing="0"/>
        <w:ind w:left="-180" w:right="-334"/>
      </w:pPr>
    </w:p>
    <w:p w14:paraId="5D2C4420" w14:textId="77777777" w:rsidR="00A745B6" w:rsidRPr="007B6E84" w:rsidRDefault="00A745B6" w:rsidP="00230F35">
      <w:pPr>
        <w:pStyle w:val="NormalWeb"/>
        <w:spacing w:before="0" w:beforeAutospacing="0" w:after="0" w:afterAutospacing="0"/>
        <w:ind w:left="-180" w:right="-334"/>
      </w:pPr>
    </w:p>
    <w:p w14:paraId="063E598B" w14:textId="77777777" w:rsidR="00CB5E37" w:rsidRPr="007B6E84" w:rsidRDefault="00901157" w:rsidP="00230F35">
      <w:pPr>
        <w:pStyle w:val="NormalWeb"/>
        <w:spacing w:before="0" w:beforeAutospacing="0" w:after="0" w:afterAutospacing="0"/>
        <w:ind w:left="-180" w:right="-334"/>
        <w:jc w:val="center"/>
        <w:rPr>
          <w:rFonts w:ascii="Arial" w:hAnsi="Arial" w:cs="Arial"/>
          <w:b/>
          <w:sz w:val="28"/>
          <w:szCs w:val="28"/>
        </w:rPr>
      </w:pPr>
      <w:r w:rsidRPr="007B6E84">
        <w:rPr>
          <w:rFonts w:ascii="Arial" w:hAnsi="Arial" w:cs="Arial"/>
          <w:b/>
          <w:sz w:val="28"/>
          <w:szCs w:val="28"/>
        </w:rPr>
        <w:t>Postgraduate</w:t>
      </w:r>
      <w:r w:rsidR="00CB5E37" w:rsidRPr="007B6E84">
        <w:rPr>
          <w:rFonts w:ascii="Arial" w:hAnsi="Arial" w:cs="Arial"/>
          <w:b/>
          <w:sz w:val="28"/>
          <w:szCs w:val="28"/>
        </w:rPr>
        <w:t xml:space="preserve">/Distance Learning </w:t>
      </w:r>
    </w:p>
    <w:p w14:paraId="20FDDBC6" w14:textId="77777777" w:rsidR="002E67CE" w:rsidRPr="007B6E84" w:rsidRDefault="00CB5E37" w:rsidP="00230F35">
      <w:pPr>
        <w:pStyle w:val="NormalWeb"/>
        <w:spacing w:before="0" w:beforeAutospacing="0" w:after="0" w:afterAutospacing="0"/>
        <w:ind w:left="-180" w:right="-334"/>
        <w:jc w:val="center"/>
        <w:rPr>
          <w:rFonts w:ascii="Arial" w:hAnsi="Arial" w:cs="Arial"/>
          <w:b/>
          <w:sz w:val="28"/>
          <w:szCs w:val="28"/>
        </w:rPr>
      </w:pPr>
      <w:r w:rsidRPr="007B6E84">
        <w:rPr>
          <w:rFonts w:ascii="Arial" w:hAnsi="Arial" w:cs="Arial"/>
          <w:b/>
          <w:sz w:val="28"/>
          <w:szCs w:val="28"/>
        </w:rPr>
        <w:t>A</w:t>
      </w:r>
      <w:r w:rsidR="002E67CE" w:rsidRPr="007B6E84">
        <w:rPr>
          <w:rFonts w:ascii="Arial" w:hAnsi="Arial" w:cs="Arial"/>
          <w:b/>
          <w:sz w:val="28"/>
          <w:szCs w:val="28"/>
        </w:rPr>
        <w:t>ssignment coversheet &amp; feedback form</w:t>
      </w:r>
    </w:p>
    <w:p w14:paraId="45E51033" w14:textId="77777777" w:rsidR="002E67CE" w:rsidRPr="007B6E84" w:rsidRDefault="002E67CE" w:rsidP="002E67CE">
      <w:pPr>
        <w:rPr>
          <w:rFonts w:ascii="Arial" w:hAnsi="Arial" w:cs="Arial"/>
          <w:sz w:val="28"/>
          <w:szCs w:val="28"/>
        </w:rPr>
      </w:pPr>
    </w:p>
    <w:p w14:paraId="7FAB4320" w14:textId="77777777" w:rsidR="002E67CE" w:rsidRPr="007B6E84" w:rsidRDefault="002E67CE" w:rsidP="002E67CE">
      <w:pPr>
        <w:pStyle w:val="Ttulo3"/>
        <w:jc w:val="center"/>
      </w:pPr>
      <w:r w:rsidRPr="007B6E84">
        <w:t xml:space="preserve">THIS SHEET MUST BE THE FIRST PAGE OF THE ASSIGNMENT YOU ARE </w:t>
      </w:r>
      <w:proofErr w:type="gramStart"/>
      <w:r w:rsidRPr="007B6E84">
        <w:t>SUBMITTING  (</w:t>
      </w:r>
      <w:proofErr w:type="gramEnd"/>
      <w:r w:rsidRPr="007B6E84">
        <w:t>DO NOT SEND AS A SEPARATE FILE)</w:t>
      </w:r>
    </w:p>
    <w:p w14:paraId="683B1138" w14:textId="77777777" w:rsidR="00230F35" w:rsidRPr="007B6E84" w:rsidRDefault="00230F35" w:rsidP="002E67CE">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4"/>
        <w:gridCol w:w="285"/>
        <w:gridCol w:w="1794"/>
      </w:tblGrid>
      <w:tr w:rsidR="00E57529" w:rsidRPr="007B6E84" w14:paraId="3A823506" w14:textId="77777777" w:rsidTr="00A745B6">
        <w:trPr>
          <w:trHeight w:val="614"/>
        </w:trPr>
        <w:tc>
          <w:tcPr>
            <w:tcW w:w="8856" w:type="dxa"/>
            <w:gridSpan w:val="5"/>
          </w:tcPr>
          <w:p w14:paraId="3D106F14" w14:textId="77777777" w:rsidR="0058726A" w:rsidRPr="007B6E84" w:rsidRDefault="00E57529" w:rsidP="002F467C">
            <w:pPr>
              <w:pStyle w:val="NormalWeb"/>
              <w:spacing w:before="0" w:beforeAutospacing="0" w:after="0" w:afterAutospacing="0"/>
              <w:ind w:right="34"/>
              <w:rPr>
                <w:rFonts w:ascii="Arial" w:hAnsi="Arial" w:cs="Arial"/>
                <w:sz w:val="22"/>
                <w:szCs w:val="22"/>
              </w:rPr>
            </w:pPr>
            <w:r w:rsidRPr="007B6E84">
              <w:rPr>
                <w:rFonts w:ascii="Arial" w:hAnsi="Arial" w:cs="Arial"/>
                <w:b/>
                <w:sz w:val="22"/>
                <w:szCs w:val="22"/>
              </w:rPr>
              <w:t xml:space="preserve">For completion by </w:t>
            </w:r>
            <w:r w:rsidR="00001C3B" w:rsidRPr="007B6E84">
              <w:rPr>
                <w:rFonts w:ascii="Arial" w:hAnsi="Arial" w:cs="Arial"/>
                <w:b/>
                <w:sz w:val="22"/>
                <w:szCs w:val="22"/>
              </w:rPr>
              <w:t xml:space="preserve">the </w:t>
            </w:r>
            <w:r w:rsidRPr="007B6E84">
              <w:rPr>
                <w:rFonts w:ascii="Arial" w:hAnsi="Arial" w:cs="Arial"/>
                <w:b/>
                <w:sz w:val="22"/>
                <w:szCs w:val="22"/>
              </w:rPr>
              <w:t>student</w:t>
            </w:r>
            <w:r w:rsidR="00001C3B" w:rsidRPr="007B6E84">
              <w:rPr>
                <w:rFonts w:ascii="Arial" w:hAnsi="Arial" w:cs="Arial"/>
                <w:sz w:val="22"/>
                <w:szCs w:val="22"/>
              </w:rPr>
              <w:t>:</w:t>
            </w:r>
          </w:p>
        </w:tc>
      </w:tr>
      <w:tr w:rsidR="0065654E" w:rsidRPr="007B6E84" w14:paraId="71FD4AA6" w14:textId="77777777" w:rsidTr="00A745B6">
        <w:trPr>
          <w:trHeight w:val="718"/>
        </w:trPr>
        <w:tc>
          <w:tcPr>
            <w:tcW w:w="8856" w:type="dxa"/>
            <w:gridSpan w:val="5"/>
          </w:tcPr>
          <w:p w14:paraId="3038EA18" w14:textId="77777777" w:rsidR="0065654E" w:rsidRPr="007B6E84" w:rsidRDefault="0065654E"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Student Na</w:t>
            </w:r>
            <w:r w:rsidR="00CE3B79" w:rsidRPr="007B6E84">
              <w:rPr>
                <w:rFonts w:ascii="Arial" w:hAnsi="Arial" w:cs="Arial"/>
                <w:sz w:val="22"/>
                <w:szCs w:val="22"/>
              </w:rPr>
              <w:t>me:</w:t>
            </w:r>
            <w:r w:rsidR="00DD4CB8" w:rsidRPr="007B6E84">
              <w:rPr>
                <w:rFonts w:ascii="Arial" w:hAnsi="Arial" w:cs="Arial"/>
                <w:sz w:val="22"/>
                <w:szCs w:val="22"/>
              </w:rPr>
              <w:t xml:space="preserve"> </w:t>
            </w:r>
            <w:r w:rsidR="00DD4CB8" w:rsidRPr="007B6E84">
              <w:rPr>
                <w:rFonts w:ascii="Arial" w:hAnsi="Arial" w:cs="Arial"/>
                <w:b/>
                <w:bCs/>
                <w:sz w:val="22"/>
                <w:szCs w:val="22"/>
              </w:rPr>
              <w:t>SARA SUCENA</w:t>
            </w:r>
          </w:p>
          <w:p w14:paraId="12795611" w14:textId="77777777" w:rsidR="00230F35" w:rsidRPr="007B6E84" w:rsidRDefault="00230F35" w:rsidP="002F467C">
            <w:pPr>
              <w:pStyle w:val="NormalWeb"/>
              <w:spacing w:before="0" w:beforeAutospacing="0" w:after="0" w:afterAutospacing="0"/>
              <w:ind w:right="34"/>
              <w:rPr>
                <w:rFonts w:ascii="Arial" w:hAnsi="Arial" w:cs="Arial"/>
                <w:sz w:val="22"/>
                <w:szCs w:val="22"/>
              </w:rPr>
            </w:pPr>
          </w:p>
          <w:p w14:paraId="53E77841" w14:textId="77777777" w:rsidR="00FA2A4C" w:rsidRPr="007B6E84" w:rsidRDefault="00FA2A4C"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 xml:space="preserve">Student </w:t>
            </w:r>
            <w:r w:rsidRPr="007B6E84">
              <w:rPr>
                <w:rFonts w:ascii="Arial" w:hAnsi="Arial" w:cs="Arial"/>
                <w:b/>
                <w:bCs/>
                <w:sz w:val="22"/>
                <w:szCs w:val="22"/>
                <w:u w:val="single"/>
              </w:rPr>
              <w:t>University</w:t>
            </w:r>
            <w:r w:rsidRPr="007B6E84">
              <w:rPr>
                <w:rFonts w:ascii="Arial" w:hAnsi="Arial" w:cs="Arial"/>
                <w:sz w:val="22"/>
                <w:szCs w:val="22"/>
                <w:u w:val="single"/>
              </w:rPr>
              <w:t xml:space="preserve"> </w:t>
            </w:r>
            <w:r w:rsidRPr="007B6E84">
              <w:rPr>
                <w:rFonts w:ascii="Arial" w:hAnsi="Arial" w:cs="Arial"/>
                <w:sz w:val="22"/>
                <w:szCs w:val="22"/>
              </w:rPr>
              <w:t xml:space="preserve">Email: </w:t>
            </w:r>
            <w:r w:rsidR="00DD4CB8" w:rsidRPr="007B6E84">
              <w:rPr>
                <w:rFonts w:ascii="Arial" w:hAnsi="Arial" w:cs="Arial"/>
                <w:b/>
                <w:bCs/>
                <w:sz w:val="22"/>
                <w:szCs w:val="22"/>
              </w:rPr>
              <w:t>1917253@student.uwtsd.ac.uk</w:t>
            </w:r>
          </w:p>
        </w:tc>
      </w:tr>
      <w:tr w:rsidR="00CE3B79" w:rsidRPr="007B6E84" w14:paraId="5E42B0A1" w14:textId="77777777" w:rsidTr="00A745B6">
        <w:trPr>
          <w:trHeight w:val="849"/>
        </w:trPr>
        <w:tc>
          <w:tcPr>
            <w:tcW w:w="4788" w:type="dxa"/>
          </w:tcPr>
          <w:p w14:paraId="1D25B7DF" w14:textId="77777777" w:rsidR="00DD4CB8" w:rsidRPr="007B6E84" w:rsidRDefault="00CE3B79" w:rsidP="00DD4CB8">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Module code:</w:t>
            </w:r>
          </w:p>
          <w:p w14:paraId="4B0B9956" w14:textId="45D498B4" w:rsidR="00DD4CB8" w:rsidRPr="007B6E84" w:rsidRDefault="00DD4CB8" w:rsidP="00DD4CB8">
            <w:pPr>
              <w:pStyle w:val="NormalWeb"/>
              <w:spacing w:before="0" w:beforeAutospacing="0" w:after="0" w:afterAutospacing="0"/>
              <w:ind w:right="34"/>
              <w:jc w:val="center"/>
              <w:rPr>
                <w:b/>
                <w:bCs/>
                <w:lang w:eastAsia="pt-PT"/>
              </w:rPr>
            </w:pPr>
            <w:r w:rsidRPr="007B6E84">
              <w:rPr>
                <w:rStyle w:val="fontstyle01"/>
                <w:b/>
                <w:bCs/>
              </w:rPr>
              <w:t>HPCA701</w:t>
            </w:r>
            <w:r w:rsidR="00934C89" w:rsidRPr="007B6E84">
              <w:rPr>
                <w:rStyle w:val="fontstyle01"/>
                <w:b/>
                <w:bCs/>
              </w:rPr>
              <w:t>9</w:t>
            </w:r>
          </w:p>
          <w:p w14:paraId="17066258" w14:textId="77777777" w:rsidR="00D67BF8" w:rsidRPr="007B6E84" w:rsidRDefault="00D67BF8" w:rsidP="002F467C">
            <w:pPr>
              <w:pStyle w:val="NormalWeb"/>
              <w:spacing w:before="0" w:beforeAutospacing="0" w:after="0" w:afterAutospacing="0"/>
              <w:ind w:right="34"/>
              <w:rPr>
                <w:rFonts w:ascii="Arial" w:hAnsi="Arial" w:cs="Arial"/>
                <w:sz w:val="22"/>
                <w:szCs w:val="22"/>
              </w:rPr>
            </w:pPr>
          </w:p>
          <w:p w14:paraId="6AF7853C" w14:textId="7567AB05" w:rsidR="00CE3B79" w:rsidRPr="007B6E84" w:rsidRDefault="00CE3B79"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Module title:</w:t>
            </w:r>
            <w:r w:rsidR="00DD4CB8" w:rsidRPr="007B6E84">
              <w:t xml:space="preserve"> </w:t>
            </w:r>
            <w:r w:rsidR="00DD4CB8" w:rsidRPr="007B6E84">
              <w:rPr>
                <w:rFonts w:ascii="Arial" w:hAnsi="Arial" w:cs="Arial"/>
                <w:b/>
                <w:bCs/>
                <w:sz w:val="22"/>
                <w:szCs w:val="22"/>
              </w:rPr>
              <w:t xml:space="preserve">Sacred </w:t>
            </w:r>
            <w:r w:rsidR="00934C89" w:rsidRPr="007B6E84">
              <w:rPr>
                <w:rFonts w:ascii="Arial" w:hAnsi="Arial" w:cs="Arial"/>
                <w:b/>
                <w:bCs/>
                <w:sz w:val="22"/>
                <w:szCs w:val="22"/>
              </w:rPr>
              <w:t>Skies</w:t>
            </w:r>
          </w:p>
          <w:p w14:paraId="34BF42A3" w14:textId="77777777" w:rsidR="00A745B6" w:rsidRPr="007B6E84" w:rsidRDefault="00A745B6" w:rsidP="002F467C">
            <w:pPr>
              <w:pStyle w:val="NormalWeb"/>
              <w:spacing w:before="0" w:beforeAutospacing="0" w:after="0" w:afterAutospacing="0"/>
              <w:ind w:right="34"/>
              <w:rPr>
                <w:rFonts w:ascii="Arial" w:hAnsi="Arial" w:cs="Arial"/>
                <w:sz w:val="22"/>
                <w:szCs w:val="22"/>
              </w:rPr>
            </w:pPr>
          </w:p>
          <w:p w14:paraId="286C3A2A" w14:textId="77777777" w:rsidR="00A745B6" w:rsidRPr="007B6E84"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B0013A8" w14:textId="77777777" w:rsidR="00CE3B79" w:rsidRPr="007B6E84" w:rsidRDefault="00CE3B79"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Student ID number:</w:t>
            </w:r>
          </w:p>
          <w:p w14:paraId="2CFEE8ED" w14:textId="77777777" w:rsidR="00DD4CB8" w:rsidRPr="007B6E84" w:rsidRDefault="00DD4CB8" w:rsidP="002F467C">
            <w:pPr>
              <w:pStyle w:val="NormalWeb"/>
              <w:spacing w:before="0" w:beforeAutospacing="0" w:after="0" w:afterAutospacing="0"/>
              <w:ind w:right="34"/>
              <w:rPr>
                <w:rFonts w:ascii="Arial" w:hAnsi="Arial" w:cs="Arial"/>
                <w:sz w:val="22"/>
                <w:szCs w:val="22"/>
              </w:rPr>
            </w:pPr>
          </w:p>
          <w:p w14:paraId="4A3A9E38" w14:textId="77777777" w:rsidR="00DD4CB8" w:rsidRPr="007B6E84" w:rsidRDefault="00DD4CB8" w:rsidP="00DD4CB8">
            <w:pPr>
              <w:pStyle w:val="NormalWeb"/>
              <w:spacing w:before="0" w:beforeAutospacing="0" w:after="0" w:afterAutospacing="0"/>
              <w:ind w:right="34"/>
              <w:jc w:val="center"/>
              <w:rPr>
                <w:rFonts w:ascii="Arial" w:hAnsi="Arial" w:cs="Arial"/>
                <w:b/>
                <w:bCs/>
                <w:sz w:val="22"/>
                <w:szCs w:val="22"/>
              </w:rPr>
            </w:pPr>
            <w:r w:rsidRPr="007B6E84">
              <w:rPr>
                <w:rFonts w:ascii="Arial" w:hAnsi="Arial" w:cs="Arial"/>
                <w:b/>
                <w:bCs/>
                <w:sz w:val="22"/>
                <w:szCs w:val="22"/>
              </w:rPr>
              <w:t>1917253</w:t>
            </w:r>
          </w:p>
        </w:tc>
        <w:tc>
          <w:tcPr>
            <w:tcW w:w="1802" w:type="dxa"/>
          </w:tcPr>
          <w:p w14:paraId="45D4A72E" w14:textId="77777777" w:rsidR="00CE3B79" w:rsidRPr="007B6E84" w:rsidRDefault="00CE3B79"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Educational support needs:</w:t>
            </w:r>
          </w:p>
          <w:p w14:paraId="0A1E6B94" w14:textId="77777777" w:rsidR="00DD4CB8" w:rsidRPr="007B6E84" w:rsidRDefault="00DD4CB8" w:rsidP="002F467C">
            <w:pPr>
              <w:pStyle w:val="NormalWeb"/>
              <w:spacing w:before="0" w:beforeAutospacing="0" w:after="0" w:afterAutospacing="0"/>
              <w:ind w:right="34"/>
              <w:rPr>
                <w:rFonts w:ascii="Arial" w:hAnsi="Arial" w:cs="Arial"/>
                <w:sz w:val="22"/>
                <w:szCs w:val="22"/>
              </w:rPr>
            </w:pPr>
          </w:p>
          <w:p w14:paraId="4C11B467" w14:textId="77777777" w:rsidR="00CE3B79" w:rsidRPr="007B6E84" w:rsidRDefault="00CE3B79" w:rsidP="00DD4CB8">
            <w:pPr>
              <w:pStyle w:val="NormalWeb"/>
              <w:spacing w:before="0" w:beforeAutospacing="0" w:after="0" w:afterAutospacing="0"/>
              <w:ind w:right="34"/>
              <w:jc w:val="center"/>
              <w:rPr>
                <w:rFonts w:ascii="Arial" w:hAnsi="Arial" w:cs="Arial"/>
                <w:b/>
                <w:bCs/>
                <w:sz w:val="22"/>
                <w:szCs w:val="22"/>
              </w:rPr>
            </w:pPr>
            <w:r w:rsidRPr="007B6E84">
              <w:rPr>
                <w:rFonts w:ascii="Arial" w:hAnsi="Arial" w:cs="Arial"/>
                <w:b/>
                <w:bCs/>
                <w:sz w:val="22"/>
                <w:szCs w:val="22"/>
              </w:rPr>
              <w:t>No</w:t>
            </w:r>
          </w:p>
        </w:tc>
      </w:tr>
      <w:tr w:rsidR="00CE3B79" w:rsidRPr="007B6E84" w14:paraId="5728ACE6" w14:textId="77777777" w:rsidTr="00A745B6">
        <w:trPr>
          <w:trHeight w:val="1139"/>
        </w:trPr>
        <w:tc>
          <w:tcPr>
            <w:tcW w:w="8856" w:type="dxa"/>
            <w:gridSpan w:val="5"/>
          </w:tcPr>
          <w:p w14:paraId="3F7EE8D4" w14:textId="77777777" w:rsidR="00DD4CB8" w:rsidRPr="007B6E84" w:rsidRDefault="00CE3B79"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Assignment title:</w:t>
            </w:r>
          </w:p>
          <w:p w14:paraId="02B6ECC7" w14:textId="001620A5" w:rsidR="00CE3B79" w:rsidRPr="007B6E84" w:rsidRDefault="00934C89" w:rsidP="00DD4CB8">
            <w:pPr>
              <w:pStyle w:val="NormalWeb"/>
              <w:spacing w:before="0" w:beforeAutospacing="0" w:after="0" w:afterAutospacing="0"/>
              <w:ind w:right="34"/>
              <w:jc w:val="center"/>
              <w:rPr>
                <w:rFonts w:ascii="Arial" w:hAnsi="Arial" w:cs="Arial"/>
                <w:b/>
                <w:bCs/>
                <w:sz w:val="22"/>
                <w:szCs w:val="22"/>
              </w:rPr>
            </w:pPr>
            <w:r w:rsidRPr="007B6E84">
              <w:rPr>
                <w:rFonts w:ascii="Arial" w:hAnsi="Arial" w:cs="Arial"/>
                <w:b/>
                <w:bCs/>
                <w:sz w:val="22"/>
                <w:szCs w:val="22"/>
              </w:rPr>
              <w:t>Essay based on a sky journal</w:t>
            </w:r>
          </w:p>
          <w:p w14:paraId="3EA64704" w14:textId="77777777" w:rsidR="00230F35" w:rsidRPr="007B6E84" w:rsidRDefault="00230F35" w:rsidP="002F467C">
            <w:pPr>
              <w:pStyle w:val="NormalWeb"/>
              <w:spacing w:before="0" w:beforeAutospacing="0" w:after="0" w:afterAutospacing="0"/>
              <w:ind w:right="34"/>
              <w:rPr>
                <w:rFonts w:ascii="Arial" w:hAnsi="Arial" w:cs="Arial"/>
                <w:sz w:val="22"/>
                <w:szCs w:val="22"/>
              </w:rPr>
            </w:pPr>
          </w:p>
          <w:p w14:paraId="0BFF2B31" w14:textId="21A68DC7" w:rsidR="00D67BF8" w:rsidRPr="007B6E84" w:rsidRDefault="00B42501"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Assignment due date:</w:t>
            </w:r>
            <w:r w:rsidR="00DD4CB8" w:rsidRPr="007B6E84">
              <w:rPr>
                <w:rFonts w:ascii="Arial" w:hAnsi="Arial" w:cs="Arial"/>
                <w:sz w:val="22"/>
                <w:szCs w:val="22"/>
              </w:rPr>
              <w:t xml:space="preserve"> </w:t>
            </w:r>
            <w:r w:rsidR="00DD4CB8" w:rsidRPr="007B6E84">
              <w:rPr>
                <w:rFonts w:ascii="Arial" w:hAnsi="Arial" w:cs="Arial"/>
                <w:b/>
                <w:bCs/>
                <w:sz w:val="22"/>
                <w:szCs w:val="22"/>
              </w:rPr>
              <w:t>1</w:t>
            </w:r>
            <w:r w:rsidR="00B5230A" w:rsidRPr="007B6E84">
              <w:rPr>
                <w:rFonts w:ascii="Arial" w:hAnsi="Arial" w:cs="Arial"/>
                <w:b/>
                <w:bCs/>
                <w:sz w:val="22"/>
                <w:szCs w:val="22"/>
              </w:rPr>
              <w:t>4</w:t>
            </w:r>
            <w:r w:rsidR="00934C89" w:rsidRPr="007B6E84">
              <w:rPr>
                <w:rFonts w:ascii="Arial" w:hAnsi="Arial" w:cs="Arial"/>
                <w:b/>
                <w:bCs/>
                <w:sz w:val="22"/>
                <w:szCs w:val="22"/>
                <w:vertAlign w:val="superscript"/>
              </w:rPr>
              <w:t>th</w:t>
            </w:r>
            <w:r w:rsidR="00934C89" w:rsidRPr="007B6E84">
              <w:rPr>
                <w:rFonts w:ascii="Arial" w:hAnsi="Arial" w:cs="Arial"/>
                <w:b/>
                <w:bCs/>
                <w:sz w:val="22"/>
                <w:szCs w:val="22"/>
              </w:rPr>
              <w:t xml:space="preserve"> Ma</w:t>
            </w:r>
            <w:r w:rsidR="00B5230A" w:rsidRPr="007B6E84">
              <w:rPr>
                <w:rFonts w:ascii="Arial" w:hAnsi="Arial" w:cs="Arial"/>
                <w:b/>
                <w:bCs/>
                <w:sz w:val="22"/>
                <w:szCs w:val="22"/>
              </w:rPr>
              <w:t>y</w:t>
            </w:r>
            <w:r w:rsidR="00DD4CB8" w:rsidRPr="007B6E84">
              <w:rPr>
                <w:rFonts w:ascii="Arial" w:hAnsi="Arial" w:cs="Arial"/>
                <w:b/>
                <w:bCs/>
                <w:sz w:val="22"/>
                <w:szCs w:val="22"/>
              </w:rPr>
              <w:t xml:space="preserve"> 202</w:t>
            </w:r>
            <w:r w:rsidR="00934C89" w:rsidRPr="007B6E84">
              <w:rPr>
                <w:rFonts w:ascii="Arial" w:hAnsi="Arial" w:cs="Arial"/>
                <w:b/>
                <w:bCs/>
                <w:sz w:val="22"/>
                <w:szCs w:val="22"/>
              </w:rPr>
              <w:t>1</w:t>
            </w:r>
          </w:p>
        </w:tc>
      </w:tr>
      <w:tr w:rsidR="00230F35" w:rsidRPr="007B6E84" w14:paraId="4C1223CB" w14:textId="77777777" w:rsidTr="00A745B6">
        <w:trPr>
          <w:trHeight w:val="978"/>
        </w:trPr>
        <w:tc>
          <w:tcPr>
            <w:tcW w:w="8856" w:type="dxa"/>
            <w:gridSpan w:val="5"/>
            <w:tcBorders>
              <w:bottom w:val="single" w:sz="4" w:space="0" w:color="000000"/>
            </w:tcBorders>
          </w:tcPr>
          <w:p w14:paraId="4E7DD2F0" w14:textId="0C69A60D" w:rsidR="00230F35" w:rsidRPr="007B6E84" w:rsidRDefault="00230F35" w:rsidP="00230F35">
            <w:pPr>
              <w:rPr>
                <w:rFonts w:ascii="Arial" w:hAnsi="Arial" w:cs="Arial"/>
                <w:sz w:val="22"/>
                <w:szCs w:val="22"/>
              </w:rPr>
            </w:pPr>
            <w:r w:rsidRPr="007B6E84">
              <w:rPr>
                <w:rFonts w:ascii="Arial" w:hAnsi="Arial" w:cs="Arial"/>
                <w:sz w:val="22"/>
                <w:szCs w:val="22"/>
              </w:rPr>
              <w:t>This assignment is for the       1</w:t>
            </w:r>
            <w:r w:rsidRPr="007B6E84">
              <w:rPr>
                <w:rFonts w:ascii="Arial" w:hAnsi="Arial" w:cs="Arial"/>
                <w:sz w:val="22"/>
                <w:szCs w:val="22"/>
                <w:vertAlign w:val="superscript"/>
              </w:rPr>
              <w:t xml:space="preserve">st </w:t>
            </w:r>
            <w:r w:rsidR="00DD4CB8" w:rsidRPr="007B6E84">
              <w:rPr>
                <w:rFonts w:ascii="Arial" w:hAnsi="Arial" w:cs="Arial"/>
                <w:sz w:val="22"/>
                <w:szCs w:val="22"/>
                <w:vertAlign w:val="superscript"/>
              </w:rPr>
              <w:t xml:space="preserve"> </w:t>
            </w:r>
            <w:r w:rsidR="00B5230A" w:rsidRPr="007B6E84">
              <w:rPr>
                <w:rFonts w:ascii="Arial" w:hAnsi="Arial" w:cs="Arial"/>
                <w:sz w:val="22"/>
                <w:szCs w:val="22"/>
              </w:rPr>
              <w:fldChar w:fldCharType="begin">
                <w:ffData>
                  <w:name w:val="Check14"/>
                  <w:enabled/>
                  <w:calcOnExit w:val="0"/>
                  <w:checkBox>
                    <w:sizeAuto/>
                    <w:default w:val="0"/>
                  </w:checkBox>
                </w:ffData>
              </w:fldChar>
            </w:r>
            <w:r w:rsidR="00B5230A" w:rsidRPr="007B6E84">
              <w:rPr>
                <w:rFonts w:ascii="Arial" w:hAnsi="Arial" w:cs="Arial"/>
                <w:sz w:val="22"/>
                <w:szCs w:val="22"/>
              </w:rPr>
              <w:instrText xml:space="preserve"> FORMCHECKBOX </w:instrText>
            </w:r>
            <w:r w:rsidR="0018374D">
              <w:rPr>
                <w:rFonts w:ascii="Arial" w:hAnsi="Arial" w:cs="Arial"/>
                <w:sz w:val="22"/>
                <w:szCs w:val="22"/>
              </w:rPr>
            </w:r>
            <w:r w:rsidR="0018374D">
              <w:rPr>
                <w:rFonts w:ascii="Arial" w:hAnsi="Arial" w:cs="Arial"/>
                <w:sz w:val="22"/>
                <w:szCs w:val="22"/>
              </w:rPr>
              <w:fldChar w:fldCharType="separate"/>
            </w:r>
            <w:r w:rsidR="00B5230A" w:rsidRPr="007B6E84">
              <w:rPr>
                <w:rFonts w:ascii="Arial" w:hAnsi="Arial" w:cs="Arial"/>
                <w:sz w:val="22"/>
                <w:szCs w:val="22"/>
              </w:rPr>
              <w:fldChar w:fldCharType="end"/>
            </w:r>
            <w:r w:rsidR="00DD4CB8" w:rsidRPr="007B6E84">
              <w:rPr>
                <w:rFonts w:ascii="Arial" w:hAnsi="Arial" w:cs="Arial"/>
                <w:sz w:val="22"/>
                <w:szCs w:val="22"/>
              </w:rPr>
              <w:t xml:space="preserve"> </w:t>
            </w:r>
            <w:r w:rsidRPr="007B6E84">
              <w:rPr>
                <w:rFonts w:ascii="Arial" w:hAnsi="Arial" w:cs="Arial"/>
                <w:sz w:val="22"/>
                <w:szCs w:val="22"/>
              </w:rPr>
              <w:t xml:space="preserve">   2</w:t>
            </w:r>
            <w:r w:rsidRPr="007B6E84">
              <w:rPr>
                <w:rFonts w:ascii="Arial" w:hAnsi="Arial" w:cs="Arial"/>
                <w:sz w:val="22"/>
                <w:szCs w:val="22"/>
                <w:vertAlign w:val="superscript"/>
              </w:rPr>
              <w:t>nd</w:t>
            </w:r>
            <w:r w:rsidRPr="007B6E84">
              <w:rPr>
                <w:rFonts w:ascii="Arial" w:hAnsi="Arial" w:cs="Arial"/>
                <w:sz w:val="22"/>
                <w:szCs w:val="22"/>
              </w:rPr>
              <w:t xml:space="preserve">  </w:t>
            </w:r>
            <w:r w:rsidR="00B5230A" w:rsidRPr="007B6E84">
              <w:rPr>
                <w:rFonts w:ascii="Arial" w:hAnsi="Arial" w:cs="Arial"/>
                <w:b/>
                <w:bCs/>
                <w:sz w:val="28"/>
                <w:szCs w:val="28"/>
              </w:rPr>
              <w:t>X</w:t>
            </w:r>
            <w:r w:rsidRPr="007B6E84">
              <w:rPr>
                <w:rFonts w:ascii="Arial" w:hAnsi="Arial" w:cs="Arial"/>
                <w:sz w:val="22"/>
                <w:szCs w:val="22"/>
              </w:rPr>
              <w:t xml:space="preserve">     3</w:t>
            </w:r>
            <w:r w:rsidRPr="007B6E84">
              <w:rPr>
                <w:rFonts w:ascii="Arial" w:hAnsi="Arial" w:cs="Arial"/>
                <w:sz w:val="22"/>
                <w:szCs w:val="22"/>
                <w:vertAlign w:val="superscript"/>
              </w:rPr>
              <w:t>rd</w:t>
            </w:r>
            <w:r w:rsidRPr="007B6E84">
              <w:rPr>
                <w:rFonts w:ascii="Arial" w:hAnsi="Arial" w:cs="Arial"/>
                <w:sz w:val="22"/>
                <w:szCs w:val="22"/>
              </w:rPr>
              <w:t xml:space="preserve">  </w:t>
            </w:r>
            <w:r w:rsidRPr="007B6E84">
              <w:rPr>
                <w:rFonts w:ascii="Arial" w:hAnsi="Arial" w:cs="Arial"/>
                <w:sz w:val="22"/>
                <w:szCs w:val="22"/>
              </w:rPr>
              <w:fldChar w:fldCharType="begin">
                <w:ffData>
                  <w:name w:val="Check15"/>
                  <w:enabled/>
                  <w:calcOnExit w:val="0"/>
                  <w:checkBox>
                    <w:sizeAuto/>
                    <w:default w:val="0"/>
                  </w:checkBox>
                </w:ffData>
              </w:fldChar>
            </w:r>
            <w:bookmarkStart w:id="0" w:name="Check15"/>
            <w:r w:rsidRPr="007B6E84">
              <w:rPr>
                <w:rFonts w:ascii="Arial" w:hAnsi="Arial" w:cs="Arial"/>
                <w:sz w:val="22"/>
                <w:szCs w:val="22"/>
              </w:rPr>
              <w:instrText xml:space="preserve"> FORMCHECKBOX </w:instrText>
            </w:r>
            <w:r w:rsidR="0018374D">
              <w:rPr>
                <w:rFonts w:ascii="Arial" w:hAnsi="Arial" w:cs="Arial"/>
                <w:sz w:val="22"/>
                <w:szCs w:val="22"/>
              </w:rPr>
            </w:r>
            <w:r w:rsidR="0018374D">
              <w:rPr>
                <w:rFonts w:ascii="Arial" w:hAnsi="Arial" w:cs="Arial"/>
                <w:sz w:val="22"/>
                <w:szCs w:val="22"/>
              </w:rPr>
              <w:fldChar w:fldCharType="separate"/>
            </w:r>
            <w:r w:rsidRPr="007B6E84">
              <w:rPr>
                <w:rFonts w:ascii="Arial" w:hAnsi="Arial" w:cs="Arial"/>
                <w:sz w:val="22"/>
                <w:szCs w:val="22"/>
              </w:rPr>
              <w:fldChar w:fldCharType="end"/>
            </w:r>
            <w:bookmarkEnd w:id="0"/>
            <w:r w:rsidRPr="007B6E84">
              <w:rPr>
                <w:rFonts w:ascii="Arial" w:hAnsi="Arial" w:cs="Arial"/>
                <w:sz w:val="22"/>
                <w:szCs w:val="22"/>
              </w:rPr>
              <w:t xml:space="preserve">      4</w:t>
            </w:r>
            <w:r w:rsidRPr="007B6E84">
              <w:rPr>
                <w:rFonts w:ascii="Arial" w:hAnsi="Arial" w:cs="Arial"/>
                <w:sz w:val="22"/>
                <w:szCs w:val="22"/>
                <w:vertAlign w:val="superscript"/>
              </w:rPr>
              <w:t>th</w:t>
            </w:r>
            <w:r w:rsidRPr="007B6E84">
              <w:rPr>
                <w:rFonts w:ascii="Arial" w:hAnsi="Arial" w:cs="Arial"/>
                <w:sz w:val="22"/>
                <w:szCs w:val="22"/>
              </w:rPr>
              <w:t xml:space="preserve"> </w:t>
            </w:r>
            <w:r w:rsidRPr="007B6E84">
              <w:rPr>
                <w:rFonts w:ascii="Arial" w:hAnsi="Arial" w:cs="Arial"/>
                <w:sz w:val="22"/>
                <w:szCs w:val="22"/>
              </w:rPr>
              <w:fldChar w:fldCharType="begin">
                <w:ffData>
                  <w:name w:val="Check16"/>
                  <w:enabled/>
                  <w:calcOnExit w:val="0"/>
                  <w:checkBox>
                    <w:sizeAuto/>
                    <w:default w:val="0"/>
                  </w:checkBox>
                </w:ffData>
              </w:fldChar>
            </w:r>
            <w:bookmarkStart w:id="1" w:name="Check16"/>
            <w:r w:rsidRPr="007B6E84">
              <w:rPr>
                <w:rFonts w:ascii="Arial" w:hAnsi="Arial" w:cs="Arial"/>
                <w:sz w:val="22"/>
                <w:szCs w:val="22"/>
              </w:rPr>
              <w:instrText xml:space="preserve"> FORMCHECKBOX </w:instrText>
            </w:r>
            <w:r w:rsidR="0018374D">
              <w:rPr>
                <w:rFonts w:ascii="Arial" w:hAnsi="Arial" w:cs="Arial"/>
                <w:sz w:val="22"/>
                <w:szCs w:val="22"/>
              </w:rPr>
            </w:r>
            <w:r w:rsidR="0018374D">
              <w:rPr>
                <w:rFonts w:ascii="Arial" w:hAnsi="Arial" w:cs="Arial"/>
                <w:sz w:val="22"/>
                <w:szCs w:val="22"/>
              </w:rPr>
              <w:fldChar w:fldCharType="separate"/>
            </w:r>
            <w:r w:rsidRPr="007B6E84">
              <w:rPr>
                <w:rFonts w:ascii="Arial" w:hAnsi="Arial" w:cs="Arial"/>
                <w:sz w:val="22"/>
                <w:szCs w:val="22"/>
              </w:rPr>
              <w:fldChar w:fldCharType="end"/>
            </w:r>
            <w:bookmarkEnd w:id="1"/>
            <w:r w:rsidRPr="007B6E84">
              <w:rPr>
                <w:rFonts w:ascii="Arial" w:hAnsi="Arial" w:cs="Arial"/>
                <w:sz w:val="22"/>
                <w:szCs w:val="22"/>
              </w:rPr>
              <w:t xml:space="preserve">      5</w:t>
            </w:r>
            <w:r w:rsidRPr="007B6E84">
              <w:rPr>
                <w:rFonts w:ascii="Arial" w:hAnsi="Arial" w:cs="Arial"/>
                <w:sz w:val="22"/>
                <w:szCs w:val="22"/>
                <w:vertAlign w:val="superscript"/>
              </w:rPr>
              <w:t>th</w:t>
            </w:r>
            <w:r w:rsidRPr="007B6E84">
              <w:rPr>
                <w:rFonts w:ascii="Arial" w:hAnsi="Arial" w:cs="Arial"/>
                <w:sz w:val="22"/>
                <w:szCs w:val="22"/>
              </w:rPr>
              <w:t xml:space="preserve"> </w:t>
            </w:r>
            <w:r w:rsidRPr="007B6E84">
              <w:rPr>
                <w:rFonts w:ascii="Arial" w:hAnsi="Arial" w:cs="Arial"/>
                <w:sz w:val="22"/>
                <w:szCs w:val="22"/>
              </w:rPr>
              <w:fldChar w:fldCharType="begin">
                <w:ffData>
                  <w:name w:val="Check17"/>
                  <w:enabled/>
                  <w:calcOnExit w:val="0"/>
                  <w:checkBox>
                    <w:sizeAuto/>
                    <w:default w:val="0"/>
                  </w:checkBox>
                </w:ffData>
              </w:fldChar>
            </w:r>
            <w:bookmarkStart w:id="2" w:name="Check17"/>
            <w:r w:rsidRPr="007B6E84">
              <w:rPr>
                <w:rFonts w:ascii="Arial" w:hAnsi="Arial" w:cs="Arial"/>
                <w:sz w:val="22"/>
                <w:szCs w:val="22"/>
              </w:rPr>
              <w:instrText xml:space="preserve"> FORMCHECKBOX </w:instrText>
            </w:r>
            <w:r w:rsidR="0018374D">
              <w:rPr>
                <w:rFonts w:ascii="Arial" w:hAnsi="Arial" w:cs="Arial"/>
                <w:sz w:val="22"/>
                <w:szCs w:val="22"/>
              </w:rPr>
            </w:r>
            <w:r w:rsidR="0018374D">
              <w:rPr>
                <w:rFonts w:ascii="Arial" w:hAnsi="Arial" w:cs="Arial"/>
                <w:sz w:val="22"/>
                <w:szCs w:val="22"/>
              </w:rPr>
              <w:fldChar w:fldCharType="separate"/>
            </w:r>
            <w:r w:rsidRPr="007B6E84">
              <w:rPr>
                <w:rFonts w:ascii="Arial" w:hAnsi="Arial" w:cs="Arial"/>
                <w:sz w:val="22"/>
                <w:szCs w:val="22"/>
              </w:rPr>
              <w:fldChar w:fldCharType="end"/>
            </w:r>
            <w:bookmarkEnd w:id="2"/>
            <w:r w:rsidRPr="007B6E84">
              <w:rPr>
                <w:rFonts w:ascii="Arial" w:hAnsi="Arial" w:cs="Arial"/>
                <w:sz w:val="22"/>
                <w:szCs w:val="22"/>
              </w:rPr>
              <w:t xml:space="preserve">      6</w:t>
            </w:r>
            <w:r w:rsidRPr="007B6E84">
              <w:rPr>
                <w:rFonts w:ascii="Arial" w:hAnsi="Arial" w:cs="Arial"/>
                <w:sz w:val="22"/>
                <w:szCs w:val="22"/>
                <w:vertAlign w:val="superscript"/>
              </w:rPr>
              <w:t>th</w:t>
            </w:r>
            <w:r w:rsidRPr="007B6E84">
              <w:rPr>
                <w:rFonts w:ascii="Arial" w:hAnsi="Arial" w:cs="Arial"/>
                <w:sz w:val="22"/>
                <w:szCs w:val="22"/>
              </w:rPr>
              <w:t xml:space="preserve"> </w:t>
            </w:r>
            <w:r w:rsidRPr="007B6E84">
              <w:rPr>
                <w:rFonts w:ascii="Arial" w:hAnsi="Arial" w:cs="Arial"/>
                <w:sz w:val="22"/>
                <w:szCs w:val="22"/>
              </w:rPr>
              <w:fldChar w:fldCharType="begin">
                <w:ffData>
                  <w:name w:val="Check18"/>
                  <w:enabled/>
                  <w:calcOnExit w:val="0"/>
                  <w:checkBox>
                    <w:sizeAuto/>
                    <w:default w:val="0"/>
                  </w:checkBox>
                </w:ffData>
              </w:fldChar>
            </w:r>
            <w:bookmarkStart w:id="3" w:name="Check18"/>
            <w:r w:rsidRPr="007B6E84">
              <w:rPr>
                <w:rFonts w:ascii="Arial" w:hAnsi="Arial" w:cs="Arial"/>
                <w:sz w:val="22"/>
                <w:szCs w:val="22"/>
              </w:rPr>
              <w:instrText xml:space="preserve"> FORMCHECKBOX </w:instrText>
            </w:r>
            <w:r w:rsidR="0018374D">
              <w:rPr>
                <w:rFonts w:ascii="Arial" w:hAnsi="Arial" w:cs="Arial"/>
                <w:sz w:val="22"/>
                <w:szCs w:val="22"/>
              </w:rPr>
            </w:r>
            <w:r w:rsidR="0018374D">
              <w:rPr>
                <w:rFonts w:ascii="Arial" w:hAnsi="Arial" w:cs="Arial"/>
                <w:sz w:val="22"/>
                <w:szCs w:val="22"/>
              </w:rPr>
              <w:fldChar w:fldCharType="separate"/>
            </w:r>
            <w:r w:rsidRPr="007B6E84">
              <w:rPr>
                <w:rFonts w:ascii="Arial" w:hAnsi="Arial" w:cs="Arial"/>
                <w:sz w:val="22"/>
                <w:szCs w:val="22"/>
              </w:rPr>
              <w:fldChar w:fldCharType="end"/>
            </w:r>
            <w:bookmarkEnd w:id="3"/>
            <w:r w:rsidRPr="007B6E84">
              <w:rPr>
                <w:rFonts w:ascii="Arial" w:hAnsi="Arial" w:cs="Arial"/>
                <w:b/>
                <w:sz w:val="22"/>
                <w:szCs w:val="22"/>
              </w:rPr>
              <w:t xml:space="preserve">   </w:t>
            </w:r>
            <w:r w:rsidRPr="007B6E84">
              <w:rPr>
                <w:rFonts w:ascii="Arial" w:hAnsi="Arial" w:cs="Arial"/>
                <w:sz w:val="22"/>
                <w:szCs w:val="22"/>
              </w:rPr>
              <w:t>module of the degree</w:t>
            </w:r>
          </w:p>
        </w:tc>
      </w:tr>
      <w:tr w:rsidR="00901157" w:rsidRPr="007B6E84" w14:paraId="2F038652" w14:textId="77777777" w:rsidTr="00A745B6">
        <w:trPr>
          <w:trHeight w:val="978"/>
        </w:trPr>
        <w:tc>
          <w:tcPr>
            <w:tcW w:w="8856" w:type="dxa"/>
            <w:gridSpan w:val="5"/>
            <w:shd w:val="clear" w:color="auto" w:fill="D9D9D9"/>
          </w:tcPr>
          <w:p w14:paraId="6EF3FE15" w14:textId="77777777" w:rsidR="00901157" w:rsidRPr="007B6E84" w:rsidRDefault="00901157"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I confirm that this is my original work and that I have adhered to the University policy on plagiarism.</w:t>
            </w:r>
          </w:p>
          <w:p w14:paraId="21675594" w14:textId="77777777" w:rsidR="00901157" w:rsidRPr="007B6E84" w:rsidRDefault="00901157" w:rsidP="002F467C">
            <w:pPr>
              <w:pStyle w:val="NormalWeb"/>
              <w:spacing w:before="0" w:beforeAutospacing="0" w:after="0" w:afterAutospacing="0"/>
              <w:ind w:right="34"/>
              <w:rPr>
                <w:rFonts w:ascii="Arial" w:hAnsi="Arial" w:cs="Arial"/>
                <w:sz w:val="22"/>
                <w:szCs w:val="22"/>
              </w:rPr>
            </w:pPr>
            <w:r w:rsidRPr="007B6E84">
              <w:rPr>
                <w:rFonts w:ascii="Arial" w:hAnsi="Arial" w:cs="Arial"/>
                <w:sz w:val="22"/>
                <w:szCs w:val="22"/>
              </w:rPr>
              <w:t>Signed ……………………………………………………</w:t>
            </w:r>
            <w:r w:rsidR="00AE3217" w:rsidRPr="007B6E84">
              <w:rPr>
                <w:rFonts w:ascii="Arial" w:hAnsi="Arial" w:cs="Arial"/>
                <w:sz w:val="22"/>
                <w:szCs w:val="22"/>
              </w:rPr>
              <w:t>………</w:t>
            </w:r>
          </w:p>
          <w:p w14:paraId="144AE29D" w14:textId="77777777" w:rsidR="00B462B1" w:rsidRPr="007B6E84" w:rsidRDefault="00B462B1" w:rsidP="00B462B1">
            <w:pPr>
              <w:pStyle w:val="NormalWeb"/>
              <w:spacing w:before="0" w:beforeAutospacing="0" w:after="0" w:afterAutospacing="0"/>
              <w:ind w:right="34"/>
              <w:rPr>
                <w:rFonts w:ascii="Calibri" w:hAnsi="Calibri" w:cs="Calibri"/>
                <w:b/>
                <w:sz w:val="44"/>
                <w:szCs w:val="44"/>
              </w:rPr>
            </w:pPr>
            <w:r w:rsidRPr="007B6E84">
              <w:rPr>
                <w:rFonts w:ascii="Calibri" w:hAnsi="Calibri" w:cs="Tahoma"/>
                <w:b/>
                <w:sz w:val="24"/>
                <w:szCs w:val="24"/>
              </w:rPr>
              <w:t>Email submission:</w:t>
            </w:r>
            <w:r w:rsidR="00DD4CB8" w:rsidRPr="007B6E84">
              <w:rPr>
                <w:rFonts w:ascii="Calibri" w:hAnsi="Calibri" w:cs="Tahoma"/>
                <w:b/>
                <w:sz w:val="24"/>
                <w:szCs w:val="24"/>
              </w:rPr>
              <w:t xml:space="preserve"> </w:t>
            </w:r>
            <w:r w:rsidRPr="007B6E84">
              <w:rPr>
                <w:rFonts w:ascii="Calibri" w:hAnsi="Calibri" w:cs="Tahoma"/>
                <w:b/>
                <w:sz w:val="24"/>
                <w:szCs w:val="24"/>
              </w:rPr>
              <w:t xml:space="preserve">if you are submitting this form via email, please tick this box </w:t>
            </w:r>
            <w:r w:rsidR="00DD4CB8" w:rsidRPr="007B6E84">
              <w:rPr>
                <w:rFonts w:ascii="Arial" w:hAnsi="Arial" w:cs="Arial"/>
                <w:b/>
                <w:bCs/>
                <w:sz w:val="28"/>
                <w:szCs w:val="28"/>
              </w:rPr>
              <w:t>X</w:t>
            </w:r>
          </w:p>
          <w:p w14:paraId="17E45E54" w14:textId="77777777" w:rsidR="00B462B1" w:rsidRPr="007B6E84" w:rsidRDefault="00B462B1" w:rsidP="00B462B1">
            <w:pPr>
              <w:pStyle w:val="NormalWeb"/>
              <w:spacing w:before="0" w:beforeAutospacing="0" w:after="0" w:afterAutospacing="0"/>
              <w:ind w:right="34"/>
              <w:rPr>
                <w:rFonts w:ascii="Arial" w:hAnsi="Arial" w:cs="Arial"/>
                <w:sz w:val="22"/>
                <w:szCs w:val="22"/>
              </w:rPr>
            </w:pPr>
            <w:r w:rsidRPr="007B6E84">
              <w:rPr>
                <w:rFonts w:ascii="Calibri" w:hAnsi="Calibri" w:cs="Tahoma"/>
                <w:b/>
                <w:sz w:val="24"/>
                <w:szCs w:val="24"/>
              </w:rPr>
              <w:t>(as a substitute for your signature) to confirm that you agree to the above declaration.</w:t>
            </w:r>
          </w:p>
        </w:tc>
      </w:tr>
      <w:tr w:rsidR="00590E9A" w:rsidRPr="007B6E84" w14:paraId="0057AF8A" w14:textId="77777777" w:rsidTr="00A745B6">
        <w:trPr>
          <w:trHeight w:val="3972"/>
        </w:trPr>
        <w:tc>
          <w:tcPr>
            <w:tcW w:w="8856" w:type="dxa"/>
            <w:gridSpan w:val="5"/>
          </w:tcPr>
          <w:p w14:paraId="3544CE68" w14:textId="77777777" w:rsidR="00A745B6" w:rsidRPr="007B6E84" w:rsidRDefault="00A745B6" w:rsidP="00A745B6">
            <w:pPr>
              <w:rPr>
                <w:rFonts w:ascii="Arial" w:hAnsi="Arial"/>
                <w:b/>
              </w:rPr>
            </w:pPr>
          </w:p>
          <w:p w14:paraId="2BAF44B9" w14:textId="77777777" w:rsidR="00A745B6" w:rsidRPr="007B6E84" w:rsidRDefault="00A745B6" w:rsidP="00A745B6">
            <w:pPr>
              <w:rPr>
                <w:rFonts w:ascii="Arial" w:hAnsi="Arial"/>
              </w:rPr>
            </w:pPr>
            <w:r w:rsidRPr="007B6E84">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7B6E84" w14:paraId="6B47E5F2" w14:textId="77777777" w:rsidTr="00022345">
              <w:tc>
                <w:tcPr>
                  <w:tcW w:w="6970" w:type="dxa"/>
                </w:tcPr>
                <w:p w14:paraId="7DEC37FB" w14:textId="77777777" w:rsidR="00A745B6" w:rsidRPr="007B6E84" w:rsidRDefault="00A745B6" w:rsidP="009C1A08">
                  <w:pPr>
                    <w:rPr>
                      <w:rFonts w:ascii="Arial" w:hAnsi="Arial"/>
                      <w:sz w:val="20"/>
                      <w:szCs w:val="20"/>
                    </w:rPr>
                  </w:pPr>
                </w:p>
                <w:p w14:paraId="6A2CA306" w14:textId="77777777" w:rsidR="00A745B6" w:rsidRPr="007B6E84" w:rsidRDefault="00A745B6" w:rsidP="009C1A08">
                  <w:pPr>
                    <w:rPr>
                      <w:rFonts w:ascii="Arial" w:hAnsi="Arial"/>
                      <w:sz w:val="20"/>
                      <w:szCs w:val="20"/>
                    </w:rPr>
                  </w:pPr>
                  <w:r w:rsidRPr="007B6E84">
                    <w:rPr>
                      <w:rFonts w:ascii="Arial" w:hAnsi="Arial"/>
                      <w:sz w:val="20"/>
                      <w:szCs w:val="20"/>
                    </w:rPr>
                    <w:t>1</w:t>
                  </w:r>
                  <w:r w:rsidRPr="007B6E84">
                    <w:rPr>
                      <w:rFonts w:ascii="Arial" w:hAnsi="Arial"/>
                      <w:sz w:val="20"/>
                      <w:szCs w:val="20"/>
                      <w:vertAlign w:val="superscript"/>
                    </w:rPr>
                    <w:t>st</w:t>
                  </w:r>
                  <w:r w:rsidRPr="007B6E84">
                    <w:rPr>
                      <w:rFonts w:ascii="Arial" w:hAnsi="Arial"/>
                      <w:sz w:val="20"/>
                      <w:szCs w:val="20"/>
                    </w:rPr>
                    <w:t xml:space="preserve"> Marker’s Provisional mark</w:t>
                  </w:r>
                </w:p>
              </w:tc>
              <w:tc>
                <w:tcPr>
                  <w:tcW w:w="1660" w:type="dxa"/>
                </w:tcPr>
                <w:p w14:paraId="4D770D59" w14:textId="77777777" w:rsidR="00A745B6" w:rsidRPr="007B6E84" w:rsidRDefault="00A745B6" w:rsidP="009C1A08">
                  <w:pPr>
                    <w:rPr>
                      <w:rFonts w:ascii="Arial" w:hAnsi="Arial"/>
                      <w:sz w:val="20"/>
                      <w:szCs w:val="20"/>
                    </w:rPr>
                  </w:pPr>
                </w:p>
              </w:tc>
            </w:tr>
            <w:tr w:rsidR="00A745B6" w:rsidRPr="007B6E84" w14:paraId="519C9CCB" w14:textId="77777777" w:rsidTr="00022345">
              <w:tc>
                <w:tcPr>
                  <w:tcW w:w="6970" w:type="dxa"/>
                </w:tcPr>
                <w:p w14:paraId="404D7438" w14:textId="77777777" w:rsidR="00A745B6" w:rsidRPr="007B6E84" w:rsidRDefault="00A745B6" w:rsidP="009C1A08">
                  <w:pPr>
                    <w:rPr>
                      <w:rFonts w:ascii="Arial" w:hAnsi="Arial"/>
                      <w:sz w:val="20"/>
                      <w:szCs w:val="20"/>
                    </w:rPr>
                  </w:pPr>
                </w:p>
                <w:p w14:paraId="76705332" w14:textId="77777777" w:rsidR="00A745B6" w:rsidRPr="007B6E84" w:rsidRDefault="00A745B6" w:rsidP="009C1A08">
                  <w:pPr>
                    <w:rPr>
                      <w:rFonts w:ascii="Arial" w:hAnsi="Arial"/>
                      <w:sz w:val="20"/>
                      <w:szCs w:val="20"/>
                    </w:rPr>
                  </w:pPr>
                  <w:r w:rsidRPr="007B6E84">
                    <w:rPr>
                      <w:rFonts w:ascii="Arial" w:hAnsi="Arial"/>
                      <w:sz w:val="20"/>
                      <w:szCs w:val="20"/>
                    </w:rPr>
                    <w:t>2</w:t>
                  </w:r>
                  <w:r w:rsidRPr="007B6E84">
                    <w:rPr>
                      <w:rFonts w:ascii="Arial" w:hAnsi="Arial"/>
                      <w:sz w:val="20"/>
                      <w:szCs w:val="20"/>
                      <w:vertAlign w:val="superscript"/>
                    </w:rPr>
                    <w:t>nd</w:t>
                  </w:r>
                  <w:r w:rsidRPr="007B6E84">
                    <w:rPr>
                      <w:rFonts w:ascii="Arial" w:hAnsi="Arial"/>
                      <w:sz w:val="20"/>
                      <w:szCs w:val="20"/>
                    </w:rPr>
                    <w:t xml:space="preserve"> Marker</w:t>
                  </w:r>
                  <w:r w:rsidR="00022345" w:rsidRPr="007B6E84">
                    <w:rPr>
                      <w:rFonts w:ascii="Arial" w:hAnsi="Arial"/>
                      <w:sz w:val="20"/>
                      <w:szCs w:val="20"/>
                    </w:rPr>
                    <w:t>’s/Moderator’s</w:t>
                  </w:r>
                  <w:r w:rsidRPr="007B6E84">
                    <w:rPr>
                      <w:rFonts w:ascii="Arial" w:hAnsi="Arial"/>
                      <w:sz w:val="20"/>
                      <w:szCs w:val="20"/>
                    </w:rPr>
                    <w:t xml:space="preserve"> provisional mark</w:t>
                  </w:r>
                </w:p>
              </w:tc>
              <w:tc>
                <w:tcPr>
                  <w:tcW w:w="1660" w:type="dxa"/>
                </w:tcPr>
                <w:p w14:paraId="4E34909C" w14:textId="77777777" w:rsidR="00A745B6" w:rsidRPr="007B6E84" w:rsidRDefault="00A745B6" w:rsidP="009C1A08">
                  <w:pPr>
                    <w:rPr>
                      <w:rFonts w:ascii="Arial" w:hAnsi="Arial"/>
                      <w:sz w:val="20"/>
                      <w:szCs w:val="20"/>
                    </w:rPr>
                  </w:pPr>
                </w:p>
              </w:tc>
            </w:tr>
            <w:tr w:rsidR="00A745B6" w:rsidRPr="007B6E84" w14:paraId="68096D11" w14:textId="77777777" w:rsidTr="00022345">
              <w:tc>
                <w:tcPr>
                  <w:tcW w:w="6970" w:type="dxa"/>
                </w:tcPr>
                <w:p w14:paraId="0037F5B6" w14:textId="77777777" w:rsidR="00A745B6" w:rsidRPr="007B6E84" w:rsidRDefault="00A745B6" w:rsidP="009C1A08">
                  <w:pPr>
                    <w:rPr>
                      <w:rFonts w:ascii="Arial" w:hAnsi="Arial"/>
                      <w:sz w:val="20"/>
                      <w:szCs w:val="20"/>
                    </w:rPr>
                  </w:pPr>
                </w:p>
                <w:p w14:paraId="7DD9F20C" w14:textId="77777777" w:rsidR="00A745B6" w:rsidRPr="007B6E84" w:rsidRDefault="00A745B6" w:rsidP="009C1A08">
                  <w:pPr>
                    <w:rPr>
                      <w:rFonts w:ascii="Arial" w:hAnsi="Arial"/>
                      <w:sz w:val="20"/>
                      <w:szCs w:val="20"/>
                    </w:rPr>
                  </w:pPr>
                  <w:r w:rsidRPr="007B6E84">
                    <w:rPr>
                      <w:rFonts w:ascii="Arial" w:hAnsi="Arial"/>
                      <w:sz w:val="20"/>
                      <w:szCs w:val="20"/>
                    </w:rPr>
                    <w:t>External Examiner’s mark (if relevant)</w:t>
                  </w:r>
                </w:p>
              </w:tc>
              <w:tc>
                <w:tcPr>
                  <w:tcW w:w="1660" w:type="dxa"/>
                </w:tcPr>
                <w:p w14:paraId="2D27B9A3" w14:textId="77777777" w:rsidR="00A745B6" w:rsidRPr="007B6E84" w:rsidRDefault="00A745B6" w:rsidP="009C1A08">
                  <w:pPr>
                    <w:rPr>
                      <w:rFonts w:ascii="Arial" w:hAnsi="Arial"/>
                      <w:sz w:val="20"/>
                      <w:szCs w:val="20"/>
                    </w:rPr>
                  </w:pPr>
                </w:p>
              </w:tc>
            </w:tr>
            <w:tr w:rsidR="00A745B6" w:rsidRPr="007B6E84" w14:paraId="74DDD0AD" w14:textId="77777777" w:rsidTr="00022345">
              <w:tc>
                <w:tcPr>
                  <w:tcW w:w="6970" w:type="dxa"/>
                </w:tcPr>
                <w:p w14:paraId="4CAA109F" w14:textId="77777777" w:rsidR="00A745B6" w:rsidRPr="007B6E84" w:rsidRDefault="00A745B6" w:rsidP="009C1A08">
                  <w:pPr>
                    <w:rPr>
                      <w:rFonts w:ascii="Arial" w:hAnsi="Arial"/>
                      <w:sz w:val="20"/>
                      <w:szCs w:val="20"/>
                    </w:rPr>
                  </w:pPr>
                </w:p>
                <w:p w14:paraId="334C8FBC" w14:textId="77777777" w:rsidR="00A745B6" w:rsidRPr="007B6E84" w:rsidRDefault="00A745B6" w:rsidP="009C1A08">
                  <w:pPr>
                    <w:rPr>
                      <w:rFonts w:ascii="Arial" w:hAnsi="Arial"/>
                      <w:b/>
                      <w:sz w:val="20"/>
                      <w:szCs w:val="20"/>
                    </w:rPr>
                  </w:pPr>
                  <w:r w:rsidRPr="007B6E84">
                    <w:rPr>
                      <w:rFonts w:ascii="Arial" w:hAnsi="Arial"/>
                      <w:b/>
                      <w:sz w:val="20"/>
                      <w:szCs w:val="20"/>
                    </w:rPr>
                    <w:t>Final Mark</w:t>
                  </w:r>
                </w:p>
                <w:p w14:paraId="1B32EF53" w14:textId="77777777" w:rsidR="00A745B6" w:rsidRPr="007B6E84" w:rsidRDefault="00A745B6" w:rsidP="009C1A08">
                  <w:pPr>
                    <w:rPr>
                      <w:rFonts w:ascii="Arial" w:hAnsi="Arial"/>
                      <w:sz w:val="20"/>
                      <w:szCs w:val="20"/>
                    </w:rPr>
                  </w:pPr>
                </w:p>
              </w:tc>
              <w:tc>
                <w:tcPr>
                  <w:tcW w:w="1660" w:type="dxa"/>
                </w:tcPr>
                <w:p w14:paraId="0C13F655" w14:textId="77777777" w:rsidR="00A745B6" w:rsidRPr="007B6E84" w:rsidRDefault="00A745B6" w:rsidP="009C1A08">
                  <w:pPr>
                    <w:rPr>
                      <w:rFonts w:ascii="Arial" w:hAnsi="Arial"/>
                      <w:sz w:val="20"/>
                      <w:szCs w:val="20"/>
                    </w:rPr>
                  </w:pPr>
                </w:p>
              </w:tc>
            </w:tr>
          </w:tbl>
          <w:p w14:paraId="7C9B66B8" w14:textId="77777777" w:rsidR="00022345" w:rsidRPr="007B6E84" w:rsidRDefault="00022345" w:rsidP="00A745B6">
            <w:pPr>
              <w:pStyle w:val="NormalWeb"/>
              <w:spacing w:before="0" w:beforeAutospacing="0" w:after="0" w:afterAutospacing="0"/>
              <w:ind w:left="142" w:right="34"/>
              <w:rPr>
                <w:rFonts w:ascii="Arial" w:hAnsi="Arial" w:cs="Arial"/>
                <w:b/>
                <w:sz w:val="22"/>
                <w:szCs w:val="22"/>
              </w:rPr>
            </w:pPr>
          </w:p>
          <w:p w14:paraId="70C09402" w14:textId="77777777" w:rsidR="00A745B6" w:rsidRPr="007B6E84" w:rsidRDefault="00A745B6" w:rsidP="00A745B6">
            <w:pPr>
              <w:pStyle w:val="NormalWeb"/>
              <w:spacing w:before="0" w:beforeAutospacing="0" w:after="0" w:afterAutospacing="0"/>
              <w:ind w:left="142" w:right="34"/>
              <w:rPr>
                <w:rFonts w:ascii="Arial" w:hAnsi="Arial" w:cs="Arial"/>
                <w:sz w:val="22"/>
                <w:szCs w:val="22"/>
              </w:rPr>
            </w:pPr>
            <w:r w:rsidRPr="007B6E84">
              <w:rPr>
                <w:rFonts w:ascii="Arial" w:hAnsi="Arial" w:cs="Arial"/>
                <w:b/>
                <w:sz w:val="22"/>
                <w:szCs w:val="22"/>
              </w:rPr>
              <w:t>NB.</w:t>
            </w:r>
            <w:r w:rsidRPr="007B6E84">
              <w:rPr>
                <w:rFonts w:ascii="Arial" w:hAnsi="Arial" w:cs="Arial"/>
                <w:sz w:val="22"/>
                <w:szCs w:val="22"/>
              </w:rPr>
              <w:t xml:space="preserve">  All marks are provisional until confirmed by the Final Examination Board.</w:t>
            </w:r>
          </w:p>
          <w:p w14:paraId="26FAF19C" w14:textId="77777777" w:rsidR="00A745B6" w:rsidRPr="007B6E84" w:rsidRDefault="00A745B6" w:rsidP="002F467C">
            <w:pPr>
              <w:pStyle w:val="NormalWeb"/>
              <w:spacing w:before="0" w:beforeAutospacing="0" w:after="0" w:afterAutospacing="0"/>
              <w:rPr>
                <w:rFonts w:ascii="Arial" w:hAnsi="Arial" w:cs="Arial"/>
                <w:b/>
                <w:sz w:val="22"/>
                <w:szCs w:val="22"/>
              </w:rPr>
            </w:pPr>
          </w:p>
          <w:p w14:paraId="0413C245" w14:textId="77777777" w:rsidR="00B462B1" w:rsidRPr="007B6E84" w:rsidRDefault="00B462B1" w:rsidP="002F467C">
            <w:pPr>
              <w:pStyle w:val="NormalWeb"/>
              <w:spacing w:before="0" w:beforeAutospacing="0" w:after="0" w:afterAutospacing="0"/>
              <w:rPr>
                <w:rFonts w:ascii="Arial" w:hAnsi="Arial" w:cs="Arial"/>
                <w:b/>
                <w:sz w:val="22"/>
                <w:szCs w:val="22"/>
              </w:rPr>
            </w:pPr>
          </w:p>
          <w:p w14:paraId="05108752" w14:textId="77777777" w:rsidR="00B462B1" w:rsidRPr="007B6E84" w:rsidRDefault="00B462B1" w:rsidP="002F467C">
            <w:pPr>
              <w:pStyle w:val="NormalWeb"/>
              <w:spacing w:before="0" w:beforeAutospacing="0" w:after="0" w:afterAutospacing="0"/>
              <w:rPr>
                <w:rFonts w:ascii="Arial" w:hAnsi="Arial" w:cs="Arial"/>
                <w:b/>
                <w:sz w:val="22"/>
                <w:szCs w:val="22"/>
              </w:rPr>
            </w:pPr>
          </w:p>
          <w:p w14:paraId="6623F562" w14:textId="77777777" w:rsidR="00B462B1" w:rsidRPr="007B6E84" w:rsidRDefault="00B462B1" w:rsidP="002F467C">
            <w:pPr>
              <w:pStyle w:val="NormalWeb"/>
              <w:spacing w:before="0" w:beforeAutospacing="0" w:after="0" w:afterAutospacing="0"/>
              <w:rPr>
                <w:rFonts w:ascii="Arial" w:hAnsi="Arial" w:cs="Arial"/>
                <w:b/>
                <w:sz w:val="22"/>
                <w:szCs w:val="22"/>
              </w:rPr>
            </w:pPr>
          </w:p>
          <w:p w14:paraId="0C898AF8" w14:textId="77777777" w:rsidR="00B462B1" w:rsidRPr="007B6E84" w:rsidRDefault="00B462B1" w:rsidP="002F467C">
            <w:pPr>
              <w:pStyle w:val="NormalWeb"/>
              <w:spacing w:before="0" w:beforeAutospacing="0" w:after="0" w:afterAutospacing="0"/>
              <w:rPr>
                <w:rFonts w:ascii="Arial" w:hAnsi="Arial" w:cs="Arial"/>
                <w:b/>
                <w:sz w:val="22"/>
                <w:szCs w:val="22"/>
              </w:rPr>
            </w:pPr>
          </w:p>
          <w:p w14:paraId="13A501D2" w14:textId="1CE7BA01" w:rsidR="00590E9A" w:rsidRPr="007B6E84" w:rsidRDefault="00E67719" w:rsidP="002F467C">
            <w:pPr>
              <w:pStyle w:val="NormalWeb"/>
              <w:spacing w:before="0" w:beforeAutospacing="0" w:after="0" w:afterAutospacing="0"/>
              <w:rPr>
                <w:rFonts w:ascii="Arial" w:hAnsi="Arial" w:cs="Arial"/>
                <w:b/>
                <w:sz w:val="22"/>
                <w:szCs w:val="22"/>
              </w:rPr>
            </w:pPr>
            <w:r w:rsidRPr="007B6E84">
              <w:rPr>
                <w:rFonts w:ascii="Arial" w:hAnsi="Arial" w:cs="Arial"/>
                <w:b/>
                <w:sz w:val="22"/>
                <w:szCs w:val="22"/>
              </w:rPr>
              <w:t>For completion by M</w:t>
            </w:r>
            <w:r w:rsidR="00590E9A" w:rsidRPr="007B6E84">
              <w:rPr>
                <w:rFonts w:ascii="Arial" w:hAnsi="Arial" w:cs="Arial"/>
                <w:b/>
                <w:sz w:val="22"/>
                <w:szCs w:val="22"/>
              </w:rPr>
              <w:t>arker</w:t>
            </w:r>
            <w:r w:rsidR="00D67BF8" w:rsidRPr="007B6E84">
              <w:rPr>
                <w:rFonts w:ascii="Arial" w:hAnsi="Arial" w:cs="Arial"/>
                <w:b/>
                <w:sz w:val="22"/>
                <w:szCs w:val="22"/>
              </w:rPr>
              <w:t xml:space="preserve"> 1</w:t>
            </w:r>
            <w:r w:rsidR="00590E9A" w:rsidRPr="007B6E84">
              <w:rPr>
                <w:rFonts w:ascii="Arial" w:hAnsi="Arial" w:cs="Arial"/>
                <w:b/>
                <w:sz w:val="22"/>
                <w:szCs w:val="22"/>
              </w:rPr>
              <w:t>:</w:t>
            </w:r>
          </w:p>
          <w:p w14:paraId="3C4391D5" w14:textId="77777777" w:rsidR="00230F35" w:rsidRPr="007B6E84" w:rsidRDefault="00590E9A" w:rsidP="00043549">
            <w:pPr>
              <w:pStyle w:val="NormalWeb"/>
              <w:rPr>
                <w:rFonts w:ascii="Arial" w:hAnsi="Arial" w:cs="Arial"/>
                <w:sz w:val="22"/>
                <w:szCs w:val="22"/>
              </w:rPr>
            </w:pPr>
            <w:r w:rsidRPr="007B6E84">
              <w:rPr>
                <w:rFonts w:ascii="Arial" w:hAnsi="Arial" w:cs="Arial"/>
                <w:sz w:val="22"/>
                <w:szCs w:val="22"/>
              </w:rPr>
              <w:t>Comments</w:t>
            </w:r>
            <w:r w:rsidR="00001C3B" w:rsidRPr="007B6E84">
              <w:rPr>
                <w:rFonts w:ascii="Arial" w:hAnsi="Arial" w:cs="Arial"/>
                <w:sz w:val="22"/>
                <w:szCs w:val="22"/>
              </w:rPr>
              <w:t>:</w:t>
            </w:r>
          </w:p>
          <w:p w14:paraId="073E693B" w14:textId="77777777" w:rsidR="00B56E7B" w:rsidRPr="007B6E84" w:rsidRDefault="00B56E7B" w:rsidP="00043549">
            <w:pPr>
              <w:pStyle w:val="NormalWeb"/>
              <w:rPr>
                <w:rFonts w:ascii="Arial" w:hAnsi="Arial" w:cs="Arial"/>
                <w:sz w:val="22"/>
                <w:szCs w:val="22"/>
              </w:rPr>
            </w:pPr>
          </w:p>
        </w:tc>
      </w:tr>
      <w:tr w:rsidR="00EC7546" w:rsidRPr="007B6E84" w14:paraId="31DF3086" w14:textId="77777777" w:rsidTr="00A745B6">
        <w:trPr>
          <w:trHeight w:val="492"/>
        </w:trPr>
        <w:tc>
          <w:tcPr>
            <w:tcW w:w="6768" w:type="dxa"/>
            <w:gridSpan w:val="3"/>
          </w:tcPr>
          <w:p w14:paraId="3EF5EFF7" w14:textId="77777777" w:rsidR="00230F35" w:rsidRPr="007B6E84" w:rsidRDefault="00E3766D" w:rsidP="00230F35">
            <w:pPr>
              <w:pStyle w:val="NormalWeb"/>
              <w:ind w:left="142" w:right="34"/>
              <w:rPr>
                <w:rFonts w:ascii="Arial" w:hAnsi="Arial" w:cs="Arial"/>
                <w:sz w:val="22"/>
                <w:szCs w:val="22"/>
              </w:rPr>
            </w:pPr>
            <w:r w:rsidRPr="007B6E84">
              <w:rPr>
                <w:rFonts w:ascii="Arial" w:hAnsi="Arial" w:cs="Arial"/>
                <w:sz w:val="22"/>
                <w:szCs w:val="22"/>
              </w:rPr>
              <w:lastRenderedPageBreak/>
              <w:t>M</w:t>
            </w:r>
            <w:r w:rsidR="00EC7546" w:rsidRPr="007B6E84">
              <w:rPr>
                <w:rFonts w:ascii="Arial" w:hAnsi="Arial" w:cs="Arial"/>
                <w:sz w:val="22"/>
                <w:szCs w:val="22"/>
              </w:rPr>
              <w:t>arker</w:t>
            </w:r>
            <w:r w:rsidR="00CE3B79" w:rsidRPr="007B6E84">
              <w:rPr>
                <w:rFonts w:ascii="Arial" w:hAnsi="Arial" w:cs="Arial"/>
                <w:sz w:val="22"/>
                <w:szCs w:val="22"/>
              </w:rPr>
              <w:t xml:space="preserve">’s </w:t>
            </w:r>
            <w:r w:rsidR="00EC7546" w:rsidRPr="007B6E84">
              <w:rPr>
                <w:rFonts w:ascii="Arial" w:hAnsi="Arial" w:cs="Arial"/>
                <w:sz w:val="22"/>
                <w:szCs w:val="22"/>
              </w:rPr>
              <w:t>signatur</w:t>
            </w:r>
            <w:r w:rsidR="00230F35" w:rsidRPr="007B6E84">
              <w:rPr>
                <w:rFonts w:ascii="Arial" w:hAnsi="Arial" w:cs="Arial"/>
                <w:sz w:val="22"/>
                <w:szCs w:val="22"/>
              </w:rPr>
              <w:t>e:</w:t>
            </w:r>
          </w:p>
        </w:tc>
        <w:tc>
          <w:tcPr>
            <w:tcW w:w="2088" w:type="dxa"/>
            <w:gridSpan w:val="2"/>
          </w:tcPr>
          <w:p w14:paraId="7C039E5C" w14:textId="77777777" w:rsidR="00EC7546" w:rsidRPr="007B6E84" w:rsidRDefault="0065654E" w:rsidP="002F467C">
            <w:pPr>
              <w:pStyle w:val="NormalWeb"/>
              <w:spacing w:after="0"/>
              <w:ind w:left="142" w:right="34"/>
              <w:rPr>
                <w:rFonts w:ascii="Arial" w:hAnsi="Arial" w:cs="Arial"/>
                <w:sz w:val="22"/>
                <w:szCs w:val="22"/>
              </w:rPr>
            </w:pPr>
            <w:r w:rsidRPr="007B6E84">
              <w:rPr>
                <w:rFonts w:ascii="Arial" w:hAnsi="Arial" w:cs="Arial"/>
                <w:sz w:val="22"/>
                <w:szCs w:val="22"/>
              </w:rPr>
              <w:t>D</w:t>
            </w:r>
            <w:r w:rsidR="00EC7546" w:rsidRPr="007B6E84">
              <w:rPr>
                <w:rFonts w:ascii="Arial" w:hAnsi="Arial" w:cs="Arial"/>
                <w:sz w:val="22"/>
                <w:szCs w:val="22"/>
              </w:rPr>
              <w:t>ate</w:t>
            </w:r>
            <w:r w:rsidRPr="007B6E84">
              <w:rPr>
                <w:rFonts w:ascii="Arial" w:hAnsi="Arial" w:cs="Arial"/>
                <w:sz w:val="22"/>
                <w:szCs w:val="22"/>
              </w:rPr>
              <w:t>:</w:t>
            </w:r>
          </w:p>
        </w:tc>
      </w:tr>
      <w:tr w:rsidR="00D67BF8" w:rsidRPr="007B6E84" w14:paraId="7C941E79" w14:textId="77777777" w:rsidTr="002F467C">
        <w:tc>
          <w:tcPr>
            <w:tcW w:w="8856" w:type="dxa"/>
            <w:gridSpan w:val="5"/>
          </w:tcPr>
          <w:p w14:paraId="5A555D52" w14:textId="77777777" w:rsidR="00D67BF8" w:rsidRPr="007B6E84" w:rsidRDefault="00D67BF8" w:rsidP="002F467C">
            <w:pPr>
              <w:pStyle w:val="NormalWeb"/>
              <w:spacing w:before="0" w:beforeAutospacing="0" w:after="0" w:afterAutospacing="0"/>
              <w:ind w:right="-334"/>
              <w:rPr>
                <w:rFonts w:ascii="Arial" w:hAnsi="Arial" w:cs="Arial"/>
                <w:bCs/>
                <w:i/>
                <w:sz w:val="22"/>
                <w:szCs w:val="22"/>
              </w:rPr>
            </w:pPr>
          </w:p>
          <w:p w14:paraId="17E9E80F" w14:textId="77777777" w:rsidR="00D67BF8" w:rsidRPr="007B6E84" w:rsidRDefault="00E67719" w:rsidP="002F467C">
            <w:pPr>
              <w:pStyle w:val="NormalWeb"/>
              <w:spacing w:before="0" w:beforeAutospacing="0" w:after="0" w:afterAutospacing="0"/>
              <w:ind w:right="-334"/>
              <w:rPr>
                <w:rFonts w:ascii="Arial" w:hAnsi="Arial" w:cs="Arial"/>
                <w:b/>
                <w:bCs/>
                <w:sz w:val="22"/>
                <w:szCs w:val="22"/>
              </w:rPr>
            </w:pPr>
            <w:r w:rsidRPr="007B6E84">
              <w:rPr>
                <w:rFonts w:ascii="Arial" w:hAnsi="Arial" w:cs="Arial"/>
                <w:b/>
                <w:bCs/>
                <w:sz w:val="22"/>
                <w:szCs w:val="22"/>
              </w:rPr>
              <w:t>For completion by M</w:t>
            </w:r>
            <w:r w:rsidR="00D67BF8" w:rsidRPr="007B6E84">
              <w:rPr>
                <w:rFonts w:ascii="Arial" w:hAnsi="Arial" w:cs="Arial"/>
                <w:b/>
                <w:bCs/>
                <w:sz w:val="22"/>
                <w:szCs w:val="22"/>
              </w:rPr>
              <w:t>arker 2</w:t>
            </w:r>
            <w:r w:rsidRPr="007B6E84">
              <w:rPr>
                <w:rFonts w:ascii="Arial" w:hAnsi="Arial" w:cs="Arial"/>
                <w:b/>
                <w:bCs/>
                <w:sz w:val="22"/>
                <w:szCs w:val="22"/>
              </w:rPr>
              <w:t>/M</w:t>
            </w:r>
            <w:r w:rsidR="00230F35" w:rsidRPr="007B6E84">
              <w:rPr>
                <w:rFonts w:ascii="Arial" w:hAnsi="Arial" w:cs="Arial"/>
                <w:b/>
                <w:bCs/>
                <w:sz w:val="22"/>
                <w:szCs w:val="22"/>
              </w:rPr>
              <w:t>oderator</w:t>
            </w:r>
            <w:r w:rsidR="00D67BF8" w:rsidRPr="007B6E84">
              <w:rPr>
                <w:rFonts w:ascii="Arial" w:hAnsi="Arial" w:cs="Arial"/>
                <w:b/>
                <w:bCs/>
                <w:sz w:val="22"/>
                <w:szCs w:val="22"/>
              </w:rPr>
              <w:t>:</w:t>
            </w:r>
          </w:p>
          <w:p w14:paraId="0378560E" w14:textId="77777777" w:rsidR="00D67BF8" w:rsidRPr="007B6E84" w:rsidRDefault="00D67BF8" w:rsidP="002F467C">
            <w:pPr>
              <w:pStyle w:val="NormalWeb"/>
              <w:spacing w:before="0" w:beforeAutospacing="0" w:after="0" w:afterAutospacing="0"/>
              <w:ind w:right="-334"/>
              <w:rPr>
                <w:rFonts w:ascii="Arial" w:hAnsi="Arial" w:cs="Arial"/>
                <w:b/>
                <w:bCs/>
                <w:sz w:val="22"/>
                <w:szCs w:val="22"/>
              </w:rPr>
            </w:pPr>
          </w:p>
          <w:p w14:paraId="3A89F8F4"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r w:rsidRPr="007B6E84">
              <w:rPr>
                <w:rFonts w:ascii="Arial" w:hAnsi="Arial" w:cs="Arial"/>
                <w:bCs/>
                <w:sz w:val="22"/>
                <w:szCs w:val="22"/>
              </w:rPr>
              <w:t>Comments:</w:t>
            </w:r>
          </w:p>
          <w:p w14:paraId="5A208660"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2CCFF3A2"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40C250C3"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79A12A8B"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36EA114E"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4CA6AC16"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31249E29"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64D46063"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42829978"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274672D4" w14:textId="77777777" w:rsidR="00B56E7B" w:rsidRPr="007B6E84" w:rsidRDefault="00B56E7B" w:rsidP="002F467C">
            <w:pPr>
              <w:pStyle w:val="NormalWeb"/>
              <w:spacing w:before="0" w:beforeAutospacing="0" w:after="0" w:afterAutospacing="0"/>
              <w:ind w:right="-334"/>
              <w:rPr>
                <w:rFonts w:ascii="Arial" w:hAnsi="Arial" w:cs="Arial"/>
                <w:bCs/>
                <w:sz w:val="22"/>
                <w:szCs w:val="22"/>
              </w:rPr>
            </w:pPr>
          </w:p>
          <w:p w14:paraId="54AFE783"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p w14:paraId="7B5164C7"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p>
        </w:tc>
      </w:tr>
      <w:tr w:rsidR="00D67BF8" w:rsidRPr="007B6E84" w14:paraId="50EF8E41" w14:textId="77777777" w:rsidTr="008D674F">
        <w:trPr>
          <w:trHeight w:val="720"/>
        </w:trPr>
        <w:tc>
          <w:tcPr>
            <w:tcW w:w="5211" w:type="dxa"/>
            <w:gridSpan w:val="2"/>
          </w:tcPr>
          <w:p w14:paraId="596215A5" w14:textId="77777777" w:rsidR="00B56E7B" w:rsidRPr="007B6E84" w:rsidRDefault="00D67BF8" w:rsidP="002F467C">
            <w:pPr>
              <w:pStyle w:val="NormalWeb"/>
              <w:spacing w:before="0" w:beforeAutospacing="0" w:after="0" w:afterAutospacing="0"/>
              <w:ind w:right="-334"/>
              <w:rPr>
                <w:rFonts w:ascii="Arial" w:hAnsi="Arial" w:cs="Arial"/>
                <w:bCs/>
                <w:sz w:val="22"/>
                <w:szCs w:val="22"/>
              </w:rPr>
            </w:pPr>
            <w:r w:rsidRPr="007B6E84">
              <w:rPr>
                <w:rFonts w:ascii="Arial" w:hAnsi="Arial" w:cs="Arial"/>
                <w:bCs/>
                <w:sz w:val="22"/>
                <w:szCs w:val="22"/>
              </w:rPr>
              <w:t>Marker’s Signature</w:t>
            </w:r>
            <w:r w:rsidR="00B56E7B" w:rsidRPr="007B6E84">
              <w:rPr>
                <w:rFonts w:ascii="Arial" w:hAnsi="Arial" w:cs="Arial"/>
                <w:bCs/>
                <w:sz w:val="22"/>
                <w:szCs w:val="22"/>
              </w:rPr>
              <w:t>:</w:t>
            </w:r>
          </w:p>
        </w:tc>
        <w:tc>
          <w:tcPr>
            <w:tcW w:w="3645" w:type="dxa"/>
            <w:gridSpan w:val="3"/>
          </w:tcPr>
          <w:p w14:paraId="22E5475D" w14:textId="77777777" w:rsidR="00D67BF8" w:rsidRPr="007B6E84" w:rsidRDefault="00D67BF8" w:rsidP="002F467C">
            <w:pPr>
              <w:pStyle w:val="NormalWeb"/>
              <w:spacing w:before="0" w:beforeAutospacing="0" w:after="0" w:afterAutospacing="0"/>
              <w:ind w:right="-334"/>
              <w:rPr>
                <w:rFonts w:ascii="Arial" w:hAnsi="Arial" w:cs="Arial"/>
                <w:bCs/>
                <w:sz w:val="22"/>
                <w:szCs w:val="22"/>
              </w:rPr>
            </w:pPr>
            <w:r w:rsidRPr="007B6E84">
              <w:rPr>
                <w:rFonts w:ascii="Arial" w:hAnsi="Arial" w:cs="Arial"/>
                <w:bCs/>
                <w:sz w:val="22"/>
                <w:szCs w:val="22"/>
              </w:rPr>
              <w:t>Date:</w:t>
            </w:r>
          </w:p>
        </w:tc>
      </w:tr>
      <w:tr w:rsidR="00230F35" w:rsidRPr="007B6E84" w14:paraId="1FF657BE" w14:textId="77777777" w:rsidTr="009C1A08">
        <w:trPr>
          <w:trHeight w:val="720"/>
        </w:trPr>
        <w:tc>
          <w:tcPr>
            <w:tcW w:w="8856" w:type="dxa"/>
            <w:gridSpan w:val="5"/>
          </w:tcPr>
          <w:p w14:paraId="11313ACB" w14:textId="77777777" w:rsidR="00230F35" w:rsidRPr="007B6E84" w:rsidRDefault="00230F35" w:rsidP="00230F35">
            <w:pPr>
              <w:rPr>
                <w:rFonts w:ascii="Arial" w:hAnsi="Arial" w:cs="Arial"/>
                <w:b/>
                <w:sz w:val="22"/>
                <w:szCs w:val="22"/>
              </w:rPr>
            </w:pPr>
            <w:r w:rsidRPr="007B6E84">
              <w:rPr>
                <w:rFonts w:ascii="Arial" w:hAnsi="Arial" w:cs="Arial"/>
                <w:b/>
                <w:sz w:val="22"/>
                <w:szCs w:val="22"/>
              </w:rPr>
              <w:t>External Examiner’s comments (if relevant)</w:t>
            </w:r>
          </w:p>
          <w:p w14:paraId="28A935CB"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7E81817D"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495182F5"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5719D63B"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153C7E7C"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4CCD27D9"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757E90A3"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137FB122"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24BB18D4"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p w14:paraId="38B44EB0" w14:textId="77777777" w:rsidR="00B56E7B" w:rsidRPr="007B6E84" w:rsidRDefault="00B56E7B" w:rsidP="002F467C">
            <w:pPr>
              <w:pStyle w:val="NormalWeb"/>
              <w:spacing w:before="0" w:beforeAutospacing="0" w:after="0" w:afterAutospacing="0"/>
              <w:ind w:right="-334"/>
              <w:rPr>
                <w:rFonts w:ascii="Arial" w:hAnsi="Arial" w:cs="Arial"/>
                <w:bCs/>
                <w:sz w:val="22"/>
                <w:szCs w:val="22"/>
              </w:rPr>
            </w:pPr>
          </w:p>
          <w:p w14:paraId="783B8F53" w14:textId="77777777" w:rsidR="00230F35" w:rsidRPr="007B6E84" w:rsidRDefault="00230F35" w:rsidP="002F467C">
            <w:pPr>
              <w:pStyle w:val="NormalWeb"/>
              <w:spacing w:before="0" w:beforeAutospacing="0" w:after="0" w:afterAutospacing="0"/>
              <w:ind w:right="-334"/>
              <w:rPr>
                <w:rFonts w:ascii="Arial" w:hAnsi="Arial" w:cs="Arial"/>
                <w:bCs/>
                <w:sz w:val="22"/>
                <w:szCs w:val="22"/>
              </w:rPr>
            </w:pPr>
          </w:p>
        </w:tc>
      </w:tr>
      <w:tr w:rsidR="00230F35" w:rsidRPr="007B6E84" w14:paraId="1C68B4F4" w14:textId="77777777" w:rsidTr="00230F35">
        <w:trPr>
          <w:trHeight w:val="720"/>
        </w:trPr>
        <w:tc>
          <w:tcPr>
            <w:tcW w:w="5211" w:type="dxa"/>
            <w:gridSpan w:val="2"/>
          </w:tcPr>
          <w:p w14:paraId="4890DFC7" w14:textId="77777777" w:rsidR="00230F35" w:rsidRPr="007B6E84" w:rsidRDefault="00230F35" w:rsidP="00230F35">
            <w:pPr>
              <w:rPr>
                <w:rFonts w:ascii="Arial" w:hAnsi="Arial" w:cs="Arial"/>
                <w:sz w:val="22"/>
                <w:szCs w:val="22"/>
              </w:rPr>
            </w:pPr>
            <w:r w:rsidRPr="007B6E84">
              <w:rPr>
                <w:rFonts w:ascii="Arial" w:hAnsi="Arial" w:cs="Arial"/>
                <w:sz w:val="22"/>
                <w:szCs w:val="22"/>
              </w:rPr>
              <w:t>External Examiner’s Signature:</w:t>
            </w:r>
          </w:p>
        </w:tc>
        <w:tc>
          <w:tcPr>
            <w:tcW w:w="3645" w:type="dxa"/>
            <w:gridSpan w:val="3"/>
          </w:tcPr>
          <w:p w14:paraId="78E5A144" w14:textId="77777777" w:rsidR="00230F35" w:rsidRPr="007B6E84" w:rsidRDefault="00230F35" w:rsidP="00230F35">
            <w:pPr>
              <w:rPr>
                <w:rFonts w:ascii="Arial" w:hAnsi="Arial" w:cs="Arial"/>
                <w:sz w:val="22"/>
                <w:szCs w:val="22"/>
              </w:rPr>
            </w:pPr>
            <w:r w:rsidRPr="007B6E84">
              <w:rPr>
                <w:rFonts w:ascii="Arial" w:hAnsi="Arial" w:cs="Arial"/>
                <w:sz w:val="22"/>
                <w:szCs w:val="22"/>
              </w:rPr>
              <w:t>Date:</w:t>
            </w:r>
          </w:p>
        </w:tc>
      </w:tr>
    </w:tbl>
    <w:p w14:paraId="77F2A2DE" w14:textId="77777777" w:rsidR="00EC7546" w:rsidRPr="007B6E84" w:rsidRDefault="00EC7546" w:rsidP="00FA07E9">
      <w:pPr>
        <w:pStyle w:val="NormalWeb"/>
        <w:spacing w:before="0" w:beforeAutospacing="0" w:after="0" w:afterAutospacing="0"/>
        <w:ind w:right="-334"/>
        <w:rPr>
          <w:rFonts w:ascii="Trebuchet MS" w:hAnsi="Trebuchet MS" w:cs="Tahoma"/>
          <w:bCs/>
          <w:sz w:val="24"/>
          <w:szCs w:val="24"/>
        </w:rPr>
      </w:pPr>
    </w:p>
    <w:p w14:paraId="325F21A0" w14:textId="77777777" w:rsidR="00DD4CB8" w:rsidRPr="007B6E84" w:rsidRDefault="00DD4CB8" w:rsidP="00FA07E9">
      <w:pPr>
        <w:pStyle w:val="NormalWeb"/>
        <w:spacing w:before="0" w:beforeAutospacing="0" w:after="0" w:afterAutospacing="0"/>
        <w:ind w:right="-334"/>
        <w:rPr>
          <w:rFonts w:ascii="Trebuchet MS" w:hAnsi="Trebuchet MS" w:cs="Tahoma"/>
          <w:bCs/>
          <w:sz w:val="24"/>
          <w:szCs w:val="24"/>
        </w:rPr>
      </w:pPr>
    </w:p>
    <w:p w14:paraId="0699BE16" w14:textId="77777777" w:rsidR="00DD4CB8" w:rsidRPr="007B6E84" w:rsidRDefault="00DD4CB8" w:rsidP="00FA07E9">
      <w:pPr>
        <w:pStyle w:val="NormalWeb"/>
        <w:spacing w:before="0" w:beforeAutospacing="0" w:after="0" w:afterAutospacing="0"/>
        <w:ind w:right="-334"/>
        <w:rPr>
          <w:rFonts w:ascii="Trebuchet MS" w:hAnsi="Trebuchet MS" w:cs="Tahoma"/>
          <w:bCs/>
          <w:sz w:val="24"/>
          <w:szCs w:val="24"/>
        </w:rPr>
      </w:pPr>
    </w:p>
    <w:p w14:paraId="531E05FE" w14:textId="77777777" w:rsidR="007318C2" w:rsidRPr="007B6E84" w:rsidRDefault="007318C2" w:rsidP="00DD4CB8">
      <w:pPr>
        <w:jc w:val="both"/>
        <w:rPr>
          <w:rStyle w:val="fontstyle01"/>
          <w:rFonts w:ascii="Garamond" w:hAnsi="Garamond"/>
          <w:b/>
          <w:bCs/>
          <w:sz w:val="40"/>
          <w:szCs w:val="40"/>
        </w:rPr>
        <w:sectPr w:rsidR="007318C2" w:rsidRPr="007B6E84" w:rsidSect="006517D7">
          <w:footerReference w:type="default" r:id="rId9"/>
          <w:footerReference w:type="first" r:id="rId10"/>
          <w:pgSz w:w="12240" w:h="15840"/>
          <w:pgMar w:top="567" w:right="1797" w:bottom="567" w:left="1797" w:header="567" w:footer="567" w:gutter="0"/>
          <w:cols w:space="720"/>
          <w:titlePg/>
          <w:docGrid w:linePitch="326"/>
        </w:sectPr>
      </w:pPr>
    </w:p>
    <w:p w14:paraId="7F6EBD89" w14:textId="2B88F9EB" w:rsidR="00934C89" w:rsidRPr="007B6E84" w:rsidRDefault="00934C89" w:rsidP="007318C2">
      <w:pPr>
        <w:jc w:val="center"/>
        <w:rPr>
          <w:rStyle w:val="fontstyle01"/>
          <w:rFonts w:ascii="Garamond" w:hAnsi="Garamond"/>
          <w:b/>
          <w:bCs/>
          <w:sz w:val="40"/>
          <w:szCs w:val="40"/>
        </w:rPr>
      </w:pPr>
      <w:r w:rsidRPr="007B6E84">
        <w:rPr>
          <w:rStyle w:val="fontstyle01"/>
          <w:rFonts w:ascii="Garamond" w:hAnsi="Garamond"/>
          <w:b/>
          <w:bCs/>
          <w:sz w:val="40"/>
          <w:szCs w:val="40"/>
        </w:rPr>
        <w:lastRenderedPageBreak/>
        <w:t xml:space="preserve">Essay </w:t>
      </w:r>
      <w:r w:rsidR="00B5230A" w:rsidRPr="007B6E84">
        <w:rPr>
          <w:rStyle w:val="fontstyle01"/>
          <w:rFonts w:ascii="Garamond" w:hAnsi="Garamond"/>
          <w:b/>
          <w:bCs/>
          <w:sz w:val="40"/>
          <w:szCs w:val="40"/>
        </w:rPr>
        <w:t>Measurement based</w:t>
      </w:r>
    </w:p>
    <w:p w14:paraId="32E55554" w14:textId="1B3519A6" w:rsidR="00DD4CB8" w:rsidRPr="007B6E84" w:rsidRDefault="00DD4CB8" w:rsidP="007318C2">
      <w:pPr>
        <w:jc w:val="center"/>
        <w:rPr>
          <w:rStyle w:val="fontstyle01"/>
          <w:rFonts w:ascii="Garamond" w:hAnsi="Garamond"/>
          <w:b/>
          <w:bCs/>
          <w:color w:val="auto"/>
          <w:sz w:val="24"/>
          <w:szCs w:val="24"/>
        </w:rPr>
      </w:pPr>
      <w:r w:rsidRPr="007B6E84">
        <w:rPr>
          <w:rStyle w:val="fontstyle01"/>
          <w:rFonts w:ascii="Garamond" w:hAnsi="Garamond"/>
          <w:b/>
          <w:bCs/>
          <w:sz w:val="24"/>
          <w:szCs w:val="24"/>
        </w:rPr>
        <w:t>[Word Count</w:t>
      </w:r>
      <w:r w:rsidRPr="007B6E84">
        <w:rPr>
          <w:rStyle w:val="fontstyle01"/>
          <w:rFonts w:ascii="Garamond" w:hAnsi="Garamond"/>
          <w:b/>
          <w:bCs/>
          <w:color w:val="auto"/>
          <w:sz w:val="24"/>
          <w:szCs w:val="24"/>
        </w:rPr>
        <w:t xml:space="preserve">: </w:t>
      </w:r>
      <w:r w:rsidR="00B5230A" w:rsidRPr="007B6E84">
        <w:rPr>
          <w:rStyle w:val="fontstyle01"/>
          <w:rFonts w:ascii="Garamond" w:hAnsi="Garamond"/>
          <w:b/>
          <w:bCs/>
          <w:color w:val="auto"/>
          <w:sz w:val="24"/>
          <w:szCs w:val="24"/>
        </w:rPr>
        <w:t>50</w:t>
      </w:r>
      <w:r w:rsidR="00934C89" w:rsidRPr="007B6E84">
        <w:rPr>
          <w:rStyle w:val="fontstyle01"/>
          <w:rFonts w:ascii="Garamond" w:hAnsi="Garamond"/>
          <w:b/>
          <w:bCs/>
          <w:color w:val="auto"/>
          <w:sz w:val="24"/>
          <w:szCs w:val="24"/>
        </w:rPr>
        <w:t xml:space="preserve">00 &gt; </w:t>
      </w:r>
      <w:r w:rsidR="00B5230A" w:rsidRPr="007B6E84">
        <w:rPr>
          <w:rStyle w:val="fontstyle01"/>
          <w:rFonts w:ascii="Garamond" w:hAnsi="Garamond"/>
          <w:b/>
          <w:bCs/>
          <w:color w:val="auto"/>
          <w:sz w:val="24"/>
          <w:szCs w:val="24"/>
        </w:rPr>
        <w:t>5</w:t>
      </w:r>
      <w:r w:rsidR="00934C89" w:rsidRPr="007B6E84">
        <w:rPr>
          <w:rStyle w:val="fontstyle01"/>
          <w:rFonts w:ascii="Garamond" w:hAnsi="Garamond"/>
          <w:b/>
          <w:bCs/>
          <w:color w:val="auto"/>
          <w:sz w:val="24"/>
          <w:szCs w:val="24"/>
        </w:rPr>
        <w:t>25</w:t>
      </w:r>
      <w:r w:rsidR="00B5230A" w:rsidRPr="007B6E84">
        <w:rPr>
          <w:rStyle w:val="fontstyle01"/>
          <w:rFonts w:ascii="Garamond" w:hAnsi="Garamond"/>
          <w:b/>
          <w:bCs/>
          <w:color w:val="auto"/>
          <w:sz w:val="24"/>
          <w:szCs w:val="24"/>
        </w:rPr>
        <w:t>0</w:t>
      </w:r>
      <w:r w:rsidRPr="007B6E84">
        <w:rPr>
          <w:rStyle w:val="fontstyle01"/>
          <w:rFonts w:ascii="Garamond" w:hAnsi="Garamond"/>
          <w:b/>
          <w:bCs/>
          <w:color w:val="auto"/>
          <w:sz w:val="24"/>
          <w:szCs w:val="24"/>
        </w:rPr>
        <w:t>]</w:t>
      </w:r>
    </w:p>
    <w:p w14:paraId="5E40E77D" w14:textId="77777777" w:rsidR="00502AB6" w:rsidRPr="007B6E84" w:rsidRDefault="00502AB6" w:rsidP="00502AB6">
      <w:pPr>
        <w:jc w:val="center"/>
        <w:rPr>
          <w:rFonts w:ascii="Garamond" w:hAnsi="Garamond"/>
          <w:sz w:val="28"/>
          <w:szCs w:val="28"/>
        </w:rPr>
      </w:pPr>
    </w:p>
    <w:p w14:paraId="7AFD9B38" w14:textId="77777777" w:rsidR="00502AB6" w:rsidRPr="007B6E84" w:rsidRDefault="00502AB6" w:rsidP="00502AB6">
      <w:pPr>
        <w:jc w:val="center"/>
        <w:rPr>
          <w:rFonts w:ascii="Garamond" w:hAnsi="Garamond"/>
          <w:sz w:val="28"/>
          <w:szCs w:val="28"/>
        </w:rPr>
      </w:pPr>
    </w:p>
    <w:p w14:paraId="115267EA" w14:textId="58511220" w:rsidR="00502AB6" w:rsidRPr="007B6E84" w:rsidRDefault="00502AB6" w:rsidP="00502AB6">
      <w:pPr>
        <w:spacing w:after="120" w:line="360" w:lineRule="auto"/>
        <w:jc w:val="both"/>
        <w:rPr>
          <w:rFonts w:ascii="Garamond" w:hAnsi="Garamond"/>
        </w:rPr>
      </w:pPr>
      <w:r w:rsidRPr="007B6E84">
        <w:rPr>
          <w:rFonts w:ascii="Garamond" w:hAnsi="Garamond"/>
          <w:b/>
          <w:bCs/>
          <w:sz w:val="28"/>
          <w:szCs w:val="28"/>
        </w:rPr>
        <w:t>INTRODUCTION</w:t>
      </w:r>
    </w:p>
    <w:p w14:paraId="74EB3F3A" w14:textId="728772A8" w:rsidR="00D43AB7" w:rsidRPr="00E62BF9" w:rsidRDefault="00502AB6" w:rsidP="00502AB6">
      <w:pPr>
        <w:spacing w:after="240" w:line="360" w:lineRule="auto"/>
        <w:jc w:val="both"/>
        <w:rPr>
          <w:rFonts w:ascii="Garamond" w:hAnsi="Garamond"/>
        </w:rPr>
      </w:pPr>
      <w:bookmarkStart w:id="4" w:name="_Hlk66954818"/>
      <w:r w:rsidRPr="007B6E84">
        <w:rPr>
          <w:rFonts w:ascii="Garamond" w:hAnsi="Garamond"/>
        </w:rPr>
        <w:t xml:space="preserve">This essay aims to reflect </w:t>
      </w:r>
      <w:bookmarkStart w:id="5" w:name="_Hlk71922742"/>
      <w:r w:rsidRPr="007B6E84">
        <w:rPr>
          <w:rFonts w:ascii="Garamond" w:hAnsi="Garamond"/>
        </w:rPr>
        <w:t xml:space="preserve">on </w:t>
      </w:r>
      <w:r w:rsidR="00D24E10" w:rsidRPr="007B6E84">
        <w:rPr>
          <w:rFonts w:ascii="Garamond" w:hAnsi="Garamond"/>
        </w:rPr>
        <w:t xml:space="preserve">the </w:t>
      </w:r>
      <w:r w:rsidR="00BF0CAF" w:rsidRPr="007B6E84">
        <w:rPr>
          <w:rFonts w:ascii="Garamond" w:hAnsi="Garamond"/>
        </w:rPr>
        <w:t xml:space="preserve">role of the sun – if any – in regards to the orientation of </w:t>
      </w:r>
      <w:r w:rsidR="00D24E10" w:rsidRPr="007B6E84">
        <w:rPr>
          <w:rFonts w:ascii="Garamond" w:hAnsi="Garamond"/>
        </w:rPr>
        <w:t xml:space="preserve">a set of </w:t>
      </w:r>
      <w:r w:rsidR="008B7E16" w:rsidRPr="007B6E84">
        <w:rPr>
          <w:rFonts w:ascii="Garamond" w:hAnsi="Garamond"/>
        </w:rPr>
        <w:t xml:space="preserve">modern </w:t>
      </w:r>
      <w:r w:rsidR="008B7E16" w:rsidRPr="00E62BF9">
        <w:rPr>
          <w:rFonts w:ascii="Garamond" w:hAnsi="Garamond"/>
        </w:rPr>
        <w:t>parish</w:t>
      </w:r>
      <w:r w:rsidR="003E5EC4" w:rsidRPr="00E62BF9">
        <w:rPr>
          <w:rFonts w:ascii="Garamond" w:hAnsi="Garamond"/>
        </w:rPr>
        <w:t xml:space="preserve"> catholic </w:t>
      </w:r>
      <w:r w:rsidR="00D24E10" w:rsidRPr="00E62BF9">
        <w:rPr>
          <w:rFonts w:ascii="Garamond" w:hAnsi="Garamond"/>
        </w:rPr>
        <w:t>churches</w:t>
      </w:r>
      <w:r w:rsidR="00BF0CAF" w:rsidRPr="00E62BF9">
        <w:rPr>
          <w:rFonts w:ascii="Garamond" w:hAnsi="Garamond"/>
        </w:rPr>
        <w:t xml:space="preserve"> </w:t>
      </w:r>
      <w:r w:rsidR="00D24E10" w:rsidRPr="00E62BF9">
        <w:rPr>
          <w:rFonts w:ascii="Garamond" w:hAnsi="Garamond"/>
        </w:rPr>
        <w:t xml:space="preserve">and </w:t>
      </w:r>
      <w:r w:rsidR="00BF0CAF" w:rsidRPr="00E62BF9">
        <w:rPr>
          <w:rFonts w:ascii="Garamond" w:hAnsi="Garamond"/>
        </w:rPr>
        <w:t xml:space="preserve">their relation to </w:t>
      </w:r>
      <w:r w:rsidR="00D24E10" w:rsidRPr="00E62BF9">
        <w:rPr>
          <w:rFonts w:ascii="Garamond" w:hAnsi="Garamond"/>
        </w:rPr>
        <w:t xml:space="preserve">the street grid </w:t>
      </w:r>
      <w:r w:rsidR="003E5EC4" w:rsidRPr="00E62BF9">
        <w:rPr>
          <w:rFonts w:ascii="Garamond" w:hAnsi="Garamond"/>
        </w:rPr>
        <w:t>within the city of Porto</w:t>
      </w:r>
      <w:r w:rsidR="008B7E16" w:rsidRPr="00E62BF9">
        <w:rPr>
          <w:rFonts w:ascii="Garamond" w:hAnsi="Garamond"/>
        </w:rPr>
        <w:t>,</w:t>
      </w:r>
      <w:r w:rsidR="003E5EC4" w:rsidRPr="00E62BF9">
        <w:rPr>
          <w:rFonts w:ascii="Garamond" w:hAnsi="Garamond"/>
        </w:rPr>
        <w:t xml:space="preserve"> Portugal</w:t>
      </w:r>
      <w:bookmarkEnd w:id="5"/>
      <w:r w:rsidR="003E5EC4" w:rsidRPr="00E62BF9">
        <w:rPr>
          <w:rFonts w:ascii="Garamond" w:hAnsi="Garamond"/>
        </w:rPr>
        <w:t xml:space="preserve">. </w:t>
      </w:r>
      <w:r w:rsidR="00BF0CAF" w:rsidRPr="00E62BF9">
        <w:rPr>
          <w:rFonts w:ascii="Garamond" w:hAnsi="Garamond"/>
        </w:rPr>
        <w:t>The assumption is that the</w:t>
      </w:r>
      <w:r w:rsidR="00973E0E" w:rsidRPr="00E62BF9">
        <w:rPr>
          <w:rFonts w:ascii="Garamond" w:hAnsi="Garamond"/>
        </w:rPr>
        <w:t xml:space="preserve"> </w:t>
      </w:r>
      <w:bookmarkStart w:id="6" w:name="_Hlk71923390"/>
      <w:r w:rsidR="00973E0E" w:rsidRPr="00E62BF9">
        <w:rPr>
          <w:rFonts w:ascii="Garamond" w:hAnsi="Garamond"/>
        </w:rPr>
        <w:t xml:space="preserve">sun’s </w:t>
      </w:r>
      <w:r w:rsidR="008B7E16" w:rsidRPr="00E62BF9">
        <w:rPr>
          <w:rFonts w:ascii="Garamond" w:hAnsi="Garamond"/>
        </w:rPr>
        <w:t xml:space="preserve">daily/yearly </w:t>
      </w:r>
      <w:r w:rsidR="00973E0E" w:rsidRPr="00E62BF9">
        <w:rPr>
          <w:rFonts w:ascii="Garamond" w:hAnsi="Garamond"/>
        </w:rPr>
        <w:t xml:space="preserve">path </w:t>
      </w:r>
      <w:r w:rsidR="00BF0CAF" w:rsidRPr="00E62BF9">
        <w:rPr>
          <w:rFonts w:ascii="Garamond" w:hAnsi="Garamond"/>
        </w:rPr>
        <w:t xml:space="preserve">may </w:t>
      </w:r>
      <w:r w:rsidR="00E10EF3" w:rsidRPr="00E62BF9">
        <w:rPr>
          <w:rFonts w:ascii="Garamond" w:hAnsi="Garamond"/>
        </w:rPr>
        <w:t>have acted as</w:t>
      </w:r>
      <w:r w:rsidR="00973E0E" w:rsidRPr="00E62BF9">
        <w:rPr>
          <w:rFonts w:ascii="Garamond" w:hAnsi="Garamond"/>
        </w:rPr>
        <w:t xml:space="preserve"> a determinant </w:t>
      </w:r>
      <w:bookmarkEnd w:id="6"/>
      <w:r w:rsidR="00973E0E" w:rsidRPr="00E62BF9">
        <w:rPr>
          <w:rFonts w:ascii="Garamond" w:hAnsi="Garamond"/>
        </w:rPr>
        <w:t xml:space="preserve">factor </w:t>
      </w:r>
      <w:bookmarkStart w:id="7" w:name="_Hlk71923426"/>
      <w:r w:rsidR="00973E0E" w:rsidRPr="00E62BF9">
        <w:rPr>
          <w:rFonts w:ascii="Garamond" w:hAnsi="Garamond"/>
        </w:rPr>
        <w:t>in the building</w:t>
      </w:r>
      <w:r w:rsidR="00E10EF3" w:rsidRPr="00E62BF9">
        <w:rPr>
          <w:rFonts w:ascii="Garamond" w:hAnsi="Garamond"/>
        </w:rPr>
        <w:t>’s</w:t>
      </w:r>
      <w:r w:rsidR="00973E0E" w:rsidRPr="00E62BF9">
        <w:rPr>
          <w:rFonts w:ascii="Garamond" w:hAnsi="Garamond"/>
        </w:rPr>
        <w:t xml:space="preserve"> setting within the street layout</w:t>
      </w:r>
      <w:bookmarkEnd w:id="7"/>
      <w:r w:rsidR="00BF0CAF" w:rsidRPr="00E62BF9">
        <w:rPr>
          <w:rFonts w:ascii="Garamond" w:hAnsi="Garamond"/>
        </w:rPr>
        <w:t xml:space="preserve">, </w:t>
      </w:r>
      <w:r w:rsidR="00973E0E" w:rsidRPr="00E62BF9">
        <w:rPr>
          <w:rFonts w:ascii="Garamond" w:hAnsi="Garamond"/>
        </w:rPr>
        <w:t>thus being the reason for dissonance</w:t>
      </w:r>
      <w:r w:rsidR="00E10EF3" w:rsidRPr="00E62BF9">
        <w:rPr>
          <w:rFonts w:ascii="Garamond" w:hAnsi="Garamond"/>
        </w:rPr>
        <w:t>s</w:t>
      </w:r>
      <w:r w:rsidR="00973E0E" w:rsidRPr="00E62BF9">
        <w:rPr>
          <w:rFonts w:ascii="Garamond" w:hAnsi="Garamond"/>
        </w:rPr>
        <w:t xml:space="preserve"> between both; </w:t>
      </w:r>
      <w:r w:rsidR="00BF0CAF" w:rsidRPr="00E62BF9">
        <w:rPr>
          <w:rFonts w:ascii="Garamond" w:hAnsi="Garamond"/>
        </w:rPr>
        <w:t xml:space="preserve">but </w:t>
      </w:r>
      <w:r w:rsidR="00D43AB7" w:rsidRPr="00E62BF9">
        <w:rPr>
          <w:rFonts w:ascii="Garamond" w:hAnsi="Garamond"/>
        </w:rPr>
        <w:t xml:space="preserve">it </w:t>
      </w:r>
      <w:r w:rsidR="00BF0CAF" w:rsidRPr="00E62BF9">
        <w:rPr>
          <w:rFonts w:ascii="Garamond" w:hAnsi="Garamond"/>
        </w:rPr>
        <w:t xml:space="preserve">may </w:t>
      </w:r>
      <w:r w:rsidR="00973E0E" w:rsidRPr="00E62BF9">
        <w:rPr>
          <w:rFonts w:ascii="Garamond" w:hAnsi="Garamond"/>
        </w:rPr>
        <w:t xml:space="preserve">well </w:t>
      </w:r>
      <w:r w:rsidR="00D43AB7" w:rsidRPr="00E62BF9">
        <w:rPr>
          <w:rFonts w:ascii="Garamond" w:hAnsi="Garamond"/>
        </w:rPr>
        <w:t>be that</w:t>
      </w:r>
      <w:r w:rsidR="00BF0CAF" w:rsidRPr="00E62BF9">
        <w:rPr>
          <w:rFonts w:ascii="Garamond" w:hAnsi="Garamond"/>
        </w:rPr>
        <w:t xml:space="preserve"> no</w:t>
      </w:r>
      <w:r w:rsidR="00973E0E" w:rsidRPr="00E62BF9">
        <w:rPr>
          <w:rFonts w:ascii="Garamond" w:hAnsi="Garamond"/>
        </w:rPr>
        <w:t xml:space="preserve"> such influence </w:t>
      </w:r>
      <w:r w:rsidR="00D43AB7" w:rsidRPr="00E62BF9">
        <w:rPr>
          <w:rFonts w:ascii="Garamond" w:hAnsi="Garamond"/>
        </w:rPr>
        <w:t xml:space="preserve">is found </w:t>
      </w:r>
      <w:r w:rsidR="00973E0E" w:rsidRPr="00E62BF9">
        <w:rPr>
          <w:rFonts w:ascii="Garamond" w:hAnsi="Garamond"/>
        </w:rPr>
        <w:t xml:space="preserve">and instead </w:t>
      </w:r>
      <w:r w:rsidR="00D43AB7" w:rsidRPr="00E62BF9">
        <w:rPr>
          <w:rFonts w:ascii="Garamond" w:hAnsi="Garamond"/>
        </w:rPr>
        <w:t xml:space="preserve">urban </w:t>
      </w:r>
      <w:r w:rsidR="00973E0E" w:rsidRPr="00E62BF9">
        <w:rPr>
          <w:rFonts w:ascii="Garamond" w:hAnsi="Garamond"/>
        </w:rPr>
        <w:t xml:space="preserve">planning </w:t>
      </w:r>
      <w:r w:rsidR="00294CA4" w:rsidRPr="00E62BF9">
        <w:rPr>
          <w:rFonts w:ascii="Garamond" w:hAnsi="Garamond"/>
        </w:rPr>
        <w:t xml:space="preserve">guidelines </w:t>
      </w:r>
      <w:r w:rsidR="00973E0E" w:rsidRPr="00E62BF9">
        <w:rPr>
          <w:rFonts w:ascii="Garamond" w:hAnsi="Garamond"/>
        </w:rPr>
        <w:t>superimpos</w:t>
      </w:r>
      <w:r w:rsidR="00D43AB7" w:rsidRPr="00E62BF9">
        <w:rPr>
          <w:rFonts w:ascii="Garamond" w:hAnsi="Garamond"/>
        </w:rPr>
        <w:t>e</w:t>
      </w:r>
      <w:r w:rsidR="00973E0E" w:rsidRPr="00E62BF9">
        <w:rPr>
          <w:rFonts w:ascii="Garamond" w:hAnsi="Garamond"/>
        </w:rPr>
        <w:t xml:space="preserve"> </w:t>
      </w:r>
      <w:r w:rsidR="00E10EF3" w:rsidRPr="00E62BF9">
        <w:rPr>
          <w:rFonts w:ascii="Garamond" w:hAnsi="Garamond"/>
        </w:rPr>
        <w:t>its alignment</w:t>
      </w:r>
      <w:r w:rsidR="00294CA4" w:rsidRPr="00E62BF9">
        <w:rPr>
          <w:rFonts w:ascii="Garamond" w:hAnsi="Garamond"/>
        </w:rPr>
        <w:t>s</w:t>
      </w:r>
      <w:r w:rsidR="00D43AB7" w:rsidRPr="00E62BF9">
        <w:rPr>
          <w:rFonts w:ascii="Garamond" w:hAnsi="Garamond"/>
        </w:rPr>
        <w:t xml:space="preserve"> </w:t>
      </w:r>
      <w:r w:rsidR="006D7E24" w:rsidRPr="00E62BF9">
        <w:rPr>
          <w:rFonts w:ascii="Garamond" w:hAnsi="Garamond"/>
        </w:rPr>
        <w:t>to</w:t>
      </w:r>
      <w:r w:rsidR="00E10EF3" w:rsidRPr="00E62BF9">
        <w:rPr>
          <w:rFonts w:ascii="Garamond" w:hAnsi="Garamond"/>
        </w:rPr>
        <w:t xml:space="preserve"> the building-street interrelation</w:t>
      </w:r>
      <w:r w:rsidR="00BF0CAF" w:rsidRPr="00E62BF9">
        <w:rPr>
          <w:rFonts w:ascii="Garamond" w:hAnsi="Garamond"/>
        </w:rPr>
        <w:t>.</w:t>
      </w:r>
    </w:p>
    <w:p w14:paraId="71819346" w14:textId="60320215" w:rsidR="00032329" w:rsidRPr="00E62BF9" w:rsidRDefault="003E5EC4" w:rsidP="00032329">
      <w:pPr>
        <w:spacing w:after="240" w:line="360" w:lineRule="auto"/>
        <w:jc w:val="both"/>
        <w:rPr>
          <w:rFonts w:ascii="Garamond" w:hAnsi="Garamond"/>
        </w:rPr>
      </w:pPr>
      <w:bookmarkStart w:id="8" w:name="_Hlk71922840"/>
      <w:r w:rsidRPr="00E62BF9">
        <w:rPr>
          <w:rFonts w:ascii="Garamond" w:hAnsi="Garamond"/>
        </w:rPr>
        <w:t>Erected between 1931 and 1996, the</w:t>
      </w:r>
      <w:r w:rsidR="006D7E24" w:rsidRPr="00E62BF9">
        <w:rPr>
          <w:rFonts w:ascii="Garamond" w:hAnsi="Garamond"/>
        </w:rPr>
        <w:t>se</w:t>
      </w:r>
      <w:r w:rsidR="008A4FB2" w:rsidRPr="00E62BF9">
        <w:rPr>
          <w:rFonts w:ascii="Garamond" w:hAnsi="Garamond"/>
        </w:rPr>
        <w:t xml:space="preserve"> new churches </w:t>
      </w:r>
      <w:r w:rsidR="00BA69FE" w:rsidRPr="00E62BF9">
        <w:rPr>
          <w:rFonts w:ascii="Garamond" w:hAnsi="Garamond"/>
        </w:rPr>
        <w:t>stand</w:t>
      </w:r>
      <w:r w:rsidR="00BA69FE" w:rsidRPr="00E62BF9">
        <w:rPr>
          <w:rFonts w:ascii="Garamond" w:hAnsi="Garamond"/>
        </w:rPr>
        <w:t xml:space="preserve"> </w:t>
      </w:r>
      <w:r w:rsidRPr="00E62BF9">
        <w:rPr>
          <w:rFonts w:ascii="Garamond" w:hAnsi="Garamond"/>
        </w:rPr>
        <w:t>in diversely urbanised areas regarding both its built density</w:t>
      </w:r>
      <w:r w:rsidR="008A4FB2" w:rsidRPr="00E62BF9">
        <w:rPr>
          <w:rFonts w:ascii="Garamond" w:hAnsi="Garamond"/>
        </w:rPr>
        <w:t xml:space="preserve"> and building typologies</w:t>
      </w:r>
      <w:r w:rsidR="00797DD8" w:rsidRPr="00E62BF9">
        <w:rPr>
          <w:rFonts w:ascii="Garamond" w:hAnsi="Garamond"/>
        </w:rPr>
        <w:t xml:space="preserve">, </w:t>
      </w:r>
      <w:r w:rsidR="000F228A" w:rsidRPr="00E62BF9">
        <w:rPr>
          <w:rFonts w:ascii="Garamond" w:hAnsi="Garamond"/>
        </w:rPr>
        <w:t xml:space="preserve">in the external ring of the city, </w:t>
      </w:r>
      <w:bookmarkEnd w:id="8"/>
      <w:r w:rsidR="00797DD8" w:rsidRPr="00E62BF9">
        <w:rPr>
          <w:rFonts w:ascii="Garamond" w:hAnsi="Garamond"/>
        </w:rPr>
        <w:t xml:space="preserve">namely responding to the population growth and the </w:t>
      </w:r>
      <w:r w:rsidR="00485F66" w:rsidRPr="00E62BF9">
        <w:rPr>
          <w:rFonts w:ascii="Garamond" w:hAnsi="Garamond"/>
        </w:rPr>
        <w:t xml:space="preserve">subsequent </w:t>
      </w:r>
      <w:r w:rsidR="00797DD8" w:rsidRPr="00E62BF9">
        <w:rPr>
          <w:rFonts w:ascii="Garamond" w:hAnsi="Garamond"/>
        </w:rPr>
        <w:t xml:space="preserve">need to expand into previously </w:t>
      </w:r>
      <w:r w:rsidR="008B7E16" w:rsidRPr="00E62BF9">
        <w:rPr>
          <w:rFonts w:ascii="Garamond" w:hAnsi="Garamond"/>
        </w:rPr>
        <w:t xml:space="preserve">undeveloped </w:t>
      </w:r>
      <w:r w:rsidR="00797DD8" w:rsidRPr="00E62BF9">
        <w:rPr>
          <w:rFonts w:ascii="Garamond" w:hAnsi="Garamond"/>
        </w:rPr>
        <w:t xml:space="preserve">areas. </w:t>
      </w:r>
      <w:r w:rsidR="001E416B" w:rsidRPr="00E62BF9">
        <w:rPr>
          <w:rFonts w:ascii="Garamond" w:hAnsi="Garamond"/>
        </w:rPr>
        <w:t xml:space="preserve">The </w:t>
      </w:r>
      <w:r w:rsidR="008D5680" w:rsidRPr="00E62BF9">
        <w:rPr>
          <w:rFonts w:ascii="Garamond" w:hAnsi="Garamond"/>
        </w:rPr>
        <w:t xml:space="preserve">Liturgical </w:t>
      </w:r>
      <w:r w:rsidR="00294CA4" w:rsidRPr="00E62BF9">
        <w:rPr>
          <w:rFonts w:ascii="Garamond" w:hAnsi="Garamond"/>
        </w:rPr>
        <w:t xml:space="preserve">Movement </w:t>
      </w:r>
      <w:r w:rsidR="008D5680" w:rsidRPr="00E62BF9">
        <w:rPr>
          <w:rFonts w:ascii="Garamond" w:hAnsi="Garamond"/>
        </w:rPr>
        <w:t>(and the</w:t>
      </w:r>
      <w:r w:rsidR="00D8738A" w:rsidRPr="00E62BF9">
        <w:rPr>
          <w:rFonts w:ascii="Garamond" w:hAnsi="Garamond"/>
        </w:rPr>
        <w:t xml:space="preserve"> </w:t>
      </w:r>
      <w:r w:rsidR="008D5680" w:rsidRPr="00E62BF9">
        <w:rPr>
          <w:rFonts w:ascii="Garamond" w:hAnsi="Garamond"/>
        </w:rPr>
        <w:t>changes in liturgy</w:t>
      </w:r>
      <w:r w:rsidR="00485F66" w:rsidRPr="00E62BF9">
        <w:rPr>
          <w:rFonts w:ascii="Garamond" w:hAnsi="Garamond"/>
        </w:rPr>
        <w:t xml:space="preserve">) ongoing from the </w:t>
      </w:r>
      <w:r w:rsidR="00CC449D" w:rsidRPr="00E62BF9">
        <w:rPr>
          <w:rFonts w:ascii="Garamond" w:hAnsi="Garamond"/>
        </w:rPr>
        <w:t>nineteenth</w:t>
      </w:r>
      <w:r w:rsidR="00485F66" w:rsidRPr="00E62BF9">
        <w:rPr>
          <w:rFonts w:ascii="Garamond" w:hAnsi="Garamond"/>
        </w:rPr>
        <w:t xml:space="preserve"> century</w:t>
      </w:r>
      <w:r w:rsidR="000F228A" w:rsidRPr="00E62BF9">
        <w:rPr>
          <w:rFonts w:ascii="Garamond" w:hAnsi="Garamond"/>
        </w:rPr>
        <w:t>,</w:t>
      </w:r>
      <w:r w:rsidR="008D5680" w:rsidRPr="00E62BF9">
        <w:rPr>
          <w:rFonts w:ascii="Garamond" w:hAnsi="Garamond"/>
        </w:rPr>
        <w:t xml:space="preserve"> </w:t>
      </w:r>
      <w:r w:rsidR="001E416B" w:rsidRPr="00E62BF9">
        <w:rPr>
          <w:rFonts w:ascii="Garamond" w:hAnsi="Garamond"/>
        </w:rPr>
        <w:t xml:space="preserve">as well as </w:t>
      </w:r>
      <w:r w:rsidR="00797DD8" w:rsidRPr="00E62BF9">
        <w:rPr>
          <w:rFonts w:ascii="Garamond" w:hAnsi="Garamond"/>
        </w:rPr>
        <w:t xml:space="preserve">the </w:t>
      </w:r>
      <w:r w:rsidR="008D5680" w:rsidRPr="00E62BF9">
        <w:rPr>
          <w:rFonts w:ascii="Garamond" w:hAnsi="Garamond"/>
        </w:rPr>
        <w:t xml:space="preserve">Modern </w:t>
      </w:r>
      <w:r w:rsidR="00485F66" w:rsidRPr="00E62BF9">
        <w:rPr>
          <w:rFonts w:ascii="Garamond" w:hAnsi="Garamond"/>
        </w:rPr>
        <w:t xml:space="preserve">Movement in </w:t>
      </w:r>
      <w:r w:rsidR="00294CA4" w:rsidRPr="00E62BF9">
        <w:rPr>
          <w:rFonts w:ascii="Garamond" w:hAnsi="Garamond"/>
        </w:rPr>
        <w:t>Architecture</w:t>
      </w:r>
      <w:r w:rsidR="001E416B" w:rsidRPr="00E62BF9">
        <w:rPr>
          <w:rFonts w:ascii="Garamond" w:hAnsi="Garamond"/>
        </w:rPr>
        <w:t>, both considered under the Portuguese specificity, are taken into account</w:t>
      </w:r>
      <w:r w:rsidR="00485F66" w:rsidRPr="00E62BF9">
        <w:rPr>
          <w:rFonts w:ascii="Garamond" w:hAnsi="Garamond"/>
        </w:rPr>
        <w:t xml:space="preserve"> as influential explaining factors</w:t>
      </w:r>
      <w:r w:rsidR="001E416B" w:rsidRPr="00E62BF9">
        <w:rPr>
          <w:rFonts w:ascii="Garamond" w:hAnsi="Garamond"/>
        </w:rPr>
        <w:t>.</w:t>
      </w:r>
      <w:r w:rsidR="00485F66" w:rsidRPr="00E62BF9">
        <w:rPr>
          <w:rFonts w:ascii="Garamond" w:hAnsi="Garamond"/>
        </w:rPr>
        <w:t xml:space="preserve"> This contextualisation of the measurement findings within the cultural mindset </w:t>
      </w:r>
      <w:r w:rsidR="00E60D8E" w:rsidRPr="00E62BF9">
        <w:rPr>
          <w:rFonts w:ascii="Garamond" w:hAnsi="Garamond"/>
        </w:rPr>
        <w:t>that framed the</w:t>
      </w:r>
      <w:r w:rsidR="00485F66" w:rsidRPr="00E62BF9">
        <w:rPr>
          <w:rFonts w:ascii="Garamond" w:hAnsi="Garamond"/>
        </w:rPr>
        <w:t xml:space="preserve"> buil</w:t>
      </w:r>
      <w:r w:rsidR="00E60D8E" w:rsidRPr="00E62BF9">
        <w:rPr>
          <w:rFonts w:ascii="Garamond" w:hAnsi="Garamond"/>
        </w:rPr>
        <w:t>ding</w:t>
      </w:r>
      <w:r w:rsidR="00485F66" w:rsidRPr="00E62BF9">
        <w:rPr>
          <w:rFonts w:ascii="Garamond" w:hAnsi="Garamond"/>
        </w:rPr>
        <w:t>/design</w:t>
      </w:r>
      <w:r w:rsidR="00E60D8E" w:rsidRPr="00E62BF9">
        <w:rPr>
          <w:rFonts w:ascii="Garamond" w:hAnsi="Garamond"/>
        </w:rPr>
        <w:t xml:space="preserve"> of</w:t>
      </w:r>
      <w:r w:rsidR="00485F66" w:rsidRPr="00E62BF9">
        <w:rPr>
          <w:rFonts w:ascii="Garamond" w:hAnsi="Garamond"/>
        </w:rPr>
        <w:t xml:space="preserve"> the churches </w:t>
      </w:r>
      <w:r w:rsidR="00E60D8E" w:rsidRPr="00E62BF9">
        <w:rPr>
          <w:rFonts w:ascii="Garamond" w:hAnsi="Garamond"/>
        </w:rPr>
        <w:t xml:space="preserve">aims at </w:t>
      </w:r>
      <w:r w:rsidR="00032329" w:rsidRPr="00E62BF9">
        <w:rPr>
          <w:rFonts w:ascii="Garamond" w:hAnsi="Garamond"/>
        </w:rPr>
        <w:t xml:space="preserve">making </w:t>
      </w:r>
      <w:r w:rsidR="00E60D8E" w:rsidRPr="00E62BF9">
        <w:rPr>
          <w:rFonts w:ascii="Garamond" w:hAnsi="Garamond"/>
        </w:rPr>
        <w:t xml:space="preserve">some </w:t>
      </w:r>
      <w:r w:rsidR="00032329" w:rsidRPr="00E62BF9">
        <w:rPr>
          <w:rFonts w:ascii="Garamond" w:hAnsi="Garamond"/>
        </w:rPr>
        <w:t>qualitative sense out of the more abstract and quantitative data.</w:t>
      </w:r>
    </w:p>
    <w:p w14:paraId="699B8CAD" w14:textId="20E0B240" w:rsidR="00E60D8E" w:rsidRPr="00E62BF9" w:rsidRDefault="002F194B" w:rsidP="00032329">
      <w:pPr>
        <w:spacing w:after="240" w:line="360" w:lineRule="auto"/>
        <w:jc w:val="both"/>
        <w:rPr>
          <w:rFonts w:ascii="Garamond" w:hAnsi="Garamond"/>
        </w:rPr>
      </w:pPr>
      <w:r w:rsidRPr="00E62BF9">
        <w:rPr>
          <w:rFonts w:ascii="Garamond" w:hAnsi="Garamond"/>
        </w:rPr>
        <w:t xml:space="preserve">Having not found any </w:t>
      </w:r>
      <w:r w:rsidR="00E60D8E" w:rsidRPr="00E62BF9">
        <w:rPr>
          <w:rFonts w:ascii="Garamond" w:hAnsi="Garamond"/>
        </w:rPr>
        <w:t xml:space="preserve">research </w:t>
      </w:r>
      <w:r w:rsidRPr="00E62BF9">
        <w:rPr>
          <w:rFonts w:ascii="Garamond" w:hAnsi="Garamond"/>
        </w:rPr>
        <w:t>that</w:t>
      </w:r>
      <w:r w:rsidR="00294CA4" w:rsidRPr="00E62BF9">
        <w:rPr>
          <w:rFonts w:ascii="Garamond" w:hAnsi="Garamond"/>
        </w:rPr>
        <w:t xml:space="preserve"> </w:t>
      </w:r>
      <w:r w:rsidR="008B7E16" w:rsidRPr="00E62BF9">
        <w:rPr>
          <w:rFonts w:ascii="Garamond" w:hAnsi="Garamond"/>
        </w:rPr>
        <w:t>has</w:t>
      </w:r>
      <w:r w:rsidR="00E60D8E" w:rsidRPr="00E62BF9">
        <w:rPr>
          <w:rFonts w:ascii="Garamond" w:hAnsi="Garamond"/>
        </w:rPr>
        <w:t xml:space="preserve"> </w:t>
      </w:r>
      <w:r w:rsidR="00B509C5" w:rsidRPr="00E62BF9">
        <w:rPr>
          <w:rFonts w:ascii="Garamond" w:hAnsi="Garamond"/>
        </w:rPr>
        <w:t xml:space="preserve">systematically </w:t>
      </w:r>
      <w:r w:rsidR="00E60D8E" w:rsidRPr="00E62BF9">
        <w:rPr>
          <w:rFonts w:ascii="Garamond" w:hAnsi="Garamond"/>
        </w:rPr>
        <w:t xml:space="preserve">addressed the interrelation between the layout of the city and the settlement of </w:t>
      </w:r>
      <w:r w:rsidR="00294CA4" w:rsidRPr="00E62BF9">
        <w:rPr>
          <w:rFonts w:ascii="Garamond" w:hAnsi="Garamond"/>
        </w:rPr>
        <w:t>modern/contemporary</w:t>
      </w:r>
      <w:r w:rsidR="00E60D8E" w:rsidRPr="00E62BF9">
        <w:rPr>
          <w:rFonts w:ascii="Garamond" w:hAnsi="Garamond"/>
        </w:rPr>
        <w:t xml:space="preserve"> churches in regards </w:t>
      </w:r>
      <w:r w:rsidR="00226925" w:rsidRPr="00E62BF9">
        <w:rPr>
          <w:rFonts w:ascii="Garamond" w:hAnsi="Garamond"/>
        </w:rPr>
        <w:t>to</w:t>
      </w:r>
      <w:r w:rsidR="00E60D8E" w:rsidRPr="00E62BF9">
        <w:rPr>
          <w:rFonts w:ascii="Garamond" w:hAnsi="Garamond"/>
        </w:rPr>
        <w:t xml:space="preserve"> the light as a </w:t>
      </w:r>
      <w:r w:rsidR="00226925" w:rsidRPr="00E62BF9">
        <w:rPr>
          <w:rFonts w:ascii="Garamond" w:hAnsi="Garamond"/>
        </w:rPr>
        <w:t xml:space="preserve">decisive </w:t>
      </w:r>
      <w:r w:rsidR="00E60D8E" w:rsidRPr="00E62BF9">
        <w:rPr>
          <w:rFonts w:ascii="Garamond" w:hAnsi="Garamond"/>
        </w:rPr>
        <w:t>building (</w:t>
      </w:r>
      <w:proofErr w:type="spellStart"/>
      <w:r w:rsidR="00E60D8E" w:rsidRPr="00E62BF9">
        <w:rPr>
          <w:rFonts w:ascii="Garamond" w:hAnsi="Garamond"/>
        </w:rPr>
        <w:t>im</w:t>
      </w:r>
      <w:proofErr w:type="spellEnd"/>
      <w:r w:rsidR="00E60D8E" w:rsidRPr="00E62BF9">
        <w:rPr>
          <w:rFonts w:ascii="Garamond" w:hAnsi="Garamond"/>
        </w:rPr>
        <w:t xml:space="preserve">)material, </w:t>
      </w:r>
      <w:r w:rsidRPr="00E62BF9">
        <w:rPr>
          <w:rFonts w:ascii="Garamond" w:hAnsi="Garamond"/>
        </w:rPr>
        <w:t xml:space="preserve">I </w:t>
      </w:r>
      <w:r w:rsidR="008A68AA" w:rsidRPr="00E62BF9">
        <w:rPr>
          <w:rFonts w:ascii="Garamond" w:hAnsi="Garamond"/>
        </w:rPr>
        <w:t>compared</w:t>
      </w:r>
      <w:r w:rsidR="00E60D8E" w:rsidRPr="00E62BF9">
        <w:rPr>
          <w:rFonts w:ascii="Garamond" w:hAnsi="Garamond"/>
        </w:rPr>
        <w:t xml:space="preserve"> it with the </w:t>
      </w:r>
      <w:r w:rsidR="008A68AA" w:rsidRPr="00E62BF9">
        <w:rPr>
          <w:rFonts w:ascii="Garamond" w:hAnsi="Garamond"/>
        </w:rPr>
        <w:t>W</w:t>
      </w:r>
      <w:r w:rsidR="00E60D8E" w:rsidRPr="00E62BF9">
        <w:rPr>
          <w:rFonts w:ascii="Garamond" w:hAnsi="Garamond"/>
        </w:rPr>
        <w:t xml:space="preserve">estern medieval city. </w:t>
      </w:r>
      <w:r w:rsidR="0010723D" w:rsidRPr="00E62BF9">
        <w:rPr>
          <w:rFonts w:ascii="Garamond" w:hAnsi="Garamond"/>
        </w:rPr>
        <w:t>Taken</w:t>
      </w:r>
      <w:r w:rsidRPr="00E62BF9">
        <w:rPr>
          <w:rFonts w:ascii="Garamond" w:hAnsi="Garamond"/>
        </w:rPr>
        <w:t>,</w:t>
      </w:r>
      <w:r w:rsidR="0010723D" w:rsidRPr="00E62BF9">
        <w:rPr>
          <w:rFonts w:ascii="Garamond" w:hAnsi="Garamond"/>
        </w:rPr>
        <w:t xml:space="preserve"> </w:t>
      </w:r>
      <w:r w:rsidRPr="00E62BF9">
        <w:rPr>
          <w:rFonts w:ascii="Garamond" w:hAnsi="Garamond"/>
        </w:rPr>
        <w:t xml:space="preserve">on one hand, </w:t>
      </w:r>
      <w:r w:rsidR="0010723D" w:rsidRPr="00E62BF9">
        <w:rPr>
          <w:rFonts w:ascii="Garamond" w:hAnsi="Garamond"/>
        </w:rPr>
        <w:t>as the expression of the</w:t>
      </w:r>
      <w:r w:rsidR="00603A77" w:rsidRPr="00E62BF9">
        <w:rPr>
          <w:rFonts w:ascii="Garamond" w:hAnsi="Garamond"/>
        </w:rPr>
        <w:t xml:space="preserve"> Augustinian</w:t>
      </w:r>
      <w:r w:rsidR="0010723D" w:rsidRPr="00E62BF9">
        <w:rPr>
          <w:rFonts w:ascii="Garamond" w:hAnsi="Garamond"/>
        </w:rPr>
        <w:t xml:space="preserve"> </w:t>
      </w:r>
      <w:r w:rsidR="0010723D" w:rsidRPr="00E62BF9">
        <w:rPr>
          <w:rFonts w:ascii="Garamond" w:hAnsi="Garamond"/>
          <w:i/>
          <w:iCs/>
        </w:rPr>
        <w:t>Civita</w:t>
      </w:r>
      <w:r w:rsidR="00226925" w:rsidRPr="00E62BF9">
        <w:rPr>
          <w:rFonts w:ascii="Garamond" w:hAnsi="Garamond"/>
          <w:i/>
          <w:iCs/>
        </w:rPr>
        <w:t>s</w:t>
      </w:r>
      <w:r w:rsidR="0010723D" w:rsidRPr="00E62BF9">
        <w:rPr>
          <w:rFonts w:ascii="Garamond" w:hAnsi="Garamond"/>
          <w:i/>
          <w:iCs/>
        </w:rPr>
        <w:t xml:space="preserve"> Dei</w:t>
      </w:r>
      <w:r w:rsidR="00603A77" w:rsidRPr="00E62BF9">
        <w:rPr>
          <w:rFonts w:ascii="Garamond" w:hAnsi="Garamond"/>
        </w:rPr>
        <w:t xml:space="preserve"> b</w:t>
      </w:r>
      <w:r w:rsidR="0010723D" w:rsidRPr="00E62BF9">
        <w:rPr>
          <w:rFonts w:ascii="Garamond" w:hAnsi="Garamond"/>
        </w:rPr>
        <w:t xml:space="preserve">y </w:t>
      </w:r>
      <w:r w:rsidR="00E60D8E" w:rsidRPr="00E62BF9">
        <w:rPr>
          <w:rFonts w:ascii="Garamond" w:hAnsi="Garamond"/>
        </w:rPr>
        <w:t>Christian Norberg-Schulz</w:t>
      </w:r>
      <w:r w:rsidR="00294CA4" w:rsidRPr="00E62BF9">
        <w:rPr>
          <w:rFonts w:ascii="Garamond" w:hAnsi="Garamond"/>
        </w:rPr>
        <w:t>,</w:t>
      </w:r>
      <w:r w:rsidRPr="00E62BF9">
        <w:rPr>
          <w:rFonts w:ascii="Garamond" w:hAnsi="Garamond"/>
        </w:rPr>
        <w:t xml:space="preserve"> i.e., the</w:t>
      </w:r>
      <w:r w:rsidR="00294CA4" w:rsidRPr="00E62BF9">
        <w:rPr>
          <w:rFonts w:ascii="Garamond" w:hAnsi="Garamond"/>
        </w:rPr>
        <w:t xml:space="preserve"> </w:t>
      </w:r>
      <w:r w:rsidR="0010723D" w:rsidRPr="00E62BF9">
        <w:rPr>
          <w:rFonts w:ascii="Garamond" w:hAnsi="Garamond"/>
        </w:rPr>
        <w:t>synthesis of an essential interdependence between urban form</w:t>
      </w:r>
      <w:r w:rsidR="00294CA4" w:rsidRPr="00E62BF9">
        <w:rPr>
          <w:rFonts w:ascii="Garamond" w:hAnsi="Garamond"/>
        </w:rPr>
        <w:t xml:space="preserve">, </w:t>
      </w:r>
      <w:r w:rsidR="0010723D" w:rsidRPr="00E62BF9">
        <w:rPr>
          <w:rFonts w:ascii="Garamond" w:hAnsi="Garamond"/>
        </w:rPr>
        <w:t>Church and (sun)light,</w:t>
      </w:r>
      <w:r w:rsidRPr="00E62BF9">
        <w:rPr>
          <w:rFonts w:ascii="Garamond" w:hAnsi="Garamond"/>
        </w:rPr>
        <w:t xml:space="preserve"> and on the other, as</w:t>
      </w:r>
      <w:r w:rsidR="00946040" w:rsidRPr="00E62BF9">
        <w:rPr>
          <w:rFonts w:ascii="Garamond" w:hAnsi="Garamond"/>
        </w:rPr>
        <w:t xml:space="preserve"> the city structure to avoid within the Charter of Athens, the basic document of the Modern urbanism, </w:t>
      </w:r>
      <w:r w:rsidR="0010723D" w:rsidRPr="00E62BF9">
        <w:rPr>
          <w:rFonts w:ascii="Garamond" w:hAnsi="Garamond"/>
        </w:rPr>
        <w:t xml:space="preserve">it </w:t>
      </w:r>
      <w:r w:rsidR="00946040" w:rsidRPr="00E62BF9">
        <w:rPr>
          <w:rFonts w:ascii="Garamond" w:hAnsi="Garamond"/>
        </w:rPr>
        <w:t xml:space="preserve">seemed opportune to </w:t>
      </w:r>
      <w:r w:rsidRPr="00E62BF9">
        <w:rPr>
          <w:rFonts w:ascii="Garamond" w:hAnsi="Garamond"/>
        </w:rPr>
        <w:t>build my</w:t>
      </w:r>
      <w:r w:rsidR="0010723D" w:rsidRPr="00E62BF9">
        <w:rPr>
          <w:rFonts w:ascii="Garamond" w:hAnsi="Garamond"/>
        </w:rPr>
        <w:t xml:space="preserve"> starting point </w:t>
      </w:r>
      <w:r w:rsidRPr="00E62BF9">
        <w:rPr>
          <w:rFonts w:ascii="Garamond" w:hAnsi="Garamond"/>
        </w:rPr>
        <w:t xml:space="preserve">from it while </w:t>
      </w:r>
      <w:r w:rsidR="0010723D" w:rsidRPr="00E62BF9">
        <w:rPr>
          <w:rFonts w:ascii="Garamond" w:hAnsi="Garamond"/>
        </w:rPr>
        <w:t>reasoning</w:t>
      </w:r>
      <w:r w:rsidR="00946040" w:rsidRPr="00E62BF9">
        <w:rPr>
          <w:rFonts w:ascii="Garamond" w:hAnsi="Garamond"/>
        </w:rPr>
        <w:t xml:space="preserve"> about/questioning that same interdependenc</w:t>
      </w:r>
      <w:r w:rsidRPr="00E62BF9">
        <w:rPr>
          <w:rFonts w:ascii="Garamond" w:hAnsi="Garamond"/>
        </w:rPr>
        <w:t>e</w:t>
      </w:r>
      <w:r w:rsidR="00946040" w:rsidRPr="00E62BF9">
        <w:rPr>
          <w:rFonts w:ascii="Garamond" w:hAnsi="Garamond"/>
        </w:rPr>
        <w:t xml:space="preserve"> </w:t>
      </w:r>
      <w:r w:rsidRPr="00E62BF9">
        <w:rPr>
          <w:rFonts w:ascii="Garamond" w:hAnsi="Garamond"/>
        </w:rPr>
        <w:t xml:space="preserve">(urban form, Church and (sun)light) </w:t>
      </w:r>
      <w:r w:rsidR="00946040" w:rsidRPr="00E62BF9">
        <w:rPr>
          <w:rFonts w:ascii="Garamond" w:hAnsi="Garamond"/>
        </w:rPr>
        <w:t>in the 20</w:t>
      </w:r>
      <w:r w:rsidR="00946040" w:rsidRPr="00E62BF9">
        <w:rPr>
          <w:rFonts w:ascii="Garamond" w:hAnsi="Garamond"/>
          <w:vertAlign w:val="superscript"/>
        </w:rPr>
        <w:t>th</w:t>
      </w:r>
      <w:r w:rsidR="00946040" w:rsidRPr="00E62BF9">
        <w:rPr>
          <w:rFonts w:ascii="Garamond" w:hAnsi="Garamond"/>
        </w:rPr>
        <w:t xml:space="preserve"> century city.</w:t>
      </w:r>
      <w:r w:rsidR="00226925" w:rsidRPr="00E62BF9">
        <w:rPr>
          <w:rStyle w:val="Refdenotaderodap"/>
          <w:rFonts w:ascii="Garamond" w:hAnsi="Garamond"/>
        </w:rPr>
        <w:footnoteReference w:id="1"/>
      </w:r>
    </w:p>
    <w:bookmarkEnd w:id="4"/>
    <w:p w14:paraId="30C7FC28" w14:textId="0A6828E5" w:rsidR="00502AB6" w:rsidRPr="007B6E84" w:rsidRDefault="00502AB6" w:rsidP="00B5230A">
      <w:pPr>
        <w:spacing w:before="600" w:after="120" w:line="360" w:lineRule="auto"/>
        <w:jc w:val="both"/>
        <w:rPr>
          <w:rFonts w:ascii="Garamond" w:hAnsi="Garamond"/>
          <w:b/>
          <w:bCs/>
          <w:sz w:val="28"/>
          <w:szCs w:val="28"/>
        </w:rPr>
      </w:pPr>
      <w:r w:rsidRPr="007B6E84">
        <w:rPr>
          <w:rFonts w:ascii="Garamond" w:hAnsi="Garamond"/>
          <w:b/>
          <w:bCs/>
          <w:sz w:val="28"/>
          <w:szCs w:val="28"/>
        </w:rPr>
        <w:t>LITERATURE REVIEW</w:t>
      </w:r>
    </w:p>
    <w:p w14:paraId="601CA028" w14:textId="3EEEBB44" w:rsidR="004E3317" w:rsidRPr="00E62BF9" w:rsidRDefault="002C2E52" w:rsidP="00E62BF9">
      <w:pPr>
        <w:pStyle w:val="PargrafodaLista"/>
        <w:numPr>
          <w:ilvl w:val="0"/>
          <w:numId w:val="27"/>
        </w:numPr>
        <w:spacing w:after="240" w:line="360" w:lineRule="auto"/>
        <w:jc w:val="both"/>
        <w:rPr>
          <w:rFonts w:ascii="Garamond" w:hAnsi="Garamond"/>
          <w:b/>
          <w:bCs/>
        </w:rPr>
      </w:pPr>
      <w:r w:rsidRPr="00E62BF9">
        <w:rPr>
          <w:rFonts w:ascii="Garamond" w:hAnsi="Garamond"/>
          <w:b/>
          <w:bCs/>
        </w:rPr>
        <w:t>Church-City-Light</w:t>
      </w:r>
    </w:p>
    <w:p w14:paraId="5834B276" w14:textId="7F43AE1B" w:rsidR="00E00012" w:rsidRPr="00E62BF9" w:rsidRDefault="002C2E52" w:rsidP="00BD2614">
      <w:pPr>
        <w:spacing w:after="240" w:line="360" w:lineRule="auto"/>
        <w:jc w:val="both"/>
        <w:rPr>
          <w:rFonts w:ascii="Garamond" w:hAnsi="Garamond"/>
        </w:rPr>
      </w:pPr>
      <w:r w:rsidRPr="00E62BF9">
        <w:rPr>
          <w:rFonts w:ascii="Garamond" w:hAnsi="Garamond"/>
        </w:rPr>
        <w:lastRenderedPageBreak/>
        <w:t>Church, city and light combined have the utmost harmonious expression in the Middle Ages. Lewis Mumford pointed out with great clarity the institutional strength of the Church when he wrote that ‘after the fall of the Roman Empire, the only powerful and universal institution was the church’ and that ‘until the 16</w:t>
      </w:r>
      <w:r w:rsidR="00E00012" w:rsidRPr="00E62BF9">
        <w:rPr>
          <w:rFonts w:ascii="Garamond" w:hAnsi="Garamond"/>
          <w:vertAlign w:val="superscript"/>
        </w:rPr>
        <w:t>th</w:t>
      </w:r>
      <w:r w:rsidR="00E00012" w:rsidRPr="00E62BF9">
        <w:rPr>
          <w:rFonts w:ascii="Garamond" w:hAnsi="Garamond"/>
        </w:rPr>
        <w:t xml:space="preserve"> </w:t>
      </w:r>
      <w:r w:rsidRPr="00E62BF9">
        <w:rPr>
          <w:rFonts w:ascii="Garamond" w:hAnsi="Garamond"/>
        </w:rPr>
        <w:t>century, kings themselves trembled at the threat of excommunication’;</w:t>
      </w:r>
      <w:r w:rsidR="009F55CA" w:rsidRPr="00E62BF9">
        <w:rPr>
          <w:rStyle w:val="Refdenotaderodap"/>
          <w:rFonts w:ascii="Garamond" w:hAnsi="Garamond"/>
        </w:rPr>
        <w:t xml:space="preserve">1 </w:t>
      </w:r>
      <w:r w:rsidRPr="00E62BF9">
        <w:rPr>
          <w:rFonts w:ascii="Garamond" w:hAnsi="Garamond"/>
        </w:rPr>
        <w:t xml:space="preserve">this </w:t>
      </w:r>
      <w:r w:rsidR="009F55CA" w:rsidRPr="00E62BF9">
        <w:rPr>
          <w:rFonts w:ascii="Garamond" w:hAnsi="Garamond"/>
        </w:rPr>
        <w:t>pre-eminence</w:t>
      </w:r>
      <w:r w:rsidRPr="00E62BF9">
        <w:rPr>
          <w:rFonts w:ascii="Garamond" w:hAnsi="Garamond"/>
        </w:rPr>
        <w:t xml:space="preserve"> was clearly materialized in the territory.</w:t>
      </w:r>
      <w:r w:rsidR="00E00012" w:rsidRPr="00E62BF9">
        <w:rPr>
          <w:rStyle w:val="Refdenotaderodap"/>
          <w:rFonts w:ascii="Garamond" w:hAnsi="Garamond"/>
        </w:rPr>
        <w:footnoteReference w:id="2"/>
      </w:r>
      <w:r w:rsidR="00E00012" w:rsidRPr="00E62BF9">
        <w:rPr>
          <w:rFonts w:ascii="Garamond" w:hAnsi="Garamond"/>
        </w:rPr>
        <w:t xml:space="preserve"> </w:t>
      </w:r>
      <w:r w:rsidRPr="00E62BF9">
        <w:rPr>
          <w:rFonts w:ascii="Garamond" w:hAnsi="Garamond"/>
        </w:rPr>
        <w:t xml:space="preserve"> Via the parish church in the villages, the cathedral in the cities, and the monasteries and other sanctuaries scattered throughout the agricultural territory, ‘the Church was visibly present in all communities’, </w:t>
      </w:r>
      <w:r w:rsidR="0065663A" w:rsidRPr="00E62BF9">
        <w:rPr>
          <w:rFonts w:ascii="Garamond" w:hAnsi="Garamond"/>
        </w:rPr>
        <w:t>added</w:t>
      </w:r>
      <w:r w:rsidRPr="00E62BF9">
        <w:rPr>
          <w:rFonts w:ascii="Garamond" w:hAnsi="Garamond"/>
        </w:rPr>
        <w:t xml:space="preserve"> Mumford.</w:t>
      </w:r>
      <w:r w:rsidR="00E00012" w:rsidRPr="00E62BF9">
        <w:rPr>
          <w:rStyle w:val="Refdenotaderodap"/>
          <w:rFonts w:ascii="Garamond" w:hAnsi="Garamond"/>
        </w:rPr>
        <w:footnoteReference w:id="3"/>
      </w:r>
      <w:r w:rsidR="00906BBA" w:rsidRPr="00E62BF9">
        <w:rPr>
          <w:rFonts w:ascii="Garamond" w:hAnsi="Garamond"/>
        </w:rPr>
        <w:t xml:space="preserve"> </w:t>
      </w:r>
      <w:r w:rsidR="0065663A" w:rsidRPr="00E62BF9">
        <w:rPr>
          <w:rFonts w:ascii="Garamond" w:hAnsi="Garamond"/>
        </w:rPr>
        <w:t xml:space="preserve">The birth of the medieval city, often founded on grounds of defence against </w:t>
      </w:r>
      <w:r w:rsidR="00906BBA" w:rsidRPr="00E62BF9">
        <w:rPr>
          <w:rFonts w:ascii="Garamond" w:hAnsi="Garamond"/>
        </w:rPr>
        <w:t>external threat</w:t>
      </w:r>
      <w:r w:rsidR="00E00012" w:rsidRPr="00E62BF9">
        <w:rPr>
          <w:rFonts w:ascii="Garamond" w:hAnsi="Garamond"/>
        </w:rPr>
        <w:t xml:space="preserve"> and</w:t>
      </w:r>
      <w:r w:rsidR="0065663A" w:rsidRPr="00E62BF9">
        <w:rPr>
          <w:rFonts w:ascii="Garamond" w:hAnsi="Garamond"/>
        </w:rPr>
        <w:t xml:space="preserve"> as </w:t>
      </w:r>
      <w:r w:rsidR="00E00012" w:rsidRPr="00E62BF9">
        <w:rPr>
          <w:rFonts w:ascii="Garamond" w:hAnsi="Garamond"/>
        </w:rPr>
        <w:t xml:space="preserve">the </w:t>
      </w:r>
      <w:r w:rsidR="0065663A" w:rsidRPr="00E62BF9">
        <w:rPr>
          <w:rFonts w:ascii="Garamond" w:hAnsi="Garamond"/>
        </w:rPr>
        <w:t xml:space="preserve">result of </w:t>
      </w:r>
      <w:r w:rsidRPr="00E62BF9">
        <w:rPr>
          <w:rFonts w:ascii="Garamond" w:hAnsi="Garamond"/>
        </w:rPr>
        <w:t>the human group</w:t>
      </w:r>
      <w:r w:rsidR="0065663A" w:rsidRPr="00E62BF9">
        <w:rPr>
          <w:rFonts w:ascii="Garamond" w:hAnsi="Garamond"/>
        </w:rPr>
        <w:t xml:space="preserve">ing </w:t>
      </w:r>
      <w:r w:rsidRPr="00E62BF9">
        <w:rPr>
          <w:rFonts w:ascii="Garamond" w:hAnsi="Garamond"/>
        </w:rPr>
        <w:t xml:space="preserve">around the cathedral or the monastery (or the castle), lend </w:t>
      </w:r>
      <w:r w:rsidR="0065663A" w:rsidRPr="00E62BF9">
        <w:rPr>
          <w:rFonts w:ascii="Garamond" w:hAnsi="Garamond"/>
        </w:rPr>
        <w:t>‘</w:t>
      </w:r>
      <w:r w:rsidRPr="00E62BF9">
        <w:rPr>
          <w:rFonts w:ascii="Garamond" w:hAnsi="Garamond"/>
        </w:rPr>
        <w:t>substance to the image of the medieval church as the fortified city of God</w:t>
      </w:r>
      <w:r w:rsidR="0065663A" w:rsidRPr="00E62BF9">
        <w:rPr>
          <w:rFonts w:ascii="Garamond" w:hAnsi="Garamond"/>
        </w:rPr>
        <w:t>’</w:t>
      </w:r>
      <w:r w:rsidRPr="00E62BF9">
        <w:rPr>
          <w:rFonts w:ascii="Garamond" w:hAnsi="Garamond"/>
        </w:rPr>
        <w:t>, as note</w:t>
      </w:r>
      <w:r w:rsidR="0065663A" w:rsidRPr="00E62BF9">
        <w:rPr>
          <w:rFonts w:ascii="Garamond" w:hAnsi="Garamond"/>
        </w:rPr>
        <w:t>d</w:t>
      </w:r>
      <w:r w:rsidRPr="00E62BF9">
        <w:rPr>
          <w:rFonts w:ascii="Garamond" w:hAnsi="Garamond"/>
        </w:rPr>
        <w:t xml:space="preserve"> Spiro </w:t>
      </w:r>
      <w:r w:rsidR="009F55CA" w:rsidRPr="00E62BF9">
        <w:rPr>
          <w:rFonts w:ascii="Garamond" w:hAnsi="Garamond"/>
        </w:rPr>
        <w:t>Castoff</w:t>
      </w:r>
      <w:r w:rsidRPr="00E62BF9">
        <w:rPr>
          <w:rFonts w:ascii="Garamond" w:hAnsi="Garamond"/>
        </w:rPr>
        <w:t>.</w:t>
      </w:r>
      <w:r w:rsidR="00E00012" w:rsidRPr="00E62BF9">
        <w:rPr>
          <w:rStyle w:val="Refdenotaderodap"/>
          <w:rFonts w:ascii="Garamond" w:hAnsi="Garamond"/>
        </w:rPr>
        <w:t xml:space="preserve"> </w:t>
      </w:r>
      <w:r w:rsidR="00E00012" w:rsidRPr="00E62BF9">
        <w:rPr>
          <w:rStyle w:val="Refdenotaderodap"/>
          <w:rFonts w:ascii="Garamond" w:hAnsi="Garamond"/>
        </w:rPr>
        <w:footnoteReference w:id="4"/>
      </w:r>
      <w:r w:rsidR="00E00012" w:rsidRPr="00E62BF9">
        <w:rPr>
          <w:rFonts w:ascii="Garamond" w:hAnsi="Garamond"/>
        </w:rPr>
        <w:t xml:space="preserve"> In fact, as Fernando </w:t>
      </w:r>
      <w:proofErr w:type="spellStart"/>
      <w:r w:rsidR="00E00012" w:rsidRPr="00E62BF9">
        <w:rPr>
          <w:rFonts w:ascii="Garamond" w:hAnsi="Garamond"/>
        </w:rPr>
        <w:t>Chueca</w:t>
      </w:r>
      <w:proofErr w:type="spellEnd"/>
      <w:r w:rsidR="00E00012" w:rsidRPr="00E62BF9">
        <w:rPr>
          <w:rFonts w:ascii="Garamond" w:hAnsi="Garamond"/>
        </w:rPr>
        <w:t xml:space="preserve"> </w:t>
      </w:r>
      <w:proofErr w:type="spellStart"/>
      <w:r w:rsidR="00E00012" w:rsidRPr="00E62BF9">
        <w:rPr>
          <w:rFonts w:ascii="Garamond" w:hAnsi="Garamond"/>
        </w:rPr>
        <w:t>Goitia</w:t>
      </w:r>
      <w:proofErr w:type="spellEnd"/>
      <w:r w:rsidR="00E00012" w:rsidRPr="00E62BF9">
        <w:rPr>
          <w:rFonts w:ascii="Garamond" w:hAnsi="Garamond"/>
        </w:rPr>
        <w:t xml:space="preserve"> stated, ‘the cathedrals, the great abbeys, the pilgrimage sanctuaries are decisive for the morphogenesis of the medieval city’, which very often in the medieval West is associated with the </w:t>
      </w:r>
      <w:proofErr w:type="spellStart"/>
      <w:r w:rsidR="00E00012" w:rsidRPr="00E62BF9">
        <w:rPr>
          <w:rFonts w:ascii="Garamond" w:hAnsi="Garamond"/>
        </w:rPr>
        <w:t>radioconcentric</w:t>
      </w:r>
      <w:proofErr w:type="spellEnd"/>
      <w:r w:rsidR="00E00012" w:rsidRPr="00E62BF9">
        <w:rPr>
          <w:rFonts w:ascii="Garamond" w:hAnsi="Garamond"/>
        </w:rPr>
        <w:t xml:space="preserve"> type,</w:t>
      </w:r>
      <w:r w:rsidR="00C045B4" w:rsidRPr="00E62BF9">
        <w:rPr>
          <w:rStyle w:val="Refdenotaderodap"/>
          <w:rFonts w:ascii="Garamond" w:hAnsi="Garamond"/>
        </w:rPr>
        <w:footnoteReference w:id="5"/>
      </w:r>
      <w:r w:rsidR="00C045B4" w:rsidRPr="00E62BF9">
        <w:rPr>
          <w:rFonts w:ascii="Garamond" w:hAnsi="Garamond"/>
        </w:rPr>
        <w:t xml:space="preserve"> </w:t>
      </w:r>
      <w:r w:rsidR="00E00012" w:rsidRPr="00E62BF9">
        <w:rPr>
          <w:rFonts w:ascii="Garamond" w:hAnsi="Garamond"/>
        </w:rPr>
        <w:t xml:space="preserve">despite the many typological variants that identify the medieval city and that led </w:t>
      </w:r>
      <w:proofErr w:type="spellStart"/>
      <w:r w:rsidR="00E00012" w:rsidRPr="00E62BF9">
        <w:rPr>
          <w:rFonts w:ascii="Garamond" w:hAnsi="Garamond"/>
        </w:rPr>
        <w:t>Kostoff</w:t>
      </w:r>
      <w:proofErr w:type="spellEnd"/>
      <w:r w:rsidR="00E00012" w:rsidRPr="00E62BF9">
        <w:rPr>
          <w:rFonts w:ascii="Garamond" w:hAnsi="Garamond"/>
        </w:rPr>
        <w:t xml:space="preserve"> to say that ‘there is no such thing as the “medieval town”’.</w:t>
      </w:r>
      <w:r w:rsidR="00E00012" w:rsidRPr="00E62BF9">
        <w:rPr>
          <w:rStyle w:val="Refdenotaderodap"/>
          <w:rFonts w:ascii="Garamond" w:hAnsi="Garamond"/>
        </w:rPr>
        <w:footnoteReference w:id="6"/>
      </w:r>
      <w:r w:rsidR="00906BBA" w:rsidRPr="00E62BF9">
        <w:rPr>
          <w:rFonts w:ascii="Garamond" w:hAnsi="Garamond"/>
        </w:rPr>
        <w:t xml:space="preserve"> </w:t>
      </w:r>
      <w:r w:rsidR="00E00012" w:rsidRPr="00E62BF9">
        <w:rPr>
          <w:rFonts w:ascii="Garamond" w:hAnsi="Garamond"/>
        </w:rPr>
        <w:t xml:space="preserve">He was certainly referring to its great morphological diversity since, although it can be planned, it </w:t>
      </w:r>
      <w:r w:rsidR="00C045B4" w:rsidRPr="00E62BF9">
        <w:rPr>
          <w:rFonts w:ascii="Garamond" w:hAnsi="Garamond"/>
        </w:rPr>
        <w:t>seldom</w:t>
      </w:r>
      <w:r w:rsidR="00E00012" w:rsidRPr="00E62BF9">
        <w:rPr>
          <w:rFonts w:ascii="Garamond" w:hAnsi="Garamond"/>
        </w:rPr>
        <w:t xml:space="preserve"> is, most likely being shaped </w:t>
      </w:r>
      <w:r w:rsidR="00906BBA" w:rsidRPr="00E62BF9">
        <w:rPr>
          <w:rFonts w:ascii="Garamond" w:hAnsi="Garamond"/>
        </w:rPr>
        <w:t xml:space="preserve">instead </w:t>
      </w:r>
      <w:r w:rsidR="00E00012" w:rsidRPr="00E62BF9">
        <w:rPr>
          <w:rFonts w:ascii="Garamond" w:hAnsi="Garamond"/>
        </w:rPr>
        <w:t xml:space="preserve">by the local conditions and </w:t>
      </w:r>
      <w:r w:rsidR="00906BBA" w:rsidRPr="00E62BF9">
        <w:rPr>
          <w:rFonts w:ascii="Garamond" w:hAnsi="Garamond"/>
        </w:rPr>
        <w:t>human will</w:t>
      </w:r>
      <w:r w:rsidR="00E00012" w:rsidRPr="00E62BF9">
        <w:rPr>
          <w:rFonts w:ascii="Garamond" w:hAnsi="Garamond"/>
        </w:rPr>
        <w:t>.</w:t>
      </w:r>
    </w:p>
    <w:p w14:paraId="7D0F076F" w14:textId="6186C19B" w:rsidR="00A22E21" w:rsidRPr="00E62BF9" w:rsidRDefault="00A22E21" w:rsidP="00BD2614">
      <w:pPr>
        <w:spacing w:after="240" w:line="360" w:lineRule="auto"/>
        <w:jc w:val="both"/>
        <w:rPr>
          <w:rFonts w:ascii="Garamond" w:hAnsi="Garamond"/>
        </w:rPr>
      </w:pPr>
      <w:r w:rsidRPr="00E62BF9">
        <w:rPr>
          <w:rFonts w:ascii="Garamond" w:hAnsi="Garamond"/>
        </w:rPr>
        <w:t>The religious building in the medieval city regularly has a central position in the urban fabric, surrounded by houses</w:t>
      </w:r>
      <w:r w:rsidR="001D5329" w:rsidRPr="00E62BF9">
        <w:rPr>
          <w:rStyle w:val="Refdenotaderodap"/>
          <w:rFonts w:ascii="Garamond" w:hAnsi="Garamond"/>
        </w:rPr>
        <w:footnoteReference w:id="7"/>
      </w:r>
      <w:r w:rsidRPr="00E62BF9">
        <w:rPr>
          <w:rFonts w:ascii="Garamond" w:hAnsi="Garamond"/>
        </w:rPr>
        <w:t xml:space="preserve"> that also enclose and shape the square, which is often also that of the market and the guilds. There, in </w:t>
      </w:r>
      <w:proofErr w:type="spellStart"/>
      <w:r w:rsidRPr="00E62BF9">
        <w:rPr>
          <w:rFonts w:ascii="Garamond" w:hAnsi="Garamond"/>
        </w:rPr>
        <w:t>Kostoff</w:t>
      </w:r>
      <w:r w:rsidR="00FC4A6C" w:rsidRPr="00E62BF9">
        <w:rPr>
          <w:rFonts w:ascii="Garamond" w:hAnsi="Garamond"/>
        </w:rPr>
        <w:t>’s</w:t>
      </w:r>
      <w:proofErr w:type="spellEnd"/>
      <w:r w:rsidR="00FC4A6C" w:rsidRPr="00E62BF9">
        <w:rPr>
          <w:rFonts w:ascii="Garamond" w:hAnsi="Garamond"/>
        </w:rPr>
        <w:t xml:space="preserve"> words, </w:t>
      </w:r>
      <w:r w:rsidRPr="00E62BF9">
        <w:rPr>
          <w:rFonts w:ascii="Garamond" w:hAnsi="Garamond"/>
        </w:rPr>
        <w:t>the church is set ‘as the framer of a public space, the town square’.</w:t>
      </w:r>
      <w:r w:rsidR="001D5329" w:rsidRPr="00E62BF9">
        <w:rPr>
          <w:rStyle w:val="Refdenotaderodap"/>
          <w:rFonts w:ascii="Garamond" w:hAnsi="Garamond"/>
        </w:rPr>
        <w:footnoteReference w:id="8"/>
      </w:r>
      <w:r w:rsidRPr="00E62BF9">
        <w:rPr>
          <w:rFonts w:ascii="Garamond" w:hAnsi="Garamond"/>
        </w:rPr>
        <w:t xml:space="preserve"> </w:t>
      </w:r>
      <w:r w:rsidR="00FC4A6C" w:rsidRPr="00E62BF9">
        <w:rPr>
          <w:rFonts w:ascii="Garamond" w:hAnsi="Garamond"/>
        </w:rPr>
        <w:t xml:space="preserve">For </w:t>
      </w:r>
      <w:r w:rsidRPr="00E62BF9">
        <w:rPr>
          <w:rFonts w:ascii="Garamond" w:hAnsi="Garamond"/>
        </w:rPr>
        <w:t>Norberg-Schulz</w:t>
      </w:r>
      <w:r w:rsidR="0079654C" w:rsidRPr="00E62BF9">
        <w:rPr>
          <w:rFonts w:ascii="Garamond" w:hAnsi="Garamond"/>
        </w:rPr>
        <w:t>,</w:t>
      </w:r>
      <w:r w:rsidRPr="00E62BF9">
        <w:rPr>
          <w:rFonts w:ascii="Garamond" w:hAnsi="Garamond"/>
        </w:rPr>
        <w:t xml:space="preserve"> this central location of the cathedral in the village interact</w:t>
      </w:r>
      <w:r w:rsidR="00FC4A6C" w:rsidRPr="00E62BF9">
        <w:rPr>
          <w:rFonts w:ascii="Garamond" w:hAnsi="Garamond"/>
        </w:rPr>
        <w:t>ed</w:t>
      </w:r>
      <w:r w:rsidRPr="00E62BF9">
        <w:rPr>
          <w:rFonts w:ascii="Garamond" w:hAnsi="Garamond"/>
        </w:rPr>
        <w:t xml:space="preserve"> with the </w:t>
      </w:r>
      <w:r w:rsidR="0079654C" w:rsidRPr="00E62BF9">
        <w:rPr>
          <w:rFonts w:ascii="Garamond" w:hAnsi="Garamond"/>
        </w:rPr>
        <w:t>church’</w:t>
      </w:r>
      <w:r w:rsidR="00906BBA" w:rsidRPr="00E62BF9">
        <w:rPr>
          <w:rFonts w:ascii="Garamond" w:hAnsi="Garamond"/>
        </w:rPr>
        <w:t>s</w:t>
      </w:r>
      <w:r w:rsidR="0079654C" w:rsidRPr="00E62BF9">
        <w:rPr>
          <w:rFonts w:ascii="Garamond" w:hAnsi="Garamond"/>
        </w:rPr>
        <w:t xml:space="preserve"> </w:t>
      </w:r>
      <w:r w:rsidRPr="00E62BF9">
        <w:rPr>
          <w:rFonts w:ascii="Garamond" w:hAnsi="Garamond"/>
        </w:rPr>
        <w:t xml:space="preserve">nave which </w:t>
      </w:r>
      <w:r w:rsidR="0079654C" w:rsidRPr="00E62BF9">
        <w:rPr>
          <w:rFonts w:ascii="Garamond" w:hAnsi="Garamond"/>
        </w:rPr>
        <w:t>‘</w:t>
      </w:r>
      <w:r w:rsidR="00FC4A6C" w:rsidRPr="00E62BF9">
        <w:rPr>
          <w:rFonts w:ascii="Garamond" w:hAnsi="Garamond"/>
        </w:rPr>
        <w:t>[d]</w:t>
      </w:r>
      <w:proofErr w:type="spellStart"/>
      <w:r w:rsidRPr="00E62BF9">
        <w:rPr>
          <w:rFonts w:ascii="Garamond" w:hAnsi="Garamond"/>
        </w:rPr>
        <w:t>espite</w:t>
      </w:r>
      <w:proofErr w:type="spellEnd"/>
      <w:r w:rsidRPr="00E62BF9">
        <w:rPr>
          <w:rFonts w:ascii="Garamond" w:hAnsi="Garamond"/>
        </w:rPr>
        <w:t xml:space="preserve"> its longitudinal plan... represents a true </w:t>
      </w:r>
      <w:r w:rsidR="0079654C" w:rsidRPr="00E62BF9">
        <w:rPr>
          <w:rFonts w:ascii="Garamond" w:hAnsi="Garamond"/>
        </w:rPr>
        <w:t>centre’</w:t>
      </w:r>
      <w:r w:rsidRPr="00E62BF9">
        <w:rPr>
          <w:rFonts w:ascii="Garamond" w:hAnsi="Garamond"/>
        </w:rPr>
        <w:t>,</w:t>
      </w:r>
      <w:r w:rsidR="001D5329" w:rsidRPr="00E62BF9">
        <w:rPr>
          <w:rStyle w:val="Refdenotaderodap"/>
          <w:rFonts w:ascii="Garamond" w:hAnsi="Garamond"/>
        </w:rPr>
        <w:footnoteReference w:id="9"/>
      </w:r>
      <w:r w:rsidRPr="00E62BF9">
        <w:rPr>
          <w:rFonts w:ascii="Garamond" w:hAnsi="Garamond"/>
        </w:rPr>
        <w:t xml:space="preserve"> </w:t>
      </w:r>
      <w:r w:rsidR="0079654C" w:rsidRPr="00E62BF9">
        <w:rPr>
          <w:rFonts w:ascii="Garamond" w:hAnsi="Garamond"/>
        </w:rPr>
        <w:t>likely to ‘be interpreted as an ideal extension of the routes of the surrounding urban settlement’</w:t>
      </w:r>
      <w:r w:rsidRPr="00E62BF9">
        <w:rPr>
          <w:rFonts w:ascii="Garamond" w:hAnsi="Garamond"/>
        </w:rPr>
        <w:t>.</w:t>
      </w:r>
      <w:r w:rsidR="001D5329" w:rsidRPr="00E62BF9">
        <w:rPr>
          <w:rStyle w:val="Refdenotaderodap"/>
          <w:rFonts w:ascii="Garamond" w:hAnsi="Garamond"/>
        </w:rPr>
        <w:footnoteReference w:id="10"/>
      </w:r>
      <w:r w:rsidRPr="00E62BF9">
        <w:rPr>
          <w:rFonts w:ascii="Garamond" w:hAnsi="Garamond"/>
        </w:rPr>
        <w:t xml:space="preserve"> </w:t>
      </w:r>
      <w:r w:rsidR="001D5329" w:rsidRPr="00E62BF9">
        <w:rPr>
          <w:rFonts w:ascii="Garamond" w:hAnsi="Garamond"/>
        </w:rPr>
        <w:t xml:space="preserve">This </w:t>
      </w:r>
      <w:r w:rsidR="00906BBA" w:rsidRPr="00E62BF9">
        <w:rPr>
          <w:rFonts w:ascii="Garamond" w:hAnsi="Garamond"/>
        </w:rPr>
        <w:t>adds</w:t>
      </w:r>
      <w:r w:rsidR="001D5329" w:rsidRPr="00E62BF9">
        <w:rPr>
          <w:rFonts w:ascii="Garamond" w:hAnsi="Garamond"/>
        </w:rPr>
        <w:t xml:space="preserve"> strength to </w:t>
      </w:r>
      <w:proofErr w:type="spellStart"/>
      <w:r w:rsidR="001D5329" w:rsidRPr="00E62BF9">
        <w:rPr>
          <w:rFonts w:ascii="Garamond" w:hAnsi="Garamond"/>
        </w:rPr>
        <w:t>Kostoff’s</w:t>
      </w:r>
      <w:proofErr w:type="spellEnd"/>
      <w:r w:rsidR="001D5329" w:rsidRPr="00E62BF9">
        <w:rPr>
          <w:rFonts w:ascii="Garamond" w:hAnsi="Garamond"/>
        </w:rPr>
        <w:t xml:space="preserve"> view of the </w:t>
      </w:r>
      <w:r w:rsidRPr="00E62BF9">
        <w:rPr>
          <w:rFonts w:ascii="Garamond" w:hAnsi="Garamond"/>
        </w:rPr>
        <w:t xml:space="preserve">church </w:t>
      </w:r>
      <w:r w:rsidR="001D5329" w:rsidRPr="00E62BF9">
        <w:rPr>
          <w:rFonts w:ascii="Garamond" w:hAnsi="Garamond"/>
        </w:rPr>
        <w:t xml:space="preserve">standing </w:t>
      </w:r>
      <w:r w:rsidRPr="00E62BF9">
        <w:rPr>
          <w:rFonts w:ascii="Garamond" w:hAnsi="Garamond"/>
        </w:rPr>
        <w:t>“as an image of Heaven, as the city of God”</w:t>
      </w:r>
      <w:r w:rsidR="001D5329" w:rsidRPr="00E62BF9">
        <w:rPr>
          <w:rFonts w:ascii="Garamond" w:hAnsi="Garamond"/>
        </w:rPr>
        <w:t>,</w:t>
      </w:r>
      <w:r w:rsidR="008C46B5" w:rsidRPr="00E62BF9">
        <w:rPr>
          <w:rStyle w:val="Refdenotaderodap"/>
          <w:rFonts w:ascii="Garamond" w:hAnsi="Garamond"/>
        </w:rPr>
        <w:footnoteReference w:id="11"/>
      </w:r>
      <w:r w:rsidR="001D5329" w:rsidRPr="00E62BF9">
        <w:rPr>
          <w:rFonts w:ascii="Garamond" w:hAnsi="Garamond"/>
        </w:rPr>
        <w:t xml:space="preserve"> </w:t>
      </w:r>
      <w:r w:rsidR="008C46B5" w:rsidRPr="00E62BF9">
        <w:rPr>
          <w:rFonts w:ascii="Garamond" w:hAnsi="Garamond"/>
        </w:rPr>
        <w:t>one that</w:t>
      </w:r>
      <w:r w:rsidR="001D5329" w:rsidRPr="00E62BF9">
        <w:rPr>
          <w:rFonts w:ascii="Garamond" w:hAnsi="Garamond"/>
        </w:rPr>
        <w:t xml:space="preserve"> went </w:t>
      </w:r>
      <w:r w:rsidRPr="00E62BF9">
        <w:rPr>
          <w:rFonts w:ascii="Garamond" w:hAnsi="Garamond"/>
        </w:rPr>
        <w:t xml:space="preserve">beyond the building, carried </w:t>
      </w:r>
      <w:r w:rsidR="008C46B5" w:rsidRPr="00E62BF9">
        <w:rPr>
          <w:rFonts w:ascii="Garamond" w:hAnsi="Garamond"/>
        </w:rPr>
        <w:t xml:space="preserve">out </w:t>
      </w:r>
      <w:r w:rsidRPr="00E62BF9">
        <w:rPr>
          <w:rFonts w:ascii="Garamond" w:hAnsi="Garamond"/>
        </w:rPr>
        <w:t xml:space="preserve">by </w:t>
      </w:r>
      <w:r w:rsidR="001D5329" w:rsidRPr="00E62BF9">
        <w:rPr>
          <w:rFonts w:ascii="Garamond" w:hAnsi="Garamond"/>
        </w:rPr>
        <w:t>its</w:t>
      </w:r>
      <w:r w:rsidRPr="00E62BF9">
        <w:rPr>
          <w:rFonts w:ascii="Garamond" w:hAnsi="Garamond"/>
        </w:rPr>
        <w:t xml:space="preserve"> structure</w:t>
      </w:r>
      <w:r w:rsidR="008C46B5" w:rsidRPr="00E62BF9">
        <w:rPr>
          <w:rFonts w:ascii="Garamond" w:hAnsi="Garamond"/>
        </w:rPr>
        <w:t xml:space="preserve"> in a way that</w:t>
      </w:r>
      <w:r w:rsidRPr="00E62BF9">
        <w:rPr>
          <w:rFonts w:ascii="Garamond" w:hAnsi="Garamond"/>
        </w:rPr>
        <w:t xml:space="preserve"> </w:t>
      </w:r>
      <w:r w:rsidR="008C46B5" w:rsidRPr="00E62BF9">
        <w:rPr>
          <w:rFonts w:ascii="Garamond" w:hAnsi="Garamond"/>
        </w:rPr>
        <w:t xml:space="preserve">lead </w:t>
      </w:r>
      <w:r w:rsidR="001D5329" w:rsidRPr="00E62BF9">
        <w:rPr>
          <w:rFonts w:ascii="Garamond" w:hAnsi="Garamond"/>
        </w:rPr>
        <w:t xml:space="preserve">Norberg-Schulz </w:t>
      </w:r>
      <w:r w:rsidRPr="00E62BF9">
        <w:rPr>
          <w:rFonts w:ascii="Garamond" w:hAnsi="Garamond"/>
        </w:rPr>
        <w:t xml:space="preserve">to </w:t>
      </w:r>
      <w:r w:rsidR="008C46B5" w:rsidRPr="00E62BF9">
        <w:rPr>
          <w:rFonts w:ascii="Garamond" w:hAnsi="Garamond"/>
        </w:rPr>
        <w:t>state</w:t>
      </w:r>
      <w:r w:rsidRPr="00E62BF9">
        <w:rPr>
          <w:rFonts w:ascii="Garamond" w:hAnsi="Garamond"/>
        </w:rPr>
        <w:t xml:space="preserve"> </w:t>
      </w:r>
      <w:r w:rsidR="008C46B5" w:rsidRPr="00E62BF9">
        <w:rPr>
          <w:rFonts w:ascii="Garamond" w:hAnsi="Garamond"/>
        </w:rPr>
        <w:t>‘</w:t>
      </w:r>
      <w:r w:rsidRPr="00E62BF9">
        <w:rPr>
          <w:rFonts w:ascii="Garamond" w:hAnsi="Garamond"/>
        </w:rPr>
        <w:t>the Gothic era extended the concept of “Civitas Dei” to the totality of the urban medium</w:t>
      </w:r>
      <w:r w:rsidR="008C46B5" w:rsidRPr="00E62BF9">
        <w:rPr>
          <w:rFonts w:ascii="Garamond" w:hAnsi="Garamond"/>
        </w:rPr>
        <w:t xml:space="preserve">’ with the </w:t>
      </w:r>
      <w:r w:rsidRPr="00E62BF9">
        <w:rPr>
          <w:rFonts w:ascii="Garamond" w:hAnsi="Garamond"/>
        </w:rPr>
        <w:t xml:space="preserve">exterior structure of the cathedral </w:t>
      </w:r>
      <w:r w:rsidR="008C46B5" w:rsidRPr="00E62BF9">
        <w:rPr>
          <w:rFonts w:ascii="Garamond" w:hAnsi="Garamond"/>
        </w:rPr>
        <w:t>transmitting</w:t>
      </w:r>
      <w:r w:rsidRPr="00E62BF9">
        <w:rPr>
          <w:rFonts w:ascii="Garamond" w:hAnsi="Garamond"/>
        </w:rPr>
        <w:t xml:space="preserve"> the spiritualized space of the interior to the surrounding environment.</w:t>
      </w:r>
      <w:r w:rsidR="008C46B5" w:rsidRPr="00E62BF9">
        <w:rPr>
          <w:rStyle w:val="Refdenotaderodap"/>
          <w:rFonts w:ascii="Garamond" w:hAnsi="Garamond"/>
        </w:rPr>
        <w:footnoteReference w:id="12"/>
      </w:r>
    </w:p>
    <w:p w14:paraId="0CEC7746" w14:textId="16F19707" w:rsidR="00132DDE" w:rsidRPr="00E62BF9" w:rsidRDefault="008C46B5" w:rsidP="00481DE0">
      <w:pPr>
        <w:spacing w:after="240" w:line="360" w:lineRule="auto"/>
        <w:jc w:val="both"/>
        <w:rPr>
          <w:rFonts w:ascii="Garamond" w:hAnsi="Garamond"/>
        </w:rPr>
      </w:pPr>
      <w:r w:rsidRPr="00E62BF9">
        <w:rPr>
          <w:rFonts w:ascii="Garamond" w:hAnsi="Garamond"/>
        </w:rPr>
        <w:t>Light is the privileged channel for transmitting this spirituality. As a ‘fundamental symbol of the Christian space’, it is the ‘spiritual element’ that, as Norberg-Schulz sa</w:t>
      </w:r>
      <w:r w:rsidR="00831820" w:rsidRPr="00E62BF9">
        <w:rPr>
          <w:rFonts w:ascii="Garamond" w:hAnsi="Garamond"/>
        </w:rPr>
        <w:t>id</w:t>
      </w:r>
      <w:r w:rsidRPr="00E62BF9">
        <w:rPr>
          <w:rFonts w:ascii="Garamond" w:hAnsi="Garamond"/>
        </w:rPr>
        <w:t xml:space="preserve">, ‘transforms natural and anthropomorphic </w:t>
      </w:r>
      <w:r w:rsidRPr="00E62BF9">
        <w:rPr>
          <w:rFonts w:ascii="Garamond" w:hAnsi="Garamond"/>
        </w:rPr>
        <w:lastRenderedPageBreak/>
        <w:t xml:space="preserve">matter’ by giving everyday things </w:t>
      </w:r>
      <w:r w:rsidR="00831820" w:rsidRPr="00E62BF9">
        <w:rPr>
          <w:rFonts w:ascii="Garamond" w:hAnsi="Garamond"/>
        </w:rPr>
        <w:t>‘a new meaning’.</w:t>
      </w:r>
      <w:r w:rsidR="00831820" w:rsidRPr="00E62BF9">
        <w:rPr>
          <w:rStyle w:val="Refdenotaderodap"/>
          <w:rFonts w:ascii="Garamond" w:hAnsi="Garamond"/>
        </w:rPr>
        <w:t xml:space="preserve"> </w:t>
      </w:r>
      <w:r w:rsidR="00831820" w:rsidRPr="00E62BF9">
        <w:rPr>
          <w:rStyle w:val="Refdenotaderodap"/>
          <w:rFonts w:ascii="Garamond" w:hAnsi="Garamond"/>
        </w:rPr>
        <w:footnoteReference w:id="13"/>
      </w:r>
      <w:r w:rsidR="00831820" w:rsidRPr="00E62BF9">
        <w:rPr>
          <w:rFonts w:ascii="Garamond" w:hAnsi="Garamond"/>
        </w:rPr>
        <w:t xml:space="preserve"> Indeed, in </w:t>
      </w:r>
      <w:proofErr w:type="spellStart"/>
      <w:r w:rsidR="00831820" w:rsidRPr="00E62BF9">
        <w:rPr>
          <w:rFonts w:ascii="Garamond" w:hAnsi="Garamond"/>
        </w:rPr>
        <w:t>Kostoff’s</w:t>
      </w:r>
      <w:proofErr w:type="spellEnd"/>
      <w:r w:rsidR="00831820" w:rsidRPr="00E62BF9">
        <w:rPr>
          <w:rFonts w:ascii="Garamond" w:hAnsi="Garamond"/>
        </w:rPr>
        <w:t xml:space="preserve"> words, ‘[t]he </w:t>
      </w:r>
      <w:proofErr w:type="spellStart"/>
      <w:r w:rsidR="00831820" w:rsidRPr="00E62BF9">
        <w:rPr>
          <w:rFonts w:ascii="Garamond" w:hAnsi="Garamond"/>
        </w:rPr>
        <w:t>new</w:t>
      </w:r>
      <w:proofErr w:type="spellEnd"/>
      <w:r w:rsidR="00831820" w:rsidRPr="00E62BF9">
        <w:rPr>
          <w:rFonts w:ascii="Garamond" w:hAnsi="Garamond"/>
        </w:rPr>
        <w:t xml:space="preserve"> emphasis on light is what distinguishes Gothic architecture’.</w:t>
      </w:r>
      <w:r w:rsidR="00831820" w:rsidRPr="00E62BF9">
        <w:rPr>
          <w:rStyle w:val="Refdenotaderodap"/>
          <w:rFonts w:ascii="Garamond" w:hAnsi="Garamond"/>
        </w:rPr>
        <w:t xml:space="preserve"> </w:t>
      </w:r>
      <w:r w:rsidR="00831820" w:rsidRPr="00E62BF9">
        <w:rPr>
          <w:rStyle w:val="Refdenotaderodap"/>
          <w:rFonts w:ascii="Garamond" w:hAnsi="Garamond"/>
        </w:rPr>
        <w:footnoteReference w:id="14"/>
      </w:r>
      <w:r w:rsidR="00831820" w:rsidRPr="00E62BF9">
        <w:rPr>
          <w:rFonts w:ascii="Garamond" w:hAnsi="Garamond"/>
        </w:rPr>
        <w:t xml:space="preserve"> And it is in the dematerialization it imprints – which is not only technical, as Norberg-Schulz emphasizes, but is made perceptible outside the building precisely because of that technique –</w:t>
      </w:r>
      <w:r w:rsidR="00132DDE" w:rsidRPr="00E62BF9">
        <w:rPr>
          <w:rFonts w:ascii="Garamond" w:hAnsi="Garamond"/>
        </w:rPr>
        <w:t xml:space="preserve"> </w:t>
      </w:r>
      <w:r w:rsidR="00831820" w:rsidRPr="00E62BF9">
        <w:rPr>
          <w:rFonts w:ascii="Garamond" w:hAnsi="Garamond"/>
        </w:rPr>
        <w:t xml:space="preserve">that </w:t>
      </w:r>
      <w:r w:rsidR="00132DDE" w:rsidRPr="00E62BF9">
        <w:rPr>
          <w:rFonts w:ascii="Garamond" w:hAnsi="Garamond"/>
        </w:rPr>
        <w:t>‘</w:t>
      </w:r>
      <w:r w:rsidR="00831820" w:rsidRPr="00E62BF9">
        <w:rPr>
          <w:rFonts w:ascii="Garamond" w:hAnsi="Garamond"/>
        </w:rPr>
        <w:t>the gothic cathedral transmits to the whole community the symbolic order that results from interaction of light and matter</w:t>
      </w:r>
      <w:r w:rsidR="00132DDE" w:rsidRPr="00E62BF9">
        <w:rPr>
          <w:rFonts w:ascii="Garamond" w:hAnsi="Garamond"/>
        </w:rPr>
        <w:t>’</w:t>
      </w:r>
      <w:r w:rsidR="00831820" w:rsidRPr="00E62BF9">
        <w:rPr>
          <w:rFonts w:ascii="Garamond" w:hAnsi="Garamond"/>
        </w:rPr>
        <w:t>.</w:t>
      </w:r>
      <w:r w:rsidR="00132DDE" w:rsidRPr="00E62BF9">
        <w:rPr>
          <w:rStyle w:val="Refdenotaderodap"/>
          <w:rFonts w:ascii="Garamond" w:hAnsi="Garamond"/>
        </w:rPr>
        <w:t xml:space="preserve"> </w:t>
      </w:r>
      <w:r w:rsidR="00132DDE" w:rsidRPr="00E62BF9">
        <w:rPr>
          <w:rStyle w:val="Refdenotaderodap"/>
          <w:rFonts w:ascii="Garamond" w:hAnsi="Garamond"/>
        </w:rPr>
        <w:footnoteReference w:id="15"/>
      </w:r>
      <w:r w:rsidR="00132DDE" w:rsidRPr="00E62BF9">
        <w:rPr>
          <w:rFonts w:ascii="Garamond" w:hAnsi="Garamond"/>
        </w:rPr>
        <w:t xml:space="preserve"> With the cathedral representing an image of the cosmic order, according to Norberg-Schulz, ‘Gothic “enlightenment” means something more than the presence of divine light. It implies clarification and understanding…’</w:t>
      </w:r>
      <w:r w:rsidR="00D141BA" w:rsidRPr="00E62BF9">
        <w:rPr>
          <w:rFonts w:ascii="Garamond" w:hAnsi="Garamond"/>
        </w:rPr>
        <w:t>.</w:t>
      </w:r>
      <w:r w:rsidR="007B363B" w:rsidRPr="00E62BF9">
        <w:rPr>
          <w:rStyle w:val="Refdenotaderodap"/>
          <w:rFonts w:ascii="Garamond" w:hAnsi="Garamond"/>
        </w:rPr>
        <w:footnoteReference w:id="16"/>
      </w:r>
    </w:p>
    <w:p w14:paraId="650BB022" w14:textId="77777777" w:rsidR="00132DDE" w:rsidRPr="005F315A" w:rsidRDefault="00132DDE" w:rsidP="00E62BF9">
      <w:pPr>
        <w:spacing w:line="360" w:lineRule="auto"/>
        <w:jc w:val="both"/>
        <w:rPr>
          <w:rFonts w:ascii="Garamond" w:hAnsi="Garamond"/>
        </w:rPr>
      </w:pPr>
      <w:r w:rsidRPr="00E62BF9">
        <w:rPr>
          <w:rFonts w:ascii="Garamond" w:hAnsi="Garamond"/>
        </w:rPr>
        <w:t xml:space="preserve">Indeed, says </w:t>
      </w:r>
      <w:proofErr w:type="spellStart"/>
      <w:r w:rsidRPr="005F315A">
        <w:rPr>
          <w:rFonts w:ascii="Garamond" w:hAnsi="Garamond"/>
        </w:rPr>
        <w:t>Kostoff</w:t>
      </w:r>
      <w:proofErr w:type="spellEnd"/>
      <w:r w:rsidRPr="005F315A">
        <w:rPr>
          <w:rFonts w:ascii="Garamond" w:hAnsi="Garamond"/>
        </w:rPr>
        <w:t xml:space="preserve">, one of the points to remember in relation to the Gothic cathedral, even when </w:t>
      </w:r>
      <w:r w:rsidR="00D141BA" w:rsidRPr="005F315A">
        <w:rPr>
          <w:rFonts w:ascii="Garamond" w:hAnsi="Garamond"/>
        </w:rPr>
        <w:t xml:space="preserve">‘we talk of it as a luminous, light-filled environment’ </w:t>
      </w:r>
      <w:r w:rsidRPr="005F315A">
        <w:rPr>
          <w:rFonts w:ascii="Garamond" w:hAnsi="Garamond"/>
        </w:rPr>
        <w:t>is that</w:t>
      </w:r>
      <w:r w:rsidR="00D141BA" w:rsidRPr="005F315A">
        <w:rPr>
          <w:rFonts w:ascii="Garamond" w:hAnsi="Garamond"/>
        </w:rPr>
        <w:t xml:space="preserve">, </w:t>
      </w:r>
    </w:p>
    <w:p w14:paraId="0F8DD221" w14:textId="250CDEF3" w:rsidR="00B517C6" w:rsidRPr="005F315A" w:rsidRDefault="00D141BA" w:rsidP="00526015">
      <w:pPr>
        <w:spacing w:after="240" w:line="360" w:lineRule="auto"/>
        <w:ind w:left="567"/>
        <w:jc w:val="both"/>
        <w:rPr>
          <w:rFonts w:ascii="Garamond" w:hAnsi="Garamond"/>
          <w:sz w:val="20"/>
          <w:szCs w:val="20"/>
        </w:rPr>
      </w:pPr>
      <w:r w:rsidRPr="005F315A">
        <w:rPr>
          <w:rFonts w:ascii="Garamond" w:hAnsi="Garamond"/>
          <w:sz w:val="20"/>
          <w:szCs w:val="20"/>
        </w:rPr>
        <w:t xml:space="preserve">‘in </w:t>
      </w:r>
      <w:r w:rsidR="00132DDE" w:rsidRPr="005F315A">
        <w:rPr>
          <w:rFonts w:ascii="Garamond" w:hAnsi="Garamond"/>
          <w:sz w:val="20"/>
          <w:szCs w:val="20"/>
        </w:rPr>
        <w:t>reality</w:t>
      </w:r>
      <w:r w:rsidRPr="005F315A">
        <w:rPr>
          <w:rFonts w:ascii="Garamond" w:hAnsi="Garamond"/>
          <w:sz w:val="20"/>
          <w:szCs w:val="20"/>
        </w:rPr>
        <w:t xml:space="preserve">, Gothic interiors were not at all </w:t>
      </w:r>
      <w:r w:rsidR="00A70973" w:rsidRPr="005F315A">
        <w:rPr>
          <w:rFonts w:ascii="Garamond" w:hAnsi="Garamond"/>
          <w:sz w:val="20"/>
          <w:szCs w:val="20"/>
        </w:rPr>
        <w:t>bright</w:t>
      </w:r>
      <w:r w:rsidRPr="005F315A">
        <w:rPr>
          <w:rFonts w:ascii="Garamond" w:hAnsi="Garamond"/>
          <w:sz w:val="20"/>
          <w:szCs w:val="20"/>
        </w:rPr>
        <w:t xml:space="preserve">. The thick, coloured panes of the stained glass glowed only under direct sunlight, and even </w:t>
      </w:r>
      <w:proofErr w:type="gramStart"/>
      <w:r w:rsidRPr="005F315A">
        <w:rPr>
          <w:rFonts w:ascii="Garamond" w:hAnsi="Garamond"/>
          <w:sz w:val="20"/>
          <w:szCs w:val="20"/>
        </w:rPr>
        <w:t>then</w:t>
      </w:r>
      <w:proofErr w:type="gramEnd"/>
      <w:r w:rsidRPr="005F315A">
        <w:rPr>
          <w:rFonts w:ascii="Garamond" w:hAnsi="Garamond"/>
          <w:sz w:val="20"/>
          <w:szCs w:val="20"/>
        </w:rPr>
        <w:t xml:space="preserve"> it was misted</w:t>
      </w:r>
      <w:r w:rsidR="00484197" w:rsidRPr="005F315A">
        <w:rPr>
          <w:rFonts w:ascii="Garamond" w:hAnsi="Garamond"/>
          <w:sz w:val="20"/>
          <w:szCs w:val="20"/>
        </w:rPr>
        <w:t xml:space="preserve">, chromatic illumination… It was precisely that rich, encrusted transparency that recalled the </w:t>
      </w:r>
      <w:r w:rsidR="00A91FBD" w:rsidRPr="005F315A">
        <w:rPr>
          <w:rFonts w:ascii="Garamond" w:hAnsi="Garamond"/>
          <w:sz w:val="20"/>
          <w:szCs w:val="20"/>
        </w:rPr>
        <w:t>bejewelled</w:t>
      </w:r>
      <w:r w:rsidR="00484197" w:rsidRPr="005F315A">
        <w:rPr>
          <w:rFonts w:ascii="Garamond" w:hAnsi="Garamond"/>
          <w:sz w:val="20"/>
          <w:szCs w:val="20"/>
        </w:rPr>
        <w:t xml:space="preserve"> structure of heavenly Jerusalem</w:t>
      </w:r>
      <w:r w:rsidR="00A70973" w:rsidRPr="005F315A">
        <w:rPr>
          <w:rFonts w:ascii="Garamond" w:hAnsi="Garamond"/>
          <w:sz w:val="20"/>
          <w:szCs w:val="20"/>
        </w:rPr>
        <w:t xml:space="preserve"> (</w:t>
      </w:r>
      <w:r w:rsidR="00484197" w:rsidRPr="005F315A">
        <w:rPr>
          <w:rFonts w:ascii="Garamond" w:hAnsi="Garamond"/>
          <w:sz w:val="20"/>
          <w:szCs w:val="20"/>
        </w:rPr>
        <w:t>…</w:t>
      </w:r>
      <w:r w:rsidR="00A70973" w:rsidRPr="005F315A">
        <w:rPr>
          <w:rFonts w:ascii="Garamond" w:hAnsi="Garamond"/>
          <w:sz w:val="20"/>
          <w:szCs w:val="20"/>
        </w:rPr>
        <w:t xml:space="preserve">) </w:t>
      </w:r>
      <w:r w:rsidR="00484197" w:rsidRPr="005F315A">
        <w:rPr>
          <w:rFonts w:ascii="Garamond" w:hAnsi="Garamond"/>
          <w:sz w:val="20"/>
          <w:szCs w:val="20"/>
        </w:rPr>
        <w:t xml:space="preserve">This then was no ordinary light. It sifted through sacred pictures and was transmuted into something new, the new light, </w:t>
      </w:r>
      <w:r w:rsidR="00484197" w:rsidRPr="005F315A">
        <w:rPr>
          <w:rFonts w:ascii="Garamond" w:hAnsi="Garamond"/>
          <w:i/>
          <w:iCs/>
          <w:sz w:val="20"/>
          <w:szCs w:val="20"/>
        </w:rPr>
        <w:t>lux nova</w:t>
      </w:r>
      <w:r w:rsidR="00484197" w:rsidRPr="005F315A">
        <w:rPr>
          <w:rFonts w:ascii="Garamond" w:hAnsi="Garamond"/>
          <w:sz w:val="20"/>
          <w:szCs w:val="20"/>
        </w:rPr>
        <w:t xml:space="preserve">, which is how </w:t>
      </w:r>
      <w:proofErr w:type="spellStart"/>
      <w:r w:rsidR="00484197" w:rsidRPr="005F315A">
        <w:rPr>
          <w:rFonts w:ascii="Garamond" w:hAnsi="Garamond"/>
          <w:sz w:val="20"/>
          <w:szCs w:val="20"/>
        </w:rPr>
        <w:t>Suger</w:t>
      </w:r>
      <w:proofErr w:type="spellEnd"/>
      <w:r w:rsidR="00BA69FE" w:rsidRPr="005F315A">
        <w:rPr>
          <w:rFonts w:ascii="Garamond" w:hAnsi="Garamond"/>
          <w:sz w:val="20"/>
          <w:szCs w:val="20"/>
        </w:rPr>
        <w:t xml:space="preserve">, </w:t>
      </w:r>
      <w:r w:rsidR="00361B61" w:rsidRPr="005F315A">
        <w:rPr>
          <w:rFonts w:ascii="Garamond" w:hAnsi="Garamond"/>
          <w:sz w:val="20"/>
          <w:szCs w:val="20"/>
        </w:rPr>
        <w:t>12</w:t>
      </w:r>
      <w:r w:rsidR="00361B61" w:rsidRPr="005F315A">
        <w:rPr>
          <w:rFonts w:ascii="Garamond" w:hAnsi="Garamond"/>
          <w:sz w:val="20"/>
          <w:szCs w:val="20"/>
          <w:vertAlign w:val="superscript"/>
        </w:rPr>
        <w:t>th</w:t>
      </w:r>
      <w:r w:rsidR="00361B61" w:rsidRPr="005F315A">
        <w:rPr>
          <w:rFonts w:ascii="Garamond" w:hAnsi="Garamond"/>
          <w:sz w:val="20"/>
          <w:szCs w:val="20"/>
        </w:rPr>
        <w:t xml:space="preserve"> century abbot of Saint-Denis and one of the early gothic builders</w:t>
      </w:r>
      <w:r w:rsidR="00BA69FE" w:rsidRPr="005F315A">
        <w:rPr>
          <w:rFonts w:ascii="Garamond" w:hAnsi="Garamond"/>
          <w:sz w:val="20"/>
          <w:szCs w:val="20"/>
        </w:rPr>
        <w:t>,</w:t>
      </w:r>
      <w:r w:rsidR="00361B61" w:rsidRPr="005F315A">
        <w:rPr>
          <w:rFonts w:ascii="Garamond" w:hAnsi="Garamond"/>
          <w:sz w:val="20"/>
          <w:szCs w:val="20"/>
        </w:rPr>
        <w:t xml:space="preserve"> </w:t>
      </w:r>
      <w:r w:rsidR="00484197" w:rsidRPr="005F315A">
        <w:rPr>
          <w:rFonts w:ascii="Garamond" w:hAnsi="Garamond"/>
          <w:sz w:val="20"/>
          <w:szCs w:val="20"/>
        </w:rPr>
        <w:t>refers to Christ</w:t>
      </w:r>
      <w:r w:rsidR="00526015" w:rsidRPr="005F315A">
        <w:rPr>
          <w:rFonts w:ascii="Garamond" w:hAnsi="Garamond"/>
          <w:sz w:val="20"/>
          <w:szCs w:val="20"/>
        </w:rPr>
        <w:t>’</w:t>
      </w:r>
      <w:r w:rsidR="00484197" w:rsidRPr="005F315A">
        <w:rPr>
          <w:rFonts w:ascii="Garamond" w:hAnsi="Garamond"/>
          <w:sz w:val="20"/>
          <w:szCs w:val="20"/>
        </w:rPr>
        <w:t>.</w:t>
      </w:r>
      <w:r w:rsidR="007B363B" w:rsidRPr="005F315A">
        <w:rPr>
          <w:rStyle w:val="Refdenotaderodap"/>
          <w:rFonts w:ascii="Garamond" w:hAnsi="Garamond"/>
          <w:sz w:val="20"/>
          <w:szCs w:val="20"/>
        </w:rPr>
        <w:footnoteReference w:id="17"/>
      </w:r>
    </w:p>
    <w:p w14:paraId="09CF22F9" w14:textId="034EE6C0" w:rsidR="00AB637B" w:rsidRPr="005F315A" w:rsidRDefault="00526015" w:rsidP="00AB637B">
      <w:pPr>
        <w:spacing w:after="240" w:line="360" w:lineRule="auto"/>
        <w:jc w:val="both"/>
        <w:rPr>
          <w:rFonts w:ascii="Garamond" w:hAnsi="Garamond"/>
        </w:rPr>
      </w:pPr>
      <w:r w:rsidRPr="005F315A">
        <w:rPr>
          <w:rFonts w:ascii="Garamond" w:hAnsi="Garamond"/>
        </w:rPr>
        <w:t>Finally, it should be noted that at no point in the readings the authors mentioned solar orientation as an explanatory argument for the location of the building’s church or light’s entry, neither in general descriptions nor when explaining specific examples.</w:t>
      </w:r>
    </w:p>
    <w:tbl>
      <w:tblPr>
        <w:tblStyle w:val="TabelacomGrelh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6538"/>
      </w:tblGrid>
      <w:tr w:rsidR="00E62BF9" w:rsidRPr="005F315A" w14:paraId="727268E0" w14:textId="77777777" w:rsidTr="00F6557D">
        <w:tc>
          <w:tcPr>
            <w:tcW w:w="2830" w:type="dxa"/>
          </w:tcPr>
          <w:p w14:paraId="54667F63" w14:textId="08ACE8D4" w:rsidR="005B2F3A" w:rsidRPr="005F315A" w:rsidRDefault="0055334D" w:rsidP="000539CA">
            <w:pPr>
              <w:spacing w:line="360" w:lineRule="auto"/>
              <w:jc w:val="center"/>
              <w:rPr>
                <w:rFonts w:ascii="Garamond" w:hAnsi="Garamond"/>
                <w:sz w:val="20"/>
                <w:szCs w:val="20"/>
              </w:rPr>
            </w:pPr>
            <w:r w:rsidRPr="005F315A">
              <w:rPr>
                <w:rFonts w:ascii="Garamond" w:hAnsi="Garamond"/>
                <w:noProof/>
                <w:sz w:val="20"/>
                <w:szCs w:val="20"/>
                <w:lang w:eastAsia="pt-PT"/>
              </w:rPr>
              <w:drawing>
                <wp:inline distT="0" distB="0" distL="0" distR="0" wp14:anchorId="6C6CD252" wp14:editId="3D7AF277">
                  <wp:extent cx="1821815" cy="2664000"/>
                  <wp:effectExtent l="0" t="0" r="6985"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rotWithShape="1">
                          <a:blip r:embed="rId11" cstate="print">
                            <a:extLst>
                              <a:ext uri="{28A0092B-C50C-407E-A947-70E740481C1C}">
                                <a14:useLocalDpi xmlns:a14="http://schemas.microsoft.com/office/drawing/2010/main" val="0"/>
                              </a:ext>
                            </a:extLst>
                          </a:blip>
                          <a:srcRect t="5474"/>
                          <a:stretch/>
                        </pic:blipFill>
                        <pic:spPr bwMode="auto">
                          <a:xfrm>
                            <a:off x="0" y="0"/>
                            <a:ext cx="1821815" cy="2664000"/>
                          </a:xfrm>
                          <a:prstGeom prst="rect">
                            <a:avLst/>
                          </a:prstGeom>
                          <a:ln>
                            <a:noFill/>
                          </a:ln>
                          <a:extLst>
                            <a:ext uri="{53640926-AAD7-44D8-BBD7-CCE9431645EC}">
                              <a14:shadowObscured xmlns:a14="http://schemas.microsoft.com/office/drawing/2010/main"/>
                            </a:ext>
                          </a:extLst>
                        </pic:spPr>
                      </pic:pic>
                    </a:graphicData>
                  </a:graphic>
                </wp:inline>
              </w:drawing>
            </w:r>
          </w:p>
          <w:p w14:paraId="3395C55C" w14:textId="66CC2CFF" w:rsidR="002A3E29" w:rsidRPr="005F315A" w:rsidRDefault="005B2F3A" w:rsidP="005B2F3A">
            <w:pPr>
              <w:jc w:val="both"/>
              <w:rPr>
                <w:rFonts w:ascii="Garamond" w:hAnsi="Garamond"/>
                <w:sz w:val="20"/>
                <w:szCs w:val="20"/>
              </w:rPr>
            </w:pPr>
            <w:r w:rsidRPr="005F315A">
              <w:rPr>
                <w:rFonts w:ascii="Garamond" w:hAnsi="Garamond"/>
                <w:sz w:val="20"/>
                <w:szCs w:val="20"/>
              </w:rPr>
              <w:t xml:space="preserve">Fig. </w:t>
            </w:r>
            <w:r w:rsidR="00E62BF9" w:rsidRPr="005F315A">
              <w:rPr>
                <w:rFonts w:ascii="Garamond" w:hAnsi="Garamond"/>
                <w:sz w:val="20"/>
                <w:szCs w:val="20"/>
              </w:rPr>
              <w:t>1</w:t>
            </w:r>
            <w:r w:rsidRPr="005F315A">
              <w:rPr>
                <w:rFonts w:ascii="Garamond" w:hAnsi="Garamond"/>
                <w:sz w:val="20"/>
                <w:szCs w:val="20"/>
              </w:rPr>
              <w:t xml:space="preserve"> – </w:t>
            </w:r>
            <w:proofErr w:type="spellStart"/>
            <w:r w:rsidRPr="005F315A">
              <w:rPr>
                <w:rFonts w:ascii="Garamond" w:hAnsi="Garamond"/>
                <w:sz w:val="20"/>
                <w:szCs w:val="20"/>
              </w:rPr>
              <w:t>Lu</w:t>
            </w:r>
            <w:r w:rsidR="00426ECD" w:rsidRPr="005F315A">
              <w:rPr>
                <w:rFonts w:ascii="Garamond" w:hAnsi="Garamond"/>
                <w:sz w:val="20"/>
                <w:szCs w:val="20"/>
              </w:rPr>
              <w:t>c</w:t>
            </w:r>
            <w:r w:rsidRPr="005F315A">
              <w:rPr>
                <w:rFonts w:ascii="Garamond" w:hAnsi="Garamond"/>
                <w:sz w:val="20"/>
                <w:szCs w:val="20"/>
              </w:rPr>
              <w:t>ignano</w:t>
            </w:r>
            <w:proofErr w:type="spellEnd"/>
            <w:r w:rsidRPr="005F315A">
              <w:rPr>
                <w:rFonts w:ascii="Garamond" w:hAnsi="Garamond"/>
                <w:sz w:val="20"/>
                <w:szCs w:val="20"/>
              </w:rPr>
              <w:t xml:space="preserve"> (Italy), a </w:t>
            </w:r>
            <w:proofErr w:type="spellStart"/>
            <w:r w:rsidRPr="005F315A">
              <w:rPr>
                <w:rFonts w:ascii="Garamond" w:hAnsi="Garamond"/>
                <w:sz w:val="20"/>
                <w:szCs w:val="20"/>
              </w:rPr>
              <w:t>radioconcentric</w:t>
            </w:r>
            <w:proofErr w:type="spellEnd"/>
            <w:r w:rsidRPr="005F315A">
              <w:rPr>
                <w:rFonts w:ascii="Garamond" w:hAnsi="Garamond"/>
                <w:sz w:val="20"/>
                <w:szCs w:val="20"/>
              </w:rPr>
              <w:t xml:space="preserve"> type of city</w:t>
            </w:r>
            <w:r w:rsidR="000539CA" w:rsidRPr="005F315A">
              <w:rPr>
                <w:rFonts w:ascii="Garamond" w:hAnsi="Garamond"/>
                <w:sz w:val="20"/>
                <w:szCs w:val="20"/>
              </w:rPr>
              <w:t>,</w:t>
            </w:r>
            <w:r w:rsidRPr="005F315A">
              <w:rPr>
                <w:rFonts w:ascii="Garamond" w:hAnsi="Garamond"/>
                <w:sz w:val="20"/>
                <w:szCs w:val="20"/>
              </w:rPr>
              <w:t xml:space="preserve"> as designed by </w:t>
            </w:r>
            <w:proofErr w:type="spellStart"/>
            <w:r w:rsidRPr="005F315A">
              <w:rPr>
                <w:rFonts w:ascii="Garamond" w:hAnsi="Garamond"/>
                <w:sz w:val="20"/>
                <w:szCs w:val="20"/>
              </w:rPr>
              <w:t>Chueca</w:t>
            </w:r>
            <w:proofErr w:type="spellEnd"/>
            <w:r w:rsidRPr="005F315A">
              <w:rPr>
                <w:rFonts w:ascii="Garamond" w:hAnsi="Garamond"/>
                <w:sz w:val="20"/>
                <w:szCs w:val="20"/>
              </w:rPr>
              <w:t xml:space="preserve"> </w:t>
            </w:r>
            <w:proofErr w:type="spellStart"/>
            <w:r w:rsidRPr="005F315A">
              <w:rPr>
                <w:rFonts w:ascii="Garamond" w:hAnsi="Garamond"/>
                <w:sz w:val="20"/>
                <w:szCs w:val="20"/>
              </w:rPr>
              <w:t>Goitia</w:t>
            </w:r>
            <w:proofErr w:type="spellEnd"/>
            <w:r w:rsidRPr="005F315A">
              <w:rPr>
                <w:rFonts w:ascii="Garamond" w:hAnsi="Garamond"/>
                <w:sz w:val="20"/>
                <w:szCs w:val="20"/>
              </w:rPr>
              <w:t xml:space="preserve"> (p.91)</w:t>
            </w:r>
            <w:r w:rsidR="00426ECD" w:rsidRPr="005F315A">
              <w:rPr>
                <w:rFonts w:ascii="Garamond" w:hAnsi="Garamond"/>
                <w:sz w:val="20"/>
                <w:szCs w:val="20"/>
              </w:rPr>
              <w:t xml:space="preserve">. </w:t>
            </w:r>
            <w:r w:rsidR="00F6557D" w:rsidRPr="005F315A">
              <w:rPr>
                <w:rFonts w:ascii="Garamond" w:hAnsi="Garamond"/>
                <w:sz w:val="20"/>
                <w:szCs w:val="20"/>
              </w:rPr>
              <w:t>In the central area, the cathedral, the church and the sequence of squares that interrelate them.</w:t>
            </w:r>
          </w:p>
        </w:tc>
        <w:tc>
          <w:tcPr>
            <w:tcW w:w="6804" w:type="dxa"/>
          </w:tcPr>
          <w:p w14:paraId="2101CD97" w14:textId="727BC534" w:rsidR="007B49C0" w:rsidRPr="005F315A" w:rsidRDefault="007B49C0" w:rsidP="000539CA">
            <w:pPr>
              <w:spacing w:line="360" w:lineRule="auto"/>
              <w:jc w:val="center"/>
              <w:rPr>
                <w:rFonts w:ascii="Garamond" w:hAnsi="Garamond"/>
                <w:b/>
                <w:bCs/>
              </w:rPr>
            </w:pPr>
            <w:r w:rsidRPr="005F315A">
              <w:rPr>
                <w:noProof/>
                <w:lang w:eastAsia="pt-PT"/>
              </w:rPr>
              <w:drawing>
                <wp:inline distT="0" distB="0" distL="0" distR="0" wp14:anchorId="11494C36" wp14:editId="151778EC">
                  <wp:extent cx="3789604" cy="2664000"/>
                  <wp:effectExtent l="0" t="0" r="1905"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9604" cy="2664000"/>
                          </a:xfrm>
                          <a:prstGeom prst="rect">
                            <a:avLst/>
                          </a:prstGeom>
                        </pic:spPr>
                      </pic:pic>
                    </a:graphicData>
                  </a:graphic>
                </wp:inline>
              </w:drawing>
            </w:r>
          </w:p>
          <w:p w14:paraId="13C11C96" w14:textId="5B62CD20" w:rsidR="005B2F3A" w:rsidRPr="005F315A" w:rsidRDefault="005B2F3A" w:rsidP="005B2F3A">
            <w:pPr>
              <w:jc w:val="both"/>
              <w:rPr>
                <w:rFonts w:ascii="Garamond" w:hAnsi="Garamond"/>
                <w:sz w:val="20"/>
                <w:szCs w:val="20"/>
                <w:lang w:val="it-IT"/>
              </w:rPr>
            </w:pPr>
            <w:r w:rsidRPr="005F315A">
              <w:rPr>
                <w:rFonts w:ascii="Garamond" w:hAnsi="Garamond"/>
                <w:sz w:val="20"/>
                <w:szCs w:val="20"/>
              </w:rPr>
              <w:t xml:space="preserve">Fig. </w:t>
            </w:r>
            <w:r w:rsidR="00E62BF9" w:rsidRPr="005F315A">
              <w:rPr>
                <w:rFonts w:ascii="Garamond" w:hAnsi="Garamond"/>
                <w:sz w:val="20"/>
                <w:szCs w:val="20"/>
              </w:rPr>
              <w:t>2</w:t>
            </w:r>
            <w:r w:rsidRPr="005F315A">
              <w:rPr>
                <w:rFonts w:ascii="Garamond" w:hAnsi="Garamond"/>
                <w:sz w:val="20"/>
                <w:szCs w:val="20"/>
              </w:rPr>
              <w:t xml:space="preserve"> – Edmund N. </w:t>
            </w:r>
            <w:r w:rsidR="00F6557D" w:rsidRPr="005F315A">
              <w:rPr>
                <w:rFonts w:ascii="Garamond" w:hAnsi="Garamond"/>
                <w:sz w:val="20"/>
                <w:szCs w:val="20"/>
              </w:rPr>
              <w:t xml:space="preserve">Bacon chose </w:t>
            </w:r>
            <w:proofErr w:type="spellStart"/>
            <w:r w:rsidR="00F6557D" w:rsidRPr="005F315A">
              <w:rPr>
                <w:rFonts w:ascii="Garamond" w:hAnsi="Garamond"/>
                <w:sz w:val="20"/>
                <w:szCs w:val="20"/>
              </w:rPr>
              <w:t>Ambrogio</w:t>
            </w:r>
            <w:proofErr w:type="spellEnd"/>
            <w:r w:rsidR="00F6557D" w:rsidRPr="005F315A">
              <w:rPr>
                <w:rFonts w:ascii="Garamond" w:hAnsi="Garamond"/>
                <w:sz w:val="20"/>
                <w:szCs w:val="20"/>
              </w:rPr>
              <w:t xml:space="preserve"> Lorenzetti's painting as one of the opening images of its “Medieval Design” chapter ns. Roughly in the middle, stands the cathedral</w:t>
            </w:r>
            <w:r w:rsidRPr="005F315A">
              <w:rPr>
                <w:rFonts w:ascii="Garamond" w:hAnsi="Garamond"/>
                <w:sz w:val="20"/>
                <w:szCs w:val="20"/>
              </w:rPr>
              <w:t xml:space="preserve">. </w:t>
            </w:r>
            <w:r w:rsidRPr="005F315A">
              <w:rPr>
                <w:rFonts w:ascii="Garamond" w:hAnsi="Garamond"/>
                <w:sz w:val="20"/>
                <w:szCs w:val="20"/>
                <w:lang w:val="it-IT"/>
              </w:rPr>
              <w:t xml:space="preserve">Ambrogio Lorenzetti, </w:t>
            </w:r>
            <w:r w:rsidRPr="005F315A">
              <w:rPr>
                <w:rFonts w:ascii="Garamond" w:hAnsi="Garamond"/>
                <w:i/>
                <w:iCs/>
                <w:sz w:val="20"/>
                <w:szCs w:val="20"/>
                <w:lang w:val="it-IT"/>
              </w:rPr>
              <w:t>Veduta di città sul mare</w:t>
            </w:r>
            <w:r w:rsidRPr="005F315A">
              <w:rPr>
                <w:rFonts w:ascii="Garamond" w:hAnsi="Garamond"/>
                <w:sz w:val="20"/>
                <w:szCs w:val="20"/>
                <w:lang w:val="it-IT"/>
              </w:rPr>
              <w:t>, 22,5 x 33,5 cm, Pinacoteca di Siena.</w:t>
            </w:r>
          </w:p>
        </w:tc>
      </w:tr>
    </w:tbl>
    <w:p w14:paraId="4A4B7E07" w14:textId="7FA6F4EE" w:rsidR="00F6557D" w:rsidRPr="005F315A" w:rsidRDefault="00E62BF9" w:rsidP="00E62BF9">
      <w:pPr>
        <w:pStyle w:val="PargrafodaLista"/>
        <w:numPr>
          <w:ilvl w:val="0"/>
          <w:numId w:val="27"/>
        </w:numPr>
        <w:spacing w:before="600" w:after="240" w:line="360" w:lineRule="auto"/>
        <w:jc w:val="both"/>
        <w:rPr>
          <w:rFonts w:ascii="Garamond" w:hAnsi="Garamond"/>
          <w:b/>
          <w:bCs/>
        </w:rPr>
      </w:pPr>
      <w:r w:rsidRPr="005F315A">
        <w:rPr>
          <w:rFonts w:ascii="Garamond" w:hAnsi="Garamond"/>
          <w:b/>
          <w:bCs/>
        </w:rPr>
        <w:lastRenderedPageBreak/>
        <w:t xml:space="preserve">Solar Orientation </w:t>
      </w:r>
    </w:p>
    <w:p w14:paraId="4757158B" w14:textId="0C9A3891" w:rsidR="00526015" w:rsidRPr="005F315A" w:rsidRDefault="00526015" w:rsidP="003E76BE">
      <w:pPr>
        <w:spacing w:after="240" w:line="360" w:lineRule="auto"/>
        <w:jc w:val="both"/>
        <w:rPr>
          <w:rFonts w:ascii="Garamond" w:hAnsi="Garamond"/>
        </w:rPr>
      </w:pPr>
      <w:r w:rsidRPr="005F315A">
        <w:rPr>
          <w:rFonts w:ascii="Garamond" w:hAnsi="Garamond"/>
        </w:rPr>
        <w:t>Although the architecture/urbanism books above lack</w:t>
      </w:r>
      <w:r w:rsidR="00751BED" w:rsidRPr="005F315A">
        <w:rPr>
          <w:rFonts w:ascii="Garamond" w:hAnsi="Garamond"/>
        </w:rPr>
        <w:t>ed</w:t>
      </w:r>
      <w:r w:rsidRPr="005F315A">
        <w:rPr>
          <w:rFonts w:ascii="Garamond" w:hAnsi="Garamond"/>
        </w:rPr>
        <w:t xml:space="preserve"> reference to the solar orientation of churches in the medieval city, this gap is partially filled by a set of studies emerging from the discipline of archeoastronomy that reflect</w:t>
      </w:r>
      <w:r w:rsidR="00751BED" w:rsidRPr="005F315A">
        <w:rPr>
          <w:rFonts w:ascii="Garamond" w:hAnsi="Garamond"/>
        </w:rPr>
        <w:t>ed</w:t>
      </w:r>
      <w:r w:rsidRPr="005F315A">
        <w:rPr>
          <w:rFonts w:ascii="Garamond" w:hAnsi="Garamond"/>
        </w:rPr>
        <w:t xml:space="preserve"> on this issue </w:t>
      </w:r>
      <w:r w:rsidR="00127154" w:rsidRPr="005F315A">
        <w:rPr>
          <w:rFonts w:ascii="Garamond" w:hAnsi="Garamond"/>
        </w:rPr>
        <w:t>with</w:t>
      </w:r>
      <w:r w:rsidRPr="005F315A">
        <w:rPr>
          <w:rFonts w:ascii="Garamond" w:hAnsi="Garamond"/>
        </w:rPr>
        <w:t xml:space="preserve">in different historical-geographical environments. </w:t>
      </w:r>
      <w:r w:rsidR="00127154" w:rsidRPr="005F315A">
        <w:rPr>
          <w:rFonts w:ascii="Garamond" w:hAnsi="Garamond"/>
        </w:rPr>
        <w:t>G</w:t>
      </w:r>
      <w:r w:rsidRPr="005F315A">
        <w:rPr>
          <w:rFonts w:ascii="Garamond" w:hAnsi="Garamond"/>
        </w:rPr>
        <w:t xml:space="preserve">enerically </w:t>
      </w:r>
      <w:r w:rsidR="00751BED" w:rsidRPr="005F315A">
        <w:rPr>
          <w:rFonts w:ascii="Garamond" w:hAnsi="Garamond"/>
        </w:rPr>
        <w:t>authors</w:t>
      </w:r>
      <w:r w:rsidR="00127154" w:rsidRPr="005F315A">
        <w:rPr>
          <w:rFonts w:ascii="Garamond" w:hAnsi="Garamond"/>
        </w:rPr>
        <w:t xml:space="preserve"> assert</w:t>
      </w:r>
      <w:r w:rsidR="00751BED" w:rsidRPr="005F315A">
        <w:rPr>
          <w:rFonts w:ascii="Garamond" w:hAnsi="Garamond"/>
        </w:rPr>
        <w:t>ed</w:t>
      </w:r>
      <w:r w:rsidR="00127154" w:rsidRPr="005F315A">
        <w:rPr>
          <w:rFonts w:ascii="Garamond" w:hAnsi="Garamond"/>
        </w:rPr>
        <w:t xml:space="preserve"> </w:t>
      </w:r>
      <w:r w:rsidRPr="005F315A">
        <w:rPr>
          <w:rFonts w:ascii="Garamond" w:hAnsi="Garamond"/>
        </w:rPr>
        <w:t xml:space="preserve">that, in the medieval period, the </w:t>
      </w:r>
      <w:r w:rsidR="00127154" w:rsidRPr="005F315A">
        <w:rPr>
          <w:rFonts w:ascii="Garamond" w:hAnsi="Garamond"/>
        </w:rPr>
        <w:t xml:space="preserve">churches’ </w:t>
      </w:r>
      <w:r w:rsidRPr="005F315A">
        <w:rPr>
          <w:rFonts w:ascii="Garamond" w:hAnsi="Garamond"/>
        </w:rPr>
        <w:t xml:space="preserve">alignment </w:t>
      </w:r>
      <w:r w:rsidR="00127154" w:rsidRPr="005F315A">
        <w:rPr>
          <w:rFonts w:ascii="Garamond" w:hAnsi="Garamond"/>
        </w:rPr>
        <w:t>to</w:t>
      </w:r>
      <w:r w:rsidRPr="005F315A">
        <w:rPr>
          <w:rFonts w:ascii="Garamond" w:hAnsi="Garamond"/>
        </w:rPr>
        <w:t xml:space="preserve"> the sun was a common aspect of their </w:t>
      </w:r>
      <w:r w:rsidR="00127154" w:rsidRPr="005F315A">
        <w:rPr>
          <w:rFonts w:ascii="Garamond" w:hAnsi="Garamond"/>
        </w:rPr>
        <w:t>settlement</w:t>
      </w:r>
      <w:r w:rsidRPr="005F315A">
        <w:rPr>
          <w:rFonts w:ascii="Garamond" w:hAnsi="Garamond"/>
        </w:rPr>
        <w:t xml:space="preserve"> and the East (NE-SE) </w:t>
      </w:r>
      <w:r w:rsidR="00127154" w:rsidRPr="005F315A">
        <w:rPr>
          <w:rFonts w:ascii="Garamond" w:hAnsi="Garamond"/>
        </w:rPr>
        <w:t>was</w:t>
      </w:r>
      <w:r w:rsidRPr="005F315A">
        <w:rPr>
          <w:rFonts w:ascii="Garamond" w:hAnsi="Garamond"/>
        </w:rPr>
        <w:t xml:space="preserve"> a recurring reference in the buildings</w:t>
      </w:r>
      <w:r w:rsidR="00127154" w:rsidRPr="005F315A">
        <w:rPr>
          <w:rFonts w:ascii="Garamond" w:hAnsi="Garamond"/>
        </w:rPr>
        <w:t xml:space="preserve"> they surveyed</w:t>
      </w:r>
      <w:r w:rsidRPr="005F315A">
        <w:rPr>
          <w:rFonts w:ascii="Garamond" w:hAnsi="Garamond"/>
        </w:rPr>
        <w:t xml:space="preserve">, even if True East </w:t>
      </w:r>
      <w:r w:rsidR="00751BED" w:rsidRPr="005F315A">
        <w:rPr>
          <w:rFonts w:ascii="Garamond" w:hAnsi="Garamond"/>
        </w:rPr>
        <w:t xml:space="preserve">was </w:t>
      </w:r>
      <w:r w:rsidRPr="005F315A">
        <w:rPr>
          <w:rFonts w:ascii="Garamond" w:hAnsi="Garamond"/>
        </w:rPr>
        <w:t>seldom</w:t>
      </w:r>
      <w:r w:rsidR="00127154" w:rsidRPr="005F315A">
        <w:rPr>
          <w:rFonts w:ascii="Garamond" w:hAnsi="Garamond"/>
        </w:rPr>
        <w:t xml:space="preserve"> verified</w:t>
      </w:r>
      <w:r w:rsidRPr="005F315A">
        <w:rPr>
          <w:rFonts w:ascii="Garamond" w:hAnsi="Garamond"/>
        </w:rPr>
        <w:t>.</w:t>
      </w:r>
    </w:p>
    <w:p w14:paraId="08EBDE44" w14:textId="204D2106" w:rsidR="00EE1C94" w:rsidRPr="005F315A" w:rsidRDefault="00127154" w:rsidP="003E76BE">
      <w:pPr>
        <w:spacing w:after="240" w:line="360" w:lineRule="auto"/>
        <w:jc w:val="both"/>
        <w:rPr>
          <w:rFonts w:ascii="Garamond" w:hAnsi="Garamond"/>
        </w:rPr>
      </w:pPr>
      <w:r w:rsidRPr="005F315A">
        <w:rPr>
          <w:rFonts w:ascii="Garamond" w:hAnsi="Garamond"/>
        </w:rPr>
        <w:t xml:space="preserve">Reflecting on this constancy and its variants, Stephen McCluskey </w:t>
      </w:r>
      <w:r w:rsidR="00751BED" w:rsidRPr="005F315A">
        <w:rPr>
          <w:rFonts w:ascii="Garamond" w:hAnsi="Garamond"/>
        </w:rPr>
        <w:t xml:space="preserve">identified </w:t>
      </w:r>
      <w:r w:rsidRPr="005F315A">
        <w:rPr>
          <w:rFonts w:ascii="Garamond" w:hAnsi="Garamond"/>
        </w:rPr>
        <w:t xml:space="preserve">two main models in the orientation of Christian churches: on the one hand, the axis in which the building points to the rising sun on the day of the patron saint; and, on the other, the one that follows the equinoctial alignment due East-due West. </w:t>
      </w:r>
      <w:r w:rsidR="00751BED" w:rsidRPr="005F315A">
        <w:rPr>
          <w:rFonts w:ascii="Garamond" w:hAnsi="Garamond"/>
        </w:rPr>
        <w:t xml:space="preserve">He additionally explained </w:t>
      </w:r>
      <w:r w:rsidRPr="005F315A">
        <w:rPr>
          <w:rFonts w:ascii="Garamond" w:hAnsi="Garamond"/>
        </w:rPr>
        <w:t>that</w:t>
      </w:r>
      <w:r w:rsidR="00552140" w:rsidRPr="005F315A">
        <w:rPr>
          <w:rFonts w:ascii="Garamond" w:hAnsi="Garamond"/>
        </w:rPr>
        <w:t xml:space="preserve"> due East </w:t>
      </w:r>
      <w:r w:rsidR="002E5369" w:rsidRPr="005F315A">
        <w:rPr>
          <w:rFonts w:ascii="Garamond" w:hAnsi="Garamond"/>
        </w:rPr>
        <w:t>stands for</w:t>
      </w:r>
      <w:r w:rsidR="00EE1C94" w:rsidRPr="005F315A">
        <w:rPr>
          <w:rFonts w:ascii="Garamond" w:hAnsi="Garamond"/>
        </w:rPr>
        <w:t xml:space="preserve"> Jesus C</w:t>
      </w:r>
      <w:r w:rsidR="002E5369" w:rsidRPr="005F315A">
        <w:rPr>
          <w:rFonts w:ascii="Garamond" w:hAnsi="Garamond"/>
        </w:rPr>
        <w:t>hrist</w:t>
      </w:r>
      <w:r w:rsidR="00EE1C94" w:rsidRPr="005F315A">
        <w:rPr>
          <w:rFonts w:ascii="Garamond" w:hAnsi="Garamond"/>
        </w:rPr>
        <w:t xml:space="preserve"> </w:t>
      </w:r>
      <w:r w:rsidR="00DC1DED" w:rsidRPr="005F315A">
        <w:rPr>
          <w:rFonts w:ascii="Garamond" w:hAnsi="Garamond"/>
        </w:rPr>
        <w:t>either as</w:t>
      </w:r>
      <w:r w:rsidR="00EE1C94" w:rsidRPr="005F315A">
        <w:rPr>
          <w:rFonts w:ascii="Garamond" w:hAnsi="Garamond"/>
        </w:rPr>
        <w:t xml:space="preserve"> </w:t>
      </w:r>
      <w:r w:rsidR="00DC1DED" w:rsidRPr="005F315A">
        <w:rPr>
          <w:rFonts w:ascii="Garamond" w:hAnsi="Garamond"/>
        </w:rPr>
        <w:t>rising</w:t>
      </w:r>
      <w:r w:rsidR="00552140" w:rsidRPr="005F315A">
        <w:rPr>
          <w:rFonts w:ascii="Garamond" w:hAnsi="Garamond"/>
        </w:rPr>
        <w:t xml:space="preserve"> day</w:t>
      </w:r>
      <w:r w:rsidR="00DC1DED" w:rsidRPr="005F315A">
        <w:rPr>
          <w:rFonts w:ascii="Garamond" w:hAnsi="Garamond"/>
        </w:rPr>
        <w:t xml:space="preserve"> light (the True Light)</w:t>
      </w:r>
      <w:r w:rsidR="002E5369" w:rsidRPr="005F315A">
        <w:rPr>
          <w:rFonts w:ascii="Garamond" w:hAnsi="Garamond"/>
        </w:rPr>
        <w:t xml:space="preserve"> or</w:t>
      </w:r>
      <w:r w:rsidR="00EE1C94" w:rsidRPr="005F315A">
        <w:rPr>
          <w:rFonts w:ascii="Garamond" w:hAnsi="Garamond"/>
        </w:rPr>
        <w:t xml:space="preserve"> </w:t>
      </w:r>
      <w:r w:rsidR="00552140" w:rsidRPr="005F315A">
        <w:rPr>
          <w:rFonts w:ascii="Garamond" w:hAnsi="Garamond"/>
        </w:rPr>
        <w:t>rising sun</w:t>
      </w:r>
      <w:r w:rsidR="00DC1DED" w:rsidRPr="005F315A">
        <w:rPr>
          <w:rFonts w:ascii="Garamond" w:hAnsi="Garamond"/>
        </w:rPr>
        <w:t xml:space="preserve"> (the Sun of Justice)</w:t>
      </w:r>
      <w:r w:rsidR="00EE1C94" w:rsidRPr="005F315A">
        <w:rPr>
          <w:rFonts w:ascii="Garamond" w:hAnsi="Garamond"/>
        </w:rPr>
        <w:t xml:space="preserve">, </w:t>
      </w:r>
      <w:r w:rsidR="00552140" w:rsidRPr="005F315A">
        <w:rPr>
          <w:rFonts w:ascii="Garamond" w:hAnsi="Garamond"/>
        </w:rPr>
        <w:t>or allud</w:t>
      </w:r>
      <w:r w:rsidR="007E70F8" w:rsidRPr="005F315A">
        <w:rPr>
          <w:rFonts w:ascii="Garamond" w:hAnsi="Garamond"/>
        </w:rPr>
        <w:t>e</w:t>
      </w:r>
      <w:r w:rsidR="0034160E" w:rsidRPr="005F315A">
        <w:rPr>
          <w:rFonts w:ascii="Garamond" w:hAnsi="Garamond"/>
        </w:rPr>
        <w:t>s</w:t>
      </w:r>
      <w:r w:rsidR="00552140" w:rsidRPr="005F315A">
        <w:rPr>
          <w:rFonts w:ascii="Garamond" w:hAnsi="Garamond"/>
        </w:rPr>
        <w:t xml:space="preserve"> to </w:t>
      </w:r>
      <w:r w:rsidR="00EE1C94" w:rsidRPr="005F315A">
        <w:rPr>
          <w:rFonts w:ascii="Garamond" w:hAnsi="Garamond"/>
        </w:rPr>
        <w:t xml:space="preserve">“Paradise, from which humankind had been expelled’, </w:t>
      </w:r>
      <w:r w:rsidR="00751BED" w:rsidRPr="005F315A">
        <w:rPr>
          <w:rFonts w:ascii="Garamond" w:hAnsi="Garamond"/>
        </w:rPr>
        <w:t>all of them representations that justify praying in that direction.</w:t>
      </w:r>
      <w:r w:rsidR="003E76BE" w:rsidRPr="005F315A">
        <w:rPr>
          <w:rStyle w:val="Refdenotaderodap"/>
          <w:rFonts w:ascii="Garamond" w:hAnsi="Garamond"/>
        </w:rPr>
        <w:footnoteReference w:id="18"/>
      </w:r>
      <w:r w:rsidR="003E76BE" w:rsidRPr="005F315A">
        <w:rPr>
          <w:rFonts w:ascii="Garamond" w:hAnsi="Garamond"/>
        </w:rPr>
        <w:t xml:space="preserve"> </w:t>
      </w:r>
      <w:r w:rsidR="00751BED" w:rsidRPr="005F315A">
        <w:rPr>
          <w:rFonts w:ascii="Garamond" w:hAnsi="Garamond"/>
        </w:rPr>
        <w:t xml:space="preserve">As to the E-W axis it can be the line that separates, contrasts and/or distinguishes, meaning, according to Isidore of Seville, </w:t>
      </w:r>
      <w:r w:rsidR="003E76BE" w:rsidRPr="005F315A">
        <w:rPr>
          <w:rFonts w:ascii="Garamond" w:hAnsi="Garamond"/>
        </w:rPr>
        <w:t>‘the line from the east to the west [that] would make the right and left parts of the sky equal’.</w:t>
      </w:r>
      <w:r w:rsidR="003E76BE" w:rsidRPr="005F315A">
        <w:rPr>
          <w:rStyle w:val="Refdenotaderodap"/>
          <w:rFonts w:ascii="Garamond" w:hAnsi="Garamond"/>
        </w:rPr>
        <w:footnoteReference w:id="19"/>
      </w:r>
    </w:p>
    <w:p w14:paraId="1E8932F3" w14:textId="1E7C0539" w:rsidR="0034160E" w:rsidRPr="005F315A" w:rsidRDefault="00751BED" w:rsidP="00F541C4">
      <w:pPr>
        <w:spacing w:after="240" w:line="360" w:lineRule="auto"/>
        <w:jc w:val="both"/>
        <w:rPr>
          <w:rFonts w:ascii="Garamond" w:hAnsi="Garamond"/>
        </w:rPr>
      </w:pPr>
      <w:r w:rsidRPr="005F315A">
        <w:rPr>
          <w:rFonts w:ascii="Garamond" w:hAnsi="Garamond"/>
        </w:rPr>
        <w:t xml:space="preserve">Were the orientation towards East either a mere suggestion, as in </w:t>
      </w:r>
      <w:r w:rsidR="00BD557E" w:rsidRPr="005F315A">
        <w:rPr>
          <w:rFonts w:ascii="Garamond" w:hAnsi="Garamond"/>
        </w:rPr>
        <w:t>Vitruvius’s</w:t>
      </w:r>
      <w:r w:rsidRPr="005F315A">
        <w:rPr>
          <w:rFonts w:ascii="Garamond" w:hAnsi="Garamond"/>
        </w:rPr>
        <w:t xml:space="preserve"> – ‘if there is no reason to hinder and the choice is free, the temple and the statue placed in the </w:t>
      </w:r>
      <w:proofErr w:type="spellStart"/>
      <w:r w:rsidRPr="005F315A">
        <w:rPr>
          <w:rFonts w:ascii="Garamond" w:hAnsi="Garamond"/>
        </w:rPr>
        <w:t>cella</w:t>
      </w:r>
      <w:proofErr w:type="spellEnd"/>
      <w:r w:rsidRPr="005F315A">
        <w:rPr>
          <w:rFonts w:ascii="Garamond" w:hAnsi="Garamond"/>
        </w:rPr>
        <w:t xml:space="preserve"> should face the western quarter of the sky</w:t>
      </w:r>
      <w:r w:rsidR="00BD557E" w:rsidRPr="005F315A">
        <w:rPr>
          <w:rFonts w:ascii="Garamond" w:hAnsi="Garamond"/>
        </w:rPr>
        <w:t>’</w:t>
      </w:r>
      <w:r w:rsidR="00BD557E" w:rsidRPr="005F315A">
        <w:rPr>
          <w:rStyle w:val="Refdenotaderodap"/>
          <w:rFonts w:ascii="Garamond" w:hAnsi="Garamond"/>
        </w:rPr>
        <w:footnoteReference w:id="20"/>
      </w:r>
      <w:r w:rsidR="00BD557E" w:rsidRPr="005F315A">
        <w:rPr>
          <w:rFonts w:ascii="Garamond" w:hAnsi="Garamond"/>
        </w:rPr>
        <w:t xml:space="preserve"> – </w:t>
      </w:r>
      <w:r w:rsidRPr="005F315A">
        <w:rPr>
          <w:rFonts w:ascii="Garamond" w:hAnsi="Garamond"/>
        </w:rPr>
        <w:t>or a prescription, religious buildings d</w:t>
      </w:r>
      <w:r w:rsidR="00BD557E" w:rsidRPr="005F315A">
        <w:rPr>
          <w:rFonts w:ascii="Garamond" w:hAnsi="Garamond"/>
        </w:rPr>
        <w:t>id</w:t>
      </w:r>
      <w:r w:rsidRPr="005F315A">
        <w:rPr>
          <w:rFonts w:ascii="Garamond" w:hAnsi="Garamond"/>
        </w:rPr>
        <w:t xml:space="preserve"> not </w:t>
      </w:r>
      <w:r w:rsidR="00BD557E" w:rsidRPr="005F315A">
        <w:rPr>
          <w:rFonts w:ascii="Garamond" w:hAnsi="Garamond"/>
        </w:rPr>
        <w:t xml:space="preserve">seem </w:t>
      </w:r>
      <w:r w:rsidRPr="005F315A">
        <w:rPr>
          <w:rFonts w:ascii="Garamond" w:hAnsi="Garamond"/>
        </w:rPr>
        <w:t>to</w:t>
      </w:r>
      <w:r w:rsidR="00BD557E" w:rsidRPr="005F315A">
        <w:rPr>
          <w:rFonts w:ascii="Garamond" w:hAnsi="Garamond"/>
        </w:rPr>
        <w:t xml:space="preserve"> have </w:t>
      </w:r>
      <w:r w:rsidRPr="005F315A">
        <w:rPr>
          <w:rFonts w:ascii="Garamond" w:hAnsi="Garamond"/>
        </w:rPr>
        <w:t>follow</w:t>
      </w:r>
      <w:r w:rsidR="00BD557E" w:rsidRPr="005F315A">
        <w:rPr>
          <w:rFonts w:ascii="Garamond" w:hAnsi="Garamond"/>
        </w:rPr>
        <w:t>ed</w:t>
      </w:r>
      <w:r w:rsidRPr="005F315A">
        <w:rPr>
          <w:rFonts w:ascii="Garamond" w:hAnsi="Garamond"/>
        </w:rPr>
        <w:t xml:space="preserve"> the True East orientation.</w:t>
      </w:r>
      <w:r w:rsidR="00BD557E" w:rsidRPr="005F315A">
        <w:t xml:space="preserve"> </w:t>
      </w:r>
      <w:r w:rsidR="00BD557E" w:rsidRPr="005F315A">
        <w:rPr>
          <w:rFonts w:ascii="Garamond" w:hAnsi="Garamond"/>
        </w:rPr>
        <w:t>Peter G. Hoare, studying the English Medieval Parish Churches, claims that</w:t>
      </w:r>
      <w:r w:rsidR="00F541C4" w:rsidRPr="005F315A">
        <w:rPr>
          <w:rFonts w:ascii="Garamond" w:hAnsi="Garamond"/>
        </w:rPr>
        <w:t xml:space="preserve"> ‘A relatively small proportion of medieval parish churches faces due east’ (p.1713)</w:t>
      </w:r>
      <w:r w:rsidR="00921139" w:rsidRPr="005F315A">
        <w:rPr>
          <w:rFonts w:ascii="Garamond" w:hAnsi="Garamond"/>
        </w:rPr>
        <w:t xml:space="preserve">; </w:t>
      </w:r>
      <w:r w:rsidR="00F541C4" w:rsidRPr="005F315A">
        <w:rPr>
          <w:rFonts w:ascii="Garamond" w:hAnsi="Garamond"/>
        </w:rPr>
        <w:t xml:space="preserve">Eva </w:t>
      </w:r>
      <w:proofErr w:type="spellStart"/>
      <w:r w:rsidR="00F541C4" w:rsidRPr="005F315A">
        <w:rPr>
          <w:rFonts w:ascii="Garamond" w:hAnsi="Garamond"/>
        </w:rPr>
        <w:t>Spinazzè</w:t>
      </w:r>
      <w:proofErr w:type="spellEnd"/>
      <w:r w:rsidR="00921139" w:rsidRPr="005F315A">
        <w:rPr>
          <w:rFonts w:ascii="Garamond" w:hAnsi="Garamond"/>
        </w:rPr>
        <w:t>,</w:t>
      </w:r>
      <w:r w:rsidR="00F541C4" w:rsidRPr="005F315A">
        <w:rPr>
          <w:rFonts w:ascii="Garamond" w:hAnsi="Garamond"/>
        </w:rPr>
        <w:t xml:space="preserve"> </w:t>
      </w:r>
      <w:r w:rsidR="00921139" w:rsidRPr="005F315A">
        <w:rPr>
          <w:rFonts w:ascii="Garamond" w:hAnsi="Garamond"/>
        </w:rPr>
        <w:t xml:space="preserve">focusing on medieval churches in northern-central Italy and in the Alps, </w:t>
      </w:r>
      <w:r w:rsidR="00BD557E" w:rsidRPr="005F315A">
        <w:rPr>
          <w:rFonts w:ascii="Garamond" w:hAnsi="Garamond"/>
        </w:rPr>
        <w:t xml:space="preserve">says that only 3.3% of the holy medieval buildings she analysed are aligned with the sunrise of the equinox </w:t>
      </w:r>
      <w:r w:rsidR="00F541C4" w:rsidRPr="005F315A">
        <w:rPr>
          <w:rFonts w:ascii="Garamond" w:hAnsi="Garamond"/>
        </w:rPr>
        <w:t>(p.</w:t>
      </w:r>
      <w:r w:rsidR="00921139" w:rsidRPr="005F315A">
        <w:rPr>
          <w:rFonts w:ascii="Garamond" w:hAnsi="Garamond"/>
        </w:rPr>
        <w:t>461</w:t>
      </w:r>
      <w:r w:rsidR="00F541C4" w:rsidRPr="005F315A">
        <w:rPr>
          <w:rFonts w:ascii="Garamond" w:hAnsi="Garamond"/>
        </w:rPr>
        <w:t>)</w:t>
      </w:r>
      <w:r w:rsidR="001912EB" w:rsidRPr="005F315A">
        <w:rPr>
          <w:rFonts w:ascii="Garamond" w:hAnsi="Garamond"/>
        </w:rPr>
        <w:t>.</w:t>
      </w:r>
      <w:r w:rsidR="00921139" w:rsidRPr="005F315A">
        <w:rPr>
          <w:rFonts w:ascii="Garamond" w:hAnsi="Garamond"/>
        </w:rPr>
        <w:t xml:space="preserve"> </w:t>
      </w:r>
      <w:r w:rsidR="00BD557E" w:rsidRPr="005F315A">
        <w:rPr>
          <w:rFonts w:ascii="Garamond" w:hAnsi="Garamond"/>
        </w:rPr>
        <w:t>McCluskey explained the deviations from this guideline due to constraints on the site itself or due to the lack of knowhow/skills of the builders, also suggesting the possibility of the greatest importance being attributed to the patron saint, or the church being conditioned by built pre-existences and old dedications, or even alluding to the building’s foundation date</w:t>
      </w:r>
      <w:r w:rsidR="001912EB" w:rsidRPr="005F315A">
        <w:rPr>
          <w:rFonts w:ascii="Garamond" w:hAnsi="Garamond"/>
        </w:rPr>
        <w:t xml:space="preserve"> (p</w:t>
      </w:r>
      <w:r w:rsidR="00361B61" w:rsidRPr="005F315A">
        <w:rPr>
          <w:rFonts w:ascii="Garamond" w:hAnsi="Garamond"/>
        </w:rPr>
        <w:t>p</w:t>
      </w:r>
      <w:r w:rsidR="001912EB" w:rsidRPr="005F315A">
        <w:rPr>
          <w:rFonts w:ascii="Garamond" w:hAnsi="Garamond"/>
        </w:rPr>
        <w:t>.1707-8).</w:t>
      </w:r>
    </w:p>
    <w:p w14:paraId="4D944FD5" w14:textId="56B0FC33" w:rsidR="00C960C3" w:rsidRPr="005F315A" w:rsidRDefault="00C960C3" w:rsidP="002520B4">
      <w:pPr>
        <w:spacing w:after="240" w:line="360" w:lineRule="auto"/>
        <w:jc w:val="both"/>
        <w:rPr>
          <w:rFonts w:ascii="Garamond" w:hAnsi="Garamond"/>
        </w:rPr>
      </w:pPr>
      <w:r w:rsidRPr="005F315A">
        <w:rPr>
          <w:rFonts w:ascii="Garamond" w:hAnsi="Garamond"/>
        </w:rPr>
        <w:t xml:space="preserve">The dedication to the patron saints seems to be a viable alternative for </w:t>
      </w:r>
      <w:proofErr w:type="spellStart"/>
      <w:r w:rsidRPr="005F315A">
        <w:rPr>
          <w:rFonts w:ascii="Garamond" w:hAnsi="Garamond"/>
        </w:rPr>
        <w:t>Spinazzè</w:t>
      </w:r>
      <w:proofErr w:type="spellEnd"/>
      <w:r w:rsidRPr="005F315A">
        <w:rPr>
          <w:rFonts w:ascii="Garamond" w:hAnsi="Garamond"/>
        </w:rPr>
        <w:t xml:space="preserve">, who counts high percentages for alignments with the sun in the four days of Mary’s feast celebrated during the medieval period: Annunciation, Purification, Assumption and Nativity of the Virgin Mary (40.3%) and with the </w:t>
      </w:r>
      <w:r w:rsidR="00361B61" w:rsidRPr="005F315A">
        <w:rPr>
          <w:rFonts w:ascii="Garamond" w:hAnsi="Garamond"/>
        </w:rPr>
        <w:t>feast</w:t>
      </w:r>
      <w:r w:rsidR="00BA69FE" w:rsidRPr="005F315A">
        <w:rPr>
          <w:rFonts w:ascii="Garamond" w:hAnsi="Garamond"/>
        </w:rPr>
        <w:t xml:space="preserve"> </w:t>
      </w:r>
      <w:r w:rsidRPr="005F315A">
        <w:rPr>
          <w:rFonts w:ascii="Garamond" w:hAnsi="Garamond"/>
        </w:rPr>
        <w:t>of the patron saint (30.9%)</w:t>
      </w:r>
      <w:r w:rsidR="00BD557E" w:rsidRPr="005F315A">
        <w:rPr>
          <w:rFonts w:ascii="Garamond" w:hAnsi="Garamond"/>
        </w:rPr>
        <w:t xml:space="preserve"> (p.461).</w:t>
      </w:r>
      <w:r w:rsidR="00CD10B3" w:rsidRPr="005F315A">
        <w:rPr>
          <w:rFonts w:ascii="Garamond" w:hAnsi="Garamond"/>
        </w:rPr>
        <w:t xml:space="preserve"> </w:t>
      </w:r>
      <w:r w:rsidRPr="005F315A">
        <w:rPr>
          <w:rFonts w:ascii="Garamond" w:hAnsi="Garamond"/>
        </w:rPr>
        <w:t xml:space="preserve">Brady </w:t>
      </w:r>
      <w:r w:rsidRPr="005F315A">
        <w:rPr>
          <w:rFonts w:ascii="Garamond" w:hAnsi="Garamond"/>
          <w:i/>
          <w:iCs/>
        </w:rPr>
        <w:t>el al.</w:t>
      </w:r>
      <w:r w:rsidRPr="005F315A">
        <w:rPr>
          <w:rFonts w:ascii="Garamond" w:hAnsi="Garamond"/>
        </w:rPr>
        <w:t xml:space="preserve"> also identified this in some of the Cistercian churches studied in Wales, namely on Michaelmas or Saint David’s Day (</w:t>
      </w:r>
      <w:r w:rsidR="00361B61" w:rsidRPr="005F315A">
        <w:rPr>
          <w:rFonts w:ascii="Garamond" w:hAnsi="Garamond"/>
        </w:rPr>
        <w:t>p</w:t>
      </w:r>
      <w:r w:rsidRPr="005F315A">
        <w:rPr>
          <w:rFonts w:ascii="Garamond" w:hAnsi="Garamond"/>
        </w:rPr>
        <w:t xml:space="preserve">p.291-297). Inconclusive in this regard </w:t>
      </w:r>
      <w:r w:rsidRPr="005F315A">
        <w:rPr>
          <w:rFonts w:ascii="Garamond" w:hAnsi="Garamond"/>
        </w:rPr>
        <w:lastRenderedPageBreak/>
        <w:t xml:space="preserve">was the study by Juan Pérez and Victoria Pérez on the Romanesque churches in the Iberian Peninsula. In their case, the building criterion, resulting from the best time of the year for building/laying the building’s foundations in respect to weather conditions was the one largely privileged, a feature that Hoare also mentioned, but which, </w:t>
      </w:r>
      <w:r w:rsidR="00361B61" w:rsidRPr="005F315A">
        <w:rPr>
          <w:rFonts w:ascii="Garamond" w:hAnsi="Garamond"/>
        </w:rPr>
        <w:t xml:space="preserve">given the obvious </w:t>
      </w:r>
      <w:r w:rsidRPr="005F315A">
        <w:rPr>
          <w:rFonts w:ascii="Garamond" w:hAnsi="Garamond"/>
        </w:rPr>
        <w:t xml:space="preserve">coincidence with the </w:t>
      </w:r>
      <w:r w:rsidR="003D3B6A" w:rsidRPr="005F315A">
        <w:rPr>
          <w:rFonts w:ascii="Garamond" w:hAnsi="Garamond"/>
        </w:rPr>
        <w:t xml:space="preserve">unfavourable </w:t>
      </w:r>
      <w:r w:rsidRPr="005F315A">
        <w:rPr>
          <w:rFonts w:ascii="Garamond" w:hAnsi="Garamond"/>
        </w:rPr>
        <w:t xml:space="preserve">vernal equinox leaves him </w:t>
      </w:r>
      <w:r w:rsidR="003D3B6A" w:rsidRPr="005F315A">
        <w:rPr>
          <w:rFonts w:ascii="Garamond" w:hAnsi="Garamond"/>
        </w:rPr>
        <w:t>in doubt</w:t>
      </w:r>
      <w:r w:rsidRPr="005F315A">
        <w:rPr>
          <w:rFonts w:ascii="Garamond" w:hAnsi="Garamond"/>
        </w:rPr>
        <w:t xml:space="preserve"> (p.1714).</w:t>
      </w:r>
    </w:p>
    <w:p w14:paraId="5DDA041C" w14:textId="77777777" w:rsidR="00C960C3" w:rsidRPr="005F315A" w:rsidRDefault="00C960C3" w:rsidP="002520B4">
      <w:pPr>
        <w:spacing w:after="240" w:line="360" w:lineRule="auto"/>
        <w:jc w:val="both"/>
        <w:rPr>
          <w:rFonts w:ascii="Garamond" w:hAnsi="Garamond"/>
        </w:rPr>
      </w:pPr>
    </w:p>
    <w:p w14:paraId="2CADC9B0" w14:textId="12A5F436" w:rsidR="00F340BE" w:rsidRPr="005F315A" w:rsidRDefault="00C960C3" w:rsidP="002520B4">
      <w:pPr>
        <w:spacing w:after="240" w:line="360" w:lineRule="auto"/>
        <w:jc w:val="both"/>
        <w:rPr>
          <w:rFonts w:ascii="Garamond" w:hAnsi="Garamond"/>
        </w:rPr>
      </w:pPr>
      <w:r w:rsidRPr="005F315A">
        <w:rPr>
          <w:rFonts w:ascii="Garamond" w:hAnsi="Garamond"/>
        </w:rPr>
        <w:t xml:space="preserve">What, however, leaves no doubt to any of these researchers is the orientation of the churches towards the solar arc of </w:t>
      </w:r>
      <w:proofErr w:type="gramStart"/>
      <w:r w:rsidRPr="005F315A">
        <w:rPr>
          <w:rFonts w:ascii="Garamond" w:hAnsi="Garamond"/>
        </w:rPr>
        <w:t>sunrise.</w:t>
      </w:r>
      <w:proofErr w:type="gramEnd"/>
      <w:r w:rsidRPr="005F315A">
        <w:rPr>
          <w:rFonts w:ascii="Garamond" w:hAnsi="Garamond"/>
        </w:rPr>
        <w:t xml:space="preserve"> Hoare states that </w:t>
      </w:r>
      <w:r w:rsidR="00AC1411" w:rsidRPr="005F315A">
        <w:rPr>
          <w:rFonts w:ascii="Garamond" w:hAnsi="Garamond"/>
        </w:rPr>
        <w:t>‘</w:t>
      </w:r>
      <w:r w:rsidRPr="005F315A">
        <w:rPr>
          <w:rFonts w:ascii="Garamond" w:hAnsi="Garamond"/>
        </w:rPr>
        <w:t>Nearly all English medieval parish churches are oriented within the “solar sunrise arc”, that is, between the solstice sunrise azimuths</w:t>
      </w:r>
      <w:r w:rsidR="00AC1411" w:rsidRPr="005F315A">
        <w:rPr>
          <w:rFonts w:ascii="Garamond" w:hAnsi="Garamond"/>
        </w:rPr>
        <w:t xml:space="preserve">’ </w:t>
      </w:r>
      <w:r w:rsidRPr="005F315A">
        <w:rPr>
          <w:rFonts w:ascii="Garamond" w:hAnsi="Garamond"/>
        </w:rPr>
        <w:t>(p.1714), and Perez &amp; Perez that</w:t>
      </w:r>
      <w:r w:rsidR="00AC1411" w:rsidRPr="005F315A">
        <w:rPr>
          <w:rFonts w:ascii="Garamond" w:hAnsi="Garamond"/>
        </w:rPr>
        <w:t xml:space="preserve"> ‘</w:t>
      </w:r>
      <w:r w:rsidRPr="005F315A">
        <w:rPr>
          <w:rFonts w:ascii="Garamond" w:hAnsi="Garamond"/>
        </w:rPr>
        <w:t xml:space="preserve">the solar orientation to </w:t>
      </w:r>
      <w:r w:rsidR="00AC1411" w:rsidRPr="005F315A">
        <w:rPr>
          <w:rFonts w:ascii="Garamond" w:hAnsi="Garamond"/>
        </w:rPr>
        <w:t>east</w:t>
      </w:r>
      <w:r w:rsidRPr="005F315A">
        <w:rPr>
          <w:rFonts w:ascii="Garamond" w:hAnsi="Garamond"/>
        </w:rPr>
        <w:t xml:space="preserve"> </w:t>
      </w:r>
      <w:r w:rsidR="00AC1411" w:rsidRPr="005F315A">
        <w:rPr>
          <w:rFonts w:ascii="Garamond" w:hAnsi="Garamond"/>
        </w:rPr>
        <w:t xml:space="preserve">is the </w:t>
      </w:r>
      <w:r w:rsidRPr="005F315A">
        <w:rPr>
          <w:rFonts w:ascii="Garamond" w:hAnsi="Garamond"/>
        </w:rPr>
        <w:t>criterion used in a systematic way in the Romanesque churches in Hispania</w:t>
      </w:r>
      <w:r w:rsidR="00AC1411" w:rsidRPr="005F315A">
        <w:rPr>
          <w:rFonts w:ascii="Garamond" w:hAnsi="Garamond"/>
        </w:rPr>
        <w:t xml:space="preserve">’ </w:t>
      </w:r>
      <w:r w:rsidRPr="005F315A">
        <w:rPr>
          <w:rFonts w:ascii="Garamond" w:hAnsi="Garamond"/>
        </w:rPr>
        <w:t>(p. 787), although they did not find a</w:t>
      </w:r>
      <w:r w:rsidR="00AC1411" w:rsidRPr="005F315A">
        <w:rPr>
          <w:rFonts w:ascii="Garamond" w:hAnsi="Garamond"/>
        </w:rPr>
        <w:t>ny</w:t>
      </w:r>
      <w:r w:rsidRPr="005F315A">
        <w:rPr>
          <w:rFonts w:ascii="Garamond" w:hAnsi="Garamond"/>
        </w:rPr>
        <w:t xml:space="preserve"> special reason for alignment</w:t>
      </w:r>
      <w:r w:rsidR="00AC1411" w:rsidRPr="005F315A">
        <w:rPr>
          <w:rFonts w:ascii="Garamond" w:hAnsi="Garamond"/>
        </w:rPr>
        <w:t xml:space="preserve">. The only triggering subject was the </w:t>
      </w:r>
      <w:r w:rsidRPr="005F315A">
        <w:rPr>
          <w:rFonts w:ascii="Garamond" w:hAnsi="Garamond"/>
        </w:rPr>
        <w:t xml:space="preserve">symbolism </w:t>
      </w:r>
      <w:r w:rsidR="00AC1411" w:rsidRPr="005F315A">
        <w:rPr>
          <w:rFonts w:ascii="Garamond" w:hAnsi="Garamond"/>
        </w:rPr>
        <w:t xml:space="preserve">involved in </w:t>
      </w:r>
      <w:r w:rsidRPr="005F315A">
        <w:rPr>
          <w:rFonts w:ascii="Garamond" w:hAnsi="Garamond"/>
        </w:rPr>
        <w:t xml:space="preserve">the orientation </w:t>
      </w:r>
      <w:r w:rsidR="00AC1411" w:rsidRPr="005F315A">
        <w:rPr>
          <w:rFonts w:ascii="Garamond" w:hAnsi="Garamond"/>
        </w:rPr>
        <w:t>‘</w:t>
      </w:r>
      <w:r w:rsidRPr="005F315A">
        <w:rPr>
          <w:rFonts w:ascii="Garamond" w:hAnsi="Garamond"/>
        </w:rPr>
        <w:t>towards the solar arc and not the geographic one, which could have been achieved without great effort</w:t>
      </w:r>
      <w:r w:rsidR="00AC1411" w:rsidRPr="005F315A">
        <w:rPr>
          <w:rFonts w:ascii="Garamond" w:hAnsi="Garamond"/>
        </w:rPr>
        <w:t xml:space="preserve">’ </w:t>
      </w:r>
      <w:r w:rsidRPr="005F315A">
        <w:rPr>
          <w:rFonts w:ascii="Garamond" w:hAnsi="Garamond"/>
        </w:rPr>
        <w:t xml:space="preserve">(p. 788). In contrast, </w:t>
      </w:r>
      <w:r w:rsidR="00AC1411" w:rsidRPr="005F315A">
        <w:rPr>
          <w:rFonts w:ascii="Garamond" w:hAnsi="Garamond"/>
        </w:rPr>
        <w:t>for</w:t>
      </w:r>
      <w:r w:rsidRPr="005F315A">
        <w:rPr>
          <w:rFonts w:ascii="Garamond" w:hAnsi="Garamond"/>
        </w:rPr>
        <w:t xml:space="preserve"> Brady </w:t>
      </w:r>
      <w:r w:rsidRPr="005F315A">
        <w:rPr>
          <w:rFonts w:ascii="Garamond" w:hAnsi="Garamond"/>
          <w:i/>
          <w:iCs/>
        </w:rPr>
        <w:t>et al</w:t>
      </w:r>
      <w:r w:rsidR="00AC1411" w:rsidRPr="005F315A">
        <w:rPr>
          <w:rFonts w:ascii="Garamond" w:hAnsi="Garamond"/>
          <w:i/>
          <w:iCs/>
        </w:rPr>
        <w:t>.</w:t>
      </w:r>
      <w:r w:rsidRPr="005F315A">
        <w:rPr>
          <w:rFonts w:ascii="Garamond" w:hAnsi="Garamond"/>
        </w:rPr>
        <w:t xml:space="preserve"> the alignment of the churches was always intentional </w:t>
      </w:r>
      <w:r w:rsidR="00AC1411" w:rsidRPr="005F315A">
        <w:rPr>
          <w:rFonts w:ascii="Garamond" w:hAnsi="Garamond"/>
        </w:rPr>
        <w:t>‘</w:t>
      </w:r>
      <w:proofErr w:type="gramStart"/>
      <w:r w:rsidRPr="005F315A">
        <w:rPr>
          <w:rFonts w:ascii="Garamond" w:hAnsi="Garamond"/>
        </w:rPr>
        <w:t>repeatedly,…</w:t>
      </w:r>
      <w:proofErr w:type="gramEnd"/>
      <w:r w:rsidRPr="005F315A">
        <w:rPr>
          <w:rFonts w:ascii="Garamond" w:hAnsi="Garamond"/>
        </w:rPr>
        <w:t xml:space="preserve"> alignments to sunsets</w:t>
      </w:r>
      <w:r w:rsidR="00BA69FE" w:rsidRPr="005F315A">
        <w:rPr>
          <w:rFonts w:ascii="Garamond" w:hAnsi="Garamond"/>
        </w:rPr>
        <w:t xml:space="preserve">’ </w:t>
      </w:r>
      <w:r w:rsidRPr="005F315A">
        <w:rPr>
          <w:rFonts w:ascii="Garamond" w:hAnsi="Garamond"/>
        </w:rPr>
        <w:t xml:space="preserve">(p. 298) and making </w:t>
      </w:r>
      <w:r w:rsidR="00BA69FE" w:rsidRPr="005F315A">
        <w:rPr>
          <w:rFonts w:ascii="Garamond" w:hAnsi="Garamond"/>
        </w:rPr>
        <w:t>‘</w:t>
      </w:r>
      <w:r w:rsidRPr="005F315A">
        <w:rPr>
          <w:rFonts w:ascii="Garamond" w:hAnsi="Garamond"/>
        </w:rPr>
        <w:t>use of the local topography to engage with the sun on theologically significant days</w:t>
      </w:r>
      <w:r w:rsidR="00AC1411" w:rsidRPr="005F315A">
        <w:rPr>
          <w:rFonts w:ascii="Garamond" w:hAnsi="Garamond"/>
        </w:rPr>
        <w:t>’</w:t>
      </w:r>
      <w:r w:rsidRPr="005F315A">
        <w:rPr>
          <w:rFonts w:ascii="Garamond" w:hAnsi="Garamond"/>
        </w:rPr>
        <w:t xml:space="preserve"> (p.301 )</w:t>
      </w:r>
      <w:r w:rsidR="00AC1411" w:rsidRPr="005F315A">
        <w:rPr>
          <w:rFonts w:ascii="Garamond" w:hAnsi="Garamond"/>
        </w:rPr>
        <w:t>. L</w:t>
      </w:r>
      <w:r w:rsidRPr="005F315A">
        <w:rPr>
          <w:rFonts w:ascii="Garamond" w:hAnsi="Garamond"/>
        </w:rPr>
        <w:t xml:space="preserve">ike Perez &amp; Perez, </w:t>
      </w:r>
      <w:r w:rsidR="00AC1411" w:rsidRPr="005F315A">
        <w:rPr>
          <w:rFonts w:ascii="Garamond" w:hAnsi="Garamond"/>
        </w:rPr>
        <w:t xml:space="preserve">they also noticed </w:t>
      </w:r>
      <w:r w:rsidRPr="005F315A">
        <w:rPr>
          <w:rFonts w:ascii="Garamond" w:hAnsi="Garamond"/>
        </w:rPr>
        <w:t>a preference for astronomical alignments over theological ones (in th</w:t>
      </w:r>
      <w:r w:rsidR="00AC1411" w:rsidRPr="005F315A">
        <w:rPr>
          <w:rFonts w:ascii="Garamond" w:hAnsi="Garamond"/>
        </w:rPr>
        <w:t>eir</w:t>
      </w:r>
      <w:r w:rsidRPr="005F315A">
        <w:rPr>
          <w:rFonts w:ascii="Garamond" w:hAnsi="Garamond"/>
        </w:rPr>
        <w:t xml:space="preserve"> case</w:t>
      </w:r>
      <w:r w:rsidR="00AC1411" w:rsidRPr="005F315A">
        <w:rPr>
          <w:rFonts w:ascii="Garamond" w:hAnsi="Garamond"/>
        </w:rPr>
        <w:t>s</w:t>
      </w:r>
      <w:r w:rsidRPr="005F315A">
        <w:rPr>
          <w:rFonts w:ascii="Garamond" w:hAnsi="Garamond"/>
        </w:rPr>
        <w:t xml:space="preserve">, </w:t>
      </w:r>
      <w:r w:rsidR="00525190" w:rsidRPr="005F315A">
        <w:rPr>
          <w:rFonts w:ascii="Garamond" w:hAnsi="Garamond"/>
        </w:rPr>
        <w:t>setting apart</w:t>
      </w:r>
      <w:r w:rsidRPr="005F315A">
        <w:rPr>
          <w:rFonts w:ascii="Garamond" w:hAnsi="Garamond"/>
        </w:rPr>
        <w:t xml:space="preserve"> from true equinox).</w:t>
      </w:r>
    </w:p>
    <w:p w14:paraId="3C4DE46D" w14:textId="6F585A91" w:rsidR="00927985" w:rsidRPr="005F315A" w:rsidRDefault="00B24B5D" w:rsidP="00E62BF9">
      <w:pPr>
        <w:pStyle w:val="PargrafodaLista"/>
        <w:numPr>
          <w:ilvl w:val="0"/>
          <w:numId w:val="27"/>
        </w:numPr>
        <w:spacing w:before="600" w:after="240" w:line="360" w:lineRule="auto"/>
        <w:jc w:val="both"/>
        <w:rPr>
          <w:rFonts w:ascii="Garamond" w:hAnsi="Garamond"/>
          <w:b/>
          <w:bCs/>
        </w:rPr>
      </w:pPr>
      <w:r w:rsidRPr="005F315A">
        <w:rPr>
          <w:rFonts w:ascii="Garamond" w:hAnsi="Garamond"/>
          <w:b/>
          <w:bCs/>
        </w:rPr>
        <w:t xml:space="preserve"> </w:t>
      </w:r>
      <w:r w:rsidR="00E62BF9" w:rsidRPr="005F315A">
        <w:rPr>
          <w:rFonts w:ascii="Garamond" w:hAnsi="Garamond"/>
          <w:b/>
          <w:bCs/>
        </w:rPr>
        <w:t xml:space="preserve">Liturgical Movement and Modern Movement  </w:t>
      </w:r>
    </w:p>
    <w:p w14:paraId="1B6ABC2A" w14:textId="57591243" w:rsidR="00B24B5D" w:rsidRPr="005F315A" w:rsidRDefault="00B24B5D" w:rsidP="00E62BF9">
      <w:pPr>
        <w:spacing w:after="240" w:line="360" w:lineRule="auto"/>
        <w:jc w:val="both"/>
        <w:rPr>
          <w:rFonts w:ascii="Garamond" w:hAnsi="Garamond"/>
        </w:rPr>
      </w:pPr>
      <w:r w:rsidRPr="005F315A">
        <w:rPr>
          <w:rFonts w:ascii="Garamond" w:hAnsi="Garamond"/>
        </w:rPr>
        <w:t xml:space="preserve">Unlike </w:t>
      </w:r>
      <w:r w:rsidR="008F5C3D" w:rsidRPr="005F315A">
        <w:rPr>
          <w:rFonts w:ascii="Garamond" w:hAnsi="Garamond"/>
        </w:rPr>
        <w:t>that</w:t>
      </w:r>
      <w:r w:rsidRPr="005F315A">
        <w:rPr>
          <w:rFonts w:ascii="Garamond" w:hAnsi="Garamond"/>
        </w:rPr>
        <w:t xml:space="preserve"> portrayed </w:t>
      </w:r>
      <w:r w:rsidR="008F5C3D" w:rsidRPr="005F315A">
        <w:rPr>
          <w:rFonts w:ascii="Garamond" w:hAnsi="Garamond"/>
        </w:rPr>
        <w:t xml:space="preserve">above </w:t>
      </w:r>
      <w:r w:rsidR="005C7AF4" w:rsidRPr="005F315A">
        <w:rPr>
          <w:rFonts w:ascii="Garamond" w:hAnsi="Garamond"/>
        </w:rPr>
        <w:t>to</w:t>
      </w:r>
      <w:r w:rsidRPr="005F315A">
        <w:rPr>
          <w:rFonts w:ascii="Garamond" w:hAnsi="Garamond"/>
        </w:rPr>
        <w:t xml:space="preserve"> the Middle Ages, in the 20th century, </w:t>
      </w:r>
      <w:r w:rsidR="00BA69FE" w:rsidRPr="005F315A">
        <w:rPr>
          <w:rFonts w:ascii="Garamond" w:hAnsi="Garamond"/>
        </w:rPr>
        <w:t>c</w:t>
      </w:r>
      <w:r w:rsidRPr="005F315A">
        <w:rPr>
          <w:rFonts w:ascii="Garamond" w:hAnsi="Garamond"/>
        </w:rPr>
        <w:t xml:space="preserve">hurch and city were not clearly and inextricably dependent. Church and architecture, </w:t>
      </w:r>
      <w:r w:rsidR="005C7AF4" w:rsidRPr="005F315A">
        <w:rPr>
          <w:rFonts w:ascii="Garamond" w:hAnsi="Garamond"/>
        </w:rPr>
        <w:t xml:space="preserve">however, and </w:t>
      </w:r>
      <w:r w:rsidRPr="005F315A">
        <w:rPr>
          <w:rFonts w:ascii="Garamond" w:hAnsi="Garamond"/>
        </w:rPr>
        <w:t xml:space="preserve">despite the parallel transformation processes </w:t>
      </w:r>
      <w:r w:rsidR="005C7AF4" w:rsidRPr="005F315A">
        <w:rPr>
          <w:rFonts w:ascii="Garamond" w:hAnsi="Garamond"/>
        </w:rPr>
        <w:t xml:space="preserve">they </w:t>
      </w:r>
      <w:r w:rsidRPr="005F315A">
        <w:rPr>
          <w:rFonts w:ascii="Garamond" w:hAnsi="Garamond"/>
        </w:rPr>
        <w:t>both underwent in response to modernity, continued to relate and assert themselves</w:t>
      </w:r>
      <w:r w:rsidR="005C7AF4" w:rsidRPr="005F315A">
        <w:rPr>
          <w:rFonts w:ascii="Garamond" w:hAnsi="Garamond"/>
        </w:rPr>
        <w:t xml:space="preserve"> mutually</w:t>
      </w:r>
      <w:r w:rsidRPr="005F315A">
        <w:rPr>
          <w:rFonts w:ascii="Garamond" w:hAnsi="Garamond"/>
        </w:rPr>
        <w:t xml:space="preserve"> </w:t>
      </w:r>
      <w:r w:rsidR="005C7AF4" w:rsidRPr="005F315A">
        <w:rPr>
          <w:rFonts w:ascii="Garamond" w:hAnsi="Garamond"/>
        </w:rPr>
        <w:t>with</w:t>
      </w:r>
      <w:r w:rsidRPr="005F315A">
        <w:rPr>
          <w:rFonts w:ascii="Garamond" w:hAnsi="Garamond"/>
        </w:rPr>
        <w:t>in that relationship. The Church</w:t>
      </w:r>
      <w:r w:rsidR="00F16217" w:rsidRPr="005F315A">
        <w:rPr>
          <w:rFonts w:ascii="Garamond" w:hAnsi="Garamond"/>
        </w:rPr>
        <w:t>’</w:t>
      </w:r>
      <w:r w:rsidRPr="005F315A">
        <w:rPr>
          <w:rFonts w:ascii="Garamond" w:hAnsi="Garamond"/>
        </w:rPr>
        <w:t xml:space="preserve">s path of transformation culminated in the Second Vatican Council (1962-65), </w:t>
      </w:r>
      <w:r w:rsidR="005C7AF4" w:rsidRPr="005F315A">
        <w:rPr>
          <w:rFonts w:ascii="Garamond" w:hAnsi="Garamond"/>
        </w:rPr>
        <w:t>although</w:t>
      </w:r>
      <w:r w:rsidRPr="005F315A">
        <w:rPr>
          <w:rFonts w:ascii="Garamond" w:hAnsi="Garamond"/>
        </w:rPr>
        <w:t xml:space="preserve"> follow</w:t>
      </w:r>
      <w:r w:rsidR="005C7AF4" w:rsidRPr="005F315A">
        <w:rPr>
          <w:rFonts w:ascii="Garamond" w:hAnsi="Garamond"/>
        </w:rPr>
        <w:t>ing</w:t>
      </w:r>
      <w:r w:rsidRPr="005F315A">
        <w:rPr>
          <w:rFonts w:ascii="Garamond" w:hAnsi="Garamond"/>
        </w:rPr>
        <w:t xml:space="preserve"> from what William Barde</w:t>
      </w:r>
      <w:r w:rsidR="00F16217" w:rsidRPr="005F315A">
        <w:rPr>
          <w:rStyle w:val="Refdenotaderodap"/>
          <w:rFonts w:ascii="Garamond" w:hAnsi="Garamond"/>
        </w:rPr>
        <w:footnoteReference w:id="21"/>
      </w:r>
      <w:r w:rsidRPr="005F315A">
        <w:rPr>
          <w:rFonts w:ascii="Garamond" w:hAnsi="Garamond"/>
        </w:rPr>
        <w:t xml:space="preserve"> called the ‘modern’ Liturgical Movement, which </w:t>
      </w:r>
      <w:r w:rsidR="00F16217" w:rsidRPr="005F315A">
        <w:rPr>
          <w:rFonts w:ascii="Garamond" w:hAnsi="Garamond"/>
        </w:rPr>
        <w:t>was</w:t>
      </w:r>
      <w:r w:rsidRPr="005F315A">
        <w:rPr>
          <w:rFonts w:ascii="Garamond" w:hAnsi="Garamond"/>
        </w:rPr>
        <w:t xml:space="preserve"> underway since the 19th century; </w:t>
      </w:r>
      <w:r w:rsidR="00F16217" w:rsidRPr="005F315A">
        <w:rPr>
          <w:rFonts w:ascii="Garamond" w:hAnsi="Garamond"/>
        </w:rPr>
        <w:t xml:space="preserve">as to </w:t>
      </w:r>
      <w:r w:rsidRPr="005F315A">
        <w:rPr>
          <w:rFonts w:ascii="Garamond" w:hAnsi="Garamond"/>
        </w:rPr>
        <w:t>Architecture</w:t>
      </w:r>
      <w:r w:rsidR="00F16217" w:rsidRPr="005F315A">
        <w:rPr>
          <w:rFonts w:ascii="Garamond" w:hAnsi="Garamond"/>
        </w:rPr>
        <w:t>, it</w:t>
      </w:r>
      <w:r w:rsidRPr="005F315A">
        <w:rPr>
          <w:rFonts w:ascii="Garamond" w:hAnsi="Garamond"/>
        </w:rPr>
        <w:t xml:space="preserve"> embodi</w:t>
      </w:r>
      <w:r w:rsidR="008F5C3D" w:rsidRPr="005F315A">
        <w:rPr>
          <w:rFonts w:ascii="Garamond" w:hAnsi="Garamond"/>
        </w:rPr>
        <w:t>ed</w:t>
      </w:r>
      <w:r w:rsidRPr="005F315A">
        <w:rPr>
          <w:rFonts w:ascii="Garamond" w:hAnsi="Garamond"/>
        </w:rPr>
        <w:t xml:space="preserve"> the Modern Movement.</w:t>
      </w:r>
    </w:p>
    <w:p w14:paraId="2D3F052B" w14:textId="0CB3E863" w:rsidR="00E46B70" w:rsidRPr="005F315A" w:rsidRDefault="004672DD" w:rsidP="00481DE0">
      <w:pPr>
        <w:spacing w:after="240" w:line="360" w:lineRule="auto"/>
        <w:jc w:val="both"/>
        <w:rPr>
          <w:rFonts w:ascii="Garamond" w:hAnsi="Garamond"/>
          <w:b/>
          <w:bCs/>
        </w:rPr>
      </w:pPr>
      <w:r w:rsidRPr="005F315A">
        <w:rPr>
          <w:rFonts w:ascii="Garamond" w:hAnsi="Garamond"/>
          <w:b/>
          <w:bCs/>
        </w:rPr>
        <w:t>3.1</w:t>
      </w:r>
      <w:r w:rsidR="00D275F2" w:rsidRPr="005F315A">
        <w:rPr>
          <w:rFonts w:ascii="Garamond" w:hAnsi="Garamond"/>
          <w:b/>
          <w:bCs/>
        </w:rPr>
        <w:t>.</w:t>
      </w:r>
      <w:r w:rsidR="00437538" w:rsidRPr="005F315A">
        <w:rPr>
          <w:rFonts w:ascii="Garamond" w:hAnsi="Garamond"/>
          <w:b/>
          <w:bCs/>
        </w:rPr>
        <w:t xml:space="preserve"> </w:t>
      </w:r>
      <w:r w:rsidRPr="005F315A">
        <w:rPr>
          <w:rFonts w:ascii="Garamond" w:hAnsi="Garamond"/>
          <w:b/>
          <w:bCs/>
        </w:rPr>
        <w:t xml:space="preserve">The changing Church </w:t>
      </w:r>
    </w:p>
    <w:p w14:paraId="76CA7489" w14:textId="5CEC018A" w:rsidR="00C749E8" w:rsidRPr="005F315A" w:rsidRDefault="008F5C3D" w:rsidP="00F340BE">
      <w:pPr>
        <w:spacing w:line="360" w:lineRule="auto"/>
        <w:jc w:val="both"/>
        <w:rPr>
          <w:rFonts w:ascii="Garamond" w:hAnsi="Garamond"/>
        </w:rPr>
      </w:pPr>
      <w:r w:rsidRPr="005F315A">
        <w:rPr>
          <w:rFonts w:ascii="Garamond" w:hAnsi="Garamond"/>
        </w:rPr>
        <w:t xml:space="preserve">In the twentieth century the </w:t>
      </w:r>
      <w:r w:rsidR="003D3B6A" w:rsidRPr="005F315A">
        <w:rPr>
          <w:rFonts w:ascii="Garamond" w:hAnsi="Garamond"/>
        </w:rPr>
        <w:t xml:space="preserve">forces </w:t>
      </w:r>
      <w:r w:rsidRPr="005F315A">
        <w:rPr>
          <w:rFonts w:ascii="Garamond" w:hAnsi="Garamond"/>
        </w:rPr>
        <w:t xml:space="preserve">moving the world were happening outside the Church (contrary to what occurred in the Middle Ages when it largely determined them) and it was now the Catholic structure that had to make an effort to accompany it, as noted by Harry </w:t>
      </w:r>
      <w:r w:rsidR="00C749E8" w:rsidRPr="005F315A">
        <w:rPr>
          <w:rFonts w:ascii="Garamond" w:hAnsi="Garamond"/>
        </w:rPr>
        <w:t>Emerson Fosdick</w:t>
      </w:r>
      <w:r w:rsidR="00F9344F" w:rsidRPr="005F315A">
        <w:rPr>
          <w:rStyle w:val="Refdenotaderodap"/>
          <w:rFonts w:ascii="Garamond" w:hAnsi="Garamond"/>
        </w:rPr>
        <w:footnoteReference w:id="22"/>
      </w:r>
      <w:r w:rsidR="00C749E8" w:rsidRPr="005F315A">
        <w:rPr>
          <w:rFonts w:ascii="Garamond" w:hAnsi="Garamond"/>
        </w:rPr>
        <w:t xml:space="preserve">, </w:t>
      </w:r>
      <w:r w:rsidRPr="005F315A">
        <w:rPr>
          <w:rFonts w:ascii="Garamond" w:hAnsi="Garamond"/>
        </w:rPr>
        <w:t>in</w:t>
      </w:r>
      <w:r w:rsidR="00C749E8" w:rsidRPr="005F315A">
        <w:rPr>
          <w:rFonts w:ascii="Garamond" w:hAnsi="Garamond"/>
        </w:rPr>
        <w:t xml:space="preserve"> 1913:</w:t>
      </w:r>
    </w:p>
    <w:p w14:paraId="4FE5A00F" w14:textId="1C718C5A" w:rsidR="00C749E8" w:rsidRPr="005F315A" w:rsidRDefault="00E62BF9" w:rsidP="00F340BE">
      <w:pPr>
        <w:spacing w:after="240" w:line="360" w:lineRule="auto"/>
        <w:ind w:left="567"/>
        <w:jc w:val="both"/>
        <w:rPr>
          <w:rFonts w:ascii="Garamond" w:hAnsi="Garamond"/>
          <w:sz w:val="20"/>
          <w:szCs w:val="20"/>
        </w:rPr>
      </w:pPr>
      <w:r w:rsidRPr="005F315A">
        <w:rPr>
          <w:rFonts w:ascii="Garamond" w:hAnsi="Garamond"/>
          <w:sz w:val="20"/>
          <w:szCs w:val="20"/>
        </w:rPr>
        <w:lastRenderedPageBreak/>
        <w:t>‘</w:t>
      </w:r>
      <w:r w:rsidR="00C749E8" w:rsidRPr="005F315A">
        <w:rPr>
          <w:rFonts w:ascii="Garamond" w:hAnsi="Garamond"/>
          <w:sz w:val="20"/>
          <w:szCs w:val="20"/>
        </w:rPr>
        <w:t>The Church, as a mystical communion of saints, may escape the compelling effects of democracy and science; but the churches as organisations… can no more evade the transforming influences of the modern world than can institutions of politics and business.</w:t>
      </w:r>
      <w:r w:rsidRPr="005F315A">
        <w:rPr>
          <w:rFonts w:ascii="Garamond" w:hAnsi="Garamond"/>
          <w:sz w:val="20"/>
          <w:szCs w:val="20"/>
        </w:rPr>
        <w:t>’</w:t>
      </w:r>
      <w:r w:rsidR="00C749E8" w:rsidRPr="005F315A">
        <w:rPr>
          <w:rFonts w:ascii="Garamond" w:hAnsi="Garamond"/>
          <w:sz w:val="20"/>
          <w:szCs w:val="20"/>
        </w:rPr>
        <w:t xml:space="preserve"> (p.615)</w:t>
      </w:r>
    </w:p>
    <w:p w14:paraId="0FF3EADE" w14:textId="50872ED6" w:rsidR="00D222D3" w:rsidRPr="005F315A" w:rsidRDefault="00D222D3" w:rsidP="00FC5194">
      <w:pPr>
        <w:spacing w:after="240" w:line="360" w:lineRule="auto"/>
        <w:jc w:val="both"/>
        <w:rPr>
          <w:rFonts w:ascii="Garamond" w:hAnsi="Garamond"/>
        </w:rPr>
      </w:pPr>
      <w:r w:rsidRPr="005F315A">
        <w:rPr>
          <w:rFonts w:ascii="Garamond" w:hAnsi="Garamond"/>
        </w:rPr>
        <w:t>Fosdick calls for the need for the Church to reunite and live up to the expectations of modern devotees who were seduced by the ‘two master powers of our age’ – democracy and science. (p.616) He was certainly reacting to the regression of religious practice by the Catholic community that Barden portrays as follows: ‘We all know how depressing the figures for Mass-attendance, especially for men, are in many places’ (p.668).</w:t>
      </w:r>
    </w:p>
    <w:p w14:paraId="243256D3" w14:textId="6523F61D" w:rsidR="00D222D3" w:rsidRPr="005F315A" w:rsidRDefault="00D222D3" w:rsidP="00D222D3">
      <w:pPr>
        <w:spacing w:line="360" w:lineRule="auto"/>
        <w:jc w:val="both"/>
        <w:rPr>
          <w:rFonts w:ascii="Garamond" w:hAnsi="Garamond"/>
        </w:rPr>
      </w:pPr>
      <w:r w:rsidRPr="005F315A">
        <w:rPr>
          <w:rFonts w:ascii="Garamond" w:hAnsi="Garamond"/>
        </w:rPr>
        <w:t xml:space="preserve">The reconnection with the faithful was thus needed and, in fact, was already happening since the </w:t>
      </w:r>
      <w:r w:rsidR="00E0739B" w:rsidRPr="005F315A">
        <w:rPr>
          <w:rFonts w:ascii="Garamond" w:hAnsi="Garamond"/>
        </w:rPr>
        <w:t>early</w:t>
      </w:r>
      <w:r w:rsidRPr="005F315A">
        <w:rPr>
          <w:rFonts w:ascii="Garamond" w:hAnsi="Garamond"/>
        </w:rPr>
        <w:t xml:space="preserve"> 19th century due to the influence of a sequence of Benedictine </w:t>
      </w:r>
      <w:r w:rsidR="00F518A5" w:rsidRPr="005F315A">
        <w:rPr>
          <w:rFonts w:ascii="Garamond" w:hAnsi="Garamond"/>
        </w:rPr>
        <w:t>monks</w:t>
      </w:r>
      <w:r w:rsidRPr="005F315A">
        <w:rPr>
          <w:rFonts w:ascii="Garamond" w:hAnsi="Garamond"/>
        </w:rPr>
        <w:t xml:space="preserve">, as explained by Barden, first in </w:t>
      </w:r>
      <w:proofErr w:type="spellStart"/>
      <w:r w:rsidRPr="005F315A">
        <w:rPr>
          <w:rFonts w:ascii="Garamond" w:hAnsi="Garamond"/>
        </w:rPr>
        <w:t>Solesmes</w:t>
      </w:r>
      <w:proofErr w:type="spellEnd"/>
      <w:r w:rsidRPr="005F315A">
        <w:rPr>
          <w:rFonts w:ascii="Garamond" w:hAnsi="Garamond"/>
        </w:rPr>
        <w:t xml:space="preserve">, then in Louvain and more recently in the abbey of Maria- </w:t>
      </w:r>
      <w:proofErr w:type="spellStart"/>
      <w:r w:rsidRPr="005F315A">
        <w:rPr>
          <w:rFonts w:ascii="Garamond" w:hAnsi="Garamond"/>
        </w:rPr>
        <w:t>Laach</w:t>
      </w:r>
      <w:proofErr w:type="spellEnd"/>
      <w:r w:rsidRPr="005F315A">
        <w:rPr>
          <w:rFonts w:ascii="Garamond" w:hAnsi="Garamond"/>
        </w:rPr>
        <w:t xml:space="preserve">. Gradually </w:t>
      </w:r>
      <w:r w:rsidR="00E0739B" w:rsidRPr="005F315A">
        <w:rPr>
          <w:rFonts w:ascii="Garamond" w:hAnsi="Garamond"/>
        </w:rPr>
        <w:t>moving towards an active participation of parishioners in public worship and liturgy, a profound transformation of the church known as the Liturgical Movement was taking place</w:t>
      </w:r>
      <w:r w:rsidR="00F518A5" w:rsidRPr="005F315A">
        <w:rPr>
          <w:rFonts w:ascii="Garamond" w:hAnsi="Garamond"/>
        </w:rPr>
        <w:t>,</w:t>
      </w:r>
      <w:r w:rsidR="00E0739B" w:rsidRPr="005F315A">
        <w:rPr>
          <w:rFonts w:ascii="Garamond" w:hAnsi="Garamond"/>
        </w:rPr>
        <w:t xml:space="preserve"> </w:t>
      </w:r>
      <w:r w:rsidRPr="005F315A">
        <w:rPr>
          <w:rFonts w:ascii="Garamond" w:hAnsi="Garamond"/>
        </w:rPr>
        <w:t xml:space="preserve">laying and spreading </w:t>
      </w:r>
      <w:r w:rsidR="00E0739B" w:rsidRPr="005F315A">
        <w:rPr>
          <w:rFonts w:ascii="Garamond" w:hAnsi="Garamond"/>
        </w:rPr>
        <w:t>its new</w:t>
      </w:r>
      <w:r w:rsidRPr="005F315A">
        <w:rPr>
          <w:rFonts w:ascii="Garamond" w:hAnsi="Garamond"/>
        </w:rPr>
        <w:t xml:space="preserve"> foundations. And if, as Roland </w:t>
      </w:r>
      <w:proofErr w:type="spellStart"/>
      <w:r w:rsidRPr="005F315A">
        <w:rPr>
          <w:rFonts w:ascii="Garamond" w:hAnsi="Garamond"/>
        </w:rPr>
        <w:t>Millare</w:t>
      </w:r>
      <w:proofErr w:type="spellEnd"/>
      <w:r w:rsidRPr="005F315A">
        <w:rPr>
          <w:rFonts w:ascii="Garamond" w:hAnsi="Garamond"/>
        </w:rPr>
        <w:t xml:space="preserve"> (p.132)</w:t>
      </w:r>
      <w:r w:rsidR="00E0739B" w:rsidRPr="005F315A">
        <w:rPr>
          <w:rStyle w:val="Refdenotaderodap"/>
          <w:rFonts w:ascii="Garamond" w:hAnsi="Garamond"/>
        </w:rPr>
        <w:footnoteReference w:id="23"/>
      </w:r>
      <w:r w:rsidRPr="005F315A">
        <w:rPr>
          <w:rFonts w:ascii="Garamond" w:hAnsi="Garamond"/>
        </w:rPr>
        <w:t xml:space="preserve"> </w:t>
      </w:r>
      <w:r w:rsidR="00E0739B" w:rsidRPr="005F315A">
        <w:rPr>
          <w:rFonts w:ascii="Garamond" w:hAnsi="Garamond"/>
        </w:rPr>
        <w:t>asserted</w:t>
      </w:r>
      <w:r w:rsidRPr="005F315A">
        <w:rPr>
          <w:rFonts w:ascii="Garamond" w:hAnsi="Garamond"/>
        </w:rPr>
        <w:t xml:space="preserve">, </w:t>
      </w:r>
      <w:r w:rsidR="00E0739B" w:rsidRPr="005F315A">
        <w:rPr>
          <w:rFonts w:ascii="Garamond" w:hAnsi="Garamond"/>
        </w:rPr>
        <w:t>it</w:t>
      </w:r>
      <w:r w:rsidRPr="005F315A">
        <w:rPr>
          <w:rFonts w:ascii="Garamond" w:hAnsi="Garamond"/>
        </w:rPr>
        <w:t xml:space="preserve"> did not </w:t>
      </w:r>
      <w:r w:rsidR="00E0739B" w:rsidRPr="005F315A">
        <w:rPr>
          <w:rFonts w:ascii="Garamond" w:hAnsi="Garamond"/>
        </w:rPr>
        <w:t>have</w:t>
      </w:r>
      <w:r w:rsidRPr="005F315A">
        <w:rPr>
          <w:rFonts w:ascii="Garamond" w:hAnsi="Garamond"/>
        </w:rPr>
        <w:t xml:space="preserve"> as main concerns</w:t>
      </w:r>
    </w:p>
    <w:p w14:paraId="615E74ED" w14:textId="0B98BEB5" w:rsidR="00F42BC0" w:rsidRPr="005F315A" w:rsidRDefault="00FC5194" w:rsidP="00F42BC0">
      <w:pPr>
        <w:spacing w:after="240" w:line="360" w:lineRule="auto"/>
        <w:ind w:left="567"/>
        <w:jc w:val="both"/>
        <w:rPr>
          <w:rFonts w:ascii="Garamond" w:hAnsi="Garamond"/>
          <w:sz w:val="20"/>
          <w:szCs w:val="20"/>
        </w:rPr>
      </w:pPr>
      <w:r w:rsidRPr="005F315A">
        <w:rPr>
          <w:rFonts w:ascii="Garamond" w:hAnsi="Garamond"/>
          <w:sz w:val="20"/>
          <w:szCs w:val="20"/>
        </w:rPr>
        <w:t xml:space="preserve">‘Changing the language in which the liturgy was celebrated from the exclusive use of Latin to the vernacular, shifting from the celebrant’s </w:t>
      </w:r>
      <w:r w:rsidRPr="005F315A">
        <w:rPr>
          <w:rFonts w:ascii="Garamond" w:hAnsi="Garamond"/>
          <w:i/>
          <w:iCs/>
          <w:sz w:val="20"/>
          <w:szCs w:val="20"/>
        </w:rPr>
        <w:t xml:space="preserve">ad </w:t>
      </w:r>
      <w:proofErr w:type="spellStart"/>
      <w:r w:rsidRPr="005F315A">
        <w:rPr>
          <w:rFonts w:ascii="Garamond" w:hAnsi="Garamond"/>
          <w:i/>
          <w:iCs/>
          <w:sz w:val="20"/>
          <w:szCs w:val="20"/>
        </w:rPr>
        <w:t>orientem</w:t>
      </w:r>
      <w:proofErr w:type="spellEnd"/>
      <w:r w:rsidRPr="005F315A">
        <w:rPr>
          <w:rFonts w:ascii="Garamond" w:hAnsi="Garamond"/>
          <w:sz w:val="20"/>
          <w:szCs w:val="20"/>
        </w:rPr>
        <w:t xml:space="preserve"> position to a </w:t>
      </w:r>
      <w:r w:rsidRPr="005F315A">
        <w:rPr>
          <w:rFonts w:ascii="Garamond" w:hAnsi="Garamond"/>
          <w:i/>
          <w:iCs/>
          <w:sz w:val="20"/>
          <w:szCs w:val="20"/>
        </w:rPr>
        <w:t>versus populum</w:t>
      </w:r>
      <w:r w:rsidRPr="005F315A">
        <w:rPr>
          <w:rFonts w:ascii="Garamond" w:hAnsi="Garamond"/>
          <w:sz w:val="20"/>
          <w:szCs w:val="20"/>
        </w:rPr>
        <w:t>, or making evening Masses available</w:t>
      </w:r>
      <w:r w:rsidR="008E57FB" w:rsidRPr="005F315A">
        <w:rPr>
          <w:rFonts w:ascii="Garamond" w:hAnsi="Garamond"/>
          <w:sz w:val="20"/>
          <w:szCs w:val="20"/>
        </w:rPr>
        <w:t>’</w:t>
      </w:r>
      <w:r w:rsidR="00C04716" w:rsidRPr="005F315A">
        <w:rPr>
          <w:rFonts w:ascii="Garamond" w:hAnsi="Garamond"/>
          <w:sz w:val="20"/>
          <w:szCs w:val="20"/>
        </w:rPr>
        <w:t>,</w:t>
      </w:r>
      <w:r w:rsidR="008E57FB" w:rsidRPr="005F315A">
        <w:rPr>
          <w:rFonts w:ascii="Garamond" w:hAnsi="Garamond"/>
          <w:sz w:val="20"/>
          <w:szCs w:val="20"/>
        </w:rPr>
        <w:t xml:space="preserve"> </w:t>
      </w:r>
    </w:p>
    <w:p w14:paraId="08F4C6F1" w14:textId="545640CD" w:rsidR="00E0739B" w:rsidRPr="005F315A" w:rsidRDefault="00E0739B" w:rsidP="00E0739B">
      <w:pPr>
        <w:spacing w:after="240" w:line="360" w:lineRule="auto"/>
        <w:jc w:val="both"/>
        <w:rPr>
          <w:rFonts w:ascii="Garamond" w:hAnsi="Garamond"/>
        </w:rPr>
      </w:pPr>
      <w:r w:rsidRPr="005F315A">
        <w:rPr>
          <w:rFonts w:ascii="Garamond" w:hAnsi="Garamond"/>
        </w:rPr>
        <w:t>it would come to be significantly represented by these transformations, since the most immediately visible to the eyes of parishioners and atheists.</w:t>
      </w:r>
    </w:p>
    <w:p w14:paraId="45A9699F" w14:textId="2ADBEEF8" w:rsidR="00AB637B" w:rsidRPr="005F315A" w:rsidRDefault="00AB637B" w:rsidP="00AB637B">
      <w:pPr>
        <w:spacing w:after="240" w:line="360" w:lineRule="auto"/>
        <w:jc w:val="both"/>
        <w:rPr>
          <w:rFonts w:ascii="Garamond" w:hAnsi="Garamond"/>
          <w:b/>
          <w:bCs/>
        </w:rPr>
      </w:pPr>
      <w:r w:rsidRPr="005F315A">
        <w:rPr>
          <w:rFonts w:ascii="Garamond" w:hAnsi="Garamond"/>
          <w:b/>
          <w:bCs/>
        </w:rPr>
        <w:t xml:space="preserve">3.2. Church and </w:t>
      </w:r>
      <w:r w:rsidR="005E2431" w:rsidRPr="005F315A">
        <w:rPr>
          <w:rFonts w:ascii="Garamond" w:hAnsi="Garamond"/>
          <w:b/>
          <w:bCs/>
        </w:rPr>
        <w:t>Architecture</w:t>
      </w:r>
    </w:p>
    <w:p w14:paraId="7D1A7DF4" w14:textId="2A945BC5" w:rsidR="00E0739B" w:rsidRPr="005F315A" w:rsidRDefault="00E0739B" w:rsidP="00F26C90">
      <w:pPr>
        <w:spacing w:line="360" w:lineRule="auto"/>
        <w:jc w:val="both"/>
        <w:rPr>
          <w:rFonts w:ascii="Garamond" w:hAnsi="Garamond"/>
        </w:rPr>
      </w:pPr>
      <w:r w:rsidRPr="005F315A">
        <w:rPr>
          <w:rFonts w:ascii="Garamond" w:hAnsi="Garamond"/>
        </w:rPr>
        <w:t xml:space="preserve">The fact is that it was those secondary changes that introduced a potential impact on both the spatial organization of the church and its renewed conceptualization, and produced the encounter with </w:t>
      </w:r>
      <w:r w:rsidR="005E2431" w:rsidRPr="005F315A">
        <w:rPr>
          <w:rFonts w:ascii="Garamond" w:hAnsi="Garamond"/>
        </w:rPr>
        <w:t xml:space="preserve">the </w:t>
      </w:r>
      <w:r w:rsidRPr="005F315A">
        <w:rPr>
          <w:rFonts w:ascii="Garamond" w:hAnsi="Garamond"/>
        </w:rPr>
        <w:t>modern architects</w:t>
      </w:r>
      <w:r w:rsidR="005E2431" w:rsidRPr="005F315A">
        <w:rPr>
          <w:rFonts w:ascii="Garamond" w:hAnsi="Garamond"/>
        </w:rPr>
        <w:t>,</w:t>
      </w:r>
      <w:r w:rsidRPr="005F315A">
        <w:rPr>
          <w:rFonts w:ascii="Garamond" w:hAnsi="Garamond"/>
        </w:rPr>
        <w:t xml:space="preserve"> as </w:t>
      </w:r>
      <w:r w:rsidR="005E2431" w:rsidRPr="005F315A">
        <w:rPr>
          <w:rFonts w:ascii="Garamond" w:hAnsi="Garamond"/>
        </w:rPr>
        <w:t>encapsulated by</w:t>
      </w:r>
      <w:r w:rsidRPr="005F315A">
        <w:rPr>
          <w:rFonts w:ascii="Garamond" w:hAnsi="Garamond"/>
        </w:rPr>
        <w:t xml:space="preserve"> Dom Frédéric </w:t>
      </w:r>
      <w:proofErr w:type="spellStart"/>
      <w:r w:rsidRPr="005F315A">
        <w:rPr>
          <w:rFonts w:ascii="Garamond" w:hAnsi="Garamond"/>
        </w:rPr>
        <w:t>Debuyst</w:t>
      </w:r>
      <w:proofErr w:type="spellEnd"/>
      <w:r w:rsidRPr="005F315A">
        <w:rPr>
          <w:rFonts w:ascii="Garamond" w:hAnsi="Garamond"/>
        </w:rPr>
        <w:t>:</w:t>
      </w:r>
    </w:p>
    <w:p w14:paraId="3DA825DA" w14:textId="45F71A2D" w:rsidR="00F26C90" w:rsidRPr="005F315A" w:rsidRDefault="000D3C0A" w:rsidP="00F26C90">
      <w:pPr>
        <w:spacing w:after="240" w:line="360" w:lineRule="auto"/>
        <w:ind w:left="567"/>
        <w:jc w:val="both"/>
        <w:rPr>
          <w:rFonts w:ascii="Garamond" w:hAnsi="Garamond"/>
          <w:sz w:val="20"/>
          <w:szCs w:val="20"/>
        </w:rPr>
      </w:pPr>
      <w:r w:rsidRPr="005F315A">
        <w:rPr>
          <w:rFonts w:ascii="Garamond" w:hAnsi="Garamond"/>
          <w:sz w:val="20"/>
          <w:szCs w:val="20"/>
        </w:rPr>
        <w:t>Modern religious architecture was born</w:t>
      </w:r>
      <w:r w:rsidR="00F26C90" w:rsidRPr="005F315A">
        <w:rPr>
          <w:rFonts w:ascii="Garamond" w:hAnsi="Garamond"/>
          <w:sz w:val="20"/>
          <w:szCs w:val="20"/>
        </w:rPr>
        <w:t xml:space="preserve"> </w:t>
      </w:r>
      <w:r w:rsidRPr="005F315A">
        <w:rPr>
          <w:rFonts w:ascii="Garamond" w:hAnsi="Garamond"/>
          <w:sz w:val="20"/>
          <w:szCs w:val="20"/>
        </w:rPr>
        <w:t xml:space="preserve">around 1930 out of the union of two </w:t>
      </w:r>
      <w:r w:rsidR="00F26C90" w:rsidRPr="005F315A">
        <w:rPr>
          <w:rFonts w:ascii="Garamond" w:hAnsi="Garamond"/>
          <w:sz w:val="20"/>
          <w:szCs w:val="20"/>
        </w:rPr>
        <w:t>different</w:t>
      </w:r>
      <w:r w:rsidRPr="005F315A">
        <w:rPr>
          <w:rFonts w:ascii="Garamond" w:hAnsi="Garamond"/>
          <w:sz w:val="20"/>
          <w:szCs w:val="20"/>
        </w:rPr>
        <w:t xml:space="preserve"> phenomena: on the one hand modern architecture […], on the other hand, the liturgical movement, with its theological, pastoral and cultural implications’.</w:t>
      </w:r>
      <w:r w:rsidRPr="005F315A">
        <w:rPr>
          <w:rStyle w:val="Refdenotaderodap"/>
          <w:rFonts w:ascii="Garamond" w:hAnsi="Garamond"/>
          <w:sz w:val="20"/>
          <w:szCs w:val="20"/>
        </w:rPr>
        <w:footnoteReference w:id="24"/>
      </w:r>
      <w:r w:rsidR="00DD03ED" w:rsidRPr="005F315A">
        <w:rPr>
          <w:rFonts w:ascii="Garamond" w:hAnsi="Garamond"/>
          <w:sz w:val="20"/>
          <w:szCs w:val="20"/>
        </w:rPr>
        <w:t xml:space="preserve"> </w:t>
      </w:r>
    </w:p>
    <w:p w14:paraId="1DD1AC4D" w14:textId="24316FE0" w:rsidR="005E2431" w:rsidRPr="005F315A" w:rsidRDefault="005E2431" w:rsidP="00FC5194">
      <w:pPr>
        <w:spacing w:after="240" w:line="360" w:lineRule="auto"/>
        <w:jc w:val="both"/>
        <w:rPr>
          <w:rFonts w:ascii="Garamond" w:hAnsi="Garamond"/>
        </w:rPr>
      </w:pPr>
      <w:r w:rsidRPr="005F315A">
        <w:rPr>
          <w:rFonts w:ascii="Garamond" w:hAnsi="Garamond"/>
        </w:rPr>
        <w:t>In a way, it was also happening the encounter with science (one of the 'master powers' mentioned above by Fosdick) through their technological manifestations, as it was exactly its seduction – ‘Machinery (…) has aroused a new spirit’</w:t>
      </w:r>
      <w:r w:rsidRPr="005F315A">
        <w:rPr>
          <w:rStyle w:val="Refdenotaderodap"/>
          <w:rFonts w:ascii="Garamond" w:hAnsi="Garamond"/>
        </w:rPr>
        <w:footnoteReference w:id="25"/>
      </w:r>
      <w:r w:rsidRPr="005F315A">
        <w:rPr>
          <w:rFonts w:ascii="Garamond" w:hAnsi="Garamond"/>
        </w:rPr>
        <w:t xml:space="preserve"> – which founded the ‘revolution in architecture’</w:t>
      </w:r>
      <w:r w:rsidRPr="00E62BF9">
        <w:rPr>
          <w:rFonts w:ascii="Garamond" w:hAnsi="Garamond"/>
        </w:rPr>
        <w:t xml:space="preserve"> proclaimed by Le Corbusier, </w:t>
      </w:r>
      <w:r w:rsidRPr="00E62BF9">
        <w:rPr>
          <w:rFonts w:ascii="Garamond" w:hAnsi="Garamond"/>
        </w:rPr>
        <w:lastRenderedPageBreak/>
        <w:t xml:space="preserve">one of the most emblematic </w:t>
      </w:r>
      <w:r w:rsidRPr="005F315A">
        <w:rPr>
          <w:rFonts w:ascii="Garamond" w:hAnsi="Garamond"/>
        </w:rPr>
        <w:t xml:space="preserve">representatives of Modern Architecture and Urbanism, in </w:t>
      </w:r>
      <w:proofErr w:type="spellStart"/>
      <w:r w:rsidRPr="005F315A">
        <w:rPr>
          <w:rFonts w:ascii="Garamond" w:hAnsi="Garamond"/>
          <w:i/>
          <w:iCs/>
        </w:rPr>
        <w:t>Vers</w:t>
      </w:r>
      <w:proofErr w:type="spellEnd"/>
      <w:r w:rsidRPr="005F315A">
        <w:rPr>
          <w:rFonts w:ascii="Garamond" w:hAnsi="Garamond"/>
          <w:i/>
          <w:iCs/>
        </w:rPr>
        <w:t xml:space="preserve"> </w:t>
      </w:r>
      <w:proofErr w:type="spellStart"/>
      <w:r w:rsidRPr="005F315A">
        <w:rPr>
          <w:rFonts w:ascii="Garamond" w:hAnsi="Garamond"/>
          <w:i/>
          <w:iCs/>
        </w:rPr>
        <w:t>une</w:t>
      </w:r>
      <w:proofErr w:type="spellEnd"/>
      <w:r w:rsidRPr="005F315A">
        <w:rPr>
          <w:rFonts w:ascii="Garamond" w:hAnsi="Garamond"/>
          <w:i/>
          <w:iCs/>
        </w:rPr>
        <w:t xml:space="preserve"> architecture</w:t>
      </w:r>
      <w:r w:rsidRPr="005F315A">
        <w:rPr>
          <w:rFonts w:ascii="Garamond" w:hAnsi="Garamond"/>
        </w:rPr>
        <w:t>, published in 1923.</w:t>
      </w:r>
    </w:p>
    <w:p w14:paraId="144D5A5A" w14:textId="25D889D3" w:rsidR="005E2431" w:rsidRPr="005F315A" w:rsidRDefault="005E2431" w:rsidP="00FC5194">
      <w:pPr>
        <w:spacing w:after="240" w:line="360" w:lineRule="auto"/>
        <w:jc w:val="both"/>
        <w:rPr>
          <w:rFonts w:ascii="Garamond" w:hAnsi="Garamond"/>
        </w:rPr>
      </w:pPr>
      <w:r w:rsidRPr="005F315A">
        <w:rPr>
          <w:rFonts w:ascii="Garamond" w:hAnsi="Garamond"/>
        </w:rPr>
        <w:t xml:space="preserve">Thus took shape what Anne-Françoise Morel and Stephanie Van de </w:t>
      </w:r>
      <w:proofErr w:type="spellStart"/>
      <w:r w:rsidRPr="005F315A">
        <w:rPr>
          <w:rFonts w:ascii="Garamond" w:hAnsi="Garamond"/>
        </w:rPr>
        <w:t>Voorde</w:t>
      </w:r>
      <w:proofErr w:type="spellEnd"/>
      <w:r w:rsidRPr="005F315A">
        <w:rPr>
          <w:rFonts w:ascii="Garamond" w:hAnsi="Garamond"/>
        </w:rPr>
        <w:t xml:space="preserve"> considered an ‘important strategy or concept advanced by the Church continuously throughout the twentieth century’: the identification of the Liturgical Movement with contemporary architecture. (p.270) They also claimed that ‘the radical changes in Catholic church-building in the mid- to late twentieth century were not primarily due to Vatican II but actually to earlier renewal movements within the Catholic Church’ (</w:t>
      </w:r>
      <w:proofErr w:type="gramStart"/>
      <w:r w:rsidRPr="005F315A">
        <w:rPr>
          <w:rFonts w:ascii="Garamond" w:hAnsi="Garamond"/>
        </w:rPr>
        <w:t>p.272 )</w:t>
      </w:r>
      <w:proofErr w:type="gramEnd"/>
      <w:r w:rsidRPr="005F315A">
        <w:rPr>
          <w:rFonts w:ascii="Garamond" w:hAnsi="Garamond"/>
        </w:rPr>
        <w:t xml:space="preserve">, in these changes including the relationship with Modern architecture, as well as the rediscovery of the Church’s Fathers and, consequently, the revaluation of the </w:t>
      </w:r>
      <w:r w:rsidRPr="005F315A">
        <w:rPr>
          <w:rFonts w:ascii="Garamond" w:hAnsi="Garamond"/>
          <w:i/>
          <w:iCs/>
        </w:rPr>
        <w:t>altar</w:t>
      </w:r>
      <w:r w:rsidRPr="005F315A">
        <w:rPr>
          <w:rFonts w:ascii="Garamond" w:hAnsi="Garamond"/>
        </w:rPr>
        <w:t>. Free to return to the location and configuration prior to the year 1000 AD (Barden’s threshold), the altar became the main key and triggering piece for the new layout of the new church and the materialization of the new architecture.</w:t>
      </w:r>
    </w:p>
    <w:p w14:paraId="0EAB858F" w14:textId="2460927E" w:rsidR="005E2431" w:rsidRPr="005F315A" w:rsidRDefault="005E2431" w:rsidP="00F26C90">
      <w:pPr>
        <w:spacing w:line="360" w:lineRule="auto"/>
        <w:jc w:val="both"/>
        <w:rPr>
          <w:rFonts w:ascii="Garamond" w:hAnsi="Garamond"/>
        </w:rPr>
      </w:pPr>
      <w:r w:rsidRPr="005F315A">
        <w:rPr>
          <w:rFonts w:ascii="Garamond" w:hAnsi="Garamond"/>
        </w:rPr>
        <w:t xml:space="preserve">According to Barden, the period between Gregory VII and the Council of Trent (1073-1545) converted Catholics into spectators of the liturgy, not only for imposing ‘the silent recitation of the Canon’, but also for the positioning of the altar ‘against the wall of the church, so that the priest had his back turned to the people’ (p.669). </w:t>
      </w:r>
      <w:r w:rsidR="00F805D7" w:rsidRPr="005F315A">
        <w:rPr>
          <w:rFonts w:ascii="Garamond" w:hAnsi="Garamond"/>
        </w:rPr>
        <w:t>More recently t</w:t>
      </w:r>
      <w:r w:rsidRPr="005F315A">
        <w:rPr>
          <w:rFonts w:ascii="Garamond" w:hAnsi="Garamond"/>
        </w:rPr>
        <w:t xml:space="preserve">he liturgical changes within the Second Vatican Council formally reversed that imposition and allowed great flexibility to this special ‘table or stand on which sacrifice is offered’, as demonstrated by the </w:t>
      </w:r>
      <w:r w:rsidR="00F805D7" w:rsidRPr="005F315A">
        <w:rPr>
          <w:rFonts w:ascii="Garamond" w:hAnsi="Garamond"/>
        </w:rPr>
        <w:t xml:space="preserve">word’s </w:t>
      </w:r>
      <w:r w:rsidRPr="005F315A">
        <w:rPr>
          <w:rFonts w:ascii="Garamond" w:hAnsi="Garamond"/>
        </w:rPr>
        <w:t xml:space="preserve">definition in the </w:t>
      </w:r>
      <w:r w:rsidRPr="005F315A">
        <w:rPr>
          <w:rFonts w:ascii="Garamond" w:hAnsi="Garamond"/>
          <w:i/>
          <w:iCs/>
        </w:rPr>
        <w:t>Catholic Culture</w:t>
      </w:r>
      <w:r w:rsidRPr="005F315A">
        <w:rPr>
          <w:rFonts w:ascii="Garamond" w:hAnsi="Garamond"/>
        </w:rPr>
        <w:t xml:space="preserve"> website. </w:t>
      </w:r>
      <w:r w:rsidR="00F805D7" w:rsidRPr="005F315A">
        <w:rPr>
          <w:rFonts w:ascii="Garamond" w:hAnsi="Garamond"/>
        </w:rPr>
        <w:t xml:space="preserve">There one learns </w:t>
      </w:r>
      <w:r w:rsidRPr="005F315A">
        <w:rPr>
          <w:rFonts w:ascii="Garamond" w:hAnsi="Garamond"/>
        </w:rPr>
        <w:t>that the altar can be fixed to the floor or movable, be shaped, sized and ornamented accordingly with the structure and character of the sanctuary, as long as both</w:t>
      </w:r>
    </w:p>
    <w:p w14:paraId="28964AA5" w14:textId="077140EB" w:rsidR="004253DD" w:rsidRPr="005F315A" w:rsidRDefault="001C19EF" w:rsidP="00F26C90">
      <w:pPr>
        <w:spacing w:after="240" w:line="360" w:lineRule="auto"/>
        <w:ind w:left="567"/>
        <w:jc w:val="both"/>
        <w:rPr>
          <w:rFonts w:ascii="Garamond" w:hAnsi="Garamond"/>
          <w:sz w:val="20"/>
          <w:szCs w:val="20"/>
        </w:rPr>
      </w:pPr>
      <w:r w:rsidRPr="005F315A">
        <w:rPr>
          <w:rFonts w:ascii="Garamond" w:hAnsi="Garamond"/>
          <w:sz w:val="20"/>
          <w:szCs w:val="20"/>
        </w:rPr>
        <w:t>‘The main altar should be freestanding, away from any wall, so that the priest can walk all around it and can celebrate facing the people</w:t>
      </w:r>
      <w:r w:rsidR="00B072E5" w:rsidRPr="005F315A">
        <w:rPr>
          <w:rFonts w:ascii="Garamond" w:hAnsi="Garamond"/>
          <w:sz w:val="20"/>
          <w:szCs w:val="20"/>
        </w:rPr>
        <w:t>’</w:t>
      </w:r>
      <w:r w:rsidRPr="005F315A">
        <w:rPr>
          <w:rFonts w:ascii="Garamond" w:hAnsi="Garamond"/>
          <w:sz w:val="20"/>
          <w:szCs w:val="20"/>
        </w:rPr>
        <w:t xml:space="preserve"> </w:t>
      </w:r>
      <w:r w:rsidR="00B072E5" w:rsidRPr="005F315A">
        <w:rPr>
          <w:rFonts w:ascii="Garamond" w:hAnsi="Garamond"/>
          <w:sz w:val="20"/>
          <w:szCs w:val="20"/>
        </w:rPr>
        <w:t xml:space="preserve">and </w:t>
      </w:r>
      <w:r w:rsidR="00D275F2" w:rsidRPr="005F315A">
        <w:rPr>
          <w:rFonts w:ascii="Garamond" w:hAnsi="Garamond"/>
          <w:sz w:val="20"/>
          <w:szCs w:val="20"/>
        </w:rPr>
        <w:t>be</w:t>
      </w:r>
      <w:r w:rsidR="00B072E5" w:rsidRPr="005F315A">
        <w:rPr>
          <w:rFonts w:ascii="Garamond" w:hAnsi="Garamond"/>
          <w:sz w:val="20"/>
          <w:szCs w:val="20"/>
        </w:rPr>
        <w:t xml:space="preserve"> positioned in </w:t>
      </w:r>
      <w:r w:rsidRPr="005F315A">
        <w:rPr>
          <w:rFonts w:ascii="Garamond" w:hAnsi="Garamond"/>
          <w:sz w:val="20"/>
          <w:szCs w:val="20"/>
        </w:rPr>
        <w:t xml:space="preserve">such </w:t>
      </w:r>
      <w:r w:rsidR="00B072E5" w:rsidRPr="005F315A">
        <w:rPr>
          <w:rFonts w:ascii="Garamond" w:hAnsi="Garamond"/>
          <w:sz w:val="20"/>
          <w:szCs w:val="20"/>
        </w:rPr>
        <w:t>a way ‘</w:t>
      </w:r>
      <w:r w:rsidRPr="005F315A">
        <w:rPr>
          <w:rFonts w:ascii="Garamond" w:hAnsi="Garamond"/>
          <w:sz w:val="20"/>
          <w:szCs w:val="20"/>
        </w:rPr>
        <w:t>that the entire congregation will naturally focus their attention on it.’</w:t>
      </w:r>
      <w:r w:rsidR="00FB10B0" w:rsidRPr="005F315A">
        <w:rPr>
          <w:rStyle w:val="Refdenotaderodap"/>
          <w:rFonts w:ascii="Garamond" w:hAnsi="Garamond"/>
          <w:sz w:val="20"/>
          <w:szCs w:val="20"/>
        </w:rPr>
        <w:footnoteReference w:id="26"/>
      </w:r>
    </w:p>
    <w:p w14:paraId="7F8DC9D2" w14:textId="146C19AE" w:rsidR="00F805D7" w:rsidRPr="005F315A" w:rsidRDefault="00F805D7" w:rsidP="00FC5194">
      <w:pPr>
        <w:spacing w:after="240" w:line="360" w:lineRule="auto"/>
        <w:jc w:val="both"/>
        <w:rPr>
          <w:rFonts w:ascii="Garamond" w:hAnsi="Garamond"/>
        </w:rPr>
      </w:pPr>
      <w:r w:rsidRPr="005F315A">
        <w:rPr>
          <w:rFonts w:ascii="Garamond" w:hAnsi="Garamond"/>
        </w:rPr>
        <w:t xml:space="preserve">In this process of reconceptualizing the altar and its positioning, the light, which symbolically represents Christ, found new themes for its expression. Modern architecture claimed it as one of its three constituent materials – ‘light and shade’, so Le Corbusier designated it (alongside </w:t>
      </w:r>
      <w:r w:rsidRPr="005F315A">
        <w:rPr>
          <w:rFonts w:ascii="Garamond" w:hAnsi="Garamond"/>
          <w:i/>
          <w:iCs/>
        </w:rPr>
        <w:t>walls</w:t>
      </w:r>
      <w:r w:rsidRPr="005F315A">
        <w:rPr>
          <w:rFonts w:ascii="Garamond" w:hAnsi="Garamond"/>
        </w:rPr>
        <w:t xml:space="preserve"> and </w:t>
      </w:r>
      <w:r w:rsidRPr="005F315A">
        <w:rPr>
          <w:rFonts w:ascii="Garamond" w:hAnsi="Garamond"/>
          <w:i/>
          <w:iCs/>
        </w:rPr>
        <w:t>space</w:t>
      </w:r>
      <w:r w:rsidRPr="005F315A">
        <w:rPr>
          <w:rFonts w:ascii="Garamond" w:hAnsi="Garamond"/>
        </w:rPr>
        <w:t>)</w:t>
      </w:r>
      <w:r w:rsidRPr="005F315A">
        <w:rPr>
          <w:rStyle w:val="Refdenotaderodap"/>
          <w:rFonts w:ascii="Garamond" w:hAnsi="Garamond"/>
        </w:rPr>
        <w:footnoteReference w:id="27"/>
      </w:r>
      <w:r w:rsidRPr="005F315A">
        <w:rPr>
          <w:rFonts w:ascii="Garamond" w:hAnsi="Garamond"/>
        </w:rPr>
        <w:t xml:space="preserve"> – and as a result new reasons </w:t>
      </w:r>
      <w:r w:rsidR="00BA69FE" w:rsidRPr="005F315A">
        <w:rPr>
          <w:rFonts w:ascii="Garamond" w:hAnsi="Garamond"/>
        </w:rPr>
        <w:t>(</w:t>
      </w:r>
      <w:r w:rsidRPr="005F315A">
        <w:rPr>
          <w:rFonts w:ascii="Garamond" w:hAnsi="Garamond"/>
        </w:rPr>
        <w:t>and freedom</w:t>
      </w:r>
      <w:r w:rsidR="00BA69FE" w:rsidRPr="005F315A">
        <w:rPr>
          <w:rFonts w:ascii="Garamond" w:hAnsi="Garamond"/>
        </w:rPr>
        <w:t xml:space="preserve">) </w:t>
      </w:r>
      <w:r w:rsidRPr="005F315A">
        <w:rPr>
          <w:rFonts w:ascii="Garamond" w:hAnsi="Garamond"/>
        </w:rPr>
        <w:t>– were gained for its materialization in church building, internally and externally.</w:t>
      </w:r>
    </w:p>
    <w:p w14:paraId="0F804222" w14:textId="1ED390B1" w:rsidR="00AB637B" w:rsidRPr="005F315A" w:rsidRDefault="00AB637B" w:rsidP="00AB637B">
      <w:pPr>
        <w:spacing w:after="240" w:line="360" w:lineRule="auto"/>
        <w:jc w:val="both"/>
        <w:rPr>
          <w:rFonts w:ascii="Garamond" w:hAnsi="Garamond"/>
          <w:b/>
          <w:bCs/>
        </w:rPr>
      </w:pPr>
      <w:r w:rsidRPr="005F315A">
        <w:rPr>
          <w:rFonts w:ascii="Garamond" w:hAnsi="Garamond"/>
          <w:b/>
          <w:bCs/>
        </w:rPr>
        <w:t xml:space="preserve">3.3. The Sun and the </w:t>
      </w:r>
      <w:r w:rsidR="00FA26ED" w:rsidRPr="005F315A">
        <w:rPr>
          <w:rFonts w:ascii="Garamond" w:hAnsi="Garamond"/>
          <w:b/>
          <w:bCs/>
        </w:rPr>
        <w:t>Modern</w:t>
      </w:r>
      <w:r w:rsidR="007B6E84" w:rsidRPr="005F315A">
        <w:rPr>
          <w:rFonts w:ascii="Garamond" w:hAnsi="Garamond"/>
          <w:b/>
          <w:bCs/>
        </w:rPr>
        <w:t>ist</w:t>
      </w:r>
      <w:r w:rsidR="00FA26ED" w:rsidRPr="005F315A">
        <w:rPr>
          <w:rFonts w:ascii="Garamond" w:hAnsi="Garamond"/>
          <w:b/>
          <w:bCs/>
        </w:rPr>
        <w:t xml:space="preserve"> City </w:t>
      </w:r>
    </w:p>
    <w:p w14:paraId="63E298C7" w14:textId="36EE4BC5" w:rsidR="00F805D7" w:rsidRPr="005F315A" w:rsidRDefault="00F805D7" w:rsidP="00FC5194">
      <w:pPr>
        <w:spacing w:after="240" w:line="360" w:lineRule="auto"/>
        <w:jc w:val="both"/>
        <w:rPr>
          <w:rFonts w:ascii="Garamond" w:hAnsi="Garamond"/>
        </w:rPr>
      </w:pPr>
      <w:r w:rsidRPr="005F315A">
        <w:rPr>
          <w:rFonts w:ascii="Garamond" w:hAnsi="Garamond"/>
        </w:rPr>
        <w:t>The step towards the city, however, remains to be taken. The connection between the building/altar and the sunlight</w:t>
      </w:r>
      <w:r w:rsidR="001D1209" w:rsidRPr="005F315A">
        <w:rPr>
          <w:rFonts w:ascii="Garamond" w:hAnsi="Garamond"/>
        </w:rPr>
        <w:t xml:space="preserve"> that once guided the temple’s alignment and is </w:t>
      </w:r>
      <w:r w:rsidRPr="005F315A">
        <w:rPr>
          <w:rFonts w:ascii="Garamond" w:hAnsi="Garamond"/>
        </w:rPr>
        <w:t xml:space="preserve">now independent of </w:t>
      </w:r>
      <w:r w:rsidR="001D1209" w:rsidRPr="005F315A">
        <w:rPr>
          <w:rFonts w:ascii="Garamond" w:hAnsi="Garamond"/>
        </w:rPr>
        <w:t>its</w:t>
      </w:r>
      <w:r w:rsidRPr="005F315A">
        <w:rPr>
          <w:rFonts w:ascii="Garamond" w:hAnsi="Garamond"/>
        </w:rPr>
        <w:t xml:space="preserve"> walls, makes it </w:t>
      </w:r>
      <w:r w:rsidR="001D1209" w:rsidRPr="005F315A">
        <w:rPr>
          <w:rFonts w:ascii="Garamond" w:hAnsi="Garamond"/>
        </w:rPr>
        <w:t>harder</w:t>
      </w:r>
      <w:r w:rsidRPr="005F315A">
        <w:rPr>
          <w:rFonts w:ascii="Garamond" w:hAnsi="Garamond"/>
        </w:rPr>
        <w:t xml:space="preserve"> </w:t>
      </w:r>
      <w:r w:rsidRPr="005F315A">
        <w:rPr>
          <w:rFonts w:ascii="Garamond" w:hAnsi="Garamond"/>
        </w:rPr>
        <w:lastRenderedPageBreak/>
        <w:t>to explain a relationship with the city. Still, the sun ha</w:t>
      </w:r>
      <w:r w:rsidR="001D1209" w:rsidRPr="005F315A">
        <w:rPr>
          <w:rFonts w:ascii="Garamond" w:hAnsi="Garamond"/>
        </w:rPr>
        <w:t>d</w:t>
      </w:r>
      <w:r w:rsidRPr="005F315A">
        <w:rPr>
          <w:rFonts w:ascii="Garamond" w:hAnsi="Garamond"/>
        </w:rPr>
        <w:t xml:space="preserve"> a central place in the organization of the Modern Cit</w:t>
      </w:r>
      <w:r w:rsidR="00E62BF9" w:rsidRPr="005F315A">
        <w:rPr>
          <w:rFonts w:ascii="Garamond" w:hAnsi="Garamond"/>
        </w:rPr>
        <w:t>y.</w:t>
      </w:r>
    </w:p>
    <w:p w14:paraId="4735445C" w14:textId="2A27C564" w:rsidR="00D04172" w:rsidRPr="005F315A" w:rsidRDefault="00D04172" w:rsidP="00D04172">
      <w:pPr>
        <w:spacing w:after="240" w:line="360" w:lineRule="auto"/>
        <w:jc w:val="center"/>
        <w:rPr>
          <w:rFonts w:ascii="Garamond" w:hAnsi="Garamond"/>
          <w:sz w:val="22"/>
          <w:szCs w:val="22"/>
        </w:rPr>
      </w:pPr>
      <w:r w:rsidRPr="005F315A">
        <w:rPr>
          <w:rFonts w:ascii="Garamond" w:hAnsi="Garamond"/>
          <w:noProof/>
          <w:sz w:val="22"/>
          <w:szCs w:val="22"/>
          <w:lang w:eastAsia="pt-PT"/>
        </w:rPr>
        <w:drawing>
          <wp:inline distT="0" distB="0" distL="0" distR="0" wp14:anchorId="24EC9ECA" wp14:editId="36E000B4">
            <wp:extent cx="5480517" cy="3600000"/>
            <wp:effectExtent l="0" t="0" r="635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0517" cy="3600000"/>
                    </a:xfrm>
                    <a:prstGeom prst="rect">
                      <a:avLst/>
                    </a:prstGeom>
                  </pic:spPr>
                </pic:pic>
              </a:graphicData>
            </a:graphic>
          </wp:inline>
        </w:drawing>
      </w:r>
    </w:p>
    <w:p w14:paraId="52CC62F8" w14:textId="6092B062" w:rsidR="00D04172" w:rsidRPr="005F315A" w:rsidRDefault="00763C9F" w:rsidP="00E62BF9">
      <w:pPr>
        <w:spacing w:after="600"/>
        <w:jc w:val="center"/>
        <w:rPr>
          <w:rFonts w:ascii="Garamond" w:hAnsi="Garamond"/>
          <w:sz w:val="20"/>
          <w:szCs w:val="20"/>
          <w:lang w:val="fr-FR"/>
        </w:rPr>
      </w:pPr>
      <w:r w:rsidRPr="005F315A">
        <w:rPr>
          <w:rFonts w:ascii="Garamond" w:hAnsi="Garamond"/>
          <w:sz w:val="20"/>
          <w:szCs w:val="20"/>
        </w:rPr>
        <w:t>F</w:t>
      </w:r>
      <w:r w:rsidR="00D04172" w:rsidRPr="005F315A">
        <w:rPr>
          <w:rFonts w:ascii="Garamond" w:hAnsi="Garamond"/>
          <w:sz w:val="20"/>
          <w:szCs w:val="20"/>
        </w:rPr>
        <w:t>ig</w:t>
      </w:r>
      <w:r w:rsidRPr="005F315A">
        <w:rPr>
          <w:rFonts w:ascii="Garamond" w:hAnsi="Garamond"/>
          <w:sz w:val="20"/>
          <w:szCs w:val="20"/>
        </w:rPr>
        <w:t xml:space="preserve"> </w:t>
      </w:r>
      <w:r w:rsidR="00E62BF9" w:rsidRPr="005F315A">
        <w:rPr>
          <w:rFonts w:ascii="Garamond" w:hAnsi="Garamond"/>
          <w:sz w:val="20"/>
          <w:szCs w:val="20"/>
        </w:rPr>
        <w:t>3</w:t>
      </w:r>
      <w:r w:rsidR="00CB21B0" w:rsidRPr="005F315A">
        <w:rPr>
          <w:rFonts w:ascii="Garamond" w:hAnsi="Garamond"/>
          <w:sz w:val="20"/>
          <w:szCs w:val="20"/>
        </w:rPr>
        <w:t xml:space="preserve"> </w:t>
      </w:r>
      <w:r w:rsidRPr="005F315A">
        <w:rPr>
          <w:rFonts w:ascii="Garamond" w:hAnsi="Garamond"/>
          <w:sz w:val="20"/>
          <w:szCs w:val="20"/>
        </w:rPr>
        <w:t xml:space="preserve">– Le Corbusier </w:t>
      </w:r>
      <w:r w:rsidR="00CB21B0" w:rsidRPr="005F315A">
        <w:rPr>
          <w:rFonts w:ascii="Garamond" w:hAnsi="Garamond"/>
          <w:sz w:val="20"/>
          <w:szCs w:val="20"/>
        </w:rPr>
        <w:t xml:space="preserve">and the sun’s cyclical movement. Source: top left </w:t>
      </w:r>
      <w:r w:rsidR="00147C78" w:rsidRPr="005F315A">
        <w:rPr>
          <w:rFonts w:ascii="Garamond" w:hAnsi="Garamond"/>
          <w:sz w:val="20"/>
          <w:szCs w:val="20"/>
        </w:rPr>
        <w:t>image:</w:t>
      </w:r>
      <w:r w:rsidRPr="005F315A">
        <w:rPr>
          <w:rFonts w:ascii="Garamond" w:hAnsi="Garamond"/>
          <w:sz w:val="20"/>
          <w:szCs w:val="20"/>
        </w:rPr>
        <w:t xml:space="preserve"> Le Corbusier, the Athens Charter (New York, Grossman, 1973), p15</w:t>
      </w:r>
      <w:r w:rsidR="00147C78" w:rsidRPr="005F315A">
        <w:rPr>
          <w:rFonts w:ascii="Garamond" w:hAnsi="Garamond"/>
          <w:sz w:val="20"/>
          <w:szCs w:val="20"/>
        </w:rPr>
        <w:t xml:space="preserve">. </w:t>
      </w:r>
      <w:r w:rsidR="00147C78" w:rsidRPr="005F315A">
        <w:rPr>
          <w:rFonts w:ascii="Garamond" w:hAnsi="Garamond"/>
          <w:sz w:val="20"/>
          <w:szCs w:val="20"/>
          <w:lang w:val="fr-FR"/>
        </w:rPr>
        <w:t xml:space="preserve">Bottom </w:t>
      </w:r>
      <w:proofErr w:type="spellStart"/>
      <w:r w:rsidR="00147C78" w:rsidRPr="005F315A">
        <w:rPr>
          <w:rFonts w:ascii="Garamond" w:hAnsi="Garamond"/>
          <w:sz w:val="20"/>
          <w:szCs w:val="20"/>
          <w:lang w:val="fr-FR"/>
        </w:rPr>
        <w:t>left</w:t>
      </w:r>
      <w:proofErr w:type="spellEnd"/>
      <w:r w:rsidR="00147C78" w:rsidRPr="005F315A">
        <w:rPr>
          <w:rFonts w:ascii="Garamond" w:hAnsi="Garamond"/>
          <w:sz w:val="20"/>
          <w:szCs w:val="20"/>
          <w:lang w:val="fr-FR"/>
        </w:rPr>
        <w:t xml:space="preserve"> and right-</w:t>
      </w:r>
      <w:proofErr w:type="spellStart"/>
      <w:r w:rsidR="00147C78" w:rsidRPr="005F315A">
        <w:rPr>
          <w:rFonts w:ascii="Garamond" w:hAnsi="Garamond"/>
          <w:sz w:val="20"/>
          <w:szCs w:val="20"/>
          <w:lang w:val="fr-FR"/>
        </w:rPr>
        <w:t>side</w:t>
      </w:r>
      <w:proofErr w:type="spellEnd"/>
      <w:r w:rsidR="00147C78" w:rsidRPr="005F315A">
        <w:rPr>
          <w:rFonts w:ascii="Garamond" w:hAnsi="Garamond"/>
          <w:sz w:val="20"/>
          <w:szCs w:val="20"/>
          <w:lang w:val="fr-FR"/>
        </w:rPr>
        <w:t xml:space="preserve"> </w:t>
      </w:r>
      <w:proofErr w:type="gramStart"/>
      <w:r w:rsidR="00147C78" w:rsidRPr="005F315A">
        <w:rPr>
          <w:rFonts w:ascii="Garamond" w:hAnsi="Garamond"/>
          <w:sz w:val="20"/>
          <w:szCs w:val="20"/>
          <w:lang w:val="fr-FR"/>
        </w:rPr>
        <w:t>images:</w:t>
      </w:r>
      <w:proofErr w:type="gramEnd"/>
      <w:r w:rsidR="00147C78" w:rsidRPr="005F315A">
        <w:rPr>
          <w:rFonts w:ascii="Garamond" w:hAnsi="Garamond"/>
          <w:sz w:val="20"/>
          <w:szCs w:val="20"/>
          <w:lang w:val="fr-FR"/>
        </w:rPr>
        <w:t xml:space="preserve"> Le Corbusier, </w:t>
      </w:r>
      <w:r w:rsidR="00147C78" w:rsidRPr="005F315A">
        <w:rPr>
          <w:rFonts w:ascii="Garamond" w:hAnsi="Garamond"/>
          <w:i/>
          <w:iCs/>
          <w:sz w:val="20"/>
          <w:szCs w:val="20"/>
          <w:lang w:val="fr-FR"/>
        </w:rPr>
        <w:t>Le poème de l'angle droit</w:t>
      </w:r>
      <w:r w:rsidR="00147C78" w:rsidRPr="005F315A">
        <w:rPr>
          <w:rFonts w:ascii="Garamond" w:hAnsi="Garamond"/>
          <w:sz w:val="20"/>
          <w:szCs w:val="20"/>
          <w:lang w:val="fr-FR"/>
        </w:rPr>
        <w:t xml:space="preserve"> (Paris, Fondation Le Corbusier, 2006[1955]), p.15, 69.</w:t>
      </w:r>
    </w:p>
    <w:p w14:paraId="68699776" w14:textId="38DE72F7" w:rsidR="001D1209" w:rsidRPr="005F315A" w:rsidRDefault="001D1209" w:rsidP="00E62BF9">
      <w:pPr>
        <w:spacing w:before="240" w:after="240" w:line="360" w:lineRule="auto"/>
        <w:jc w:val="both"/>
        <w:rPr>
          <w:rFonts w:ascii="Garamond" w:hAnsi="Garamond"/>
        </w:rPr>
      </w:pPr>
      <w:r w:rsidRPr="005F315A">
        <w:rPr>
          <w:rFonts w:ascii="Garamond" w:hAnsi="Garamond"/>
        </w:rPr>
        <w:t xml:space="preserve">The sun </w:t>
      </w:r>
      <w:r w:rsidR="009659AE" w:rsidRPr="005F315A">
        <w:rPr>
          <w:rFonts w:ascii="Garamond" w:hAnsi="Garamond"/>
        </w:rPr>
        <w:t>was</w:t>
      </w:r>
      <w:r w:rsidRPr="005F315A">
        <w:rPr>
          <w:rFonts w:ascii="Garamond" w:hAnsi="Garamond"/>
        </w:rPr>
        <w:t xml:space="preserve"> presented as one of the ‘three raw materials of urbanism’ (p.55) in the Charter of Athens</w:t>
      </w:r>
      <w:r w:rsidRPr="005F315A">
        <w:rPr>
          <w:rStyle w:val="Refdenotaderodap"/>
          <w:rFonts w:ascii="Garamond" w:hAnsi="Garamond"/>
          <w:sz w:val="22"/>
          <w:szCs w:val="22"/>
        </w:rPr>
        <w:footnoteReference w:id="28"/>
      </w:r>
      <w:r w:rsidRPr="005F315A">
        <w:rPr>
          <w:rFonts w:ascii="Garamond" w:hAnsi="Garamond"/>
        </w:rPr>
        <w:t>, the document that report</w:t>
      </w:r>
      <w:r w:rsidR="009659AE" w:rsidRPr="005F315A">
        <w:rPr>
          <w:rFonts w:ascii="Garamond" w:hAnsi="Garamond"/>
        </w:rPr>
        <w:t>ed</w:t>
      </w:r>
      <w:r w:rsidRPr="005F315A">
        <w:rPr>
          <w:rFonts w:ascii="Garamond" w:hAnsi="Garamond"/>
        </w:rPr>
        <w:t xml:space="preserve"> the main conclusions of the Fourth Congress of the CIAM, (from the French; </w:t>
      </w:r>
      <w:proofErr w:type="spellStart"/>
      <w:r w:rsidRPr="005F315A">
        <w:rPr>
          <w:rFonts w:ascii="Garamond" w:hAnsi="Garamond"/>
          <w:i/>
          <w:iCs/>
        </w:rPr>
        <w:t>Congrès</w:t>
      </w:r>
      <w:proofErr w:type="spellEnd"/>
      <w:r w:rsidRPr="005F315A">
        <w:rPr>
          <w:rFonts w:ascii="Garamond" w:hAnsi="Garamond"/>
          <w:i/>
          <w:iCs/>
        </w:rPr>
        <w:t xml:space="preserve"> </w:t>
      </w:r>
      <w:proofErr w:type="spellStart"/>
      <w:r w:rsidRPr="005F315A">
        <w:rPr>
          <w:rFonts w:ascii="Garamond" w:hAnsi="Garamond"/>
          <w:i/>
          <w:iCs/>
        </w:rPr>
        <w:t>Internationaux</w:t>
      </w:r>
      <w:proofErr w:type="spellEnd"/>
      <w:r w:rsidRPr="005F315A">
        <w:rPr>
          <w:rFonts w:ascii="Garamond" w:hAnsi="Garamond"/>
          <w:i/>
          <w:iCs/>
        </w:rPr>
        <w:t xml:space="preserve"> </w:t>
      </w:r>
      <w:proofErr w:type="spellStart"/>
      <w:r w:rsidRPr="005F315A">
        <w:rPr>
          <w:rFonts w:ascii="Garamond" w:hAnsi="Garamond"/>
          <w:i/>
          <w:iCs/>
        </w:rPr>
        <w:t>d'Architecture</w:t>
      </w:r>
      <w:proofErr w:type="spellEnd"/>
      <w:r w:rsidRPr="005F315A">
        <w:rPr>
          <w:rFonts w:ascii="Garamond" w:hAnsi="Garamond"/>
          <w:i/>
          <w:iCs/>
        </w:rPr>
        <w:t xml:space="preserve"> </w:t>
      </w:r>
      <w:proofErr w:type="spellStart"/>
      <w:r w:rsidRPr="005F315A">
        <w:rPr>
          <w:rFonts w:ascii="Garamond" w:hAnsi="Garamond"/>
          <w:i/>
          <w:iCs/>
        </w:rPr>
        <w:t>Moderne</w:t>
      </w:r>
      <w:proofErr w:type="spellEnd"/>
      <w:r w:rsidRPr="005F315A">
        <w:rPr>
          <w:rFonts w:ascii="Garamond" w:hAnsi="Garamond"/>
        </w:rPr>
        <w:t xml:space="preserve">), held </w:t>
      </w:r>
      <w:r w:rsidR="00F518A5" w:rsidRPr="005F315A">
        <w:rPr>
          <w:rFonts w:ascii="Garamond" w:hAnsi="Garamond"/>
        </w:rPr>
        <w:t>on a Mediterranean cruise to Athens]</w:t>
      </w:r>
      <w:r w:rsidRPr="005F315A">
        <w:rPr>
          <w:rFonts w:ascii="Garamond" w:hAnsi="Garamond"/>
        </w:rPr>
        <w:t xml:space="preserve">, in 1933, where the </w:t>
      </w:r>
      <w:r w:rsidRPr="005F315A">
        <w:rPr>
          <w:rFonts w:ascii="Garamond" w:hAnsi="Garamond"/>
          <w:i/>
          <w:iCs/>
        </w:rPr>
        <w:t>functional city</w:t>
      </w:r>
      <w:r w:rsidRPr="005F315A">
        <w:rPr>
          <w:rFonts w:ascii="Garamond" w:hAnsi="Garamond"/>
        </w:rPr>
        <w:t xml:space="preserve"> was discussed, and constitutes the doctrinal basis of modern urbanism. The Charter’s main corpus characterize</w:t>
      </w:r>
      <w:r w:rsidR="009659AE" w:rsidRPr="005F315A">
        <w:rPr>
          <w:rFonts w:ascii="Garamond" w:hAnsi="Garamond"/>
        </w:rPr>
        <w:t>d</w:t>
      </w:r>
      <w:r w:rsidRPr="005F315A">
        <w:rPr>
          <w:rFonts w:ascii="Garamond" w:hAnsi="Garamond"/>
        </w:rPr>
        <w:t xml:space="preserve"> the four functions of the city – </w:t>
      </w:r>
      <w:bookmarkStart w:id="9" w:name="_Hlk71872961"/>
      <w:r w:rsidRPr="005F315A">
        <w:rPr>
          <w:rFonts w:ascii="Garamond" w:hAnsi="Garamond"/>
        </w:rPr>
        <w:t>Dwelling</w:t>
      </w:r>
      <w:bookmarkEnd w:id="9"/>
      <w:r w:rsidRPr="005F315A">
        <w:rPr>
          <w:rFonts w:ascii="Garamond" w:hAnsi="Garamond"/>
        </w:rPr>
        <w:t>, Recreation, Work and Transportation – and</w:t>
      </w:r>
      <w:r w:rsidR="00240F48" w:rsidRPr="005F315A">
        <w:rPr>
          <w:rFonts w:ascii="Garamond" w:hAnsi="Garamond"/>
        </w:rPr>
        <w:t xml:space="preserve">, addressing the first one, called for ‘a minimum number of hours of exposure to the sun’ for each housing unit </w:t>
      </w:r>
      <w:r w:rsidRPr="005F315A">
        <w:rPr>
          <w:rFonts w:ascii="Garamond" w:hAnsi="Garamond"/>
        </w:rPr>
        <w:t>(nº26</w:t>
      </w:r>
      <w:r w:rsidR="00624C1F" w:rsidRPr="005F315A">
        <w:rPr>
          <w:rFonts w:ascii="Garamond" w:hAnsi="Garamond"/>
        </w:rPr>
        <w:t>)</w:t>
      </w:r>
      <w:r w:rsidRPr="005F315A">
        <w:rPr>
          <w:rFonts w:ascii="Garamond" w:hAnsi="Garamond"/>
        </w:rPr>
        <w:t xml:space="preserve">. </w:t>
      </w:r>
      <w:r w:rsidR="009659AE" w:rsidRPr="005F315A">
        <w:rPr>
          <w:rFonts w:ascii="Garamond" w:hAnsi="Garamond"/>
        </w:rPr>
        <w:t>This wa</w:t>
      </w:r>
      <w:r w:rsidRPr="005F315A">
        <w:rPr>
          <w:rFonts w:ascii="Garamond" w:hAnsi="Garamond"/>
        </w:rPr>
        <w:t>s</w:t>
      </w:r>
      <w:r w:rsidR="009659AE" w:rsidRPr="005F315A">
        <w:rPr>
          <w:rFonts w:ascii="Garamond" w:hAnsi="Garamond"/>
        </w:rPr>
        <w:t xml:space="preserve"> actually</w:t>
      </w:r>
      <w:r w:rsidRPr="005F315A">
        <w:rPr>
          <w:rFonts w:ascii="Garamond" w:hAnsi="Garamond"/>
        </w:rPr>
        <w:t xml:space="preserve"> </w:t>
      </w:r>
      <w:r w:rsidR="009659AE" w:rsidRPr="005F315A">
        <w:rPr>
          <w:rFonts w:ascii="Garamond" w:hAnsi="Garamond"/>
        </w:rPr>
        <w:t xml:space="preserve">the </w:t>
      </w:r>
      <w:r w:rsidRPr="005F315A">
        <w:rPr>
          <w:rFonts w:ascii="Garamond" w:hAnsi="Garamond"/>
        </w:rPr>
        <w:t>argument that determine</w:t>
      </w:r>
      <w:r w:rsidR="009659AE" w:rsidRPr="005F315A">
        <w:rPr>
          <w:rFonts w:ascii="Garamond" w:hAnsi="Garamond"/>
        </w:rPr>
        <w:t>d</w:t>
      </w:r>
      <w:r w:rsidRPr="005F315A">
        <w:rPr>
          <w:rFonts w:ascii="Garamond" w:hAnsi="Garamond"/>
        </w:rPr>
        <w:t xml:space="preserve"> the </w:t>
      </w:r>
      <w:r w:rsidR="009659AE" w:rsidRPr="005F315A">
        <w:rPr>
          <w:rFonts w:ascii="Garamond" w:hAnsi="Garamond"/>
        </w:rPr>
        <w:t>basic shaping</w:t>
      </w:r>
      <w:r w:rsidRPr="005F315A">
        <w:rPr>
          <w:rFonts w:ascii="Garamond" w:hAnsi="Garamond"/>
        </w:rPr>
        <w:t xml:space="preserve"> of the </w:t>
      </w:r>
      <w:r w:rsidR="00240F48" w:rsidRPr="005F315A">
        <w:rPr>
          <w:rFonts w:ascii="Garamond" w:hAnsi="Garamond"/>
        </w:rPr>
        <w:t>modernist city</w:t>
      </w:r>
      <w:r w:rsidR="00624C1F" w:rsidRPr="005F315A">
        <w:rPr>
          <w:rFonts w:ascii="Garamond" w:hAnsi="Garamond"/>
        </w:rPr>
        <w:t xml:space="preserve"> </w:t>
      </w:r>
      <w:r w:rsidR="009659AE" w:rsidRPr="005F315A">
        <w:rPr>
          <w:rFonts w:ascii="Garamond" w:hAnsi="Garamond"/>
        </w:rPr>
        <w:t xml:space="preserve">as dwelling is the city’s most dominant </w:t>
      </w:r>
      <w:r w:rsidR="00240F48" w:rsidRPr="005F315A">
        <w:rPr>
          <w:rFonts w:ascii="Garamond" w:hAnsi="Garamond"/>
        </w:rPr>
        <w:t>and space-extensive use</w:t>
      </w:r>
      <w:r w:rsidRPr="005F315A">
        <w:rPr>
          <w:rFonts w:ascii="Garamond" w:hAnsi="Garamond"/>
        </w:rPr>
        <w:t xml:space="preserve">. Indeed, </w:t>
      </w:r>
      <w:r w:rsidR="009659AE" w:rsidRPr="005F315A">
        <w:rPr>
          <w:rFonts w:ascii="Garamond" w:hAnsi="Garamond"/>
        </w:rPr>
        <w:t>according to</w:t>
      </w:r>
      <w:r w:rsidR="006F2950" w:rsidRPr="005F315A">
        <w:rPr>
          <w:rFonts w:ascii="Garamond" w:hAnsi="Garamond"/>
        </w:rPr>
        <w:t xml:space="preserve"> L</w:t>
      </w:r>
      <w:r w:rsidR="009659AE" w:rsidRPr="005F315A">
        <w:rPr>
          <w:rFonts w:ascii="Garamond" w:hAnsi="Garamond"/>
        </w:rPr>
        <w:t>e Corbusier’s comments</w:t>
      </w:r>
      <w:r w:rsidR="006F2950" w:rsidRPr="005F315A">
        <w:rPr>
          <w:rFonts w:ascii="Garamond" w:hAnsi="Garamond"/>
        </w:rPr>
        <w:t xml:space="preserve"> on </w:t>
      </w:r>
      <w:r w:rsidR="00A93409" w:rsidRPr="005F315A">
        <w:rPr>
          <w:rFonts w:ascii="Garamond" w:hAnsi="Garamond"/>
        </w:rPr>
        <w:t>article</w:t>
      </w:r>
      <w:r w:rsidR="00624C1F" w:rsidRPr="005F315A">
        <w:rPr>
          <w:rFonts w:ascii="Garamond" w:hAnsi="Garamond"/>
        </w:rPr>
        <w:t xml:space="preserve"> </w:t>
      </w:r>
      <w:r w:rsidR="00624C1F" w:rsidRPr="005F315A">
        <w:rPr>
          <w:rFonts w:ascii="Garamond" w:hAnsi="Garamond"/>
        </w:rPr>
        <w:t>26</w:t>
      </w:r>
      <w:r w:rsidR="009659AE" w:rsidRPr="005F315A">
        <w:rPr>
          <w:rFonts w:ascii="Garamond" w:hAnsi="Garamond"/>
        </w:rPr>
        <w:t xml:space="preserve">, </w:t>
      </w:r>
      <w:r w:rsidRPr="005F315A">
        <w:rPr>
          <w:rFonts w:ascii="Garamond" w:hAnsi="Garamond"/>
        </w:rPr>
        <w:t xml:space="preserve">an exclusive orientation to the north </w:t>
      </w:r>
      <w:r w:rsidR="006F2950" w:rsidRPr="005F315A">
        <w:rPr>
          <w:rFonts w:ascii="Garamond" w:hAnsi="Garamond"/>
        </w:rPr>
        <w:t>wa</w:t>
      </w:r>
      <w:r w:rsidRPr="005F315A">
        <w:rPr>
          <w:rFonts w:ascii="Garamond" w:hAnsi="Garamond"/>
        </w:rPr>
        <w:t>s cause for condemnation and denial of the building permit, and a sun</w:t>
      </w:r>
      <w:r w:rsidR="006F2950" w:rsidRPr="005F315A">
        <w:rPr>
          <w:rFonts w:ascii="Garamond" w:hAnsi="Garamond"/>
        </w:rPr>
        <w:t>’s</w:t>
      </w:r>
      <w:r w:rsidRPr="005F315A">
        <w:rPr>
          <w:rFonts w:ascii="Garamond" w:hAnsi="Garamond"/>
        </w:rPr>
        <w:t xml:space="preserve"> diagram </w:t>
      </w:r>
      <w:r w:rsidR="006F2950" w:rsidRPr="005F315A">
        <w:rPr>
          <w:rFonts w:ascii="Garamond" w:hAnsi="Garamond"/>
        </w:rPr>
        <w:t>was a</w:t>
      </w:r>
      <w:r w:rsidRPr="005F315A">
        <w:rPr>
          <w:rFonts w:ascii="Garamond" w:hAnsi="Garamond"/>
        </w:rPr>
        <w:t xml:space="preserve"> required part of </w:t>
      </w:r>
      <w:r w:rsidR="00240F48" w:rsidRPr="005F315A">
        <w:rPr>
          <w:rFonts w:ascii="Garamond" w:hAnsi="Garamond"/>
        </w:rPr>
        <w:t>submitting a design</w:t>
      </w:r>
      <w:r w:rsidRPr="005F315A">
        <w:rPr>
          <w:rFonts w:ascii="Garamond" w:hAnsi="Garamond"/>
        </w:rPr>
        <w:t xml:space="preserve">. Only </w:t>
      </w:r>
      <w:r w:rsidR="006F2950" w:rsidRPr="005F315A">
        <w:rPr>
          <w:rFonts w:ascii="Garamond" w:hAnsi="Garamond"/>
        </w:rPr>
        <w:t>dwelling</w:t>
      </w:r>
      <w:r w:rsidR="007F1A69" w:rsidRPr="005F315A">
        <w:rPr>
          <w:rFonts w:ascii="Garamond" w:hAnsi="Garamond"/>
        </w:rPr>
        <w:t>,</w:t>
      </w:r>
      <w:r w:rsidR="006F2950" w:rsidRPr="005F315A">
        <w:rPr>
          <w:rFonts w:ascii="Garamond" w:hAnsi="Garamond"/>
        </w:rPr>
        <w:t xml:space="preserve"> out of the four city’s functions</w:t>
      </w:r>
      <w:r w:rsidR="007F1A69" w:rsidRPr="005F315A">
        <w:rPr>
          <w:rFonts w:ascii="Garamond" w:hAnsi="Garamond"/>
        </w:rPr>
        <w:t>, is thus conditioned.</w:t>
      </w:r>
      <w:r w:rsidRPr="005F315A">
        <w:rPr>
          <w:rFonts w:ascii="Garamond" w:hAnsi="Garamond"/>
        </w:rPr>
        <w:t xml:space="preserve"> </w:t>
      </w:r>
      <w:r w:rsidR="007F1A69" w:rsidRPr="005F315A">
        <w:rPr>
          <w:rFonts w:ascii="Garamond" w:hAnsi="Garamond"/>
        </w:rPr>
        <w:t>The Charter of Athens lists some collective institutions necessary for the support of this housing areas, but churches are not mentioned.</w:t>
      </w:r>
    </w:p>
    <w:p w14:paraId="2E849847" w14:textId="2B4098CA" w:rsidR="006F2950" w:rsidRPr="005F315A" w:rsidRDefault="006F2950" w:rsidP="00F26C90">
      <w:pPr>
        <w:spacing w:line="360" w:lineRule="auto"/>
        <w:jc w:val="both"/>
        <w:rPr>
          <w:rFonts w:ascii="Garamond" w:hAnsi="Garamond"/>
        </w:rPr>
      </w:pPr>
      <w:r w:rsidRPr="005F315A">
        <w:rPr>
          <w:rFonts w:ascii="Garamond" w:hAnsi="Garamond"/>
        </w:rPr>
        <w:lastRenderedPageBreak/>
        <w:t xml:space="preserve">Still, there is a general principle for the location of buildings in the city that can also affect that of the churches – the refusal of </w:t>
      </w:r>
      <w:r w:rsidR="007F1A69" w:rsidRPr="005F315A">
        <w:rPr>
          <w:rFonts w:ascii="Garamond" w:hAnsi="Garamond"/>
        </w:rPr>
        <w:t xml:space="preserve">closed </w:t>
      </w:r>
      <w:r w:rsidRPr="005F315A">
        <w:rPr>
          <w:rFonts w:ascii="Garamond" w:hAnsi="Garamond"/>
        </w:rPr>
        <w:t>city blocks on the basis of insufficient sun exposure:</w:t>
      </w:r>
    </w:p>
    <w:p w14:paraId="0AF4F3C6" w14:textId="04302249" w:rsidR="007B3E49" w:rsidRPr="005F315A" w:rsidRDefault="007B3E49" w:rsidP="00F42BC0">
      <w:pPr>
        <w:spacing w:after="240" w:line="360" w:lineRule="auto"/>
        <w:ind w:left="567"/>
        <w:jc w:val="both"/>
        <w:rPr>
          <w:rFonts w:ascii="Garamond" w:hAnsi="Garamond"/>
          <w:sz w:val="20"/>
          <w:szCs w:val="20"/>
        </w:rPr>
      </w:pPr>
      <w:r w:rsidRPr="005F315A">
        <w:rPr>
          <w:rFonts w:ascii="Garamond" w:hAnsi="Garamond"/>
          <w:sz w:val="20"/>
          <w:szCs w:val="20"/>
        </w:rPr>
        <w:t>‘</w:t>
      </w:r>
      <w:r w:rsidR="00F42BC0" w:rsidRPr="005F315A">
        <w:rPr>
          <w:rFonts w:ascii="Garamond" w:hAnsi="Garamond"/>
          <w:sz w:val="20"/>
          <w:szCs w:val="20"/>
        </w:rPr>
        <w:t>…</w:t>
      </w:r>
      <w:r w:rsidRPr="005F315A">
        <w:rPr>
          <w:rFonts w:ascii="Garamond" w:hAnsi="Garamond"/>
          <w:sz w:val="20"/>
          <w:szCs w:val="20"/>
        </w:rPr>
        <w:t>one facade out of four, whether it faces the street or the courtyard, is oriented to the north and never knows the sun, while the other three, owing to the narrowness of the streets and courts they face and to the resulting shadow, are half deprived of sunlight also.’</w:t>
      </w:r>
      <w:r w:rsidR="00F525FF" w:rsidRPr="005F315A">
        <w:rPr>
          <w:rFonts w:ascii="Garamond" w:hAnsi="Garamond"/>
          <w:sz w:val="20"/>
          <w:szCs w:val="20"/>
        </w:rPr>
        <w:t xml:space="preserve"> (17º)</w:t>
      </w:r>
    </w:p>
    <w:p w14:paraId="19F2B754" w14:textId="57D85383" w:rsidR="00597339" w:rsidRPr="005F315A" w:rsidRDefault="00597339" w:rsidP="00F42BC0">
      <w:pPr>
        <w:spacing w:after="240" w:line="360" w:lineRule="auto"/>
        <w:jc w:val="both"/>
        <w:rPr>
          <w:rFonts w:ascii="Garamond" w:hAnsi="Garamond"/>
        </w:rPr>
      </w:pPr>
      <w:r w:rsidRPr="005F315A">
        <w:rPr>
          <w:rFonts w:ascii="Garamond" w:hAnsi="Garamond"/>
        </w:rPr>
        <w:t>Due to the lack of sun, therefore, the alignment of buildings following the street</w:t>
      </w:r>
      <w:r w:rsidR="007F1A69" w:rsidRPr="005F315A">
        <w:rPr>
          <w:rFonts w:ascii="Garamond" w:hAnsi="Garamond"/>
        </w:rPr>
        <w:t>s</w:t>
      </w:r>
      <w:r w:rsidRPr="005F315A">
        <w:rPr>
          <w:rFonts w:ascii="Garamond" w:hAnsi="Garamond"/>
        </w:rPr>
        <w:t xml:space="preserve"> was rejected and with it the structuring matrix in the shape of the traditional city, which the Charter of Athens wanted to replace with a model for the free settlement of buildings, on the grounds of the best sun exposure (23º).</w:t>
      </w:r>
    </w:p>
    <w:p w14:paraId="19DBA5E9" w14:textId="77777777" w:rsidR="00A93409" w:rsidRPr="005F315A" w:rsidRDefault="00A93409" w:rsidP="00E62BF9">
      <w:pPr>
        <w:spacing w:before="600" w:after="120" w:line="360" w:lineRule="auto"/>
        <w:jc w:val="both"/>
        <w:rPr>
          <w:rFonts w:ascii="Garamond" w:hAnsi="Garamond"/>
          <w:b/>
          <w:bCs/>
          <w:sz w:val="28"/>
          <w:szCs w:val="28"/>
        </w:rPr>
      </w:pPr>
      <w:r w:rsidRPr="005F315A">
        <w:rPr>
          <w:rFonts w:ascii="Garamond" w:hAnsi="Garamond"/>
          <w:b/>
          <w:bCs/>
          <w:sz w:val="28"/>
          <w:szCs w:val="28"/>
        </w:rPr>
        <w:t>METHODOLOGY</w:t>
      </w:r>
    </w:p>
    <w:p w14:paraId="1A789B90" w14:textId="77777777" w:rsidR="00A93409" w:rsidRPr="005F315A" w:rsidRDefault="00A93409" w:rsidP="00E62BF9">
      <w:pPr>
        <w:spacing w:after="240" w:line="360" w:lineRule="auto"/>
        <w:jc w:val="both"/>
        <w:rPr>
          <w:rFonts w:ascii="Garamond" w:hAnsi="Garamond"/>
        </w:rPr>
      </w:pPr>
      <w:r w:rsidRPr="005F315A">
        <w:rPr>
          <w:rFonts w:ascii="Garamond" w:hAnsi="Garamond"/>
        </w:rPr>
        <w:t>My research methodology was both fieldwork and literature-based within a case study approach. As it is fundamentally based on measurement, fieldwork was structured and developed twofold, predominantly virtually and occasionally on the ground.</w:t>
      </w:r>
    </w:p>
    <w:p w14:paraId="1FF49478" w14:textId="41935065" w:rsidR="00A93409" w:rsidRPr="005F315A" w:rsidRDefault="00A93409" w:rsidP="00A93409">
      <w:pPr>
        <w:spacing w:after="240" w:line="360" w:lineRule="auto"/>
        <w:jc w:val="both"/>
        <w:rPr>
          <w:rFonts w:ascii="Garamond" w:hAnsi="Garamond"/>
        </w:rPr>
      </w:pPr>
      <w:r w:rsidRPr="005F315A">
        <w:rPr>
          <w:rFonts w:ascii="Garamond" w:hAnsi="Garamond"/>
        </w:rPr>
        <w:t>The celestial coordinate system I referred to in the churches’ solar measurement was the ‘horizontal system’.</w:t>
      </w:r>
      <w:r w:rsidRPr="005F315A">
        <w:rPr>
          <w:rStyle w:val="Refdenotaderodap"/>
          <w:rFonts w:ascii="Garamond" w:hAnsi="Garamond"/>
        </w:rPr>
        <w:footnoteReference w:id="29"/>
      </w:r>
      <w:r w:rsidRPr="005F315A">
        <w:rPr>
          <w:rFonts w:ascii="Garamond" w:hAnsi="Garamond"/>
        </w:rPr>
        <w:t xml:space="preserve"> In order to measure the azimuth referred to the line that crosses the church nave perpendicular to the altar, the first step of virtual fieldwork was the observation of the building plan through Google Earth, seeking to recognize that line as closely as possible. At the same time, the </w:t>
      </w:r>
      <w:r w:rsidRPr="005F315A">
        <w:rPr>
          <w:rFonts w:ascii="Garamond" w:hAnsi="Garamond"/>
          <w:i/>
          <w:iCs/>
        </w:rPr>
        <w:t>in situ</w:t>
      </w:r>
      <w:r w:rsidRPr="005F315A">
        <w:rPr>
          <w:rFonts w:ascii="Garamond" w:hAnsi="Garamond"/>
        </w:rPr>
        <w:t xml:space="preserve"> visit to the churches took place to confirm the exact location of the altar</w:t>
      </w:r>
      <w:r w:rsidR="00624C1F" w:rsidRPr="005F315A">
        <w:rPr>
          <w:rFonts w:ascii="Garamond" w:hAnsi="Garamond"/>
        </w:rPr>
        <w:t xml:space="preserve"> and </w:t>
      </w:r>
      <w:r w:rsidRPr="005F315A">
        <w:rPr>
          <w:rFonts w:ascii="Garamond" w:hAnsi="Garamond"/>
        </w:rPr>
        <w:t>to observe the natural light source (s) of the altar, if any.</w:t>
      </w:r>
    </w:p>
    <w:p w14:paraId="04F07911" w14:textId="77777777" w:rsidR="00A93409" w:rsidRPr="005F315A" w:rsidRDefault="00A93409" w:rsidP="00A93409">
      <w:pPr>
        <w:spacing w:after="240" w:line="360" w:lineRule="auto"/>
        <w:jc w:val="both"/>
        <w:rPr>
          <w:rFonts w:ascii="Garamond" w:hAnsi="Garamond"/>
        </w:rPr>
      </w:pPr>
      <w:r w:rsidRPr="005F315A">
        <w:rPr>
          <w:rFonts w:ascii="Garamond" w:hAnsi="Garamond"/>
        </w:rPr>
        <w:t>The subsequent step was finding the azimuth for the thirteen churches using Google Earth by reading the ‘heading’ (in decimal degrees) in the ‘ruler’ tool, as well as their geographic coordinates – latitude and longitude. As Google Earth provides the true Azimuth, I progressed to measure the horizon’s altitude of each site using ‘</w:t>
      </w:r>
      <w:proofErr w:type="spellStart"/>
      <w:r w:rsidRPr="005F315A">
        <w:rPr>
          <w:rFonts w:ascii="Garamond" w:hAnsi="Garamond"/>
        </w:rPr>
        <w:t>HeyWhatsThat</w:t>
      </w:r>
      <w:proofErr w:type="spellEnd"/>
      <w:r w:rsidRPr="005F315A">
        <w:rPr>
          <w:rFonts w:ascii="Garamond" w:hAnsi="Garamond"/>
        </w:rPr>
        <w:t xml:space="preserve">’, after which I entered these values in a calculation spreadsheet to find the solar declination. The next step was the identification of the dates for the rising or the setting sun using the Solar Declination Table (extended in some days due to the </w:t>
      </w:r>
      <w:r w:rsidRPr="005F315A">
        <w:rPr>
          <w:rFonts w:ascii="Garamond" w:hAnsi="Garamond"/>
          <w:i/>
          <w:iCs/>
        </w:rPr>
        <w:t>level of uncertainty</w:t>
      </w:r>
      <w:r w:rsidRPr="005F315A">
        <w:rPr>
          <w:rFonts w:ascii="Garamond" w:hAnsi="Garamond"/>
        </w:rPr>
        <w:t xml:space="preserve"> of ±1°). The decision for considering the sun’s rising or setting dates was determined by the altar’s heading to east or west, respectively.</w:t>
      </w:r>
    </w:p>
    <w:p w14:paraId="49BF3DB9" w14:textId="6567BE92" w:rsidR="003C7518" w:rsidRPr="005F315A" w:rsidRDefault="00A93409" w:rsidP="003C7518">
      <w:pPr>
        <w:spacing w:after="240" w:line="360" w:lineRule="auto"/>
        <w:jc w:val="both"/>
        <w:rPr>
          <w:rFonts w:ascii="Garamond" w:hAnsi="Garamond"/>
        </w:rPr>
      </w:pPr>
      <w:r w:rsidRPr="005F315A">
        <w:rPr>
          <w:rFonts w:ascii="Garamond" w:hAnsi="Garamond"/>
        </w:rPr>
        <w:t xml:space="preserve">Aside from measurement, Google Earth was also a tool to further virtual fieldwork. On the one hand, to observe (and map) the churches from the zenith’s position in relation to the street grid, comparing how they sit regarding the surrounding buildings in order to assess its driving force, if the sun or the street grid plan (or neither). On the other hand, to analyse the church’s facades through </w:t>
      </w:r>
      <w:r w:rsidR="00624C1F" w:rsidRPr="005F315A">
        <w:rPr>
          <w:rFonts w:ascii="Garamond" w:hAnsi="Garamond"/>
        </w:rPr>
        <w:t xml:space="preserve">both </w:t>
      </w:r>
      <w:r w:rsidRPr="005F315A">
        <w:rPr>
          <w:rFonts w:ascii="Garamond" w:hAnsi="Garamond"/>
        </w:rPr>
        <w:t xml:space="preserve">the 3D Buildings’ </w:t>
      </w:r>
      <w:r w:rsidRPr="005F315A">
        <w:rPr>
          <w:rFonts w:ascii="Garamond" w:hAnsi="Garamond"/>
        </w:rPr>
        <w:lastRenderedPageBreak/>
        <w:t>layer</w:t>
      </w:r>
      <w:r w:rsidR="00624C1F" w:rsidRPr="005F315A">
        <w:rPr>
          <w:rFonts w:ascii="Garamond" w:hAnsi="Garamond"/>
        </w:rPr>
        <w:t xml:space="preserve"> and the street view</w:t>
      </w:r>
      <w:r w:rsidRPr="005F315A">
        <w:rPr>
          <w:rFonts w:ascii="Garamond" w:hAnsi="Garamond"/>
        </w:rPr>
        <w:t>, specifically focusing on the south-facing one and checking for the existence of windows. This privileged orientation justifies in the sun’s culmination (Porto</w:t>
      </w:r>
      <w:r w:rsidR="00624C1F" w:rsidRPr="005F315A">
        <w:rPr>
          <w:rFonts w:ascii="Garamond" w:hAnsi="Garamond"/>
        </w:rPr>
        <w:t xml:space="preserve"> </w:t>
      </w:r>
      <w:r w:rsidRPr="005F315A">
        <w:rPr>
          <w:rFonts w:ascii="Garamond" w:hAnsi="Garamond"/>
        </w:rPr>
        <w:t>being located in the northern hemisphere) where both the exposure is maximum and does not change over the year,</w:t>
      </w:r>
      <w:r w:rsidR="00624C1F" w:rsidRPr="005F315A">
        <w:rPr>
          <w:rFonts w:ascii="Garamond" w:hAnsi="Garamond"/>
        </w:rPr>
        <w:t xml:space="preserve"> </w:t>
      </w:r>
      <w:r w:rsidRPr="005F315A">
        <w:rPr>
          <w:rFonts w:ascii="Garamond" w:hAnsi="Garamond"/>
        </w:rPr>
        <w:t>varying in elevation angle, but not the x/y coordinate</w:t>
      </w:r>
      <w:r w:rsidR="00624C1F" w:rsidRPr="005F315A">
        <w:rPr>
          <w:rFonts w:ascii="Garamond" w:hAnsi="Garamond"/>
        </w:rPr>
        <w:t>s</w:t>
      </w:r>
      <w:r w:rsidR="00B02EB8" w:rsidRPr="005F315A">
        <w:rPr>
          <w:rFonts w:ascii="Garamond" w:hAnsi="Garamond"/>
        </w:rPr>
        <w:t xml:space="preserve"> (or does so in negligible fashion)</w:t>
      </w:r>
      <w:r w:rsidRPr="005F315A">
        <w:rPr>
          <w:rFonts w:ascii="Garamond" w:hAnsi="Garamond"/>
        </w:rPr>
        <w:t>. The former issued from and aims at a relation to the premises of the charter of Athens, discussed above, and the latter to a certain ‘control’ over the sun’s movement (occasionally discussed below regarding the altar’s location).</w:t>
      </w:r>
      <w:r w:rsidR="003C7518" w:rsidRPr="005F315A">
        <w:rPr>
          <w:rFonts w:ascii="Garamond" w:hAnsi="Garamond"/>
        </w:rPr>
        <w:t xml:space="preserve"> </w:t>
      </w:r>
      <w:r w:rsidR="003C7518" w:rsidRPr="005F315A">
        <w:rPr>
          <w:rFonts w:ascii="Garamond" w:hAnsi="Garamond"/>
        </w:rPr>
        <w:t>In tandem with the fieldwork, the literature review allowed for an appraisal of the quantitative findings, putting them in context within the cultural mind-set of the original architectural patrons and designers, making qualitative sense out of the more abstract data sourced.</w:t>
      </w:r>
    </w:p>
    <w:p w14:paraId="1471CBEA" w14:textId="2A835C47" w:rsidR="00A93409" w:rsidRPr="005F315A" w:rsidRDefault="00A93409" w:rsidP="00E62BF9">
      <w:pPr>
        <w:spacing w:after="240" w:line="360" w:lineRule="auto"/>
        <w:jc w:val="both"/>
        <w:rPr>
          <w:rFonts w:ascii="Garamond" w:hAnsi="Garamond"/>
        </w:rPr>
      </w:pPr>
      <w:r w:rsidRPr="005F315A">
        <w:rPr>
          <w:rFonts w:ascii="Garamond" w:hAnsi="Garamond"/>
        </w:rPr>
        <w:t>Lastly, some brief notes on the case-study approach. According to McCluskey, some criteria should structure any investigation: the level of consistency regarding the specific geographic regions, a logic and fair chronological order and a sufficient number of cases in order to validate the results</w:t>
      </w:r>
      <w:r w:rsidRPr="005F315A">
        <w:rPr>
          <w:rStyle w:val="Refdenotaderodap"/>
          <w:rFonts w:ascii="Garamond" w:hAnsi="Garamond"/>
        </w:rPr>
        <w:footnoteReference w:id="30"/>
      </w:r>
      <w:r w:rsidRPr="005F315A">
        <w:rPr>
          <w:rFonts w:ascii="Garamond" w:hAnsi="Garamond"/>
        </w:rPr>
        <w:t xml:space="preserve"> This investigation accommodates the first two guidelines on the one hand by focusing on the city of Porto as the specific geography where all thirteen churches locate (the differences within the city consubstantiate part of the research) on the other by restraining the erecting time-frame of the churches to the 20th century.</w:t>
      </w:r>
      <w:r w:rsidRPr="005F315A">
        <w:t xml:space="preserve"> </w:t>
      </w:r>
      <w:r w:rsidRPr="005F315A">
        <w:rPr>
          <w:rFonts w:ascii="Garamond" w:hAnsi="Garamond"/>
        </w:rPr>
        <w:t>As for the number of cases analysed, the statistical validity based on the quantity was conditioned by the small number of churches at stake. Thirteen buildings do not allow for valid generalisation. Therefore, although some quantitative relations have been established over the findings’ discussion, the core of the investigation aims at a certain deepening of the individual instances, believing that insights that would not otherwise happen may be gained from this more specific focus, thus matching the case-study theoretical framework as proposed by Martyn Denscombe</w:t>
      </w:r>
      <w:r w:rsidRPr="005F315A">
        <w:rPr>
          <w:rStyle w:val="Refdenotaderodap"/>
          <w:rFonts w:ascii="Garamond" w:hAnsi="Garamond"/>
          <w:vertAlign w:val="baseline"/>
        </w:rPr>
        <w:t>.</w:t>
      </w:r>
      <w:r w:rsidRPr="005F315A">
        <w:rPr>
          <w:rStyle w:val="Refdenotaderodap"/>
          <w:rFonts w:ascii="Garamond" w:hAnsi="Garamond"/>
        </w:rPr>
        <w:footnoteReference w:id="31"/>
      </w:r>
      <w:r w:rsidRPr="005F315A">
        <w:rPr>
          <w:rFonts w:ascii="Garamond" w:hAnsi="Garamond"/>
        </w:rPr>
        <w:t xml:space="preserve"> The focus on observing the location of each church on the street grid, within a specific landscape, aimed at opening up to considerations of a particular order (of both the building and the site) and the possibility of finding specific ‘subjects’ that would otherwise not be known.</w:t>
      </w:r>
    </w:p>
    <w:p w14:paraId="62537C90" w14:textId="77777777" w:rsidR="00A93409" w:rsidRPr="005F315A" w:rsidRDefault="00A93409" w:rsidP="00E62BF9">
      <w:pPr>
        <w:spacing w:before="600" w:after="120" w:line="360" w:lineRule="auto"/>
        <w:jc w:val="both"/>
        <w:rPr>
          <w:rFonts w:ascii="Garamond" w:hAnsi="Garamond"/>
          <w:b/>
          <w:bCs/>
          <w:sz w:val="28"/>
          <w:szCs w:val="28"/>
        </w:rPr>
      </w:pPr>
      <w:r w:rsidRPr="005F315A">
        <w:rPr>
          <w:rFonts w:ascii="Garamond" w:hAnsi="Garamond"/>
          <w:b/>
          <w:bCs/>
          <w:sz w:val="28"/>
          <w:szCs w:val="28"/>
        </w:rPr>
        <w:t>FINDINGS/DISCUSSION</w:t>
      </w:r>
    </w:p>
    <w:p w14:paraId="7D174D1C" w14:textId="77777777" w:rsidR="00E62BF9" w:rsidRPr="005F315A" w:rsidRDefault="00A93409" w:rsidP="00E62BF9">
      <w:pPr>
        <w:spacing w:before="240" w:line="360" w:lineRule="auto"/>
        <w:jc w:val="both"/>
        <w:rPr>
          <w:rFonts w:ascii="Garamond" w:hAnsi="Garamond"/>
        </w:rPr>
      </w:pPr>
      <w:r w:rsidRPr="005F315A">
        <w:rPr>
          <w:rFonts w:ascii="Garamond" w:hAnsi="Garamond"/>
        </w:rPr>
        <w:t xml:space="preserve">Framed by both the context above and the </w:t>
      </w:r>
      <w:r w:rsidR="00A97D91" w:rsidRPr="005F315A">
        <w:rPr>
          <w:rFonts w:ascii="Garamond" w:hAnsi="Garamond"/>
        </w:rPr>
        <w:t>search</w:t>
      </w:r>
      <w:r w:rsidRPr="005F315A">
        <w:rPr>
          <w:rFonts w:ascii="Garamond" w:hAnsi="Garamond"/>
        </w:rPr>
        <w:t xml:space="preserve"> for a shared pattern in the orientation setting of the thirteen urban catholic parish churches built in Porto between 1931-96, the discussion below focuses on two main themes: the reading of the interrelation between the churches and the sun from the </w:t>
      </w:r>
      <w:r w:rsidR="00A70DC6" w:rsidRPr="005F315A">
        <w:rPr>
          <w:rFonts w:ascii="Garamond" w:hAnsi="Garamond"/>
        </w:rPr>
        <w:t>measurements</w:t>
      </w:r>
      <w:r w:rsidRPr="005F315A">
        <w:rPr>
          <w:rFonts w:ascii="Garamond" w:hAnsi="Garamond"/>
        </w:rPr>
        <w:t xml:space="preserve">, on one side, and from the </w:t>
      </w:r>
      <w:r w:rsidR="00A97D91" w:rsidRPr="005F315A">
        <w:rPr>
          <w:rFonts w:ascii="Garamond" w:hAnsi="Garamond"/>
        </w:rPr>
        <w:t>cityscape</w:t>
      </w:r>
      <w:r w:rsidRPr="005F315A">
        <w:rPr>
          <w:rFonts w:ascii="Garamond" w:hAnsi="Garamond"/>
        </w:rPr>
        <w:t>/street grid, on the other. Under a comparative approach, the former interprets the fieldwork’s data from a more abstract viewpoint as systematized in</w:t>
      </w:r>
    </w:p>
    <w:p w14:paraId="5D66428D" w14:textId="77777777" w:rsidR="00E62BF9" w:rsidRPr="005F315A" w:rsidRDefault="00E62BF9">
      <w:pPr>
        <w:rPr>
          <w:rFonts w:ascii="Garamond" w:hAnsi="Garamond"/>
        </w:rPr>
      </w:pPr>
      <w:r w:rsidRPr="005F315A">
        <w:rPr>
          <w:rFonts w:ascii="Garamond" w:hAnsi="Garamond"/>
        </w:rPr>
        <w:br w:type="page"/>
      </w:r>
    </w:p>
    <w:p w14:paraId="6EC72767" w14:textId="77777777" w:rsidR="00A93409" w:rsidRPr="005F315A" w:rsidRDefault="00A93409" w:rsidP="00EC37EF">
      <w:pPr>
        <w:spacing w:line="360" w:lineRule="auto"/>
        <w:jc w:val="center"/>
        <w:rPr>
          <w:rFonts w:ascii="Garamond" w:hAnsi="Garamond"/>
        </w:rPr>
      </w:pPr>
      <w:r w:rsidRPr="005F315A">
        <w:rPr>
          <w:rFonts w:ascii="Garamond" w:hAnsi="Garamond"/>
          <w:noProof/>
          <w:lang w:eastAsia="pt-PT"/>
        </w:rPr>
        <w:lastRenderedPageBreak/>
        <w:drawing>
          <wp:inline distT="0" distB="0" distL="0" distR="0" wp14:anchorId="0F3C05AD" wp14:editId="632A0ADD">
            <wp:extent cx="5400000" cy="2237457"/>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00" cy="2237457"/>
                    </a:xfrm>
                    <a:prstGeom prst="rect">
                      <a:avLst/>
                    </a:prstGeom>
                  </pic:spPr>
                </pic:pic>
              </a:graphicData>
            </a:graphic>
          </wp:inline>
        </w:drawing>
      </w:r>
    </w:p>
    <w:p w14:paraId="693F9B38" w14:textId="4B9C2441" w:rsidR="00A93409" w:rsidRPr="005F315A" w:rsidRDefault="00A93409" w:rsidP="00EC37EF">
      <w:pPr>
        <w:spacing w:line="360" w:lineRule="auto"/>
        <w:jc w:val="center"/>
        <w:rPr>
          <w:rFonts w:ascii="Garamond" w:hAnsi="Garamond"/>
          <w:sz w:val="20"/>
          <w:szCs w:val="20"/>
          <w:lang w:val="pt-PT"/>
        </w:rPr>
      </w:pPr>
      <w:r w:rsidRPr="005F315A">
        <w:rPr>
          <w:rFonts w:ascii="Garamond" w:hAnsi="Garamond"/>
          <w:sz w:val="20"/>
          <w:szCs w:val="20"/>
        </w:rPr>
        <w:t xml:space="preserve">Fig. </w:t>
      </w:r>
      <w:r w:rsidR="00E62BF9" w:rsidRPr="005F315A">
        <w:rPr>
          <w:rFonts w:ascii="Garamond" w:hAnsi="Garamond"/>
          <w:sz w:val="20"/>
          <w:szCs w:val="20"/>
        </w:rPr>
        <w:t>3</w:t>
      </w:r>
      <w:r w:rsidRPr="005F315A">
        <w:rPr>
          <w:rFonts w:ascii="Garamond" w:hAnsi="Garamond"/>
          <w:sz w:val="20"/>
          <w:szCs w:val="20"/>
        </w:rPr>
        <w:t xml:space="preserve"> Location of the thirteen churches in the city of</w:t>
      </w:r>
      <w:r w:rsidRPr="005F315A">
        <w:t xml:space="preserve"> </w:t>
      </w:r>
      <w:r w:rsidRPr="005F315A">
        <w:rPr>
          <w:rFonts w:ascii="Garamond" w:hAnsi="Garamond"/>
          <w:sz w:val="20"/>
          <w:szCs w:val="20"/>
        </w:rPr>
        <w:t xml:space="preserve">Porto (Portugal). </w:t>
      </w:r>
      <w:proofErr w:type="spellStart"/>
      <w:r w:rsidRPr="005F315A">
        <w:rPr>
          <w:rFonts w:ascii="Garamond" w:hAnsi="Garamond"/>
          <w:sz w:val="20"/>
          <w:szCs w:val="20"/>
          <w:lang w:val="pt-PT"/>
        </w:rPr>
        <w:t>Image</w:t>
      </w:r>
      <w:proofErr w:type="spellEnd"/>
      <w:r w:rsidRPr="005F315A">
        <w:rPr>
          <w:rFonts w:ascii="Garamond" w:hAnsi="Garamond"/>
          <w:sz w:val="20"/>
          <w:szCs w:val="20"/>
          <w:lang w:val="pt-PT"/>
        </w:rPr>
        <w:t>/</w:t>
      </w:r>
      <w:proofErr w:type="spellStart"/>
      <w:r w:rsidRPr="005F315A">
        <w:rPr>
          <w:rFonts w:ascii="Garamond" w:hAnsi="Garamond"/>
          <w:sz w:val="20"/>
          <w:szCs w:val="20"/>
          <w:lang w:val="pt-PT"/>
        </w:rPr>
        <w:t>Source</w:t>
      </w:r>
      <w:proofErr w:type="spellEnd"/>
      <w:r w:rsidRPr="005F315A">
        <w:rPr>
          <w:rFonts w:ascii="Garamond" w:hAnsi="Garamond"/>
          <w:sz w:val="20"/>
          <w:szCs w:val="20"/>
          <w:lang w:val="pt-PT"/>
        </w:rPr>
        <w:t xml:space="preserve">: Free </w:t>
      </w:r>
      <w:proofErr w:type="spellStart"/>
      <w:r w:rsidRPr="005F315A">
        <w:rPr>
          <w:rFonts w:ascii="Garamond" w:hAnsi="Garamond"/>
          <w:sz w:val="20"/>
          <w:szCs w:val="20"/>
          <w:lang w:val="pt-PT"/>
        </w:rPr>
        <w:t>composition</w:t>
      </w:r>
      <w:proofErr w:type="spellEnd"/>
      <w:r w:rsidRPr="005F315A">
        <w:rPr>
          <w:rFonts w:ascii="Garamond" w:hAnsi="Garamond"/>
          <w:sz w:val="20"/>
          <w:szCs w:val="20"/>
          <w:lang w:val="pt-PT"/>
        </w:rPr>
        <w:t xml:space="preserve">, Sara Sucena &amp; ©Google </w:t>
      </w:r>
      <w:proofErr w:type="spellStart"/>
      <w:r w:rsidRPr="005F315A">
        <w:rPr>
          <w:rFonts w:ascii="Garamond" w:hAnsi="Garamond"/>
          <w:sz w:val="20"/>
          <w:szCs w:val="20"/>
          <w:lang w:val="pt-PT"/>
        </w:rPr>
        <w:t>Earth</w:t>
      </w:r>
      <w:proofErr w:type="spellEnd"/>
    </w:p>
    <w:p w14:paraId="150C3B40" w14:textId="66CEA845" w:rsidR="00EC37EF" w:rsidRPr="005F315A" w:rsidRDefault="00EC37EF" w:rsidP="00EC37EF">
      <w:pPr>
        <w:spacing w:line="360" w:lineRule="auto"/>
        <w:jc w:val="center"/>
        <w:rPr>
          <w:rFonts w:ascii="Garamond" w:hAnsi="Garamond"/>
          <w:sz w:val="20"/>
          <w:szCs w:val="20"/>
          <w:lang w:val="pt-PT"/>
        </w:rPr>
      </w:pPr>
      <w:r w:rsidRPr="005F315A">
        <w:rPr>
          <w:rFonts w:ascii="Garamond" w:hAnsi="Garamond"/>
          <w:noProof/>
          <w:sz w:val="20"/>
          <w:szCs w:val="20"/>
          <w:lang w:val="pt-PT"/>
        </w:rPr>
        <w:drawing>
          <wp:inline distT="0" distB="0" distL="0" distR="0" wp14:anchorId="211A40ED" wp14:editId="00DF9785">
            <wp:extent cx="4423623" cy="6012000"/>
            <wp:effectExtent l="0" t="0" r="0" b="825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23623" cy="6012000"/>
                    </a:xfrm>
                    <a:prstGeom prst="rect">
                      <a:avLst/>
                    </a:prstGeom>
                  </pic:spPr>
                </pic:pic>
              </a:graphicData>
            </a:graphic>
          </wp:inline>
        </w:drawing>
      </w:r>
    </w:p>
    <w:p w14:paraId="7C7DFBD1" w14:textId="449C0FA6" w:rsidR="00EC37EF" w:rsidRPr="005F315A" w:rsidRDefault="00EC37EF" w:rsidP="00EC37EF">
      <w:pPr>
        <w:jc w:val="center"/>
        <w:rPr>
          <w:rFonts w:ascii="Garamond" w:hAnsi="Garamond"/>
        </w:rPr>
      </w:pPr>
      <w:r w:rsidRPr="005F315A">
        <w:rPr>
          <w:rFonts w:ascii="Garamond" w:hAnsi="Garamond"/>
          <w:sz w:val="20"/>
          <w:szCs w:val="20"/>
        </w:rPr>
        <w:t xml:space="preserve">Fig. </w:t>
      </w:r>
      <w:r w:rsidRPr="005F315A">
        <w:rPr>
          <w:rFonts w:ascii="Garamond" w:hAnsi="Garamond"/>
          <w:sz w:val="20"/>
          <w:szCs w:val="20"/>
        </w:rPr>
        <w:t>4 The thirteen churches in Porto</w:t>
      </w:r>
      <w:r w:rsidRPr="005F315A">
        <w:rPr>
          <w:rFonts w:ascii="Garamond" w:hAnsi="Garamond"/>
          <w:sz w:val="20"/>
          <w:szCs w:val="20"/>
        </w:rPr>
        <w:t xml:space="preserve"> Location </w:t>
      </w:r>
      <w:r w:rsidRPr="005F315A">
        <w:rPr>
          <w:rFonts w:ascii="Garamond" w:hAnsi="Garamond"/>
        </w:rPr>
        <w:br w:type="page"/>
      </w:r>
    </w:p>
    <w:p w14:paraId="403B1AF0" w14:textId="0B1D421D" w:rsidR="00E62BF9" w:rsidRPr="005F315A" w:rsidRDefault="00E62BF9" w:rsidP="00E62BF9">
      <w:pPr>
        <w:spacing w:before="240" w:line="360" w:lineRule="auto"/>
        <w:jc w:val="both"/>
        <w:rPr>
          <w:rFonts w:ascii="Garamond" w:hAnsi="Garamond"/>
        </w:rPr>
      </w:pPr>
      <w:r w:rsidRPr="005F315A">
        <w:rPr>
          <w:rFonts w:ascii="Garamond" w:hAnsi="Garamond"/>
        </w:rPr>
        <w:lastRenderedPageBreak/>
        <w:t>tables/diagram, and the latter takes these data to the specific landscape of each church, making sense of both the orientation of the building and of the line perpendicular to the altar in relation to the street grid.</w:t>
      </w:r>
    </w:p>
    <w:p w14:paraId="48329679" w14:textId="465B7EF7" w:rsidR="00A93409" w:rsidRPr="005F315A" w:rsidRDefault="00A93409" w:rsidP="00E62BF9">
      <w:pPr>
        <w:tabs>
          <w:tab w:val="left" w:pos="5964"/>
        </w:tabs>
        <w:spacing w:before="480" w:line="360" w:lineRule="auto"/>
        <w:jc w:val="both"/>
        <w:rPr>
          <w:rFonts w:ascii="Garamond" w:hAnsi="Garamond"/>
          <w:b/>
          <w:bCs/>
        </w:rPr>
      </w:pPr>
      <w:r w:rsidRPr="005F315A">
        <w:rPr>
          <w:rFonts w:ascii="Garamond" w:hAnsi="Garamond"/>
          <w:b/>
          <w:bCs/>
        </w:rPr>
        <w:t xml:space="preserve">The churches and the sun: </w:t>
      </w:r>
      <w:r w:rsidR="00A70DC6" w:rsidRPr="005F315A">
        <w:rPr>
          <w:rFonts w:ascii="Garamond" w:hAnsi="Garamond"/>
          <w:b/>
          <w:bCs/>
        </w:rPr>
        <w:t>a figure-driven reading</w:t>
      </w:r>
    </w:p>
    <w:p w14:paraId="57C385B5" w14:textId="2F41A701" w:rsidR="00A93409" w:rsidRPr="005F315A" w:rsidRDefault="00A93409" w:rsidP="00EC37EF">
      <w:pPr>
        <w:spacing w:before="120" w:after="240" w:line="360" w:lineRule="auto"/>
        <w:jc w:val="both"/>
        <w:rPr>
          <w:rFonts w:ascii="Garamond" w:hAnsi="Garamond"/>
        </w:rPr>
      </w:pPr>
      <w:r w:rsidRPr="005F315A">
        <w:rPr>
          <w:rFonts w:ascii="Garamond" w:hAnsi="Garamond"/>
        </w:rPr>
        <w:t>The orientation of the churches under consideration</w:t>
      </w:r>
      <w:r w:rsidR="00A70DC6" w:rsidRPr="005F315A">
        <w:rPr>
          <w:rFonts w:ascii="Garamond" w:hAnsi="Garamond"/>
        </w:rPr>
        <w:t xml:space="preserve"> was defined by a</w:t>
      </w:r>
      <w:r w:rsidRPr="005F315A">
        <w:rPr>
          <w:rFonts w:ascii="Garamond" w:hAnsi="Garamond"/>
        </w:rPr>
        <w:t xml:space="preserve"> perpendicular drawn from the altar</w:t>
      </w:r>
      <w:r w:rsidR="00A70DC6" w:rsidRPr="005F315A">
        <w:rPr>
          <w:rFonts w:ascii="Garamond" w:hAnsi="Garamond"/>
        </w:rPr>
        <w:t xml:space="preserve"> towards the congregation</w:t>
      </w:r>
      <w:r w:rsidRPr="005F315A">
        <w:rPr>
          <w:rFonts w:ascii="Garamond" w:hAnsi="Garamond"/>
        </w:rPr>
        <w:t xml:space="preserve">, which in twelve buildings has at its opposite end the main entrance in the church’s nave (in Church 08 the entrance is made laterally). Two tables organize the fieldwork measurement data: table 1 groups the general information on the churches distinguishing them according to the orientation of the altar, to the right of a N-S axis – Eastern location – or to its left – Western location. Table 2 stresses the observation of the sunrise dates regardless of the orientation of the altar. From the azimuths’ measurement a diagram was </w:t>
      </w:r>
      <w:r w:rsidR="00A70DC6" w:rsidRPr="005F315A">
        <w:rPr>
          <w:rFonts w:ascii="Garamond" w:hAnsi="Garamond"/>
        </w:rPr>
        <w:t>resulted a diagram</w:t>
      </w:r>
      <w:r w:rsidRPr="005F315A">
        <w:rPr>
          <w:rFonts w:ascii="Garamond" w:hAnsi="Garamond"/>
        </w:rPr>
        <w:t xml:space="preserve"> (Fig</w:t>
      </w:r>
      <w:r w:rsidR="00EC37EF" w:rsidRPr="005F315A">
        <w:rPr>
          <w:rFonts w:ascii="Garamond" w:hAnsi="Garamond"/>
        </w:rPr>
        <w:t>5</w:t>
      </w:r>
      <w:r w:rsidRPr="005F315A">
        <w:rPr>
          <w:rFonts w:ascii="Garamond" w:hAnsi="Garamond"/>
        </w:rPr>
        <w:t>), allowing for an easier visualization of the building/altar’s heading in space.</w:t>
      </w:r>
    </w:p>
    <w:p w14:paraId="04B0ABBB" w14:textId="77777777" w:rsidR="00EC37EF" w:rsidRPr="005F315A" w:rsidRDefault="00EC37EF" w:rsidP="00EC37EF">
      <w:pPr>
        <w:spacing w:before="120" w:after="240" w:line="360" w:lineRule="auto"/>
        <w:jc w:val="both"/>
        <w:rPr>
          <w:rFonts w:ascii="Garamond" w:hAnsi="Garamond"/>
        </w:rPr>
      </w:pPr>
    </w:p>
    <w:p w14:paraId="6D43D701" w14:textId="77777777" w:rsidR="00EC37EF" w:rsidRPr="005F315A" w:rsidRDefault="00EC37EF" w:rsidP="00EC37EF">
      <w:pPr>
        <w:spacing w:line="360" w:lineRule="auto"/>
        <w:jc w:val="center"/>
        <w:rPr>
          <w:rFonts w:ascii="Garamond" w:hAnsi="Garamond"/>
          <w:sz w:val="20"/>
          <w:szCs w:val="20"/>
        </w:rPr>
      </w:pPr>
      <w:r w:rsidRPr="005F315A">
        <w:rPr>
          <w:rFonts w:ascii="Garamond" w:hAnsi="Garamond"/>
          <w:noProof/>
          <w:sz w:val="20"/>
          <w:szCs w:val="20"/>
          <w:lang w:eastAsia="pt-PT"/>
        </w:rPr>
        <w:drawing>
          <wp:inline distT="0" distB="0" distL="0" distR="0" wp14:anchorId="2B1EEE57" wp14:editId="4A90C77B">
            <wp:extent cx="3600000" cy="3600000"/>
            <wp:effectExtent l="0" t="0" r="635" b="63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p>
    <w:p w14:paraId="5E9C3EB7" w14:textId="77777777" w:rsidR="00EC37EF" w:rsidRPr="005F315A" w:rsidRDefault="00EC37EF" w:rsidP="00EC37EF">
      <w:pPr>
        <w:jc w:val="center"/>
        <w:rPr>
          <w:rFonts w:ascii="Garamond" w:hAnsi="Garamond"/>
          <w:sz w:val="20"/>
          <w:szCs w:val="20"/>
        </w:rPr>
      </w:pPr>
      <w:r w:rsidRPr="005F315A">
        <w:rPr>
          <w:rFonts w:ascii="Garamond" w:hAnsi="Garamond"/>
          <w:sz w:val="20"/>
          <w:szCs w:val="20"/>
        </w:rPr>
        <w:t>Fig. 5 Diagram presenting the true azimuths of the thirteen churches under analysis: in red, the churches whose altar is located to the East of a North-South axis; in green, the churches whose altar is located West of that axis. Source: Author, based on fieldwork data.</w:t>
      </w:r>
    </w:p>
    <w:p w14:paraId="7F37473B" w14:textId="06B4965A" w:rsidR="00EC37EF" w:rsidRPr="005F315A" w:rsidRDefault="00EC37EF" w:rsidP="00EC37EF">
      <w:pPr>
        <w:spacing w:before="120" w:after="240" w:line="360" w:lineRule="auto"/>
        <w:jc w:val="both"/>
        <w:rPr>
          <w:rFonts w:ascii="Garamond" w:hAnsi="Garamond"/>
        </w:rPr>
      </w:pPr>
    </w:p>
    <w:p w14:paraId="58F8AE2B" w14:textId="7A613B48" w:rsidR="00EC37EF" w:rsidRPr="005F315A" w:rsidRDefault="00EC37EF">
      <w:pPr>
        <w:rPr>
          <w:rFonts w:ascii="Garamond" w:hAnsi="Garamond"/>
        </w:rPr>
      </w:pPr>
      <w:r w:rsidRPr="005F315A">
        <w:rPr>
          <w:rFonts w:ascii="Garamond" w:hAnsi="Garamond"/>
        </w:rPr>
        <w:br w:type="page"/>
      </w:r>
    </w:p>
    <w:p w14:paraId="7F2C202E" w14:textId="5ADB8729" w:rsidR="00EC37EF" w:rsidRPr="005F315A" w:rsidRDefault="00EC37EF">
      <w:pPr>
        <w:rPr>
          <w:rFonts w:ascii="Garamond" w:hAnsi="Garamond"/>
        </w:rPr>
      </w:pPr>
    </w:p>
    <w:p w14:paraId="32DD12E0" w14:textId="6629F330" w:rsidR="00EC37EF" w:rsidRPr="005F315A" w:rsidRDefault="00EC37EF">
      <w:pPr>
        <w:rPr>
          <w:rFonts w:ascii="Garamond" w:hAnsi="Garamond"/>
        </w:rPr>
      </w:pPr>
    </w:p>
    <w:p w14:paraId="72637424" w14:textId="77777777" w:rsidR="00EC37EF" w:rsidRPr="005F315A" w:rsidRDefault="00EC37EF">
      <w:pPr>
        <w:rPr>
          <w:rFonts w:ascii="Garamond" w:hAnsi="Garamond"/>
        </w:rPr>
      </w:pPr>
    </w:p>
    <w:p w14:paraId="3A638D49" w14:textId="77777777" w:rsidR="00A93409" w:rsidRPr="005F315A" w:rsidRDefault="00A93409" w:rsidP="00A93409">
      <w:pPr>
        <w:spacing w:line="360" w:lineRule="auto"/>
        <w:jc w:val="both"/>
        <w:rPr>
          <w:rFonts w:ascii="Garamond" w:hAnsi="Garamond"/>
        </w:rPr>
      </w:pPr>
      <w:r w:rsidRPr="005F315A">
        <w:rPr>
          <w:rFonts w:ascii="Garamond" w:hAnsi="Garamond"/>
          <w:noProof/>
          <w:lang w:eastAsia="pt-PT"/>
        </w:rPr>
        <w:drawing>
          <wp:inline distT="0" distB="0" distL="0" distR="0" wp14:anchorId="35A983B4" wp14:editId="432E60A4">
            <wp:extent cx="6120130" cy="255434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2554340"/>
                    </a:xfrm>
                    <a:prstGeom prst="rect">
                      <a:avLst/>
                    </a:prstGeom>
                    <a:noFill/>
                  </pic:spPr>
                </pic:pic>
              </a:graphicData>
            </a:graphic>
          </wp:inline>
        </w:drawing>
      </w:r>
    </w:p>
    <w:p w14:paraId="1830022A" w14:textId="453F2DD0" w:rsidR="00A93409" w:rsidRPr="005F315A" w:rsidRDefault="00A93409" w:rsidP="00EC37EF">
      <w:pPr>
        <w:jc w:val="center"/>
        <w:rPr>
          <w:rFonts w:ascii="Garamond" w:hAnsi="Garamond"/>
          <w:sz w:val="20"/>
          <w:szCs w:val="20"/>
        </w:rPr>
      </w:pPr>
      <w:r w:rsidRPr="005F315A">
        <w:rPr>
          <w:rFonts w:ascii="Garamond" w:hAnsi="Garamond"/>
          <w:b/>
          <w:bCs/>
          <w:sz w:val="20"/>
          <w:szCs w:val="20"/>
        </w:rPr>
        <w:t>Table.1</w:t>
      </w:r>
      <w:r w:rsidRPr="005F315A">
        <w:rPr>
          <w:rFonts w:ascii="Garamond" w:hAnsi="Garamond"/>
          <w:sz w:val="20"/>
          <w:szCs w:val="20"/>
        </w:rPr>
        <w:t xml:space="preserve"> – Fieldwork data collection: Location of the churches’ main altar on a E-W axis. Black stands for the churches whose altar have an Eastern location and pink for those that have it in a Western placement. Blue highlights the church where the altar is set almost due South. Source: Author</w:t>
      </w:r>
      <w:r w:rsidR="00A70DC6" w:rsidRPr="005F315A">
        <w:rPr>
          <w:rFonts w:ascii="Garamond" w:hAnsi="Garamond"/>
          <w:sz w:val="20"/>
          <w:szCs w:val="20"/>
        </w:rPr>
        <w:t>,</w:t>
      </w:r>
      <w:r w:rsidRPr="005F315A">
        <w:rPr>
          <w:rFonts w:ascii="Garamond" w:hAnsi="Garamond"/>
          <w:sz w:val="20"/>
          <w:szCs w:val="20"/>
        </w:rPr>
        <w:t xml:space="preserve"> based on fieldwork data.</w:t>
      </w:r>
    </w:p>
    <w:p w14:paraId="04CFB42B" w14:textId="06EE3111" w:rsidR="00A93409" w:rsidRPr="005F315A" w:rsidRDefault="00A93409" w:rsidP="00A93409">
      <w:pPr>
        <w:spacing w:after="360" w:line="360" w:lineRule="auto"/>
        <w:jc w:val="center"/>
        <w:rPr>
          <w:rFonts w:ascii="Garamond" w:hAnsi="Garamond"/>
          <w:sz w:val="20"/>
          <w:szCs w:val="20"/>
        </w:rPr>
      </w:pPr>
    </w:p>
    <w:p w14:paraId="7ADD1EC8" w14:textId="0FF2D50C" w:rsidR="005F315A" w:rsidRPr="005F315A" w:rsidRDefault="005F315A" w:rsidP="00A93409">
      <w:pPr>
        <w:spacing w:after="360" w:line="360" w:lineRule="auto"/>
        <w:jc w:val="center"/>
        <w:rPr>
          <w:rFonts w:ascii="Garamond" w:hAnsi="Garamond"/>
          <w:sz w:val="20"/>
          <w:szCs w:val="20"/>
        </w:rPr>
      </w:pPr>
    </w:p>
    <w:p w14:paraId="229E6DB7" w14:textId="77777777" w:rsidR="005F315A" w:rsidRPr="005F315A" w:rsidRDefault="005F315A" w:rsidP="00A93409">
      <w:pPr>
        <w:spacing w:after="360" w:line="360" w:lineRule="auto"/>
        <w:jc w:val="center"/>
        <w:rPr>
          <w:rFonts w:ascii="Garamond" w:hAnsi="Garamond"/>
          <w:sz w:val="20"/>
          <w:szCs w:val="20"/>
        </w:rPr>
      </w:pPr>
    </w:p>
    <w:p w14:paraId="6D3898C9" w14:textId="77777777" w:rsidR="00EC37EF" w:rsidRPr="005F315A" w:rsidRDefault="00EC37EF" w:rsidP="00EC37EF">
      <w:pPr>
        <w:spacing w:before="240" w:line="360" w:lineRule="auto"/>
        <w:jc w:val="both"/>
        <w:rPr>
          <w:rFonts w:ascii="Garamond" w:hAnsi="Garamond"/>
        </w:rPr>
      </w:pPr>
      <w:r w:rsidRPr="005F315A">
        <w:rPr>
          <w:rFonts w:ascii="Garamond" w:hAnsi="Garamond"/>
          <w:noProof/>
          <w:lang w:eastAsia="pt-PT"/>
        </w:rPr>
        <w:drawing>
          <wp:inline distT="0" distB="0" distL="0" distR="0" wp14:anchorId="0E8E3709" wp14:editId="00E20833">
            <wp:extent cx="6120000" cy="2549471"/>
            <wp:effectExtent l="0" t="0" r="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0000" cy="2549471"/>
                    </a:xfrm>
                    <a:prstGeom prst="rect">
                      <a:avLst/>
                    </a:prstGeom>
                  </pic:spPr>
                </pic:pic>
              </a:graphicData>
            </a:graphic>
          </wp:inline>
        </w:drawing>
      </w:r>
    </w:p>
    <w:p w14:paraId="2F4A4444" w14:textId="77777777" w:rsidR="00EC37EF" w:rsidRPr="005F315A" w:rsidRDefault="00EC37EF" w:rsidP="00EC37EF">
      <w:pPr>
        <w:spacing w:after="360" w:line="360" w:lineRule="auto"/>
        <w:jc w:val="center"/>
        <w:rPr>
          <w:rFonts w:ascii="Garamond" w:hAnsi="Garamond"/>
          <w:sz w:val="20"/>
          <w:szCs w:val="20"/>
        </w:rPr>
      </w:pPr>
      <w:r w:rsidRPr="005F315A">
        <w:rPr>
          <w:rFonts w:ascii="Garamond" w:hAnsi="Garamond"/>
          <w:b/>
          <w:bCs/>
          <w:sz w:val="20"/>
          <w:szCs w:val="20"/>
        </w:rPr>
        <w:t>Table.2</w:t>
      </w:r>
      <w:r w:rsidRPr="005F315A">
        <w:rPr>
          <w:rFonts w:ascii="Garamond" w:hAnsi="Garamond"/>
          <w:sz w:val="20"/>
          <w:szCs w:val="20"/>
        </w:rPr>
        <w:t xml:space="preserve"> – Fieldwork data collection: Sunrise dates for the line perpendicular to the churches’ main altar. In churches 04 and 05 the line does not point at any sunrise position. Source: Author, based on fieldwork data.</w:t>
      </w:r>
    </w:p>
    <w:p w14:paraId="4F29B83F" w14:textId="524D251A" w:rsidR="00EC37EF" w:rsidRPr="005F315A" w:rsidRDefault="00EC37EF">
      <w:pPr>
        <w:rPr>
          <w:rFonts w:ascii="Garamond" w:hAnsi="Garamond"/>
          <w:sz w:val="20"/>
          <w:szCs w:val="20"/>
        </w:rPr>
      </w:pPr>
      <w:r w:rsidRPr="005F315A">
        <w:rPr>
          <w:rFonts w:ascii="Garamond" w:hAnsi="Garamond"/>
          <w:sz w:val="20"/>
          <w:szCs w:val="20"/>
        </w:rPr>
        <w:br w:type="page"/>
      </w:r>
    </w:p>
    <w:p w14:paraId="00539AE8" w14:textId="7B5F2822" w:rsidR="00A93409" w:rsidRPr="005F315A" w:rsidRDefault="00A93409" w:rsidP="00A93409">
      <w:pPr>
        <w:spacing w:before="360" w:after="240" w:line="360" w:lineRule="auto"/>
        <w:jc w:val="both"/>
        <w:rPr>
          <w:rFonts w:ascii="Garamond" w:hAnsi="Garamond"/>
        </w:rPr>
      </w:pPr>
      <w:r w:rsidRPr="005F315A">
        <w:rPr>
          <w:rFonts w:ascii="Garamond" w:hAnsi="Garamond"/>
        </w:rPr>
        <w:lastRenderedPageBreak/>
        <w:t>Regarding the diagram, ten of the thirteen churches analysed are located in the second and fourth quadrants of the graded circle, thus having a southeast-northwest orientation. Taking into consideration the location of the altar, most churches are located in the second quadrant, with the altar oriented to the southeast – seven churches out of the thirteen (in Fig.</w:t>
      </w:r>
      <w:r w:rsidR="00EC37EF" w:rsidRPr="005F315A">
        <w:rPr>
          <w:rFonts w:ascii="Garamond" w:hAnsi="Garamond"/>
        </w:rPr>
        <w:t>5</w:t>
      </w:r>
      <w:r w:rsidRPr="005F315A">
        <w:rPr>
          <w:rFonts w:ascii="Garamond" w:hAnsi="Garamond"/>
        </w:rPr>
        <w:t xml:space="preserve"> represented by the red colour), six of which locate within the azimuth 90°-120°. Three of the six remaining turn the altar to the northwest (in green), two of which with exactly the same azimuth on the border of the true west (269º).</w:t>
      </w:r>
    </w:p>
    <w:p w14:paraId="226A72AD" w14:textId="42D478A8" w:rsidR="00A93409" w:rsidRPr="005F315A" w:rsidRDefault="00A93409" w:rsidP="00A93409">
      <w:pPr>
        <w:spacing w:before="240" w:line="360" w:lineRule="auto"/>
        <w:jc w:val="both"/>
        <w:rPr>
          <w:rFonts w:ascii="Garamond" w:hAnsi="Garamond"/>
        </w:rPr>
      </w:pPr>
      <w:r w:rsidRPr="005F315A">
        <w:rPr>
          <w:rFonts w:ascii="Garamond" w:hAnsi="Garamond"/>
        </w:rPr>
        <w:t>According to table 1, the observation of the solar declinations (as mentioned by Clive Ruggles, nowadays equal to about ±23.4°) shows that all but two churches (04 and 05) are positioned within the ‘solar sunrise/sunset arc’, that is, between the solstice sunrise/sunset azimuths.</w:t>
      </w:r>
      <w:r w:rsidRPr="005F315A">
        <w:rPr>
          <w:rStyle w:val="Refdenotaderodap"/>
          <w:rFonts w:ascii="Garamond" w:hAnsi="Garamond"/>
        </w:rPr>
        <w:footnoteReference w:id="32"/>
      </w:r>
      <w:r w:rsidRPr="005F315A">
        <w:rPr>
          <w:rFonts w:ascii="Garamond" w:hAnsi="Garamond"/>
        </w:rPr>
        <w:t xml:space="preserve"> Like both Hoare and </w:t>
      </w:r>
      <w:proofErr w:type="spellStart"/>
      <w:r w:rsidRPr="005F315A">
        <w:rPr>
          <w:rFonts w:ascii="Garamond" w:hAnsi="Garamond"/>
        </w:rPr>
        <w:t>Spinazzè</w:t>
      </w:r>
      <w:proofErr w:type="spellEnd"/>
      <w:r w:rsidRPr="005F315A">
        <w:rPr>
          <w:rFonts w:ascii="Garamond" w:hAnsi="Garamond"/>
        </w:rPr>
        <w:t xml:space="preserve"> discussed above, I found out that most of the churches face the sunrise arc</w:t>
      </w:r>
      <w:r w:rsidRPr="005F315A">
        <w:t xml:space="preserve"> </w:t>
      </w:r>
      <w:r w:rsidRPr="005F315A">
        <w:rPr>
          <w:rFonts w:ascii="Garamond" w:hAnsi="Garamond"/>
        </w:rPr>
        <w:t xml:space="preserve">although the difference is not much in relation to those that turn towards the sunset arc – </w:t>
      </w:r>
      <w:r w:rsidR="003C7518" w:rsidRPr="005F315A">
        <w:rPr>
          <w:rFonts w:ascii="Garamond" w:hAnsi="Garamond"/>
        </w:rPr>
        <w:t>six</w:t>
      </w:r>
      <w:r w:rsidRPr="005F315A">
        <w:rPr>
          <w:rFonts w:ascii="Garamond" w:hAnsi="Garamond"/>
        </w:rPr>
        <w:t xml:space="preserve"> </w:t>
      </w:r>
      <w:r w:rsidR="003C7518" w:rsidRPr="005F315A">
        <w:rPr>
          <w:rFonts w:ascii="Garamond" w:hAnsi="Garamond"/>
        </w:rPr>
        <w:t xml:space="preserve">turn to sunrise and five to </w:t>
      </w:r>
      <w:proofErr w:type="spellStart"/>
      <w:r w:rsidR="003C7518" w:rsidRPr="005F315A">
        <w:rPr>
          <w:rFonts w:ascii="Garamond" w:hAnsi="Garamond"/>
        </w:rPr>
        <w:t>sunset</w:t>
      </w:r>
      <w:r w:rsidRPr="005F315A">
        <w:rPr>
          <w:rFonts w:ascii="Garamond" w:hAnsi="Garamond"/>
        </w:rPr>
        <w:t>ely</w:t>
      </w:r>
      <w:proofErr w:type="spellEnd"/>
      <w:r w:rsidR="00B02EB8" w:rsidRPr="005F315A">
        <w:rPr>
          <w:rFonts w:ascii="Garamond" w:hAnsi="Garamond"/>
        </w:rPr>
        <w:t xml:space="preserve"> </w:t>
      </w:r>
      <w:r w:rsidRPr="005F315A">
        <w:rPr>
          <w:rFonts w:ascii="Garamond" w:hAnsi="Garamond"/>
        </w:rPr>
        <w:t>(</w:t>
      </w:r>
      <w:r w:rsidR="00EC37EF" w:rsidRPr="005F315A">
        <w:rPr>
          <w:rFonts w:ascii="Garamond" w:hAnsi="Garamond"/>
        </w:rPr>
        <w:t>F</w:t>
      </w:r>
      <w:r w:rsidRPr="005F315A">
        <w:rPr>
          <w:rFonts w:ascii="Garamond" w:hAnsi="Garamond"/>
        </w:rPr>
        <w:t>ig</w:t>
      </w:r>
      <w:r w:rsidR="00EC37EF" w:rsidRPr="005F315A">
        <w:rPr>
          <w:rFonts w:ascii="Garamond" w:hAnsi="Garamond"/>
        </w:rPr>
        <w:t>5</w:t>
      </w:r>
      <w:r w:rsidRPr="005F315A">
        <w:rPr>
          <w:rFonts w:ascii="Garamond" w:hAnsi="Garamond"/>
        </w:rPr>
        <w:t>).</w:t>
      </w:r>
      <w:r w:rsidRPr="005F315A">
        <w:rPr>
          <w:rStyle w:val="Refdenotaderodap"/>
          <w:rFonts w:ascii="Garamond" w:hAnsi="Garamond"/>
        </w:rPr>
        <w:footnoteReference w:id="33"/>
      </w:r>
      <w:r w:rsidRPr="005F315A">
        <w:rPr>
          <w:rFonts w:ascii="Garamond" w:hAnsi="Garamond"/>
        </w:rPr>
        <w:t xml:space="preserve"> Also worth noticing, from the solar declination values and the corresponding sunrise/sunset dates, is the series of churches that point to equinoxes (either the vernal or the autumn one) that according to Ruggles ‘can be defined technically as the times when the sun’s declination is 0°’.</w:t>
      </w:r>
      <w:r w:rsidRPr="005F315A">
        <w:rPr>
          <w:rStyle w:val="Refdenotaderodap"/>
          <w:rFonts w:ascii="Garamond" w:hAnsi="Garamond"/>
        </w:rPr>
        <w:footnoteReference w:id="34"/>
      </w:r>
      <w:r w:rsidRPr="005F315A">
        <w:rPr>
          <w:rFonts w:ascii="Garamond" w:hAnsi="Garamond"/>
        </w:rPr>
        <w:t xml:space="preserve"> Five buildings set under a declination’s variation of ±5°, therefore close enough to the equinox and to allow the observation of the distinct movement of the sun when compared to solstices, when the sun gets the further away possible from the equinoctial axis. None of the churches reaches a declination of ±23.4°, but some are close enough and </w:t>
      </w:r>
      <w:r w:rsidR="003C7518" w:rsidRPr="005F315A">
        <w:rPr>
          <w:rFonts w:ascii="Garamond" w:hAnsi="Garamond"/>
        </w:rPr>
        <w:t xml:space="preserve">the comparison below </w:t>
      </w:r>
      <w:r w:rsidRPr="005F315A">
        <w:rPr>
          <w:rFonts w:ascii="Garamond" w:hAnsi="Garamond"/>
        </w:rPr>
        <w:t>show</w:t>
      </w:r>
      <w:r w:rsidR="003C7518" w:rsidRPr="005F315A">
        <w:rPr>
          <w:rFonts w:ascii="Garamond" w:hAnsi="Garamond"/>
        </w:rPr>
        <w:t>s</w:t>
      </w:r>
      <w:r w:rsidRPr="005F315A">
        <w:rPr>
          <w:rFonts w:ascii="Garamond" w:hAnsi="Garamond"/>
        </w:rPr>
        <w:t xml:space="preserve"> that the sun moves much quicker at the equinoxes than at the solstices, as Juan Antonio Belmonte states when discussing the main solar stations.</w:t>
      </w:r>
      <w:r w:rsidRPr="005F315A">
        <w:rPr>
          <w:rStyle w:val="Refdenotaderodap"/>
          <w:rFonts w:ascii="Garamond" w:hAnsi="Garamond"/>
        </w:rPr>
        <w:footnoteReference w:id="35"/>
      </w:r>
      <w:r w:rsidRPr="005F315A">
        <w:rPr>
          <w:rFonts w:ascii="Garamond" w:hAnsi="Garamond"/>
        </w:rPr>
        <w:t xml:space="preserve"> In the literature review section authors highlighted the religious and symbolic importance given to this axis, an aspect that still seems to be topical since a significant part of the modern churches under analysis seem to follow or be sensitive about it.</w:t>
      </w:r>
    </w:p>
    <w:p w14:paraId="68BE19C2" w14:textId="355D95F9" w:rsidR="00A93409" w:rsidRPr="005F315A" w:rsidRDefault="00A93409" w:rsidP="00A93409">
      <w:pPr>
        <w:spacing w:before="240" w:line="360" w:lineRule="auto"/>
        <w:jc w:val="both"/>
        <w:rPr>
          <w:rFonts w:ascii="Garamond" w:hAnsi="Garamond"/>
        </w:rPr>
      </w:pPr>
      <w:r w:rsidRPr="005F315A">
        <w:rPr>
          <w:rFonts w:ascii="Garamond" w:hAnsi="Garamond"/>
        </w:rPr>
        <w:t>The observation of sunrise dates closer to the winter solstice and to the vernal equinox, for instance, for churches 03 and 12 (Table 2) bear</w:t>
      </w:r>
      <w:r w:rsidR="00B02EB8" w:rsidRPr="005F315A">
        <w:rPr>
          <w:rFonts w:ascii="Garamond" w:hAnsi="Garamond"/>
        </w:rPr>
        <w:t>s</w:t>
      </w:r>
      <w:r w:rsidRPr="005F315A">
        <w:rPr>
          <w:rFonts w:ascii="Garamond" w:hAnsi="Garamond"/>
        </w:rPr>
        <w:t xml:space="preserve"> witness to that. Considering the declination figures for each one of them increased by the </w:t>
      </w:r>
      <w:r w:rsidRPr="005F315A">
        <w:rPr>
          <w:rFonts w:ascii="Garamond" w:hAnsi="Garamond"/>
          <w:i/>
          <w:iCs/>
        </w:rPr>
        <w:t>uncertainty level</w:t>
      </w:r>
      <w:r w:rsidRPr="005F315A">
        <w:rPr>
          <w:rFonts w:ascii="Garamond" w:hAnsi="Garamond"/>
        </w:rPr>
        <w:t xml:space="preserve"> of ±1°, one can see that, within that same interval, church 03 (declination -20,13° ±1°) benefits from the sun’s </w:t>
      </w:r>
      <w:r w:rsidR="002822BA" w:rsidRPr="005F315A">
        <w:rPr>
          <w:rFonts w:ascii="Garamond" w:hAnsi="Garamond"/>
        </w:rPr>
        <w:t>extended</w:t>
      </w:r>
      <w:r w:rsidRPr="005F315A">
        <w:rPr>
          <w:rFonts w:ascii="Garamond" w:hAnsi="Garamond"/>
        </w:rPr>
        <w:t xml:space="preserve"> presence, of about ten days between January 15</w:t>
      </w:r>
      <w:r w:rsidRPr="005F315A">
        <w:rPr>
          <w:rFonts w:ascii="Garamond" w:hAnsi="Garamond"/>
          <w:vertAlign w:val="superscript"/>
        </w:rPr>
        <w:t>th</w:t>
      </w:r>
      <w:r w:rsidRPr="005F315A">
        <w:rPr>
          <w:rFonts w:ascii="Garamond" w:hAnsi="Garamond"/>
        </w:rPr>
        <w:t>-25</w:t>
      </w:r>
      <w:r w:rsidRPr="005F315A">
        <w:rPr>
          <w:rFonts w:ascii="Garamond" w:hAnsi="Garamond"/>
          <w:vertAlign w:val="superscript"/>
        </w:rPr>
        <w:t>th</w:t>
      </w:r>
      <w:r w:rsidRPr="005F315A">
        <w:rPr>
          <w:rFonts w:ascii="Garamond" w:hAnsi="Garamond"/>
        </w:rPr>
        <w:t>, when compared to the five days it faces church 12 (declination 0,67°±1°), between March 19</w:t>
      </w:r>
      <w:r w:rsidRPr="005F315A">
        <w:rPr>
          <w:rFonts w:ascii="Garamond" w:hAnsi="Garamond"/>
          <w:vertAlign w:val="superscript"/>
        </w:rPr>
        <w:t>th</w:t>
      </w:r>
      <w:r w:rsidRPr="005F315A">
        <w:rPr>
          <w:rFonts w:ascii="Garamond" w:hAnsi="Garamond"/>
        </w:rPr>
        <w:t>-24</w:t>
      </w:r>
      <w:r w:rsidRPr="005F315A">
        <w:rPr>
          <w:rFonts w:ascii="Garamond" w:hAnsi="Garamond"/>
          <w:vertAlign w:val="superscript"/>
        </w:rPr>
        <w:t>th</w:t>
      </w:r>
      <w:r w:rsidRPr="005F315A">
        <w:rPr>
          <w:rFonts w:ascii="Garamond" w:hAnsi="Garamond"/>
        </w:rPr>
        <w:t>. This also brings light to another of Belmonte’s statement – ‘an equinoctial marker can be extremely precise and may act as nearly a perfect tool for the control of time’</w:t>
      </w:r>
      <w:r w:rsidRPr="005F315A">
        <w:rPr>
          <w:rStyle w:val="Refdenotaderodap"/>
          <w:rFonts w:ascii="Garamond" w:hAnsi="Garamond"/>
        </w:rPr>
        <w:footnoteReference w:id="36"/>
      </w:r>
      <w:r w:rsidRPr="005F315A">
        <w:rPr>
          <w:rFonts w:ascii="Garamond" w:hAnsi="Garamond"/>
        </w:rPr>
        <w:t xml:space="preserve"> – as the sun’s faster movement </w:t>
      </w:r>
      <w:r w:rsidRPr="005F315A">
        <w:rPr>
          <w:rFonts w:ascii="Garamond" w:hAnsi="Garamond"/>
        </w:rPr>
        <w:lastRenderedPageBreak/>
        <w:t>makes differences in time more easily intelligible, namely when naked-eye observations are the ones in place.</w:t>
      </w:r>
    </w:p>
    <w:p w14:paraId="72680BAF" w14:textId="2307918C" w:rsidR="00A93409" w:rsidRPr="005F315A" w:rsidRDefault="00A93409" w:rsidP="002822BA">
      <w:pPr>
        <w:spacing w:before="240" w:line="360" w:lineRule="auto"/>
        <w:jc w:val="both"/>
        <w:rPr>
          <w:rFonts w:ascii="Garamond" w:hAnsi="Garamond"/>
          <w:lang w:val="pt-PT"/>
        </w:rPr>
      </w:pPr>
      <w:r w:rsidRPr="005F315A">
        <w:rPr>
          <w:rFonts w:ascii="Garamond" w:hAnsi="Garamond"/>
        </w:rPr>
        <w:t>As to making sense of the collected data regarding the churches’ orientation taking into account the churches’ patronal orientation, as McCluskey mentions this is one of the popular principles to be referred when discussing the churches setting (like the equinoctial orientation and that based on the date of the building’s foundation),</w:t>
      </w:r>
      <w:r w:rsidRPr="005F315A">
        <w:rPr>
          <w:rStyle w:val="Refdenotaderodap"/>
          <w:rFonts w:ascii="Garamond" w:hAnsi="Garamond"/>
        </w:rPr>
        <w:footnoteReference w:id="37"/>
      </w:r>
      <w:r w:rsidRPr="005F315A">
        <w:rPr>
          <w:rFonts w:ascii="Garamond" w:hAnsi="Garamond"/>
        </w:rPr>
        <w:t xml:space="preserve"> results showed no relation with it whatsoever. The connection between the church’s altar and ‘the rising Sun on the feast day of the saint to whom the building was dedicated’, as explained by Hoare, was considered in table 3, that interrelated the churches’ patron, their titular days according to the </w:t>
      </w:r>
      <w:r w:rsidR="002822BA" w:rsidRPr="005F315A">
        <w:rPr>
          <w:rFonts w:ascii="Garamond" w:hAnsi="Garamond"/>
        </w:rPr>
        <w:t>liturgical calendar</w:t>
      </w:r>
      <w:r w:rsidRPr="005F315A">
        <w:rPr>
          <w:rFonts w:ascii="Garamond" w:hAnsi="Garamond"/>
        </w:rPr>
        <w:t xml:space="preserve"> and the sunrise/sunset dates.</w:t>
      </w:r>
    </w:p>
    <w:p w14:paraId="1C953C00" w14:textId="77777777" w:rsidR="00A93409" w:rsidRPr="005F315A" w:rsidRDefault="00A93409" w:rsidP="00A93409">
      <w:pPr>
        <w:rPr>
          <w:rFonts w:ascii="Garamond" w:hAnsi="Garamond"/>
          <w:lang w:val="pt-PT"/>
        </w:rPr>
      </w:pPr>
    </w:p>
    <w:p w14:paraId="47FC876F" w14:textId="77777777" w:rsidR="00A93409" w:rsidRPr="005F315A" w:rsidRDefault="00A93409" w:rsidP="00EC37EF">
      <w:pPr>
        <w:spacing w:after="360" w:line="360" w:lineRule="auto"/>
        <w:rPr>
          <w:rFonts w:ascii="Garamond" w:hAnsi="Garamond"/>
          <w:sz w:val="20"/>
          <w:szCs w:val="20"/>
        </w:rPr>
      </w:pPr>
    </w:p>
    <w:p w14:paraId="3DE494F3" w14:textId="77777777" w:rsidR="00A93409" w:rsidRPr="005F315A" w:rsidRDefault="00A93409" w:rsidP="00A93409">
      <w:pPr>
        <w:spacing w:before="240" w:line="360" w:lineRule="auto"/>
        <w:jc w:val="both"/>
        <w:rPr>
          <w:rFonts w:ascii="Garamond" w:hAnsi="Garamond"/>
        </w:rPr>
      </w:pPr>
      <w:r w:rsidRPr="005F315A">
        <w:rPr>
          <w:rFonts w:ascii="Garamond" w:hAnsi="Garamond"/>
          <w:noProof/>
          <w:lang w:eastAsia="pt-PT"/>
        </w:rPr>
        <w:drawing>
          <wp:inline distT="0" distB="0" distL="0" distR="0" wp14:anchorId="21502D9A" wp14:editId="1BF2443D">
            <wp:extent cx="6120130" cy="40582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130" cy="4058285"/>
                    </a:xfrm>
                    <a:prstGeom prst="rect">
                      <a:avLst/>
                    </a:prstGeom>
                  </pic:spPr>
                </pic:pic>
              </a:graphicData>
            </a:graphic>
          </wp:inline>
        </w:drawing>
      </w:r>
    </w:p>
    <w:p w14:paraId="05331023" w14:textId="1264E803" w:rsidR="00A93409" w:rsidRPr="005F315A" w:rsidRDefault="00A93409" w:rsidP="00A93409">
      <w:pPr>
        <w:spacing w:after="360" w:line="360" w:lineRule="auto"/>
        <w:jc w:val="center"/>
        <w:rPr>
          <w:rFonts w:ascii="Garamond" w:hAnsi="Garamond"/>
          <w:sz w:val="20"/>
          <w:szCs w:val="20"/>
        </w:rPr>
      </w:pPr>
      <w:r w:rsidRPr="005F315A">
        <w:rPr>
          <w:rFonts w:ascii="Garamond" w:hAnsi="Garamond"/>
          <w:b/>
          <w:bCs/>
          <w:sz w:val="20"/>
          <w:szCs w:val="20"/>
        </w:rPr>
        <w:t>Table.3</w:t>
      </w:r>
      <w:r w:rsidRPr="005F315A">
        <w:rPr>
          <w:rFonts w:ascii="Garamond" w:hAnsi="Garamond"/>
          <w:sz w:val="20"/>
          <w:szCs w:val="20"/>
        </w:rPr>
        <w:t xml:space="preserve"> – Fieldwork data collection. The patron of the church, its titular</w:t>
      </w:r>
      <w:r w:rsidR="006954DA" w:rsidRPr="005F315A">
        <w:rPr>
          <w:rFonts w:ascii="Garamond" w:hAnsi="Garamond"/>
          <w:sz w:val="20"/>
          <w:szCs w:val="20"/>
        </w:rPr>
        <w:t xml:space="preserve"> feast</w:t>
      </w:r>
      <w:r w:rsidRPr="005F315A">
        <w:rPr>
          <w:rFonts w:ascii="Garamond" w:hAnsi="Garamond"/>
          <w:sz w:val="20"/>
          <w:szCs w:val="20"/>
        </w:rPr>
        <w:t xml:space="preserve"> and the Sunrise/sunset dates for the line perpendicular to the churches’ main altar. Source: Author</w:t>
      </w:r>
      <w:r w:rsidR="006954DA" w:rsidRPr="005F315A">
        <w:rPr>
          <w:rFonts w:ascii="Garamond" w:hAnsi="Garamond"/>
          <w:sz w:val="20"/>
          <w:szCs w:val="20"/>
        </w:rPr>
        <w:t>,</w:t>
      </w:r>
      <w:r w:rsidRPr="005F315A">
        <w:rPr>
          <w:rFonts w:ascii="Garamond" w:hAnsi="Garamond"/>
          <w:sz w:val="20"/>
          <w:szCs w:val="20"/>
        </w:rPr>
        <w:t xml:space="preserve"> based on fieldwork data.</w:t>
      </w:r>
    </w:p>
    <w:p w14:paraId="12FECABC" w14:textId="32FC59FF" w:rsidR="00A93409" w:rsidRPr="005F315A" w:rsidRDefault="00A93409" w:rsidP="00A93409">
      <w:pPr>
        <w:spacing w:after="360" w:line="360" w:lineRule="auto"/>
        <w:jc w:val="center"/>
        <w:rPr>
          <w:rFonts w:ascii="Garamond" w:hAnsi="Garamond"/>
        </w:rPr>
      </w:pPr>
    </w:p>
    <w:p w14:paraId="16156434" w14:textId="77777777" w:rsidR="00EC37EF" w:rsidRPr="005F315A" w:rsidRDefault="00EC37EF" w:rsidP="00A93409">
      <w:pPr>
        <w:spacing w:after="360" w:line="360" w:lineRule="auto"/>
        <w:jc w:val="center"/>
        <w:rPr>
          <w:rFonts w:ascii="Garamond" w:hAnsi="Garamond"/>
        </w:rPr>
      </w:pPr>
    </w:p>
    <w:p w14:paraId="53B454BB" w14:textId="4EB66EC5" w:rsidR="00A93409" w:rsidRPr="005F315A" w:rsidRDefault="00A93409" w:rsidP="00523046">
      <w:pPr>
        <w:spacing w:before="240" w:line="360" w:lineRule="auto"/>
        <w:jc w:val="both"/>
        <w:rPr>
          <w:rFonts w:ascii="Garamond" w:hAnsi="Garamond"/>
          <w:b/>
          <w:bCs/>
        </w:rPr>
      </w:pPr>
      <w:r w:rsidRPr="005F315A">
        <w:rPr>
          <w:rFonts w:ascii="Garamond" w:hAnsi="Garamond"/>
          <w:b/>
          <w:bCs/>
        </w:rPr>
        <w:lastRenderedPageBreak/>
        <w:t xml:space="preserve">The churches and the sun: a reading from the </w:t>
      </w:r>
      <w:r w:rsidR="00523046" w:rsidRPr="005F315A">
        <w:rPr>
          <w:rFonts w:ascii="Garamond" w:hAnsi="Garamond"/>
          <w:b/>
          <w:bCs/>
        </w:rPr>
        <w:t>cityscape</w:t>
      </w:r>
      <w:r w:rsidR="00523046" w:rsidRPr="005F315A">
        <w:rPr>
          <w:rFonts w:ascii="Garamond" w:hAnsi="Garamond"/>
          <w:b/>
          <w:bCs/>
        </w:rPr>
        <w:t xml:space="preserve"> </w:t>
      </w:r>
      <w:r w:rsidRPr="005F315A">
        <w:rPr>
          <w:rFonts w:ascii="Garamond" w:hAnsi="Garamond"/>
          <w:b/>
          <w:bCs/>
        </w:rPr>
        <w:t>/street grid</w:t>
      </w:r>
    </w:p>
    <w:p w14:paraId="7AE80D7B" w14:textId="19C234BC" w:rsidR="00523046" w:rsidRPr="005F315A" w:rsidRDefault="00523046" w:rsidP="00523046">
      <w:pPr>
        <w:pStyle w:val="PargrafodaLista"/>
        <w:numPr>
          <w:ilvl w:val="0"/>
          <w:numId w:val="26"/>
        </w:numPr>
        <w:spacing w:before="240" w:line="360" w:lineRule="auto"/>
        <w:jc w:val="both"/>
        <w:rPr>
          <w:rFonts w:ascii="Garamond" w:hAnsi="Garamond"/>
          <w:b/>
          <w:bCs/>
          <w:lang w:val="en-US"/>
        </w:rPr>
      </w:pPr>
      <w:r w:rsidRPr="005F315A">
        <w:rPr>
          <w:rFonts w:ascii="Garamond" w:hAnsi="Garamond"/>
          <w:b/>
          <w:bCs/>
          <w:lang w:val="en-US"/>
        </w:rPr>
        <w:t xml:space="preserve">Integration on the street grid </w:t>
      </w:r>
    </w:p>
    <w:p w14:paraId="335A159B" w14:textId="77777777" w:rsidR="00523046" w:rsidRPr="005F315A" w:rsidRDefault="00523046" w:rsidP="00523046">
      <w:pPr>
        <w:spacing w:before="240" w:line="360" w:lineRule="auto"/>
        <w:jc w:val="both"/>
        <w:rPr>
          <w:rFonts w:ascii="Garamond" w:hAnsi="Garamond"/>
        </w:rPr>
      </w:pPr>
      <w:r w:rsidRPr="005F315A">
        <w:rPr>
          <w:rFonts w:ascii="Garamond" w:hAnsi="Garamond"/>
        </w:rPr>
        <w:t xml:space="preserve">An observation of these buildings setting on Google Earth (for additional information see Annex) shows that all these churches establish an articulated relationship with the street grid, being directly subordinate to it, and/or correlating with the plane composition of the surrounding built masses. This leads to the assumption that an interaction with the cityscape ranked higher than other design justifications, namely a specific solar orientation. An examination of the building permit files for the churches 06 and 08 in the planning department of the City Hall also reinforces that takeaway. Both dossiers comprise a section titled “integration within the landscape” and in the one referring to church 06 it is stated that it “is integrated in the local urban environment” and that “it faces the most important side of the parish”. In similar fashion, the text justifying the design options of church 08 mentions that the building will be set on a somewhat ramshackle area, bordered by residential backyards, and that it is meant to ‘entirely hide those rear </w:t>
      </w:r>
      <w:proofErr w:type="gramStart"/>
      <w:r w:rsidRPr="005F315A">
        <w:rPr>
          <w:rFonts w:ascii="Garamond" w:hAnsi="Garamond"/>
        </w:rPr>
        <w:t>façades’</w:t>
      </w:r>
      <w:proofErr w:type="gramEnd"/>
      <w:r w:rsidRPr="005F315A">
        <w:rPr>
          <w:rFonts w:ascii="Garamond" w:hAnsi="Garamond"/>
        </w:rPr>
        <w:t>.</w:t>
      </w:r>
    </w:p>
    <w:p w14:paraId="21FBA0C5" w14:textId="77777777" w:rsidR="00523046" w:rsidRPr="005F315A" w:rsidRDefault="00523046" w:rsidP="00523046">
      <w:pPr>
        <w:spacing w:before="240" w:line="360" w:lineRule="auto"/>
        <w:jc w:val="both"/>
        <w:rPr>
          <w:rFonts w:ascii="Garamond" w:hAnsi="Garamond"/>
        </w:rPr>
      </w:pPr>
      <w:r w:rsidRPr="005F315A">
        <w:rPr>
          <w:rFonts w:ascii="Garamond" w:hAnsi="Garamond"/>
        </w:rPr>
        <w:t>Contrary to what the Athens Charter advocated, these modern churches do not stress an independence from the street layout, except in the case of church 07, that is set in a social housing development that, as a whole, is composed under that dissociation between buildings and circulation. Had that been the case maybe a different approach to solar orientation might have emerged. That is not to say, however, that a connection with the sun was entirely discarded.</w:t>
      </w:r>
    </w:p>
    <w:p w14:paraId="13BC5374" w14:textId="40B7A098" w:rsidR="00523046" w:rsidRPr="005F315A" w:rsidRDefault="00523046" w:rsidP="00523046">
      <w:pPr>
        <w:pStyle w:val="PargrafodaLista"/>
        <w:numPr>
          <w:ilvl w:val="0"/>
          <w:numId w:val="26"/>
        </w:numPr>
        <w:spacing w:before="240" w:line="360" w:lineRule="auto"/>
        <w:jc w:val="both"/>
        <w:rPr>
          <w:rFonts w:ascii="Garamond" w:hAnsi="Garamond"/>
          <w:b/>
          <w:bCs/>
          <w:lang w:val="en-US"/>
        </w:rPr>
      </w:pPr>
      <w:r w:rsidRPr="005F315A">
        <w:rPr>
          <w:rFonts w:ascii="Garamond" w:hAnsi="Garamond"/>
          <w:b/>
          <w:bCs/>
          <w:lang w:val="en-US"/>
        </w:rPr>
        <w:t>The importance of the south façade/windows</w:t>
      </w:r>
    </w:p>
    <w:p w14:paraId="3ADA3E31" w14:textId="77777777" w:rsidR="00523046" w:rsidRPr="005F315A" w:rsidRDefault="00523046" w:rsidP="00523046">
      <w:pPr>
        <w:spacing w:before="240" w:line="360" w:lineRule="auto"/>
        <w:jc w:val="both"/>
        <w:rPr>
          <w:rFonts w:ascii="Garamond" w:hAnsi="Garamond"/>
        </w:rPr>
      </w:pPr>
      <w:r w:rsidRPr="005F315A">
        <w:rPr>
          <w:rFonts w:ascii="Garamond" w:hAnsi="Garamond"/>
        </w:rPr>
        <w:t>Examining the south-facing façade in particular became an important topic of analysis having considered that the sun culminates on that direction, given that Porto is in the northern hemisphere. As discussed in the methodology, that side is bathed in light all year round, and is additionally the one easiest to capitalize on, for the sun always culminates in that direction, with negligible variations, albeit in varying higher or lower vertical angles. The building permit files of churches 06 and 08 confirm that light was considered in the designs, but solely in its broadest utilitarian virtues. The text regarding church 06 refers light as crucial in establishing an environment conducive to prayer, in articulation to surface materials, colours, acoustics… Be that as it may, the file about church 08 does attribute a higher role to light, specifically stressing its ability to differentiate the altar from the space for the congregation, a distinction ‘accentuated by a higher intensity of light and the presence of two pillars that define its boundaries’.</w:t>
      </w:r>
    </w:p>
    <w:p w14:paraId="6190A85A" w14:textId="77777777" w:rsidR="00523046" w:rsidRPr="005F315A" w:rsidRDefault="00523046" w:rsidP="00523046">
      <w:pPr>
        <w:spacing w:before="240" w:line="360" w:lineRule="auto"/>
        <w:jc w:val="both"/>
        <w:rPr>
          <w:rFonts w:ascii="Garamond" w:hAnsi="Garamond"/>
        </w:rPr>
      </w:pPr>
      <w:r w:rsidRPr="005F315A">
        <w:rPr>
          <w:rFonts w:ascii="Garamond" w:hAnsi="Garamond"/>
        </w:rPr>
        <w:t>Illustrating this point, and the preceding one, the five churches with an altar oriented over an E-W axis (mentioned in the previous section), that include churches 06 and 08 are highlighted ahead.</w:t>
      </w:r>
    </w:p>
    <w:p w14:paraId="05977AA3" w14:textId="3E576B9F" w:rsidR="00EC37EF" w:rsidRPr="005F315A" w:rsidRDefault="00EC37EF">
      <w:pPr>
        <w:rPr>
          <w:rFonts w:ascii="Garamond" w:hAnsi="Garamond"/>
          <w:lang w:val="en-US"/>
        </w:rPr>
      </w:pPr>
      <w:r w:rsidRPr="005F315A">
        <w:rPr>
          <w:rFonts w:ascii="Garamond" w:hAnsi="Garamond"/>
          <w:lang w:val="en-US"/>
        </w:rPr>
        <w:br w:type="page"/>
      </w:r>
    </w:p>
    <w:p w14:paraId="3AC88A81" w14:textId="251B0D20" w:rsidR="00523046" w:rsidRPr="005F315A" w:rsidRDefault="005F315A" w:rsidP="00EC37EF">
      <w:pPr>
        <w:spacing w:before="240" w:line="360" w:lineRule="auto"/>
        <w:jc w:val="center"/>
        <w:rPr>
          <w:rFonts w:ascii="Garamond" w:hAnsi="Garamond"/>
          <w:lang w:val="en-US"/>
        </w:rPr>
      </w:pPr>
      <w:r w:rsidRPr="005F315A">
        <w:rPr>
          <w:rFonts w:ascii="Garamond" w:hAnsi="Garamond"/>
          <w:noProof/>
          <w:lang w:val="en-US"/>
        </w:rPr>
        <w:lastRenderedPageBreak/>
        <w:drawing>
          <wp:inline distT="0" distB="0" distL="0" distR="0" wp14:anchorId="19D35C85" wp14:editId="46F06F42">
            <wp:extent cx="6120384" cy="8894064"/>
            <wp:effectExtent l="0" t="0" r="0" b="254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20384" cy="8894064"/>
                    </a:xfrm>
                    <a:prstGeom prst="rect">
                      <a:avLst/>
                    </a:prstGeom>
                  </pic:spPr>
                </pic:pic>
              </a:graphicData>
            </a:graphic>
          </wp:inline>
        </w:drawing>
      </w:r>
    </w:p>
    <w:p w14:paraId="1F486EF2" w14:textId="0EF7AAB9" w:rsidR="00523046" w:rsidRPr="005F315A" w:rsidRDefault="00523046" w:rsidP="00523046">
      <w:pPr>
        <w:pStyle w:val="PargrafodaLista"/>
        <w:numPr>
          <w:ilvl w:val="0"/>
          <w:numId w:val="26"/>
        </w:numPr>
        <w:spacing w:before="240" w:line="360" w:lineRule="auto"/>
        <w:jc w:val="both"/>
        <w:rPr>
          <w:rFonts w:ascii="Garamond" w:hAnsi="Garamond"/>
          <w:b/>
          <w:bCs/>
          <w:lang w:val="en-US"/>
        </w:rPr>
      </w:pPr>
      <w:r w:rsidRPr="005F315A">
        <w:rPr>
          <w:rFonts w:ascii="Garamond" w:hAnsi="Garamond"/>
          <w:b/>
          <w:bCs/>
          <w:lang w:val="en-US"/>
        </w:rPr>
        <w:lastRenderedPageBreak/>
        <w:t>The equinoctial orientation of the altar</w:t>
      </w:r>
    </w:p>
    <w:p w14:paraId="38D50871" w14:textId="4D0719C8" w:rsidR="00523046" w:rsidRPr="005F315A" w:rsidRDefault="00523046" w:rsidP="00523046">
      <w:pPr>
        <w:spacing w:before="240" w:line="360" w:lineRule="auto"/>
        <w:jc w:val="both"/>
        <w:rPr>
          <w:rFonts w:ascii="Garamond" w:hAnsi="Garamond"/>
          <w:lang w:val="en-US"/>
        </w:rPr>
      </w:pPr>
      <w:r w:rsidRPr="005F315A">
        <w:rPr>
          <w:rFonts w:ascii="Garamond" w:hAnsi="Garamond"/>
          <w:lang w:val="en-US"/>
        </w:rPr>
        <w:t>F</w:t>
      </w:r>
      <w:r w:rsidR="00EC37EF" w:rsidRPr="005F315A">
        <w:rPr>
          <w:rFonts w:ascii="Garamond" w:hAnsi="Garamond"/>
          <w:lang w:val="en-US"/>
        </w:rPr>
        <w:t xml:space="preserve">ig.6 (above) </w:t>
      </w:r>
      <w:r w:rsidRPr="005F315A">
        <w:rPr>
          <w:rFonts w:ascii="Garamond" w:hAnsi="Garamond"/>
          <w:lang w:val="en-US"/>
        </w:rPr>
        <w:t xml:space="preserve">depicts the five churches whose altar has an azimuth falling between 0º and ±5°. It synthetizes the set of collected data relating to the setting of these churches in the landscape and in relation to the street grid, </w:t>
      </w:r>
      <w:proofErr w:type="gramStart"/>
      <w:r w:rsidRPr="005F315A">
        <w:rPr>
          <w:rFonts w:ascii="Garamond" w:hAnsi="Garamond"/>
          <w:lang w:val="en-US"/>
        </w:rPr>
        <w:t>It</w:t>
      </w:r>
      <w:proofErr w:type="gramEnd"/>
      <w:r w:rsidRPr="005F315A">
        <w:rPr>
          <w:rFonts w:ascii="Garamond" w:hAnsi="Garamond"/>
          <w:lang w:val="en-US"/>
        </w:rPr>
        <w:t xml:space="preserve"> also shows their insertion in the landscape through a Google image, and the approximate placement of the altar. In the first three churches the altar is placed in the West, while in the remaining two it stands in the East side. In four of them the Equinox marks the main entrance to the church’s nave. Only on church 07 the entrance is through the side of the nave. Nevertheless, the walls standing behind the altars (facing the </w:t>
      </w:r>
      <w:r w:rsidR="005F315A" w:rsidRPr="005F315A">
        <w:rPr>
          <w:rFonts w:ascii="Garamond" w:hAnsi="Garamond"/>
          <w:lang w:val="en-US"/>
        </w:rPr>
        <w:t>vernal</w:t>
      </w:r>
      <w:r w:rsidRPr="005F315A">
        <w:rPr>
          <w:rFonts w:ascii="Garamond" w:hAnsi="Garamond"/>
          <w:lang w:val="en-US"/>
        </w:rPr>
        <w:t xml:space="preserve"> or autumn equinox) are blank and do not receive sunlight; solely on church 06 light enters through that side, but no contrast is achieved since that results from a single horizontal gap between ceiling and walls, running the entire perimeter of the space and separating the two tectonic entities. Thus, the relationship with the equinoctial axis does not appear to be particularly valued in any of these buildings, at least in terms of actual sunlight, even if interior spaces seem to take it into account, as it corresponds to the line connecting altar-nave-main entrance, that structures the distribution of the congregation.</w:t>
      </w:r>
    </w:p>
    <w:p w14:paraId="724323E9" w14:textId="3D33B57F" w:rsidR="007B6E84" w:rsidRPr="005F315A" w:rsidRDefault="007B6E84" w:rsidP="005F315A">
      <w:pPr>
        <w:spacing w:before="600" w:after="120" w:line="360" w:lineRule="auto"/>
        <w:jc w:val="both"/>
        <w:rPr>
          <w:rFonts w:ascii="Garamond" w:hAnsi="Garamond"/>
          <w:b/>
          <w:bCs/>
          <w:sz w:val="28"/>
          <w:szCs w:val="28"/>
        </w:rPr>
      </w:pPr>
      <w:bookmarkStart w:id="10" w:name="_Hlk71922672"/>
      <w:r w:rsidRPr="005F315A">
        <w:rPr>
          <w:rFonts w:ascii="Garamond" w:hAnsi="Garamond"/>
          <w:b/>
          <w:bCs/>
        </w:rPr>
        <w:t>CONCLUSION</w:t>
      </w:r>
    </w:p>
    <w:p w14:paraId="146A1F2D" w14:textId="77777777" w:rsidR="005F315A" w:rsidRPr="005F315A" w:rsidRDefault="005F315A" w:rsidP="005F315A">
      <w:pPr>
        <w:spacing w:before="240" w:line="360" w:lineRule="auto"/>
        <w:jc w:val="both"/>
        <w:rPr>
          <w:rFonts w:ascii="Garamond" w:hAnsi="Garamond"/>
        </w:rPr>
      </w:pPr>
      <w:r w:rsidRPr="005F315A">
        <w:rPr>
          <w:rFonts w:ascii="Garamond" w:hAnsi="Garamond"/>
        </w:rPr>
        <w:t>This essay reflected on the role of the sun in regards to the orientation of thirteen modern parish catholic churches and their relation to the street grid within the city of Porto, Portugal. Erected between 1931 and 1996, and located in diversely urbanised areas regarding both its built density and building typologies, provided the opportunity to investigate whether the sun could be a standardizing element in the face of the diverse cityscape.</w:t>
      </w:r>
    </w:p>
    <w:p w14:paraId="463ACB9A" w14:textId="77777777" w:rsidR="005F315A" w:rsidRPr="005F315A" w:rsidRDefault="005F315A" w:rsidP="005F315A">
      <w:pPr>
        <w:spacing w:before="240" w:line="360" w:lineRule="auto"/>
        <w:jc w:val="both"/>
        <w:rPr>
          <w:rFonts w:ascii="Garamond" w:hAnsi="Garamond"/>
        </w:rPr>
      </w:pPr>
      <w:r w:rsidRPr="005F315A">
        <w:rPr>
          <w:rFonts w:ascii="Garamond" w:hAnsi="Garamond"/>
        </w:rPr>
        <w:t>The main driving force was the age-old tradition, especially explored in the Middle Ages, of associating East light with divine meaning, representing Jesus Christ, or the direction of biblical Paradise. Therefore, due East-due West equinoctial alignment was particularly important. The special interest of this topic arose from the coincidence between the period of construction of the churches and the atmosphere of profound transformation experienced by both the Church and Architecture, in response to the challenges of modernity and science /technology as preponderant values. The Liturgical Movement that culminated in the Second Vatican Council, and the affirmation of modernist architecture, especially referred to the Charter of Athens that established the new doctrine for the organization of the city, constituted the reference context of the analysis.</w:t>
      </w:r>
    </w:p>
    <w:p w14:paraId="58A1AD02" w14:textId="77777777" w:rsidR="005F315A" w:rsidRPr="005F315A" w:rsidRDefault="005F315A" w:rsidP="005F315A">
      <w:pPr>
        <w:spacing w:before="240" w:line="360" w:lineRule="auto"/>
        <w:jc w:val="both"/>
        <w:rPr>
          <w:rFonts w:ascii="Garamond" w:hAnsi="Garamond"/>
        </w:rPr>
      </w:pPr>
      <w:r w:rsidRPr="005F315A">
        <w:rPr>
          <w:rFonts w:ascii="Garamond" w:hAnsi="Garamond"/>
        </w:rPr>
        <w:t xml:space="preserve">Through an essentially virtual based methodology, strongly supported on Google Earth, the dates for sunrise and sunset falling on the perpendicular to the altar were calculated for each church and the reflection on this data, synthesized in tables and discussed with the support of Google images allowed </w:t>
      </w:r>
      <w:r w:rsidRPr="005F315A">
        <w:rPr>
          <w:rFonts w:ascii="Garamond" w:hAnsi="Garamond"/>
        </w:rPr>
        <w:lastRenderedPageBreak/>
        <w:t xml:space="preserve">me to come to some conclusions on three lines of inquiry. On the one hand, the detection of a sensible compromise between the churches and public space – the street grid – even if not necessarily adhering to formal traditions of urban composition, on the other a clear tendency to favour south-facing exposure that could arguably be attributed to the prescriptions of the Modern Movement and the maximum exposure of the buildings possible. Lastly, a likely preference for a E/W orientation of the axis between altar and congregation, generally reflected in the general grouping of architectural volumes and access options, but with an imprecise astronomical definition. It is possible to assume a </w:t>
      </w:r>
      <w:proofErr w:type="gramStart"/>
      <w:r w:rsidRPr="005F315A">
        <w:rPr>
          <w:rFonts w:ascii="Garamond" w:hAnsi="Garamond"/>
        </w:rPr>
        <w:t>common sense</w:t>
      </w:r>
      <w:proofErr w:type="gramEnd"/>
      <w:r w:rsidRPr="005F315A">
        <w:rPr>
          <w:rFonts w:ascii="Garamond" w:hAnsi="Garamond"/>
        </w:rPr>
        <w:t xml:space="preserve"> approach to a long-standing tradition of sunrise/sunset orientation.</w:t>
      </w:r>
    </w:p>
    <w:p w14:paraId="70F808F5" w14:textId="77777777" w:rsidR="004C2C55" w:rsidRPr="005F315A" w:rsidRDefault="004C2C55" w:rsidP="007B6E84">
      <w:pPr>
        <w:spacing w:before="240" w:line="360" w:lineRule="auto"/>
        <w:jc w:val="both"/>
        <w:rPr>
          <w:rFonts w:ascii="Garamond" w:hAnsi="Garamond"/>
        </w:rPr>
      </w:pPr>
    </w:p>
    <w:p w14:paraId="255C2CEF" w14:textId="2474F283" w:rsidR="004C2C55" w:rsidRPr="005F315A" w:rsidRDefault="004C2C55" w:rsidP="007B6E84">
      <w:pPr>
        <w:spacing w:before="240" w:line="360" w:lineRule="auto"/>
        <w:jc w:val="both"/>
        <w:rPr>
          <w:rFonts w:ascii="Garamond" w:hAnsi="Garamond"/>
        </w:rPr>
      </w:pPr>
    </w:p>
    <w:p w14:paraId="18A939F1" w14:textId="77777777" w:rsidR="00E62BF9" w:rsidRPr="005F315A" w:rsidRDefault="00E62BF9" w:rsidP="00E62BF9">
      <w:pPr>
        <w:spacing w:before="600" w:after="240"/>
        <w:rPr>
          <w:rFonts w:ascii="Garamond" w:hAnsi="Garamond" w:cs="Arial"/>
          <w:sz w:val="28"/>
          <w:szCs w:val="28"/>
        </w:rPr>
      </w:pPr>
      <w:r w:rsidRPr="005F315A">
        <w:rPr>
          <w:rFonts w:ascii="Garamond" w:hAnsi="Garamond" w:cs="Arial"/>
          <w:b/>
          <w:bCs/>
          <w:sz w:val="28"/>
          <w:szCs w:val="28"/>
        </w:rPr>
        <w:t>References</w:t>
      </w:r>
    </w:p>
    <w:p w14:paraId="5491FF50" w14:textId="77777777" w:rsidR="005F315A" w:rsidRPr="005F315A" w:rsidRDefault="005F315A" w:rsidP="005F315A">
      <w:pPr>
        <w:pStyle w:val="NormalWeb"/>
        <w:spacing w:before="0" w:beforeAutospacing="0" w:after="240" w:afterAutospacing="0"/>
        <w:jc w:val="both"/>
        <w:rPr>
          <w:rFonts w:ascii="Garamond" w:hAnsi="Garamond"/>
          <w:sz w:val="22"/>
          <w:szCs w:val="22"/>
        </w:rPr>
      </w:pPr>
      <w:r w:rsidRPr="005F315A">
        <w:rPr>
          <w:rFonts w:ascii="Garamond" w:hAnsi="Garamond"/>
          <w:sz w:val="22"/>
          <w:szCs w:val="22"/>
        </w:rPr>
        <w:t xml:space="preserve">Brady, Bernadette, ‘Chartres Cathedral and the Role of the Sun in the Cathedral's Christian Platonist Theology’, in </w:t>
      </w:r>
      <w:r w:rsidRPr="005F315A">
        <w:rPr>
          <w:rFonts w:ascii="Garamond" w:hAnsi="Garamond"/>
          <w:i/>
          <w:iCs/>
          <w:sz w:val="22"/>
          <w:szCs w:val="22"/>
        </w:rPr>
        <w:t>Sky and Psyche. The Relationship Between Cosmos and Consciousness</w:t>
      </w:r>
      <w:r w:rsidRPr="005F315A">
        <w:rPr>
          <w:rFonts w:ascii="Garamond" w:hAnsi="Garamond"/>
          <w:sz w:val="22"/>
          <w:szCs w:val="22"/>
        </w:rPr>
        <w:t>, ed. by Nicholas Campion and Patrick Curry (</w:t>
      </w:r>
      <w:r w:rsidRPr="005F315A">
        <w:rPr>
          <w:rStyle w:val="fontstyle21"/>
          <w:rFonts w:ascii="Garamond" w:hAnsi="Garamond"/>
          <w:color w:val="auto"/>
          <w:sz w:val="22"/>
          <w:szCs w:val="22"/>
        </w:rPr>
        <w:t>Edinburgh,</w:t>
      </w:r>
      <w:r w:rsidRPr="005F315A">
        <w:rPr>
          <w:rFonts w:ascii="Garamond" w:hAnsi="Garamond"/>
          <w:sz w:val="22"/>
          <w:szCs w:val="22"/>
        </w:rPr>
        <w:t xml:space="preserve"> Floris Books, 2006), pp. 59-76</w:t>
      </w:r>
    </w:p>
    <w:p w14:paraId="2F209CCF" w14:textId="77777777" w:rsidR="00E62BF9" w:rsidRPr="005F315A" w:rsidRDefault="00E62BF9" w:rsidP="00E62BF9">
      <w:pPr>
        <w:pStyle w:val="NormalWeb"/>
        <w:spacing w:before="0" w:beforeAutospacing="0" w:after="240" w:afterAutospacing="0"/>
        <w:jc w:val="both"/>
        <w:rPr>
          <w:rFonts w:ascii="Garamond" w:hAnsi="Garamond"/>
          <w:sz w:val="22"/>
          <w:szCs w:val="22"/>
        </w:rPr>
      </w:pPr>
      <w:r w:rsidRPr="005F315A">
        <w:rPr>
          <w:rFonts w:ascii="Garamond" w:hAnsi="Garamond"/>
          <w:sz w:val="22"/>
          <w:szCs w:val="22"/>
        </w:rPr>
        <w:t xml:space="preserve">Ruggles, Clive L. N., ‘Basic Concepts of Positional Astronomy’, in </w:t>
      </w:r>
      <w:r w:rsidRPr="005F315A">
        <w:rPr>
          <w:rFonts w:ascii="Garamond" w:hAnsi="Garamond"/>
          <w:i/>
          <w:iCs/>
          <w:sz w:val="22"/>
          <w:szCs w:val="22"/>
        </w:rPr>
        <w:t xml:space="preserve">Handbook of </w:t>
      </w:r>
      <w:proofErr w:type="spellStart"/>
      <w:r w:rsidRPr="005F315A">
        <w:rPr>
          <w:rFonts w:ascii="Garamond" w:hAnsi="Garamond"/>
          <w:i/>
          <w:iCs/>
          <w:sz w:val="22"/>
          <w:szCs w:val="22"/>
        </w:rPr>
        <w:t>Archaeoastronomy</w:t>
      </w:r>
      <w:proofErr w:type="spellEnd"/>
      <w:r w:rsidRPr="005F315A">
        <w:rPr>
          <w:rFonts w:ascii="Garamond" w:hAnsi="Garamond"/>
          <w:i/>
          <w:iCs/>
          <w:sz w:val="22"/>
          <w:szCs w:val="22"/>
        </w:rPr>
        <w:t xml:space="preserve"> and Ethnoastronomy</w:t>
      </w:r>
      <w:r w:rsidRPr="005F315A">
        <w:rPr>
          <w:rFonts w:ascii="Garamond" w:hAnsi="Garamond"/>
          <w:sz w:val="22"/>
          <w:szCs w:val="22"/>
        </w:rPr>
        <w:t xml:space="preserve">, ed. by Clive </w:t>
      </w:r>
      <w:proofErr w:type="spellStart"/>
      <w:r w:rsidRPr="005F315A">
        <w:rPr>
          <w:rFonts w:ascii="Garamond" w:hAnsi="Garamond"/>
          <w:sz w:val="22"/>
          <w:szCs w:val="22"/>
        </w:rPr>
        <w:t>L.N</w:t>
      </w:r>
      <w:proofErr w:type="spellEnd"/>
      <w:r w:rsidRPr="005F315A">
        <w:rPr>
          <w:rFonts w:ascii="Garamond" w:hAnsi="Garamond"/>
          <w:sz w:val="22"/>
          <w:szCs w:val="22"/>
        </w:rPr>
        <w:t>. Ruggles (Springer, New York, 2015), pp. 459-471</w:t>
      </w:r>
    </w:p>
    <w:p w14:paraId="112C7068" w14:textId="77777777" w:rsidR="00E62BF9" w:rsidRPr="005F315A" w:rsidRDefault="00E62BF9" w:rsidP="00E62BF9">
      <w:pPr>
        <w:pStyle w:val="NormalWeb"/>
        <w:spacing w:before="0" w:beforeAutospacing="0" w:after="240" w:afterAutospacing="0"/>
        <w:jc w:val="both"/>
        <w:rPr>
          <w:rFonts w:ascii="Garamond" w:hAnsi="Garamond"/>
          <w:sz w:val="22"/>
          <w:szCs w:val="22"/>
        </w:rPr>
      </w:pPr>
      <w:r w:rsidRPr="005F315A">
        <w:rPr>
          <w:rFonts w:ascii="Garamond" w:hAnsi="Garamond"/>
          <w:sz w:val="22"/>
          <w:szCs w:val="22"/>
        </w:rPr>
        <w:t xml:space="preserve">McCluskey, Stephen C., ‘Orientation of Christian Churches’, in </w:t>
      </w:r>
      <w:r w:rsidRPr="005F315A">
        <w:rPr>
          <w:rFonts w:ascii="Garamond" w:hAnsi="Garamond"/>
          <w:i/>
          <w:iCs/>
          <w:sz w:val="22"/>
          <w:szCs w:val="22"/>
        </w:rPr>
        <w:t xml:space="preserve">Handbook of </w:t>
      </w:r>
      <w:proofErr w:type="spellStart"/>
      <w:r w:rsidRPr="005F315A">
        <w:rPr>
          <w:rFonts w:ascii="Garamond" w:hAnsi="Garamond"/>
          <w:i/>
          <w:iCs/>
          <w:sz w:val="22"/>
          <w:szCs w:val="22"/>
        </w:rPr>
        <w:t>Archaeoastronomy</w:t>
      </w:r>
      <w:proofErr w:type="spellEnd"/>
      <w:r w:rsidRPr="005F315A">
        <w:rPr>
          <w:rFonts w:ascii="Garamond" w:hAnsi="Garamond"/>
          <w:i/>
          <w:iCs/>
          <w:sz w:val="22"/>
          <w:szCs w:val="22"/>
        </w:rPr>
        <w:t xml:space="preserve"> and Ethnoastronomy</w:t>
      </w:r>
      <w:r w:rsidRPr="005F315A">
        <w:rPr>
          <w:rFonts w:ascii="Garamond" w:hAnsi="Garamond"/>
          <w:sz w:val="22"/>
          <w:szCs w:val="22"/>
        </w:rPr>
        <w:t xml:space="preserve">, ed. by Clive </w:t>
      </w:r>
      <w:proofErr w:type="spellStart"/>
      <w:r w:rsidRPr="005F315A">
        <w:rPr>
          <w:rFonts w:ascii="Garamond" w:hAnsi="Garamond"/>
          <w:sz w:val="22"/>
          <w:szCs w:val="22"/>
        </w:rPr>
        <w:t>L.N</w:t>
      </w:r>
      <w:proofErr w:type="spellEnd"/>
      <w:r w:rsidRPr="005F315A">
        <w:rPr>
          <w:rFonts w:ascii="Garamond" w:hAnsi="Garamond"/>
          <w:sz w:val="22"/>
          <w:szCs w:val="22"/>
        </w:rPr>
        <w:t>. Ruggles (Springer, New York, 2015), pp. 1703-1710</w:t>
      </w:r>
    </w:p>
    <w:p w14:paraId="00220D99" w14:textId="77777777" w:rsidR="00E62BF9" w:rsidRPr="005F315A" w:rsidRDefault="00E62BF9" w:rsidP="00E62BF9">
      <w:pPr>
        <w:pStyle w:val="NormalWeb"/>
        <w:spacing w:before="0" w:beforeAutospacing="0" w:after="240" w:afterAutospacing="0"/>
        <w:jc w:val="both"/>
        <w:rPr>
          <w:rFonts w:ascii="Garamond" w:hAnsi="Garamond"/>
          <w:sz w:val="22"/>
          <w:szCs w:val="22"/>
          <w:lang w:val="pt-PT"/>
        </w:rPr>
      </w:pPr>
      <w:r w:rsidRPr="005F315A">
        <w:rPr>
          <w:rFonts w:ascii="Garamond" w:hAnsi="Garamond"/>
          <w:sz w:val="22"/>
          <w:szCs w:val="22"/>
          <w:lang w:val="pt-PT"/>
        </w:rPr>
        <w:t xml:space="preserve">Lewis Mumford, A cidade na história: suas origens, desenvolvimento e perspectivas, </w:t>
      </w:r>
      <w:proofErr w:type="spellStart"/>
      <w:r w:rsidRPr="005F315A">
        <w:rPr>
          <w:rFonts w:ascii="Garamond" w:hAnsi="Garamond"/>
          <w:sz w:val="22"/>
          <w:szCs w:val="22"/>
          <w:lang w:val="pt-PT"/>
        </w:rPr>
        <w:t>trad</w:t>
      </w:r>
      <w:proofErr w:type="spellEnd"/>
      <w:r w:rsidRPr="005F315A">
        <w:rPr>
          <w:rFonts w:ascii="Garamond" w:hAnsi="Garamond"/>
          <w:sz w:val="22"/>
          <w:szCs w:val="22"/>
          <w:lang w:val="pt-PT"/>
        </w:rPr>
        <w:t>. Neil R. da Silva (São Paulo, Martins Fontes, 1982) pp.267-305 [‘Claustro e comunidade’]</w:t>
      </w:r>
    </w:p>
    <w:p w14:paraId="357062C0" w14:textId="77777777" w:rsidR="00E62BF9" w:rsidRPr="005F315A" w:rsidRDefault="00E62BF9" w:rsidP="00E62BF9">
      <w:pPr>
        <w:pStyle w:val="NormalWeb"/>
        <w:spacing w:before="0" w:beforeAutospacing="0" w:after="240" w:afterAutospacing="0"/>
        <w:jc w:val="both"/>
        <w:rPr>
          <w:rFonts w:ascii="Garamond" w:hAnsi="Garamond"/>
          <w:sz w:val="22"/>
          <w:szCs w:val="22"/>
          <w:lang w:val="pt-PT"/>
        </w:rPr>
      </w:pPr>
      <w:r w:rsidRPr="005F315A">
        <w:rPr>
          <w:rFonts w:ascii="Garamond" w:hAnsi="Garamond"/>
          <w:sz w:val="22"/>
          <w:szCs w:val="22"/>
        </w:rPr>
        <w:t xml:space="preserve">Spiro </w:t>
      </w:r>
      <w:proofErr w:type="spellStart"/>
      <w:r w:rsidRPr="005F315A">
        <w:rPr>
          <w:rFonts w:ascii="Garamond" w:hAnsi="Garamond"/>
          <w:sz w:val="22"/>
          <w:szCs w:val="22"/>
        </w:rPr>
        <w:t>Kostof</w:t>
      </w:r>
      <w:proofErr w:type="spellEnd"/>
      <w:r w:rsidRPr="005F315A">
        <w:rPr>
          <w:rFonts w:ascii="Garamond" w:hAnsi="Garamond"/>
          <w:sz w:val="22"/>
          <w:szCs w:val="22"/>
        </w:rPr>
        <w:t xml:space="preserve">, History of Architecture. Settings and Rituals (New York/Oxford, Oxford University Press, 1995), pp. 295-374 [‘The birth of Nations: Europe after Charles’, The French Manner’ and ‘The urbanization of Europe, 1100-1300’]. </w:t>
      </w:r>
      <w:r w:rsidRPr="005F315A">
        <w:rPr>
          <w:rFonts w:ascii="Garamond" w:hAnsi="Garamond"/>
          <w:sz w:val="22"/>
          <w:szCs w:val="22"/>
          <w:lang w:val="pt-PT"/>
        </w:rPr>
        <w:t>PDF</w:t>
      </w:r>
    </w:p>
    <w:p w14:paraId="3389341F" w14:textId="77777777" w:rsidR="00E62BF9" w:rsidRPr="005F315A" w:rsidRDefault="00E62BF9" w:rsidP="00E62BF9">
      <w:pPr>
        <w:pStyle w:val="NormalWeb"/>
        <w:spacing w:before="0" w:beforeAutospacing="0" w:after="240" w:afterAutospacing="0"/>
        <w:jc w:val="both"/>
        <w:rPr>
          <w:rFonts w:ascii="Garamond" w:hAnsi="Garamond"/>
          <w:sz w:val="22"/>
          <w:szCs w:val="22"/>
          <w:lang w:val="pt-PT"/>
        </w:rPr>
      </w:pPr>
      <w:r w:rsidRPr="005F315A">
        <w:rPr>
          <w:rFonts w:ascii="Garamond" w:hAnsi="Garamond"/>
          <w:sz w:val="22"/>
          <w:szCs w:val="22"/>
          <w:lang w:val="pt-PT"/>
        </w:rPr>
        <w:t xml:space="preserve">Fernando </w:t>
      </w:r>
      <w:proofErr w:type="spellStart"/>
      <w:r w:rsidRPr="005F315A">
        <w:rPr>
          <w:rFonts w:ascii="Garamond" w:hAnsi="Garamond"/>
          <w:sz w:val="22"/>
          <w:szCs w:val="22"/>
          <w:lang w:val="pt-PT"/>
        </w:rPr>
        <w:t>Chueca</w:t>
      </w:r>
      <w:proofErr w:type="spellEnd"/>
      <w:r w:rsidRPr="005F315A">
        <w:rPr>
          <w:rFonts w:ascii="Garamond" w:hAnsi="Garamond"/>
          <w:sz w:val="22"/>
          <w:szCs w:val="22"/>
          <w:lang w:val="pt-PT"/>
        </w:rPr>
        <w:t xml:space="preserve"> </w:t>
      </w:r>
      <w:proofErr w:type="spellStart"/>
      <w:r w:rsidRPr="005F315A">
        <w:rPr>
          <w:rFonts w:ascii="Garamond" w:hAnsi="Garamond"/>
          <w:sz w:val="22"/>
          <w:szCs w:val="22"/>
          <w:lang w:val="pt-PT"/>
        </w:rPr>
        <w:t>Goitia</w:t>
      </w:r>
      <w:proofErr w:type="spellEnd"/>
      <w:r w:rsidRPr="005F315A">
        <w:rPr>
          <w:rFonts w:ascii="Garamond" w:hAnsi="Garamond"/>
          <w:sz w:val="22"/>
          <w:szCs w:val="22"/>
          <w:lang w:val="pt-PT"/>
        </w:rPr>
        <w:t>, Breve história do Urbanismo (Lisboa, Presença, 1982)</w:t>
      </w:r>
    </w:p>
    <w:p w14:paraId="31A15F5B" w14:textId="77777777" w:rsidR="00E62BF9" w:rsidRPr="005F315A" w:rsidRDefault="00E62BF9" w:rsidP="00E62BF9">
      <w:pPr>
        <w:pStyle w:val="NormalWeb"/>
        <w:spacing w:before="0" w:beforeAutospacing="0" w:after="240" w:afterAutospacing="0"/>
        <w:jc w:val="both"/>
        <w:rPr>
          <w:rFonts w:ascii="Garamond" w:hAnsi="Garamond"/>
          <w:sz w:val="22"/>
          <w:szCs w:val="22"/>
          <w:lang w:val="pt-PT"/>
        </w:rPr>
      </w:pPr>
      <w:proofErr w:type="spellStart"/>
      <w:r w:rsidRPr="005F315A">
        <w:rPr>
          <w:rFonts w:ascii="Garamond" w:hAnsi="Garamond"/>
          <w:sz w:val="22"/>
          <w:szCs w:val="22"/>
          <w:lang w:val="pt-PT"/>
        </w:rPr>
        <w:t>Norberg</w:t>
      </w:r>
      <w:proofErr w:type="spellEnd"/>
      <w:r w:rsidRPr="005F315A">
        <w:rPr>
          <w:rFonts w:ascii="Garamond" w:hAnsi="Garamond"/>
          <w:sz w:val="22"/>
          <w:szCs w:val="22"/>
          <w:lang w:val="pt-PT"/>
        </w:rPr>
        <w:t xml:space="preserve">-Schulz, Christian, Arquitectura Occidental (Barcelona, Gustavo </w:t>
      </w:r>
      <w:proofErr w:type="spellStart"/>
      <w:r w:rsidRPr="005F315A">
        <w:rPr>
          <w:rFonts w:ascii="Garamond" w:hAnsi="Garamond"/>
          <w:sz w:val="22"/>
          <w:szCs w:val="22"/>
          <w:lang w:val="pt-PT"/>
        </w:rPr>
        <w:t>Gili</w:t>
      </w:r>
      <w:proofErr w:type="spellEnd"/>
      <w:r w:rsidRPr="005F315A">
        <w:rPr>
          <w:rFonts w:ascii="Garamond" w:hAnsi="Garamond"/>
          <w:sz w:val="22"/>
          <w:szCs w:val="22"/>
          <w:lang w:val="pt-PT"/>
        </w:rPr>
        <w:t xml:space="preserve">, 1999), pp. 77-114 [‘La arquitectura </w:t>
      </w:r>
      <w:proofErr w:type="spellStart"/>
      <w:r w:rsidRPr="005F315A">
        <w:rPr>
          <w:rFonts w:ascii="Garamond" w:hAnsi="Garamond"/>
          <w:sz w:val="22"/>
          <w:szCs w:val="22"/>
          <w:lang w:val="pt-PT"/>
        </w:rPr>
        <w:t>románica</w:t>
      </w:r>
      <w:proofErr w:type="spellEnd"/>
      <w:r w:rsidRPr="005F315A">
        <w:rPr>
          <w:rFonts w:ascii="Garamond" w:hAnsi="Garamond"/>
          <w:sz w:val="22"/>
          <w:szCs w:val="22"/>
          <w:lang w:val="pt-PT"/>
        </w:rPr>
        <w:t xml:space="preserve">’ </w:t>
      </w:r>
      <w:proofErr w:type="spellStart"/>
      <w:r w:rsidRPr="005F315A">
        <w:rPr>
          <w:rFonts w:ascii="Garamond" w:hAnsi="Garamond"/>
          <w:sz w:val="22"/>
          <w:szCs w:val="22"/>
          <w:lang w:val="pt-PT"/>
        </w:rPr>
        <w:t>and</w:t>
      </w:r>
      <w:proofErr w:type="spellEnd"/>
      <w:r w:rsidRPr="005F315A">
        <w:rPr>
          <w:rFonts w:ascii="Garamond" w:hAnsi="Garamond"/>
          <w:sz w:val="22"/>
          <w:szCs w:val="22"/>
          <w:lang w:val="pt-PT"/>
        </w:rPr>
        <w:t xml:space="preserve"> ‘La arquitectura gótica’]. PDF</w:t>
      </w:r>
    </w:p>
    <w:p w14:paraId="16D3F496" w14:textId="77777777" w:rsidR="00E62BF9" w:rsidRPr="005F315A" w:rsidRDefault="00E62BF9" w:rsidP="00E62BF9">
      <w:pPr>
        <w:pStyle w:val="NormalWeb"/>
        <w:spacing w:before="0" w:beforeAutospacing="0" w:after="240" w:afterAutospacing="0"/>
        <w:jc w:val="both"/>
        <w:rPr>
          <w:rFonts w:ascii="Garamond" w:hAnsi="Garamond"/>
          <w:sz w:val="22"/>
          <w:szCs w:val="22"/>
        </w:rPr>
      </w:pPr>
      <w:proofErr w:type="spellStart"/>
      <w:r w:rsidRPr="005F315A">
        <w:rPr>
          <w:rFonts w:ascii="Garamond" w:hAnsi="Garamond"/>
          <w:sz w:val="22"/>
          <w:szCs w:val="22"/>
          <w:lang w:val="pt-PT"/>
        </w:rPr>
        <w:t>Congress</w:t>
      </w:r>
      <w:proofErr w:type="spellEnd"/>
      <w:r w:rsidRPr="005F315A">
        <w:rPr>
          <w:rFonts w:ascii="Garamond" w:hAnsi="Garamond"/>
          <w:sz w:val="22"/>
          <w:szCs w:val="22"/>
          <w:lang w:val="pt-PT"/>
        </w:rPr>
        <w:t xml:space="preserve"> </w:t>
      </w:r>
      <w:proofErr w:type="spellStart"/>
      <w:r w:rsidRPr="005F315A">
        <w:rPr>
          <w:rFonts w:ascii="Garamond" w:hAnsi="Garamond"/>
          <w:sz w:val="22"/>
          <w:szCs w:val="22"/>
          <w:lang w:val="pt-PT"/>
        </w:rPr>
        <w:t>Internationaux</w:t>
      </w:r>
      <w:proofErr w:type="spellEnd"/>
      <w:r w:rsidRPr="005F315A">
        <w:rPr>
          <w:rFonts w:ascii="Garamond" w:hAnsi="Garamond"/>
          <w:sz w:val="22"/>
          <w:szCs w:val="22"/>
          <w:lang w:val="pt-PT"/>
        </w:rPr>
        <w:t xml:space="preserve"> d'</w:t>
      </w:r>
      <w:proofErr w:type="spellStart"/>
      <w:r w:rsidRPr="005F315A">
        <w:rPr>
          <w:rFonts w:ascii="Garamond" w:hAnsi="Garamond"/>
          <w:sz w:val="22"/>
          <w:szCs w:val="22"/>
          <w:lang w:val="pt-PT"/>
        </w:rPr>
        <w:t>Architecture</w:t>
      </w:r>
      <w:proofErr w:type="spellEnd"/>
      <w:r w:rsidRPr="005F315A">
        <w:rPr>
          <w:rFonts w:ascii="Garamond" w:hAnsi="Garamond"/>
          <w:sz w:val="22"/>
          <w:szCs w:val="22"/>
          <w:lang w:val="pt-PT"/>
        </w:rPr>
        <w:t xml:space="preserve"> </w:t>
      </w:r>
      <w:proofErr w:type="spellStart"/>
      <w:r w:rsidRPr="005F315A">
        <w:rPr>
          <w:rFonts w:ascii="Garamond" w:hAnsi="Garamond"/>
          <w:sz w:val="22"/>
          <w:szCs w:val="22"/>
          <w:lang w:val="pt-PT"/>
        </w:rPr>
        <w:t>Moderne</w:t>
      </w:r>
      <w:proofErr w:type="spellEnd"/>
      <w:r w:rsidRPr="005F315A">
        <w:rPr>
          <w:rFonts w:ascii="Garamond" w:hAnsi="Garamond"/>
          <w:sz w:val="22"/>
          <w:szCs w:val="22"/>
          <w:lang w:val="pt-PT"/>
        </w:rPr>
        <w:t xml:space="preserve"> (CIAM), </w:t>
      </w:r>
      <w:r w:rsidRPr="005F315A">
        <w:rPr>
          <w:rFonts w:ascii="Garamond" w:hAnsi="Garamond"/>
          <w:i/>
          <w:iCs/>
          <w:sz w:val="22"/>
          <w:szCs w:val="22"/>
          <w:lang w:val="pt-PT"/>
        </w:rPr>
        <w:t xml:space="preserve">La </w:t>
      </w:r>
      <w:proofErr w:type="spellStart"/>
      <w:r w:rsidRPr="005F315A">
        <w:rPr>
          <w:rFonts w:ascii="Garamond" w:hAnsi="Garamond"/>
          <w:i/>
          <w:iCs/>
          <w:sz w:val="22"/>
          <w:szCs w:val="22"/>
          <w:lang w:val="pt-PT"/>
        </w:rPr>
        <w:t>Charte</w:t>
      </w:r>
      <w:proofErr w:type="spellEnd"/>
      <w:r w:rsidRPr="005F315A">
        <w:rPr>
          <w:rFonts w:ascii="Garamond" w:hAnsi="Garamond"/>
          <w:i/>
          <w:iCs/>
          <w:sz w:val="22"/>
          <w:szCs w:val="22"/>
          <w:lang w:val="pt-PT"/>
        </w:rPr>
        <w:t xml:space="preserve"> d'</w:t>
      </w:r>
      <w:proofErr w:type="spellStart"/>
      <w:r w:rsidRPr="005F315A">
        <w:rPr>
          <w:rFonts w:ascii="Garamond" w:hAnsi="Garamond"/>
          <w:i/>
          <w:iCs/>
          <w:sz w:val="22"/>
          <w:szCs w:val="22"/>
          <w:lang w:val="pt-PT"/>
        </w:rPr>
        <w:t>Athenes</w:t>
      </w:r>
      <w:proofErr w:type="spellEnd"/>
      <w:r w:rsidRPr="005F315A">
        <w:rPr>
          <w:rFonts w:ascii="Garamond" w:hAnsi="Garamond"/>
          <w:i/>
          <w:iCs/>
          <w:sz w:val="22"/>
          <w:szCs w:val="22"/>
          <w:lang w:val="pt-PT"/>
        </w:rPr>
        <w:t xml:space="preserve"> </w:t>
      </w:r>
      <w:proofErr w:type="spellStart"/>
      <w:r w:rsidRPr="005F315A">
        <w:rPr>
          <w:rFonts w:ascii="Garamond" w:hAnsi="Garamond"/>
          <w:i/>
          <w:iCs/>
          <w:sz w:val="22"/>
          <w:szCs w:val="22"/>
          <w:lang w:val="pt-PT"/>
        </w:rPr>
        <w:t>or</w:t>
      </w:r>
      <w:proofErr w:type="spellEnd"/>
      <w:r w:rsidRPr="005F315A">
        <w:rPr>
          <w:rFonts w:ascii="Garamond" w:hAnsi="Garamond"/>
          <w:i/>
          <w:iCs/>
          <w:sz w:val="22"/>
          <w:szCs w:val="22"/>
          <w:lang w:val="pt-PT"/>
        </w:rPr>
        <w:t xml:space="preserve"> </w:t>
      </w:r>
      <w:proofErr w:type="spellStart"/>
      <w:r w:rsidRPr="005F315A">
        <w:rPr>
          <w:rFonts w:ascii="Garamond" w:hAnsi="Garamond"/>
          <w:i/>
          <w:iCs/>
          <w:sz w:val="22"/>
          <w:szCs w:val="22"/>
          <w:lang w:val="pt-PT"/>
        </w:rPr>
        <w:t>The</w:t>
      </w:r>
      <w:proofErr w:type="spellEnd"/>
      <w:r w:rsidRPr="005F315A">
        <w:rPr>
          <w:rFonts w:ascii="Garamond" w:hAnsi="Garamond"/>
          <w:i/>
          <w:iCs/>
          <w:sz w:val="22"/>
          <w:szCs w:val="22"/>
          <w:lang w:val="pt-PT"/>
        </w:rPr>
        <w:t xml:space="preserve"> </w:t>
      </w:r>
      <w:proofErr w:type="spellStart"/>
      <w:r w:rsidRPr="005F315A">
        <w:rPr>
          <w:rFonts w:ascii="Garamond" w:hAnsi="Garamond"/>
          <w:i/>
          <w:iCs/>
          <w:sz w:val="22"/>
          <w:szCs w:val="22"/>
          <w:lang w:val="pt-PT"/>
        </w:rPr>
        <w:t>Athens</w:t>
      </w:r>
      <w:proofErr w:type="spellEnd"/>
      <w:r w:rsidRPr="005F315A">
        <w:rPr>
          <w:rFonts w:ascii="Garamond" w:hAnsi="Garamond"/>
          <w:i/>
          <w:iCs/>
          <w:sz w:val="22"/>
          <w:szCs w:val="22"/>
          <w:lang w:val="pt-PT"/>
        </w:rPr>
        <w:t xml:space="preserve"> Charter</w:t>
      </w:r>
      <w:r w:rsidRPr="005F315A">
        <w:rPr>
          <w:rFonts w:ascii="Garamond" w:hAnsi="Garamond"/>
          <w:sz w:val="22"/>
          <w:szCs w:val="22"/>
          <w:lang w:val="pt-PT"/>
        </w:rPr>
        <w:t xml:space="preserve">, 1933. </w:t>
      </w:r>
      <w:r w:rsidRPr="005F315A">
        <w:rPr>
          <w:rFonts w:ascii="Garamond" w:hAnsi="Garamond"/>
          <w:sz w:val="22"/>
          <w:szCs w:val="22"/>
        </w:rPr>
        <w:t>Trans J. Tyrwhitt. Paris, France: The Library of the Graduate School of Design, Harvard University, 1946. PDF</w:t>
      </w:r>
    </w:p>
    <w:p w14:paraId="5C5ADFC1" w14:textId="77777777" w:rsidR="00E62BF9" w:rsidRPr="005F315A" w:rsidRDefault="00E62BF9" w:rsidP="00E62BF9">
      <w:pPr>
        <w:pStyle w:val="NormalWeb"/>
        <w:spacing w:before="0" w:beforeAutospacing="0" w:after="240" w:afterAutospacing="0"/>
        <w:jc w:val="both"/>
        <w:rPr>
          <w:rFonts w:ascii="Garamond" w:hAnsi="Garamond"/>
          <w:sz w:val="22"/>
          <w:szCs w:val="22"/>
        </w:rPr>
      </w:pPr>
      <w:r w:rsidRPr="005F315A">
        <w:rPr>
          <w:rFonts w:ascii="Garamond" w:hAnsi="Garamond"/>
          <w:sz w:val="22"/>
          <w:szCs w:val="22"/>
        </w:rPr>
        <w:t xml:space="preserve">Edmund N. Bacon, </w:t>
      </w:r>
      <w:r w:rsidRPr="005F315A">
        <w:rPr>
          <w:rFonts w:ascii="Garamond" w:hAnsi="Garamond"/>
          <w:i/>
          <w:iCs/>
          <w:sz w:val="22"/>
          <w:szCs w:val="22"/>
        </w:rPr>
        <w:t>Design of cities</w:t>
      </w:r>
      <w:r w:rsidRPr="005F315A">
        <w:rPr>
          <w:rFonts w:ascii="Garamond" w:hAnsi="Garamond"/>
          <w:sz w:val="22"/>
          <w:szCs w:val="22"/>
        </w:rPr>
        <w:t xml:space="preserve"> (London, Thames and Hudson, 1992)</w:t>
      </w:r>
    </w:p>
    <w:p w14:paraId="2546D0F9" w14:textId="77777777" w:rsidR="00E62BF9" w:rsidRPr="005F315A" w:rsidRDefault="00E62BF9" w:rsidP="00E62BF9">
      <w:pPr>
        <w:pStyle w:val="NormalWeb"/>
        <w:spacing w:before="0" w:beforeAutospacing="0" w:after="120" w:afterAutospacing="0"/>
        <w:jc w:val="both"/>
        <w:rPr>
          <w:rFonts w:ascii="Garamond" w:hAnsi="Garamond"/>
          <w:sz w:val="22"/>
          <w:szCs w:val="22"/>
        </w:rPr>
      </w:pPr>
    </w:p>
    <w:p w14:paraId="4D24FE29" w14:textId="0014798C" w:rsidR="005F315A" w:rsidRPr="005F315A" w:rsidRDefault="005F315A">
      <w:pPr>
        <w:rPr>
          <w:rFonts w:ascii="Garamond" w:hAnsi="Garamond"/>
        </w:rPr>
      </w:pPr>
      <w:r w:rsidRPr="005F315A">
        <w:rPr>
          <w:rFonts w:ascii="Garamond" w:hAnsi="Garamond"/>
        </w:rPr>
        <w:br w:type="page"/>
      </w:r>
    </w:p>
    <w:p w14:paraId="7C748562" w14:textId="77777777" w:rsidR="005F315A" w:rsidRPr="005F315A" w:rsidRDefault="005F315A" w:rsidP="005F315A">
      <w:pPr>
        <w:spacing w:before="240" w:line="360" w:lineRule="auto"/>
        <w:jc w:val="center"/>
        <w:rPr>
          <w:rFonts w:ascii="Garamond" w:hAnsi="Garamond"/>
          <w:b/>
          <w:bCs/>
          <w:sz w:val="56"/>
          <w:szCs w:val="56"/>
        </w:rPr>
      </w:pPr>
    </w:p>
    <w:p w14:paraId="056698AD" w14:textId="77777777" w:rsidR="005F315A" w:rsidRPr="005F315A" w:rsidRDefault="005F315A" w:rsidP="005F315A">
      <w:pPr>
        <w:spacing w:before="240" w:line="360" w:lineRule="auto"/>
        <w:jc w:val="center"/>
        <w:rPr>
          <w:rFonts w:ascii="Garamond" w:hAnsi="Garamond"/>
          <w:b/>
          <w:bCs/>
          <w:sz w:val="56"/>
          <w:szCs w:val="56"/>
        </w:rPr>
      </w:pPr>
    </w:p>
    <w:p w14:paraId="1A5B7AA9" w14:textId="77777777" w:rsidR="005F315A" w:rsidRPr="005F315A" w:rsidRDefault="005F315A" w:rsidP="005F315A">
      <w:pPr>
        <w:spacing w:before="240" w:line="360" w:lineRule="auto"/>
        <w:jc w:val="center"/>
        <w:rPr>
          <w:rFonts w:ascii="Garamond" w:hAnsi="Garamond"/>
          <w:b/>
          <w:bCs/>
          <w:sz w:val="56"/>
          <w:szCs w:val="56"/>
        </w:rPr>
      </w:pPr>
    </w:p>
    <w:p w14:paraId="2C87A236" w14:textId="36440F63" w:rsidR="005F315A" w:rsidRDefault="005F315A" w:rsidP="005F315A">
      <w:pPr>
        <w:spacing w:before="240" w:line="360" w:lineRule="auto"/>
        <w:jc w:val="center"/>
        <w:rPr>
          <w:rFonts w:ascii="Garamond" w:hAnsi="Garamond"/>
          <w:b/>
          <w:bCs/>
          <w:sz w:val="56"/>
          <w:szCs w:val="56"/>
        </w:rPr>
      </w:pPr>
      <w:r w:rsidRPr="005F315A">
        <w:rPr>
          <w:rFonts w:ascii="Garamond" w:hAnsi="Garamond"/>
          <w:b/>
          <w:bCs/>
          <w:sz w:val="56"/>
          <w:szCs w:val="56"/>
        </w:rPr>
        <w:t>Annex</w:t>
      </w:r>
    </w:p>
    <w:p w14:paraId="6C0F2A4B" w14:textId="77777777" w:rsidR="005F315A" w:rsidRDefault="005F315A">
      <w:pPr>
        <w:rPr>
          <w:rFonts w:ascii="Garamond" w:hAnsi="Garamond"/>
          <w:b/>
          <w:bCs/>
          <w:sz w:val="56"/>
          <w:szCs w:val="56"/>
        </w:rPr>
      </w:pPr>
      <w:r>
        <w:rPr>
          <w:rFonts w:ascii="Garamond" w:hAnsi="Garamond"/>
          <w:b/>
          <w:bCs/>
          <w:sz w:val="56"/>
          <w:szCs w:val="56"/>
        </w:rPr>
        <w:br w:type="page"/>
      </w:r>
    </w:p>
    <w:p w14:paraId="5E59CE16" w14:textId="3165DBDE"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731FC9D6" wp14:editId="21075573">
            <wp:extent cx="6120130" cy="8644255"/>
            <wp:effectExtent l="0" t="0" r="0" b="444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2BB0AB3E" w14:textId="69750A4D"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15686FBA" wp14:editId="2D25B095">
            <wp:extent cx="6120130" cy="8644255"/>
            <wp:effectExtent l="0" t="0" r="0" b="444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4A191C71" w14:textId="18D5BCAA"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010B0DED" wp14:editId="56C32E58">
            <wp:extent cx="6120130" cy="8644255"/>
            <wp:effectExtent l="0" t="0" r="0" b="444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r>
        <w:rPr>
          <w:rFonts w:ascii="Garamond" w:hAnsi="Garamond"/>
          <w:b/>
          <w:bCs/>
          <w:noProof/>
          <w:sz w:val="56"/>
          <w:szCs w:val="56"/>
        </w:rPr>
        <w:lastRenderedPageBreak/>
        <w:drawing>
          <wp:inline distT="0" distB="0" distL="0" distR="0" wp14:anchorId="04BF5C53" wp14:editId="4FADD999">
            <wp:extent cx="6120130" cy="8644255"/>
            <wp:effectExtent l="0" t="0" r="0" b="444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5AB37F4D" w14:textId="42FABB6A"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792A828C" wp14:editId="16A13F01">
            <wp:extent cx="6120130" cy="8644255"/>
            <wp:effectExtent l="0" t="0" r="0" b="444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32F36F83" w14:textId="1F24F329" w:rsidR="005F315A" w:rsidRDefault="005F315A" w:rsidP="005F315A">
      <w:pPr>
        <w:spacing w:before="240" w:line="360" w:lineRule="auto"/>
        <w:jc w:val="center"/>
        <w:rPr>
          <w:rFonts w:ascii="Garamond" w:hAnsi="Garamond"/>
          <w:b/>
          <w:bCs/>
          <w:noProof/>
          <w:sz w:val="56"/>
          <w:szCs w:val="56"/>
        </w:rPr>
      </w:pPr>
      <w:r>
        <w:rPr>
          <w:rFonts w:ascii="Garamond" w:hAnsi="Garamond"/>
          <w:b/>
          <w:bCs/>
          <w:noProof/>
          <w:sz w:val="56"/>
          <w:szCs w:val="56"/>
        </w:rPr>
        <w:lastRenderedPageBreak/>
        <w:drawing>
          <wp:inline distT="0" distB="0" distL="0" distR="0" wp14:anchorId="67913EB0" wp14:editId="676DCC7F">
            <wp:extent cx="6120130" cy="8644255"/>
            <wp:effectExtent l="0" t="0" r="0" b="444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2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686D329A" w14:textId="2ABBE8F5" w:rsidR="005F315A" w:rsidRDefault="005F315A" w:rsidP="005F315A">
      <w:pPr>
        <w:spacing w:before="240" w:line="360" w:lineRule="auto"/>
        <w:jc w:val="center"/>
        <w:rPr>
          <w:rFonts w:ascii="Garamond" w:hAnsi="Garamond"/>
          <w:b/>
          <w:bCs/>
          <w:noProof/>
          <w:sz w:val="56"/>
          <w:szCs w:val="56"/>
        </w:rPr>
      </w:pPr>
      <w:r>
        <w:rPr>
          <w:rFonts w:ascii="Garamond" w:hAnsi="Garamond"/>
          <w:b/>
          <w:bCs/>
          <w:noProof/>
          <w:sz w:val="56"/>
          <w:szCs w:val="56"/>
        </w:rPr>
        <w:lastRenderedPageBreak/>
        <w:drawing>
          <wp:inline distT="0" distB="0" distL="0" distR="0" wp14:anchorId="05E4D4F3" wp14:editId="71BC7FDA">
            <wp:extent cx="6120130" cy="8644255"/>
            <wp:effectExtent l="0" t="0" r="0" b="444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2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27F4B83C" w14:textId="083C2D63"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5EBB1D2B" wp14:editId="69915A25">
            <wp:extent cx="6120130" cy="8644255"/>
            <wp:effectExtent l="0" t="0" r="0" b="444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07A5F0AE" w14:textId="060B9123"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4024270C" wp14:editId="25A35549">
            <wp:extent cx="6120130" cy="8644255"/>
            <wp:effectExtent l="0" t="0" r="0" b="444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04CBA75D" w14:textId="46F3118E"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336AB2CA" wp14:editId="57C5E64D">
            <wp:extent cx="6120130" cy="8644255"/>
            <wp:effectExtent l="0" t="0" r="0" b="444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m 2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02BCF07B" w14:textId="289E0DC1"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2230D52A" wp14:editId="28BD88F2">
            <wp:extent cx="6120130" cy="8644255"/>
            <wp:effectExtent l="0" t="0" r="0" b="444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2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52825D89" w14:textId="4F9D5981"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5FC8D7B4" wp14:editId="0A7BEF70">
            <wp:extent cx="6120130" cy="8644255"/>
            <wp:effectExtent l="0" t="0" r="0" b="4445"/>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m 3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627F7E15" w14:textId="2AADB8FD" w:rsid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725868B6" wp14:editId="7549C8EA">
            <wp:extent cx="6120130" cy="8644255"/>
            <wp:effectExtent l="0" t="0" r="0" b="4445"/>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p>
    <w:p w14:paraId="659E7EAD" w14:textId="4E711AE2" w:rsidR="005F315A" w:rsidRPr="005F315A" w:rsidRDefault="005F315A" w:rsidP="005F315A">
      <w:pPr>
        <w:spacing w:before="240" w:line="360" w:lineRule="auto"/>
        <w:jc w:val="center"/>
        <w:rPr>
          <w:rFonts w:ascii="Garamond" w:hAnsi="Garamond"/>
          <w:b/>
          <w:bCs/>
          <w:sz w:val="56"/>
          <w:szCs w:val="56"/>
        </w:rPr>
      </w:pPr>
      <w:r>
        <w:rPr>
          <w:rFonts w:ascii="Garamond" w:hAnsi="Garamond"/>
          <w:b/>
          <w:bCs/>
          <w:noProof/>
          <w:sz w:val="56"/>
          <w:szCs w:val="56"/>
        </w:rPr>
        <w:lastRenderedPageBreak/>
        <w:drawing>
          <wp:inline distT="0" distB="0" distL="0" distR="0" wp14:anchorId="6421212C" wp14:editId="7E651547">
            <wp:extent cx="6120130" cy="8644255"/>
            <wp:effectExtent l="0" t="0" r="0" b="444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20130" cy="8644255"/>
                    </a:xfrm>
                    <a:prstGeom prst="rect">
                      <a:avLst/>
                    </a:prstGeom>
                  </pic:spPr>
                </pic:pic>
              </a:graphicData>
            </a:graphic>
          </wp:inline>
        </w:drawing>
      </w:r>
      <w:bookmarkEnd w:id="10"/>
    </w:p>
    <w:sectPr w:rsidR="005F315A" w:rsidRPr="005F315A" w:rsidSect="00EB5C23">
      <w:pgSz w:w="11906" w:h="16838" w:code="9"/>
      <w:pgMar w:top="1134" w:right="1134" w:bottom="567"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985E2" w14:textId="77777777" w:rsidR="0018374D" w:rsidRDefault="0018374D" w:rsidP="00AD5D5A">
      <w:r>
        <w:separator/>
      </w:r>
    </w:p>
  </w:endnote>
  <w:endnote w:type="continuationSeparator" w:id="0">
    <w:p w14:paraId="7A4ED44E" w14:textId="77777777" w:rsidR="0018374D" w:rsidRDefault="0018374D"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545B" w14:textId="1F8E7439" w:rsidR="00262CE7" w:rsidRDefault="00262CE7">
    <w:pPr>
      <w:pStyle w:val="Rodap"/>
      <w:jc w:val="center"/>
      <w:rPr>
        <w:rFonts w:ascii="Garamond" w:hAnsi="Garamond"/>
        <w:b/>
        <w:bCs/>
        <w:sz w:val="20"/>
        <w:szCs w:val="20"/>
      </w:rPr>
    </w:pPr>
  </w:p>
  <w:p w14:paraId="370D693A" w14:textId="77777777" w:rsidR="00262CE7" w:rsidRDefault="00262CE7">
    <w:pPr>
      <w:pStyle w:val="Rodap"/>
      <w:jc w:val="center"/>
      <w:rPr>
        <w:rFonts w:ascii="Garamond" w:hAnsi="Garamond"/>
        <w:b/>
        <w:bCs/>
        <w:sz w:val="20"/>
        <w:szCs w:val="20"/>
      </w:rPr>
    </w:pPr>
  </w:p>
  <w:p w14:paraId="55A30A7D" w14:textId="66D00649" w:rsidR="00262CE7" w:rsidRPr="007318C2" w:rsidRDefault="00262CE7" w:rsidP="006B0D85">
    <w:pPr>
      <w:pStyle w:val="Rodap"/>
      <w:jc w:val="center"/>
    </w:pPr>
    <w:r w:rsidRPr="007318C2">
      <w:rPr>
        <w:rFonts w:ascii="Garamond" w:hAnsi="Garamond"/>
        <w:b/>
        <w:bCs/>
        <w:sz w:val="20"/>
        <w:szCs w:val="20"/>
        <w:lang w:val="pt-PT"/>
      </w:rPr>
      <w:t>Sara Sucena 1917253____________</w:t>
    </w:r>
    <w:r w:rsidRPr="007318C2">
      <w:rPr>
        <w:rFonts w:ascii="Garamond" w:hAnsi="Garamond"/>
        <w:b/>
        <w:bCs/>
        <w:sz w:val="20"/>
        <w:szCs w:val="20"/>
      </w:rPr>
      <w:fldChar w:fldCharType="begin"/>
    </w:r>
    <w:r w:rsidRPr="007318C2">
      <w:rPr>
        <w:rFonts w:ascii="Garamond" w:hAnsi="Garamond"/>
        <w:b/>
        <w:bCs/>
        <w:sz w:val="20"/>
        <w:szCs w:val="20"/>
      </w:rPr>
      <w:instrText>PAGE</w:instrText>
    </w:r>
    <w:r w:rsidRPr="007318C2">
      <w:rPr>
        <w:rFonts w:ascii="Garamond" w:hAnsi="Garamond"/>
        <w:b/>
        <w:bCs/>
        <w:sz w:val="20"/>
        <w:szCs w:val="20"/>
      </w:rPr>
      <w:fldChar w:fldCharType="separate"/>
    </w:r>
    <w:r w:rsidR="004C6DFA">
      <w:rPr>
        <w:rFonts w:ascii="Garamond" w:hAnsi="Garamond"/>
        <w:b/>
        <w:bCs/>
        <w:noProof/>
        <w:sz w:val="20"/>
        <w:szCs w:val="20"/>
      </w:rPr>
      <w:t>18</w:t>
    </w:r>
    <w:r w:rsidRPr="007318C2">
      <w:rPr>
        <w:rFonts w:ascii="Garamond" w:hAnsi="Garamond"/>
        <w:b/>
        <w:bCs/>
        <w:sz w:val="20"/>
        <w:szCs w:val="20"/>
      </w:rPr>
      <w:fldChar w:fldCharType="end"/>
    </w:r>
    <w:r>
      <w:rPr>
        <w:rFonts w:ascii="Garamond" w:hAnsi="Garamond"/>
        <w:b/>
        <w:bCs/>
        <w:sz w:val="20"/>
        <w:szCs w:val="20"/>
        <w:lang w:val="pt-PT"/>
      </w:rPr>
      <w:t>/</w:t>
    </w:r>
    <w:r w:rsidRPr="007318C2">
      <w:rPr>
        <w:rFonts w:ascii="Garamond" w:hAnsi="Garamond"/>
        <w:b/>
        <w:bCs/>
        <w:sz w:val="20"/>
        <w:szCs w:val="20"/>
      </w:rPr>
      <w:fldChar w:fldCharType="begin"/>
    </w:r>
    <w:r w:rsidRPr="007318C2">
      <w:rPr>
        <w:rFonts w:ascii="Garamond" w:hAnsi="Garamond"/>
        <w:b/>
        <w:bCs/>
        <w:sz w:val="20"/>
        <w:szCs w:val="20"/>
      </w:rPr>
      <w:instrText>NUMPAGES</w:instrText>
    </w:r>
    <w:r w:rsidRPr="007318C2">
      <w:rPr>
        <w:rFonts w:ascii="Garamond" w:hAnsi="Garamond"/>
        <w:b/>
        <w:bCs/>
        <w:sz w:val="20"/>
        <w:szCs w:val="20"/>
      </w:rPr>
      <w:fldChar w:fldCharType="separate"/>
    </w:r>
    <w:r w:rsidR="004C6DFA">
      <w:rPr>
        <w:rFonts w:ascii="Garamond" w:hAnsi="Garamond"/>
        <w:b/>
        <w:bCs/>
        <w:noProof/>
        <w:sz w:val="20"/>
        <w:szCs w:val="20"/>
      </w:rPr>
      <w:t>19</w:t>
    </w:r>
    <w:r w:rsidRPr="007318C2">
      <w:rPr>
        <w:rFonts w:ascii="Garamond" w:hAnsi="Garamond"/>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90177" w14:textId="77777777" w:rsidR="00262CE7" w:rsidRDefault="00262CE7">
    <w:pPr>
      <w:pStyle w:val="Rodap"/>
      <w:jc w:val="center"/>
    </w:pPr>
  </w:p>
  <w:p w14:paraId="06CA0A20" w14:textId="77777777" w:rsidR="00262CE7" w:rsidRDefault="00262CE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67CFA" w14:textId="77777777" w:rsidR="0018374D" w:rsidRDefault="0018374D" w:rsidP="00AD5D5A">
      <w:r>
        <w:separator/>
      </w:r>
    </w:p>
  </w:footnote>
  <w:footnote w:type="continuationSeparator" w:id="0">
    <w:p w14:paraId="17026DC8" w14:textId="77777777" w:rsidR="0018374D" w:rsidRDefault="0018374D" w:rsidP="00AD5D5A">
      <w:r>
        <w:continuationSeparator/>
      </w:r>
    </w:p>
  </w:footnote>
  <w:footnote w:id="1">
    <w:p w14:paraId="2A5D021C" w14:textId="0CC7F73D" w:rsidR="00226925" w:rsidRPr="00E62BF9" w:rsidRDefault="00226925" w:rsidP="0037362F">
      <w:pPr>
        <w:pStyle w:val="Textodenotaderodap"/>
        <w:jc w:val="both"/>
        <w:rPr>
          <w:rFonts w:ascii="Garamond" w:hAnsi="Garamond"/>
          <w:lang w:val="pt-PT"/>
        </w:rPr>
      </w:pPr>
      <w:r w:rsidRPr="00E62BF9">
        <w:rPr>
          <w:rStyle w:val="Refdenotaderodap"/>
          <w:rFonts w:ascii="Garamond" w:hAnsi="Garamond"/>
        </w:rPr>
        <w:footnoteRef/>
      </w:r>
      <w:r w:rsidRPr="00E62BF9">
        <w:rPr>
          <w:rFonts w:ascii="Garamond" w:hAnsi="Garamond"/>
          <w:lang w:val="fr-FR"/>
        </w:rPr>
        <w:t xml:space="preserve"> Christian </w:t>
      </w:r>
      <w:proofErr w:type="spellStart"/>
      <w:r w:rsidRPr="00E62BF9">
        <w:rPr>
          <w:rFonts w:ascii="Garamond" w:hAnsi="Garamond"/>
          <w:lang w:val="fr-FR"/>
        </w:rPr>
        <w:t>Norberg</w:t>
      </w:r>
      <w:proofErr w:type="spellEnd"/>
      <w:r w:rsidRPr="00E62BF9">
        <w:rPr>
          <w:rFonts w:ascii="Garamond" w:hAnsi="Garamond"/>
          <w:lang w:val="fr-FR"/>
        </w:rPr>
        <w:t xml:space="preserve">-Schulz, </w:t>
      </w:r>
      <w:proofErr w:type="spellStart"/>
      <w:r w:rsidRPr="00E62BF9">
        <w:rPr>
          <w:rFonts w:ascii="Garamond" w:hAnsi="Garamond"/>
          <w:i/>
          <w:iCs/>
          <w:lang w:val="fr-FR"/>
        </w:rPr>
        <w:t>Arquitectura</w:t>
      </w:r>
      <w:proofErr w:type="spellEnd"/>
      <w:r w:rsidRPr="00E62BF9">
        <w:rPr>
          <w:rFonts w:ascii="Garamond" w:hAnsi="Garamond"/>
          <w:i/>
          <w:iCs/>
          <w:lang w:val="fr-FR"/>
        </w:rPr>
        <w:t xml:space="preserve"> Occidental</w:t>
      </w:r>
      <w:r w:rsidR="0037362F" w:rsidRPr="00E62BF9">
        <w:rPr>
          <w:rFonts w:ascii="Garamond" w:hAnsi="Garamond"/>
          <w:lang w:val="fr-FR"/>
        </w:rPr>
        <w:t>,</w:t>
      </w:r>
      <w:r w:rsidRPr="00E62BF9">
        <w:rPr>
          <w:rFonts w:ascii="Garamond" w:hAnsi="Garamond"/>
          <w:lang w:val="fr-FR"/>
        </w:rPr>
        <w:t xml:space="preserve"> trad. Alcira Gonzalez </w:t>
      </w:r>
      <w:proofErr w:type="spellStart"/>
      <w:r w:rsidRPr="00E62BF9">
        <w:rPr>
          <w:rFonts w:ascii="Garamond" w:hAnsi="Garamond"/>
          <w:lang w:val="fr-FR"/>
        </w:rPr>
        <w:t>Malleville</w:t>
      </w:r>
      <w:proofErr w:type="spellEnd"/>
      <w:r w:rsidRPr="00E62BF9">
        <w:rPr>
          <w:rFonts w:ascii="Garamond" w:hAnsi="Garamond"/>
          <w:lang w:val="fr-FR"/>
        </w:rPr>
        <w:t xml:space="preserve">, Antonio </w:t>
      </w:r>
      <w:proofErr w:type="spellStart"/>
      <w:r w:rsidRPr="00E62BF9">
        <w:rPr>
          <w:rFonts w:ascii="Garamond" w:hAnsi="Garamond"/>
          <w:lang w:val="fr-FR"/>
        </w:rPr>
        <w:t>Bonano</w:t>
      </w:r>
      <w:proofErr w:type="spellEnd"/>
      <w:r w:rsidR="0037362F" w:rsidRPr="00E62BF9">
        <w:rPr>
          <w:rFonts w:ascii="Garamond" w:hAnsi="Garamond"/>
          <w:lang w:val="fr-FR"/>
        </w:rPr>
        <w:t>, (</w:t>
      </w:r>
      <w:r w:rsidRPr="00E62BF9">
        <w:rPr>
          <w:rFonts w:ascii="Garamond" w:hAnsi="Garamond"/>
          <w:lang w:val="fr-FR"/>
        </w:rPr>
        <w:t>Barcelona</w:t>
      </w:r>
      <w:r w:rsidR="0037362F" w:rsidRPr="00E62BF9">
        <w:rPr>
          <w:rFonts w:ascii="Garamond" w:hAnsi="Garamond"/>
          <w:lang w:val="fr-FR"/>
        </w:rPr>
        <w:t>,</w:t>
      </w:r>
      <w:r w:rsidRPr="00E62BF9">
        <w:rPr>
          <w:rFonts w:ascii="Garamond" w:hAnsi="Garamond"/>
          <w:lang w:val="fr-FR"/>
        </w:rPr>
        <w:t xml:space="preserve"> GG Reprints, 2004</w:t>
      </w:r>
      <w:r w:rsidR="0037362F" w:rsidRPr="00E62BF9">
        <w:rPr>
          <w:rFonts w:ascii="Garamond" w:hAnsi="Garamond"/>
          <w:lang w:val="fr-FR"/>
        </w:rPr>
        <w:t xml:space="preserve">) and </w:t>
      </w:r>
      <w:proofErr w:type="spellStart"/>
      <w:r w:rsidRPr="00E62BF9">
        <w:rPr>
          <w:rFonts w:ascii="Garamond" w:hAnsi="Garamond"/>
          <w:lang w:val="fr-FR"/>
        </w:rPr>
        <w:t>Congress</w:t>
      </w:r>
      <w:proofErr w:type="spellEnd"/>
      <w:r w:rsidRPr="00E62BF9">
        <w:rPr>
          <w:rFonts w:ascii="Garamond" w:hAnsi="Garamond"/>
          <w:lang w:val="fr-FR"/>
        </w:rPr>
        <w:t xml:space="preserve"> Internationaux d'Architecture </w:t>
      </w:r>
      <w:r w:rsidR="009C69C5" w:rsidRPr="00E62BF9">
        <w:rPr>
          <w:rFonts w:ascii="Garamond" w:hAnsi="Garamond"/>
          <w:lang w:val="fr-FR"/>
        </w:rPr>
        <w:t xml:space="preserve">Moderne </w:t>
      </w:r>
      <w:r w:rsidRPr="00E62BF9">
        <w:rPr>
          <w:rFonts w:ascii="Garamond" w:hAnsi="Garamond"/>
          <w:lang w:val="fr-FR"/>
        </w:rPr>
        <w:t>(</w:t>
      </w:r>
      <w:proofErr w:type="spellStart"/>
      <w:r w:rsidRPr="00E62BF9">
        <w:rPr>
          <w:rFonts w:ascii="Garamond" w:hAnsi="Garamond"/>
          <w:lang w:val="fr-FR"/>
        </w:rPr>
        <w:t>CIAM</w:t>
      </w:r>
      <w:proofErr w:type="spellEnd"/>
      <w:r w:rsidRPr="00E62BF9">
        <w:rPr>
          <w:rFonts w:ascii="Garamond" w:hAnsi="Garamond"/>
          <w:lang w:val="fr-FR"/>
        </w:rPr>
        <w:t xml:space="preserve">), </w:t>
      </w:r>
      <w:r w:rsidRPr="00E62BF9">
        <w:rPr>
          <w:rFonts w:ascii="Garamond" w:hAnsi="Garamond"/>
          <w:i/>
          <w:iCs/>
          <w:lang w:val="fr-FR"/>
        </w:rPr>
        <w:t>La Charte d'</w:t>
      </w:r>
      <w:proofErr w:type="spellStart"/>
      <w:r w:rsidRPr="00E62BF9">
        <w:rPr>
          <w:rFonts w:ascii="Garamond" w:hAnsi="Garamond"/>
          <w:i/>
          <w:iCs/>
          <w:lang w:val="fr-FR"/>
        </w:rPr>
        <w:t>Athenes</w:t>
      </w:r>
      <w:proofErr w:type="spellEnd"/>
      <w:r w:rsidRPr="00E62BF9">
        <w:rPr>
          <w:rFonts w:ascii="Garamond" w:hAnsi="Garamond"/>
          <w:lang w:val="fr-FR"/>
        </w:rPr>
        <w:t xml:space="preserve"> or </w:t>
      </w:r>
      <w:r w:rsidRPr="00E62BF9">
        <w:rPr>
          <w:rFonts w:ascii="Garamond" w:hAnsi="Garamond"/>
          <w:i/>
          <w:iCs/>
          <w:lang w:val="fr-FR"/>
        </w:rPr>
        <w:t xml:space="preserve">The </w:t>
      </w:r>
      <w:proofErr w:type="spellStart"/>
      <w:r w:rsidRPr="00E62BF9">
        <w:rPr>
          <w:rFonts w:ascii="Garamond" w:hAnsi="Garamond"/>
          <w:i/>
          <w:iCs/>
          <w:lang w:val="fr-FR"/>
        </w:rPr>
        <w:t>Athens</w:t>
      </w:r>
      <w:proofErr w:type="spellEnd"/>
      <w:r w:rsidRPr="00E62BF9">
        <w:rPr>
          <w:rFonts w:ascii="Garamond" w:hAnsi="Garamond"/>
          <w:i/>
          <w:iCs/>
          <w:lang w:val="fr-FR"/>
        </w:rPr>
        <w:t xml:space="preserve"> Charter</w:t>
      </w:r>
      <w:r w:rsidRPr="00E62BF9">
        <w:rPr>
          <w:rFonts w:ascii="Garamond" w:hAnsi="Garamond"/>
          <w:lang w:val="fr-FR"/>
        </w:rPr>
        <w:t xml:space="preserve">, 1933. </w:t>
      </w:r>
      <w:r w:rsidRPr="00E62BF9">
        <w:rPr>
          <w:rFonts w:ascii="Garamond" w:hAnsi="Garamond"/>
        </w:rPr>
        <w:t xml:space="preserve">Trans </w:t>
      </w:r>
      <w:proofErr w:type="spellStart"/>
      <w:proofErr w:type="gramStart"/>
      <w:r w:rsidRPr="00E62BF9">
        <w:rPr>
          <w:rFonts w:ascii="Garamond" w:hAnsi="Garamond"/>
        </w:rPr>
        <w:t>J.Tyrwhitt</w:t>
      </w:r>
      <w:proofErr w:type="spellEnd"/>
      <w:proofErr w:type="gramEnd"/>
      <w:r w:rsidRPr="00E62BF9">
        <w:rPr>
          <w:rFonts w:ascii="Garamond" w:hAnsi="Garamond"/>
        </w:rPr>
        <w:t xml:space="preserve">. Paris, France: The Library of the Graduate School of Design, Harvard University, 1946. </w:t>
      </w:r>
      <w:r w:rsidRPr="00E62BF9">
        <w:rPr>
          <w:rFonts w:ascii="Garamond" w:hAnsi="Garamond"/>
          <w:lang w:val="pt-PT"/>
        </w:rPr>
        <w:t>PDF</w:t>
      </w:r>
    </w:p>
  </w:footnote>
  <w:footnote w:id="2">
    <w:p w14:paraId="4A615BF9" w14:textId="4DF7AD4C" w:rsidR="00E00012" w:rsidRPr="005F315A" w:rsidRDefault="00E00012" w:rsidP="00E00012">
      <w:pPr>
        <w:pStyle w:val="Textodenotaderodap"/>
        <w:jc w:val="both"/>
        <w:rPr>
          <w:rFonts w:ascii="Garamond" w:hAnsi="Garamond"/>
          <w:sz w:val="16"/>
          <w:szCs w:val="16"/>
          <w:lang w:val="pt-PT"/>
        </w:rPr>
      </w:pPr>
      <w:r w:rsidRPr="005F315A">
        <w:rPr>
          <w:rStyle w:val="Refdenotaderodap"/>
          <w:rFonts w:ascii="Garamond" w:hAnsi="Garamond"/>
          <w:sz w:val="16"/>
          <w:szCs w:val="16"/>
        </w:rPr>
        <w:footnoteRef/>
      </w:r>
      <w:r w:rsidRPr="005F315A">
        <w:rPr>
          <w:rFonts w:ascii="Garamond" w:hAnsi="Garamond"/>
          <w:sz w:val="16"/>
          <w:szCs w:val="16"/>
          <w:lang w:val="pt-PT"/>
        </w:rPr>
        <w:t xml:space="preserve"> Lewis Mumford, </w:t>
      </w:r>
      <w:r w:rsidRPr="005F315A">
        <w:rPr>
          <w:rFonts w:ascii="Garamond" w:hAnsi="Garamond"/>
          <w:i/>
          <w:iCs/>
          <w:sz w:val="16"/>
          <w:szCs w:val="16"/>
          <w:lang w:val="pt-PT"/>
        </w:rPr>
        <w:t>A cidade na história: suas origens, desenvolvimento e perspectivas</w:t>
      </w:r>
      <w:r w:rsidRPr="005F315A">
        <w:rPr>
          <w:rFonts w:ascii="Garamond" w:hAnsi="Garamond"/>
          <w:sz w:val="16"/>
          <w:szCs w:val="16"/>
          <w:lang w:val="pt-PT"/>
        </w:rPr>
        <w:t xml:space="preserve">, </w:t>
      </w:r>
      <w:proofErr w:type="spellStart"/>
      <w:r w:rsidRPr="005F315A">
        <w:rPr>
          <w:rFonts w:ascii="Garamond" w:hAnsi="Garamond"/>
          <w:sz w:val="16"/>
          <w:szCs w:val="16"/>
          <w:lang w:val="pt-PT"/>
        </w:rPr>
        <w:t>trad</w:t>
      </w:r>
      <w:proofErr w:type="spellEnd"/>
      <w:r w:rsidRPr="005F315A">
        <w:rPr>
          <w:rFonts w:ascii="Garamond" w:hAnsi="Garamond"/>
          <w:sz w:val="16"/>
          <w:szCs w:val="16"/>
          <w:lang w:val="pt-PT"/>
        </w:rPr>
        <w:t xml:space="preserve">. Neil R. da Silva (São Paulo, Martins Fontes, 1982) pp.267-305 [‘Claustro e comunidade’] AQUI: P.290 </w:t>
      </w:r>
      <w:proofErr w:type="spellStart"/>
      <w:r w:rsidRPr="005F315A">
        <w:rPr>
          <w:rFonts w:ascii="Garamond" w:hAnsi="Garamond"/>
          <w:sz w:val="16"/>
          <w:szCs w:val="16"/>
          <w:lang w:val="pt-PT"/>
        </w:rPr>
        <w:t>My</w:t>
      </w:r>
      <w:proofErr w:type="spellEnd"/>
      <w:r w:rsidRPr="005F315A">
        <w:rPr>
          <w:rFonts w:ascii="Garamond" w:hAnsi="Garamond"/>
          <w:sz w:val="16"/>
          <w:szCs w:val="16"/>
          <w:lang w:val="pt-PT"/>
        </w:rPr>
        <w:t xml:space="preserve"> </w:t>
      </w:r>
      <w:proofErr w:type="spellStart"/>
      <w:r w:rsidRPr="005F315A">
        <w:rPr>
          <w:rFonts w:ascii="Garamond" w:hAnsi="Garamond"/>
          <w:sz w:val="16"/>
          <w:szCs w:val="16"/>
          <w:lang w:val="pt-PT"/>
        </w:rPr>
        <w:t>translation</w:t>
      </w:r>
      <w:proofErr w:type="spellEnd"/>
    </w:p>
  </w:footnote>
  <w:footnote w:id="3">
    <w:p w14:paraId="7E0CC67B" w14:textId="482A19EA" w:rsidR="00E00012" w:rsidRPr="005F315A" w:rsidRDefault="00E00012" w:rsidP="00E00012">
      <w:pPr>
        <w:pStyle w:val="Textodenotaderodap"/>
        <w:rPr>
          <w:rFonts w:ascii="Garamond" w:hAnsi="Garamond"/>
          <w:sz w:val="16"/>
          <w:szCs w:val="16"/>
        </w:rPr>
      </w:pPr>
      <w:r w:rsidRPr="005F315A">
        <w:rPr>
          <w:rStyle w:val="Refdenotaderodap"/>
          <w:rFonts w:ascii="Garamond" w:hAnsi="Garamond"/>
          <w:sz w:val="16"/>
          <w:szCs w:val="16"/>
        </w:rPr>
        <w:footnoteRef/>
      </w:r>
      <w:r w:rsidRPr="005F315A">
        <w:rPr>
          <w:rFonts w:ascii="Garamond" w:hAnsi="Garamond"/>
          <w:sz w:val="16"/>
          <w:szCs w:val="16"/>
        </w:rPr>
        <w:t xml:space="preserve"> Mumford P.290 My translation</w:t>
      </w:r>
    </w:p>
  </w:footnote>
  <w:footnote w:id="4">
    <w:p w14:paraId="544A470A" w14:textId="77777777" w:rsidR="00E00012" w:rsidRPr="005F315A" w:rsidRDefault="00E00012" w:rsidP="00E00012">
      <w:pPr>
        <w:pStyle w:val="Textodenotaderodap"/>
        <w:jc w:val="both"/>
        <w:rPr>
          <w:rFonts w:ascii="Garamond" w:hAnsi="Garamond"/>
          <w:sz w:val="16"/>
          <w:szCs w:val="16"/>
        </w:rPr>
      </w:pPr>
      <w:r w:rsidRPr="005F315A">
        <w:rPr>
          <w:rStyle w:val="Refdenotaderodap"/>
          <w:rFonts w:ascii="Garamond" w:hAnsi="Garamond"/>
          <w:sz w:val="16"/>
          <w:szCs w:val="16"/>
        </w:rPr>
        <w:footnoteRef/>
      </w:r>
      <w:r w:rsidRPr="005F315A">
        <w:rPr>
          <w:rFonts w:ascii="Garamond" w:hAnsi="Garamond"/>
          <w:sz w:val="16"/>
          <w:szCs w:val="16"/>
        </w:rPr>
        <w:t xml:space="preserve"> Spiro </w:t>
      </w:r>
      <w:proofErr w:type="spellStart"/>
      <w:r w:rsidRPr="005F315A">
        <w:rPr>
          <w:rFonts w:ascii="Garamond" w:hAnsi="Garamond"/>
          <w:sz w:val="16"/>
          <w:szCs w:val="16"/>
        </w:rPr>
        <w:t>Kostof</w:t>
      </w:r>
      <w:proofErr w:type="spellEnd"/>
      <w:r w:rsidRPr="005F315A">
        <w:rPr>
          <w:rFonts w:ascii="Garamond" w:hAnsi="Garamond"/>
          <w:sz w:val="16"/>
          <w:szCs w:val="16"/>
        </w:rPr>
        <w:t xml:space="preserve">, </w:t>
      </w:r>
      <w:r w:rsidRPr="005F315A">
        <w:rPr>
          <w:rFonts w:ascii="Garamond" w:hAnsi="Garamond"/>
          <w:i/>
          <w:iCs/>
          <w:sz w:val="16"/>
          <w:szCs w:val="16"/>
        </w:rPr>
        <w:t>History of Architecture. Settings and Rituals</w:t>
      </w:r>
      <w:r w:rsidRPr="005F315A">
        <w:rPr>
          <w:rFonts w:ascii="Garamond" w:hAnsi="Garamond"/>
          <w:sz w:val="16"/>
          <w:szCs w:val="16"/>
        </w:rPr>
        <w:t xml:space="preserve"> (New York/Oxford, Oxford University Press, 1995), pp. 295-374 [‘The birth of Nations: Europe after Charles’, The French Manner’ and ‘The urbanization of Europe, 1100-1300’] AQUI: P.298</w:t>
      </w:r>
    </w:p>
  </w:footnote>
  <w:footnote w:id="5">
    <w:p w14:paraId="51948EBE" w14:textId="77777777" w:rsidR="00C045B4" w:rsidRPr="005F315A" w:rsidRDefault="00C045B4" w:rsidP="00C045B4">
      <w:pPr>
        <w:pStyle w:val="Textodenotaderodap"/>
        <w:jc w:val="both"/>
        <w:rPr>
          <w:rFonts w:ascii="Garamond" w:hAnsi="Garamond"/>
          <w:sz w:val="16"/>
          <w:szCs w:val="16"/>
          <w:lang w:val="pt-PT"/>
        </w:rPr>
      </w:pPr>
      <w:r w:rsidRPr="005F315A">
        <w:rPr>
          <w:rStyle w:val="Refdenotaderodap"/>
          <w:rFonts w:ascii="Garamond" w:hAnsi="Garamond"/>
          <w:sz w:val="16"/>
          <w:szCs w:val="16"/>
        </w:rPr>
        <w:footnoteRef/>
      </w:r>
      <w:r w:rsidRPr="005F315A">
        <w:rPr>
          <w:rFonts w:ascii="Garamond" w:hAnsi="Garamond"/>
          <w:sz w:val="16"/>
          <w:szCs w:val="16"/>
          <w:lang w:val="pt-PT"/>
        </w:rPr>
        <w:t xml:space="preserve"> Fernando </w:t>
      </w:r>
      <w:proofErr w:type="spellStart"/>
      <w:r w:rsidRPr="005F315A">
        <w:rPr>
          <w:rFonts w:ascii="Garamond" w:hAnsi="Garamond"/>
          <w:sz w:val="16"/>
          <w:szCs w:val="16"/>
          <w:lang w:val="pt-PT"/>
        </w:rPr>
        <w:t>Chueca</w:t>
      </w:r>
      <w:proofErr w:type="spellEnd"/>
      <w:r w:rsidRPr="005F315A">
        <w:rPr>
          <w:rFonts w:ascii="Garamond" w:hAnsi="Garamond"/>
          <w:sz w:val="16"/>
          <w:szCs w:val="16"/>
          <w:lang w:val="pt-PT"/>
        </w:rPr>
        <w:t xml:space="preserve"> </w:t>
      </w:r>
      <w:proofErr w:type="spellStart"/>
      <w:r w:rsidRPr="005F315A">
        <w:rPr>
          <w:rFonts w:ascii="Garamond" w:hAnsi="Garamond"/>
          <w:sz w:val="16"/>
          <w:szCs w:val="16"/>
          <w:lang w:val="pt-PT"/>
        </w:rPr>
        <w:t>Goitia</w:t>
      </w:r>
      <w:proofErr w:type="spellEnd"/>
      <w:r w:rsidRPr="005F315A">
        <w:rPr>
          <w:rFonts w:ascii="Garamond" w:hAnsi="Garamond"/>
          <w:sz w:val="16"/>
          <w:szCs w:val="16"/>
          <w:lang w:val="pt-PT"/>
        </w:rPr>
        <w:t xml:space="preserve">, </w:t>
      </w:r>
      <w:r w:rsidRPr="005F315A">
        <w:rPr>
          <w:rFonts w:ascii="Garamond" w:hAnsi="Garamond"/>
          <w:i/>
          <w:iCs/>
          <w:sz w:val="16"/>
          <w:szCs w:val="16"/>
          <w:lang w:val="pt-PT"/>
        </w:rPr>
        <w:t>Breve história do Urbanismo</w:t>
      </w:r>
      <w:r w:rsidRPr="005F315A">
        <w:rPr>
          <w:rFonts w:ascii="Garamond" w:hAnsi="Garamond"/>
          <w:sz w:val="16"/>
          <w:szCs w:val="16"/>
          <w:lang w:val="pt-PT"/>
        </w:rPr>
        <w:t xml:space="preserve"> (Lisboa, Presença, 1982) AQUI: (p. 89-91) </w:t>
      </w:r>
      <w:proofErr w:type="spellStart"/>
      <w:r w:rsidRPr="005F315A">
        <w:rPr>
          <w:rFonts w:ascii="Garamond" w:hAnsi="Garamond"/>
          <w:sz w:val="16"/>
          <w:szCs w:val="16"/>
          <w:lang w:val="pt-PT"/>
        </w:rPr>
        <w:t>My</w:t>
      </w:r>
      <w:proofErr w:type="spellEnd"/>
      <w:r w:rsidRPr="005F315A">
        <w:rPr>
          <w:rFonts w:ascii="Garamond" w:hAnsi="Garamond"/>
          <w:sz w:val="16"/>
          <w:szCs w:val="16"/>
          <w:lang w:val="pt-PT"/>
        </w:rPr>
        <w:t xml:space="preserve"> </w:t>
      </w:r>
      <w:proofErr w:type="spellStart"/>
      <w:r w:rsidRPr="005F315A">
        <w:rPr>
          <w:rFonts w:ascii="Garamond" w:hAnsi="Garamond"/>
          <w:sz w:val="16"/>
          <w:szCs w:val="16"/>
          <w:lang w:val="pt-PT"/>
        </w:rPr>
        <w:t>translation</w:t>
      </w:r>
      <w:proofErr w:type="spellEnd"/>
    </w:p>
  </w:footnote>
  <w:footnote w:id="6">
    <w:p w14:paraId="11F24967" w14:textId="77777777" w:rsidR="00E00012" w:rsidRPr="005F315A" w:rsidRDefault="00E00012" w:rsidP="00E00012">
      <w:pPr>
        <w:pStyle w:val="Textodenotaderodap"/>
        <w:rPr>
          <w:rFonts w:ascii="Garamond" w:hAnsi="Garamond"/>
          <w:sz w:val="16"/>
          <w:szCs w:val="16"/>
        </w:rPr>
      </w:pPr>
      <w:r w:rsidRPr="005F315A">
        <w:rPr>
          <w:rStyle w:val="Refdenotaderodap"/>
          <w:rFonts w:ascii="Garamond" w:hAnsi="Garamond"/>
          <w:sz w:val="16"/>
          <w:szCs w:val="16"/>
        </w:rPr>
        <w:footnoteRef/>
      </w:r>
      <w:r w:rsidRPr="005F315A">
        <w:rPr>
          <w:rFonts w:ascii="Garamond" w:hAnsi="Garamond"/>
          <w:sz w:val="16"/>
          <w:szCs w:val="16"/>
        </w:rPr>
        <w:t xml:space="preserve"> </w:t>
      </w:r>
      <w:proofErr w:type="spellStart"/>
      <w:r w:rsidRPr="005F315A">
        <w:rPr>
          <w:rFonts w:ascii="Garamond" w:hAnsi="Garamond"/>
          <w:sz w:val="16"/>
          <w:szCs w:val="16"/>
        </w:rPr>
        <w:t>Kostof</w:t>
      </w:r>
      <w:proofErr w:type="spellEnd"/>
      <w:r w:rsidRPr="005F315A">
        <w:rPr>
          <w:rFonts w:ascii="Garamond" w:hAnsi="Garamond"/>
          <w:sz w:val="16"/>
          <w:szCs w:val="16"/>
        </w:rPr>
        <w:t xml:space="preserve"> (p.349)</w:t>
      </w:r>
    </w:p>
  </w:footnote>
  <w:footnote w:id="7">
    <w:p w14:paraId="3B05358C" w14:textId="77777777" w:rsidR="001D5329" w:rsidRPr="005F315A" w:rsidRDefault="001D5329" w:rsidP="001D5329">
      <w:pPr>
        <w:pStyle w:val="Textodenotaderodap"/>
        <w:rPr>
          <w:rFonts w:ascii="Garamond" w:hAnsi="Garamond"/>
          <w:sz w:val="16"/>
          <w:szCs w:val="16"/>
        </w:rPr>
      </w:pPr>
      <w:r w:rsidRPr="005F315A">
        <w:rPr>
          <w:rStyle w:val="Refdenotaderodap"/>
          <w:rFonts w:ascii="Garamond" w:hAnsi="Garamond"/>
          <w:sz w:val="16"/>
          <w:szCs w:val="16"/>
        </w:rPr>
        <w:footnoteRef/>
      </w:r>
      <w:r w:rsidRPr="005F315A">
        <w:rPr>
          <w:rFonts w:ascii="Garamond" w:hAnsi="Garamond"/>
          <w:sz w:val="16"/>
          <w:szCs w:val="16"/>
        </w:rPr>
        <w:t xml:space="preserve"> </w:t>
      </w:r>
      <w:proofErr w:type="spellStart"/>
      <w:r w:rsidRPr="005F315A">
        <w:rPr>
          <w:rFonts w:ascii="Garamond" w:hAnsi="Garamond"/>
          <w:sz w:val="16"/>
          <w:szCs w:val="16"/>
        </w:rPr>
        <w:t>Chueca</w:t>
      </w:r>
      <w:proofErr w:type="spellEnd"/>
      <w:r w:rsidRPr="005F315A">
        <w:rPr>
          <w:rFonts w:ascii="Garamond" w:hAnsi="Garamond"/>
          <w:sz w:val="16"/>
          <w:szCs w:val="16"/>
        </w:rPr>
        <w:t xml:space="preserve"> </w:t>
      </w:r>
      <w:proofErr w:type="spellStart"/>
      <w:r w:rsidRPr="005F315A">
        <w:rPr>
          <w:rFonts w:ascii="Garamond" w:hAnsi="Garamond"/>
          <w:sz w:val="16"/>
          <w:szCs w:val="16"/>
        </w:rPr>
        <w:t>Goitia</w:t>
      </w:r>
      <w:proofErr w:type="spellEnd"/>
      <w:r w:rsidRPr="005F315A">
        <w:rPr>
          <w:rFonts w:ascii="Garamond" w:hAnsi="Garamond"/>
          <w:sz w:val="16"/>
          <w:szCs w:val="16"/>
        </w:rPr>
        <w:t xml:space="preserve"> (p.89-90)</w:t>
      </w:r>
    </w:p>
  </w:footnote>
  <w:footnote w:id="8">
    <w:p w14:paraId="77DE92C5" w14:textId="77777777" w:rsidR="001D5329" w:rsidRPr="005F315A" w:rsidRDefault="001D5329" w:rsidP="001D5329">
      <w:pPr>
        <w:pStyle w:val="Textodenotaderodap"/>
        <w:rPr>
          <w:rFonts w:ascii="Garamond" w:hAnsi="Garamond"/>
          <w:sz w:val="16"/>
          <w:szCs w:val="16"/>
        </w:rPr>
      </w:pPr>
      <w:r w:rsidRPr="005F315A">
        <w:rPr>
          <w:rStyle w:val="Refdenotaderodap"/>
          <w:rFonts w:ascii="Garamond" w:hAnsi="Garamond"/>
          <w:sz w:val="16"/>
          <w:szCs w:val="16"/>
        </w:rPr>
        <w:footnoteRef/>
      </w:r>
      <w:r w:rsidRPr="005F315A">
        <w:rPr>
          <w:rFonts w:ascii="Garamond" w:hAnsi="Garamond"/>
          <w:sz w:val="16"/>
          <w:szCs w:val="16"/>
        </w:rPr>
        <w:t xml:space="preserve"> </w:t>
      </w:r>
      <w:proofErr w:type="spellStart"/>
      <w:r w:rsidRPr="005F315A">
        <w:rPr>
          <w:rFonts w:ascii="Garamond" w:hAnsi="Garamond"/>
          <w:sz w:val="16"/>
          <w:szCs w:val="16"/>
        </w:rPr>
        <w:t>Kostof</w:t>
      </w:r>
      <w:proofErr w:type="spellEnd"/>
      <w:r w:rsidRPr="005F315A">
        <w:rPr>
          <w:rFonts w:ascii="Garamond" w:hAnsi="Garamond"/>
          <w:sz w:val="16"/>
          <w:szCs w:val="16"/>
        </w:rPr>
        <w:t xml:space="preserve"> (p.316)</w:t>
      </w:r>
    </w:p>
  </w:footnote>
  <w:footnote w:id="9">
    <w:p w14:paraId="153F148E" w14:textId="77777777" w:rsidR="001D5329" w:rsidRPr="005F315A" w:rsidRDefault="001D5329" w:rsidP="001D5329">
      <w:pPr>
        <w:pStyle w:val="Textodenotaderodap"/>
        <w:rPr>
          <w:rFonts w:ascii="Garamond" w:hAnsi="Garamond"/>
          <w:sz w:val="16"/>
          <w:szCs w:val="16"/>
          <w:lang w:val="de-DE"/>
        </w:rPr>
      </w:pPr>
      <w:r w:rsidRPr="005F315A">
        <w:rPr>
          <w:rStyle w:val="Refdenotaderodap"/>
          <w:rFonts w:ascii="Garamond" w:hAnsi="Garamond"/>
          <w:sz w:val="16"/>
          <w:szCs w:val="16"/>
        </w:rPr>
        <w:footnoteRef/>
      </w:r>
      <w:r w:rsidRPr="005F315A">
        <w:rPr>
          <w:rFonts w:ascii="Garamond" w:hAnsi="Garamond"/>
          <w:sz w:val="16"/>
          <w:szCs w:val="16"/>
          <w:lang w:val="de-DE"/>
        </w:rPr>
        <w:t xml:space="preserve"> </w:t>
      </w:r>
      <w:proofErr w:type="spellStart"/>
      <w:r w:rsidRPr="005F315A">
        <w:rPr>
          <w:rFonts w:ascii="Garamond" w:hAnsi="Garamond"/>
          <w:sz w:val="16"/>
          <w:szCs w:val="16"/>
          <w:lang w:val="de-DE"/>
        </w:rPr>
        <w:t>Norberg</w:t>
      </w:r>
      <w:proofErr w:type="spellEnd"/>
      <w:r w:rsidRPr="005F315A">
        <w:rPr>
          <w:rFonts w:ascii="Garamond" w:hAnsi="Garamond"/>
          <w:sz w:val="16"/>
          <w:szCs w:val="16"/>
          <w:lang w:val="de-DE"/>
        </w:rPr>
        <w:t>-Schulz (p.95)</w:t>
      </w:r>
    </w:p>
  </w:footnote>
  <w:footnote w:id="10">
    <w:p w14:paraId="662102EE" w14:textId="77777777" w:rsidR="001D5329" w:rsidRPr="005F315A" w:rsidRDefault="001D5329" w:rsidP="001D5329">
      <w:pPr>
        <w:pStyle w:val="Textodenotaderodap"/>
        <w:rPr>
          <w:rFonts w:ascii="Garamond" w:hAnsi="Garamond"/>
          <w:sz w:val="16"/>
          <w:szCs w:val="16"/>
          <w:lang w:val="de-DE"/>
        </w:rPr>
      </w:pPr>
      <w:r w:rsidRPr="005F315A">
        <w:rPr>
          <w:rStyle w:val="Refdenotaderodap"/>
          <w:rFonts w:ascii="Garamond" w:hAnsi="Garamond"/>
          <w:sz w:val="16"/>
          <w:szCs w:val="16"/>
        </w:rPr>
        <w:footnoteRef/>
      </w:r>
      <w:r w:rsidRPr="005F315A">
        <w:rPr>
          <w:rFonts w:ascii="Garamond" w:hAnsi="Garamond"/>
          <w:sz w:val="16"/>
          <w:szCs w:val="16"/>
          <w:lang w:val="de-DE"/>
        </w:rPr>
        <w:t xml:space="preserve"> Norberg-Schulz (p.95)</w:t>
      </w:r>
    </w:p>
  </w:footnote>
  <w:footnote w:id="11">
    <w:p w14:paraId="0C98DF50" w14:textId="77777777" w:rsidR="008C46B5" w:rsidRPr="005F315A" w:rsidRDefault="008C46B5" w:rsidP="008C46B5">
      <w:pPr>
        <w:pStyle w:val="Textodenotaderodap"/>
        <w:rPr>
          <w:rFonts w:ascii="Garamond" w:hAnsi="Garamond"/>
          <w:sz w:val="16"/>
          <w:szCs w:val="16"/>
          <w:lang w:val="de-DE"/>
        </w:rPr>
      </w:pPr>
      <w:r w:rsidRPr="005F315A">
        <w:rPr>
          <w:rStyle w:val="Refdenotaderodap"/>
          <w:rFonts w:ascii="Garamond" w:hAnsi="Garamond"/>
          <w:sz w:val="16"/>
          <w:szCs w:val="16"/>
        </w:rPr>
        <w:footnoteRef/>
      </w:r>
      <w:r w:rsidRPr="005F315A">
        <w:rPr>
          <w:rFonts w:ascii="Garamond" w:hAnsi="Garamond"/>
          <w:sz w:val="16"/>
          <w:szCs w:val="16"/>
          <w:lang w:val="de-DE"/>
        </w:rPr>
        <w:t xml:space="preserve"> Kostof (p.331)</w:t>
      </w:r>
    </w:p>
  </w:footnote>
  <w:footnote w:id="12">
    <w:p w14:paraId="61599475" w14:textId="77777777" w:rsidR="008C46B5" w:rsidRPr="008B7E16" w:rsidRDefault="008C46B5" w:rsidP="008C46B5">
      <w:pPr>
        <w:pStyle w:val="Textodenotaderodap"/>
        <w:rPr>
          <w:rFonts w:ascii="Garamond" w:hAnsi="Garamond"/>
          <w:sz w:val="16"/>
          <w:szCs w:val="16"/>
          <w:lang w:val="de-DE"/>
        </w:rPr>
      </w:pPr>
      <w:r w:rsidRPr="005F315A">
        <w:rPr>
          <w:rStyle w:val="Refdenotaderodap"/>
          <w:rFonts w:ascii="Garamond" w:hAnsi="Garamond"/>
          <w:sz w:val="16"/>
          <w:szCs w:val="16"/>
        </w:rPr>
        <w:footnoteRef/>
      </w:r>
      <w:r w:rsidRPr="005F315A">
        <w:rPr>
          <w:rFonts w:ascii="Garamond" w:hAnsi="Garamond"/>
          <w:sz w:val="16"/>
          <w:szCs w:val="16"/>
          <w:lang w:val="de-DE"/>
        </w:rPr>
        <w:t xml:space="preserve"> Norberg-Schulz (p.99)</w:t>
      </w:r>
    </w:p>
  </w:footnote>
  <w:footnote w:id="13">
    <w:p w14:paraId="51184E44" w14:textId="77777777" w:rsidR="00831820" w:rsidRPr="008B7E16" w:rsidRDefault="00831820" w:rsidP="00831820">
      <w:pPr>
        <w:pStyle w:val="Textodenotaderodap"/>
        <w:rPr>
          <w:rFonts w:ascii="Garamond" w:hAnsi="Garamond"/>
          <w:sz w:val="16"/>
          <w:szCs w:val="16"/>
          <w:lang w:val="de-DE"/>
        </w:rPr>
      </w:pPr>
      <w:r w:rsidRPr="007B363B">
        <w:rPr>
          <w:rStyle w:val="Refdenotaderodap"/>
          <w:rFonts w:ascii="Garamond" w:hAnsi="Garamond"/>
          <w:sz w:val="16"/>
          <w:szCs w:val="16"/>
        </w:rPr>
        <w:footnoteRef/>
      </w:r>
      <w:r w:rsidRPr="008B7E16">
        <w:rPr>
          <w:rFonts w:ascii="Garamond" w:hAnsi="Garamond"/>
          <w:sz w:val="16"/>
          <w:szCs w:val="16"/>
          <w:lang w:val="de-DE"/>
        </w:rPr>
        <w:t xml:space="preserve"> Norberg-Schulz (p. 111)</w:t>
      </w:r>
    </w:p>
  </w:footnote>
  <w:footnote w:id="14">
    <w:p w14:paraId="371A64BD" w14:textId="77777777" w:rsidR="00831820" w:rsidRPr="008B7E16" w:rsidRDefault="00831820" w:rsidP="00831820">
      <w:pPr>
        <w:pStyle w:val="Textodenotaderodap"/>
        <w:rPr>
          <w:rFonts w:ascii="Garamond" w:hAnsi="Garamond"/>
          <w:sz w:val="16"/>
          <w:szCs w:val="16"/>
          <w:lang w:val="de-DE"/>
        </w:rPr>
      </w:pPr>
      <w:r w:rsidRPr="007B363B">
        <w:rPr>
          <w:rStyle w:val="Refdenotaderodap"/>
          <w:rFonts w:ascii="Garamond" w:hAnsi="Garamond"/>
          <w:sz w:val="16"/>
          <w:szCs w:val="16"/>
        </w:rPr>
        <w:footnoteRef/>
      </w:r>
      <w:r w:rsidRPr="008B7E16">
        <w:rPr>
          <w:rFonts w:ascii="Garamond" w:hAnsi="Garamond"/>
          <w:sz w:val="16"/>
          <w:szCs w:val="16"/>
          <w:lang w:val="de-DE"/>
        </w:rPr>
        <w:t xml:space="preserve"> Kostof (p.330)</w:t>
      </w:r>
    </w:p>
  </w:footnote>
  <w:footnote w:id="15">
    <w:p w14:paraId="4A844D89" w14:textId="77777777" w:rsidR="00132DDE" w:rsidRPr="008B7E16" w:rsidRDefault="00132DDE" w:rsidP="00132DDE">
      <w:pPr>
        <w:pStyle w:val="Textodenotaderodap"/>
        <w:rPr>
          <w:rFonts w:ascii="Garamond" w:hAnsi="Garamond"/>
          <w:sz w:val="16"/>
          <w:szCs w:val="16"/>
          <w:lang w:val="de-DE"/>
        </w:rPr>
      </w:pPr>
      <w:r w:rsidRPr="007B363B">
        <w:rPr>
          <w:rStyle w:val="Refdenotaderodap"/>
          <w:rFonts w:ascii="Garamond" w:hAnsi="Garamond"/>
          <w:sz w:val="16"/>
          <w:szCs w:val="16"/>
        </w:rPr>
        <w:footnoteRef/>
      </w:r>
      <w:r w:rsidRPr="008B7E16">
        <w:rPr>
          <w:rFonts w:ascii="Garamond" w:hAnsi="Garamond"/>
          <w:sz w:val="16"/>
          <w:szCs w:val="16"/>
          <w:lang w:val="de-DE"/>
        </w:rPr>
        <w:t xml:space="preserve"> Norberg-Schulz (p. 112)</w:t>
      </w:r>
    </w:p>
  </w:footnote>
  <w:footnote w:id="16">
    <w:p w14:paraId="3463120E" w14:textId="2C481772" w:rsidR="007B363B" w:rsidRPr="008B7E16" w:rsidRDefault="007B363B">
      <w:pPr>
        <w:pStyle w:val="Textodenotaderodap"/>
        <w:rPr>
          <w:rFonts w:ascii="Garamond" w:hAnsi="Garamond"/>
          <w:sz w:val="16"/>
          <w:szCs w:val="16"/>
          <w:lang w:val="de-DE"/>
        </w:rPr>
      </w:pPr>
      <w:r w:rsidRPr="007B363B">
        <w:rPr>
          <w:rStyle w:val="Refdenotaderodap"/>
          <w:rFonts w:ascii="Garamond" w:hAnsi="Garamond"/>
          <w:sz w:val="16"/>
          <w:szCs w:val="16"/>
        </w:rPr>
        <w:footnoteRef/>
      </w:r>
      <w:r w:rsidRPr="008B7E16">
        <w:rPr>
          <w:rFonts w:ascii="Garamond" w:hAnsi="Garamond"/>
          <w:sz w:val="16"/>
          <w:szCs w:val="16"/>
          <w:lang w:val="de-DE"/>
        </w:rPr>
        <w:t xml:space="preserve"> Norberg-Schulz (p.113)</w:t>
      </w:r>
    </w:p>
  </w:footnote>
  <w:footnote w:id="17">
    <w:p w14:paraId="52593AEA" w14:textId="7F20C053" w:rsidR="007B363B" w:rsidRPr="00526015" w:rsidRDefault="007B363B">
      <w:pPr>
        <w:pStyle w:val="Textodenotaderodap"/>
        <w:rPr>
          <w:rFonts w:ascii="Garamond" w:hAnsi="Garamond"/>
          <w:sz w:val="16"/>
          <w:szCs w:val="16"/>
        </w:rPr>
      </w:pPr>
      <w:r w:rsidRPr="007B363B">
        <w:rPr>
          <w:rStyle w:val="Refdenotaderodap"/>
          <w:rFonts w:ascii="Garamond" w:hAnsi="Garamond"/>
          <w:sz w:val="16"/>
          <w:szCs w:val="16"/>
        </w:rPr>
        <w:footnoteRef/>
      </w:r>
      <w:r w:rsidRPr="00526015">
        <w:rPr>
          <w:rFonts w:ascii="Garamond" w:hAnsi="Garamond"/>
          <w:sz w:val="16"/>
          <w:szCs w:val="16"/>
        </w:rPr>
        <w:t xml:space="preserve"> (</w:t>
      </w:r>
      <w:proofErr w:type="spellStart"/>
      <w:r w:rsidRPr="00526015">
        <w:rPr>
          <w:rFonts w:ascii="Garamond" w:hAnsi="Garamond"/>
          <w:sz w:val="16"/>
          <w:szCs w:val="16"/>
        </w:rPr>
        <w:t>Kostof</w:t>
      </w:r>
      <w:proofErr w:type="spellEnd"/>
      <w:r w:rsidRPr="00526015">
        <w:rPr>
          <w:rFonts w:ascii="Garamond" w:hAnsi="Garamond"/>
          <w:sz w:val="16"/>
          <w:szCs w:val="16"/>
        </w:rPr>
        <w:t>, p.33</w:t>
      </w:r>
      <w:r w:rsidR="00526015" w:rsidRPr="00526015">
        <w:rPr>
          <w:rFonts w:ascii="Garamond" w:hAnsi="Garamond"/>
          <w:sz w:val="16"/>
          <w:szCs w:val="16"/>
        </w:rPr>
        <w:t>1-33</w:t>
      </w:r>
      <w:r w:rsidRPr="00526015">
        <w:rPr>
          <w:rFonts w:ascii="Garamond" w:hAnsi="Garamond"/>
          <w:sz w:val="16"/>
          <w:szCs w:val="16"/>
        </w:rPr>
        <w:t>2)</w:t>
      </w:r>
    </w:p>
  </w:footnote>
  <w:footnote w:id="18">
    <w:p w14:paraId="4A4EF20D" w14:textId="77777777" w:rsidR="003E76BE" w:rsidRPr="007B363B" w:rsidRDefault="003E76BE" w:rsidP="008612BD">
      <w:pPr>
        <w:pStyle w:val="Textodenotaderodap"/>
        <w:jc w:val="both"/>
        <w:rPr>
          <w:rFonts w:ascii="Garamond" w:hAnsi="Garamond"/>
          <w:sz w:val="16"/>
          <w:szCs w:val="16"/>
        </w:rPr>
      </w:pPr>
      <w:r w:rsidRPr="007B363B">
        <w:rPr>
          <w:rStyle w:val="Refdenotaderodap"/>
          <w:rFonts w:ascii="Garamond" w:hAnsi="Garamond"/>
          <w:sz w:val="16"/>
          <w:szCs w:val="16"/>
        </w:rPr>
        <w:footnoteRef/>
      </w:r>
      <w:r w:rsidRPr="007B363B">
        <w:rPr>
          <w:rFonts w:ascii="Garamond" w:hAnsi="Garamond"/>
          <w:sz w:val="16"/>
          <w:szCs w:val="16"/>
        </w:rPr>
        <w:t xml:space="preserve"> Stephen McCluskey, p.1705)</w:t>
      </w:r>
    </w:p>
  </w:footnote>
  <w:footnote w:id="19">
    <w:p w14:paraId="299955BE" w14:textId="38E33303" w:rsidR="003E76BE" w:rsidRPr="007B363B" w:rsidRDefault="003E76BE" w:rsidP="008612BD">
      <w:pPr>
        <w:pStyle w:val="Textodenotaderodap"/>
        <w:jc w:val="both"/>
        <w:rPr>
          <w:rFonts w:ascii="Garamond" w:hAnsi="Garamond"/>
          <w:sz w:val="16"/>
          <w:szCs w:val="16"/>
        </w:rPr>
      </w:pPr>
      <w:r w:rsidRPr="007B363B">
        <w:rPr>
          <w:rStyle w:val="Refdenotaderodap"/>
          <w:rFonts w:ascii="Garamond" w:hAnsi="Garamond"/>
          <w:sz w:val="16"/>
          <w:szCs w:val="16"/>
        </w:rPr>
        <w:footnoteRef/>
      </w:r>
      <w:r w:rsidRPr="007B363B">
        <w:rPr>
          <w:rFonts w:ascii="Garamond" w:hAnsi="Garamond"/>
          <w:sz w:val="16"/>
          <w:szCs w:val="16"/>
        </w:rPr>
        <w:t xml:space="preserve"> </w:t>
      </w:r>
      <w:r w:rsidR="0034160E" w:rsidRPr="007B363B">
        <w:rPr>
          <w:rFonts w:ascii="Garamond" w:hAnsi="Garamond"/>
          <w:sz w:val="16"/>
          <w:szCs w:val="16"/>
        </w:rPr>
        <w:t xml:space="preserve">Isidore of Seville </w:t>
      </w:r>
      <w:proofErr w:type="spellStart"/>
      <w:r w:rsidR="0034160E" w:rsidRPr="007B363B">
        <w:rPr>
          <w:rFonts w:ascii="Garamond" w:hAnsi="Garamond"/>
          <w:sz w:val="16"/>
          <w:szCs w:val="16"/>
        </w:rPr>
        <w:t>C</w:t>
      </w:r>
      <w:r w:rsidRPr="007B363B">
        <w:rPr>
          <w:rFonts w:ascii="Garamond" w:hAnsi="Garamond"/>
          <w:sz w:val="16"/>
          <w:szCs w:val="16"/>
        </w:rPr>
        <w:t>it</w:t>
      </w:r>
      <w:proofErr w:type="spellEnd"/>
      <w:r w:rsidR="0034160E" w:rsidRPr="007B363B">
        <w:rPr>
          <w:rFonts w:ascii="Garamond" w:hAnsi="Garamond"/>
          <w:sz w:val="16"/>
          <w:szCs w:val="16"/>
        </w:rPr>
        <w:t xml:space="preserve"> in Brady et al, p.276.</w:t>
      </w:r>
    </w:p>
  </w:footnote>
  <w:footnote w:id="20">
    <w:p w14:paraId="5D14D4ED" w14:textId="6B6DA183" w:rsidR="00BD557E" w:rsidRPr="00BD557E" w:rsidRDefault="00BD557E">
      <w:pPr>
        <w:pStyle w:val="Textodenotaderodap"/>
      </w:pPr>
      <w:r>
        <w:rPr>
          <w:rStyle w:val="Refdenotaderodap"/>
        </w:rPr>
        <w:footnoteRef/>
      </w:r>
      <w:r>
        <w:t xml:space="preserve"> Vitruvius p. </w:t>
      </w:r>
      <w:r w:rsidRPr="00751BED">
        <w:rPr>
          <w:rFonts w:ascii="Garamond" w:hAnsi="Garamond"/>
        </w:rPr>
        <w:t>(116)</w:t>
      </w:r>
    </w:p>
  </w:footnote>
  <w:footnote w:id="21">
    <w:p w14:paraId="64B0CBF6" w14:textId="77777777" w:rsidR="00F16217" w:rsidRPr="00C4505F" w:rsidRDefault="00F16217" w:rsidP="00F16217">
      <w:pPr>
        <w:pStyle w:val="Textodenotaderodap"/>
        <w:jc w:val="both"/>
        <w:rPr>
          <w:rFonts w:ascii="Garamond" w:hAnsi="Garamond"/>
          <w:sz w:val="18"/>
          <w:szCs w:val="18"/>
        </w:rPr>
      </w:pPr>
      <w:r w:rsidRPr="00C4505F">
        <w:rPr>
          <w:rStyle w:val="Refdenotaderodap"/>
          <w:rFonts w:ascii="Garamond" w:hAnsi="Garamond"/>
          <w:sz w:val="18"/>
          <w:szCs w:val="18"/>
        </w:rPr>
        <w:footnoteRef/>
      </w:r>
      <w:r w:rsidRPr="00C4505F">
        <w:rPr>
          <w:rFonts w:ascii="Garamond" w:hAnsi="Garamond"/>
          <w:sz w:val="18"/>
          <w:szCs w:val="18"/>
        </w:rPr>
        <w:t xml:space="preserve"> William Barden, Phases of the Liturgical Movement, The Furrow, Nov., 1954, Vol. 5, No. 11 (Nov., 1954), pp. 667-675</w:t>
      </w:r>
    </w:p>
  </w:footnote>
  <w:footnote w:id="22">
    <w:p w14:paraId="47E85884" w14:textId="6CB5E6BD" w:rsidR="00F9344F" w:rsidRPr="005F315A" w:rsidRDefault="00F9344F" w:rsidP="00F9344F">
      <w:pPr>
        <w:pStyle w:val="Textodenotaderodap"/>
        <w:jc w:val="both"/>
        <w:rPr>
          <w:rFonts w:ascii="Garamond" w:hAnsi="Garamond"/>
          <w:sz w:val="18"/>
          <w:szCs w:val="18"/>
        </w:rPr>
      </w:pPr>
      <w:r w:rsidRPr="00C4505F">
        <w:rPr>
          <w:rStyle w:val="Refdenotaderodap"/>
          <w:rFonts w:ascii="Garamond" w:hAnsi="Garamond"/>
          <w:sz w:val="18"/>
          <w:szCs w:val="18"/>
        </w:rPr>
        <w:footnoteRef/>
      </w:r>
      <w:r w:rsidRPr="00C4505F">
        <w:rPr>
          <w:rFonts w:ascii="Garamond" w:hAnsi="Garamond"/>
          <w:sz w:val="18"/>
          <w:szCs w:val="18"/>
        </w:rPr>
        <w:t xml:space="preserve"> Harry </w:t>
      </w:r>
      <w:r w:rsidRPr="005F315A">
        <w:rPr>
          <w:rFonts w:ascii="Garamond" w:hAnsi="Garamond"/>
          <w:sz w:val="18"/>
          <w:szCs w:val="18"/>
        </w:rPr>
        <w:t>Emerson Fosdick, Reuniting the Church, The North American Review, Vol. 197, No. 690 (May, 1913), pp. 615-628</w:t>
      </w:r>
    </w:p>
  </w:footnote>
  <w:footnote w:id="23">
    <w:p w14:paraId="781FEFAD" w14:textId="77777777" w:rsidR="00E0739B" w:rsidRPr="005F315A" w:rsidRDefault="00E0739B" w:rsidP="00E0739B">
      <w:pPr>
        <w:pStyle w:val="Textodenotaderodap"/>
        <w:jc w:val="both"/>
        <w:rPr>
          <w:rFonts w:ascii="Garamond" w:hAnsi="Garamond"/>
          <w:sz w:val="18"/>
          <w:szCs w:val="18"/>
        </w:rPr>
      </w:pPr>
      <w:r w:rsidRPr="005F315A">
        <w:rPr>
          <w:rStyle w:val="Refdenotaderodap"/>
          <w:rFonts w:ascii="Garamond" w:hAnsi="Garamond"/>
          <w:sz w:val="18"/>
          <w:szCs w:val="18"/>
        </w:rPr>
        <w:footnoteRef/>
      </w:r>
      <w:r w:rsidRPr="005F315A">
        <w:rPr>
          <w:rFonts w:ascii="Garamond" w:hAnsi="Garamond"/>
          <w:sz w:val="18"/>
          <w:szCs w:val="18"/>
        </w:rPr>
        <w:t xml:space="preserve"> Roland </w:t>
      </w:r>
      <w:proofErr w:type="spellStart"/>
      <w:r w:rsidRPr="005F315A">
        <w:rPr>
          <w:rFonts w:ascii="Garamond" w:hAnsi="Garamond"/>
          <w:sz w:val="18"/>
          <w:szCs w:val="18"/>
        </w:rPr>
        <w:t>Millare</w:t>
      </w:r>
      <w:proofErr w:type="spellEnd"/>
      <w:r w:rsidRPr="005F315A">
        <w:rPr>
          <w:rFonts w:ascii="Garamond" w:hAnsi="Garamond"/>
          <w:sz w:val="18"/>
          <w:szCs w:val="18"/>
        </w:rPr>
        <w:t xml:space="preserve">, The Spirit of the Liturgical Movement. A Benedictine Renewal of Culture, Logos </w:t>
      </w:r>
      <w:proofErr w:type="gramStart"/>
      <w:r w:rsidRPr="005F315A">
        <w:rPr>
          <w:rFonts w:ascii="Garamond" w:hAnsi="Garamond"/>
          <w:sz w:val="18"/>
          <w:szCs w:val="18"/>
        </w:rPr>
        <w:t>17 :</w:t>
      </w:r>
      <w:proofErr w:type="gramEnd"/>
      <w:r w:rsidRPr="005F315A">
        <w:rPr>
          <w:rFonts w:ascii="Garamond" w:hAnsi="Garamond"/>
          <w:sz w:val="18"/>
          <w:szCs w:val="18"/>
        </w:rPr>
        <w:t xml:space="preserve"> 4, 2014, pp.130-154 </w:t>
      </w:r>
    </w:p>
  </w:footnote>
  <w:footnote w:id="24">
    <w:p w14:paraId="14D9D959" w14:textId="0788F7CE" w:rsidR="000D3C0A" w:rsidRPr="005F315A" w:rsidRDefault="000D3C0A" w:rsidP="0010214D">
      <w:pPr>
        <w:pStyle w:val="Textodenotaderodap"/>
        <w:jc w:val="both"/>
        <w:rPr>
          <w:rFonts w:ascii="Garamond" w:hAnsi="Garamond"/>
          <w:sz w:val="18"/>
          <w:szCs w:val="18"/>
        </w:rPr>
      </w:pPr>
      <w:r w:rsidRPr="005F315A">
        <w:rPr>
          <w:rStyle w:val="Refdenotaderodap"/>
          <w:rFonts w:ascii="Garamond" w:hAnsi="Garamond"/>
          <w:sz w:val="18"/>
          <w:szCs w:val="18"/>
        </w:rPr>
        <w:footnoteRef/>
      </w:r>
      <w:r w:rsidRPr="005F315A">
        <w:rPr>
          <w:rFonts w:ascii="Garamond" w:hAnsi="Garamond"/>
          <w:sz w:val="18"/>
          <w:szCs w:val="18"/>
        </w:rPr>
        <w:t xml:space="preserve"> </w:t>
      </w:r>
      <w:proofErr w:type="spellStart"/>
      <w:r w:rsidRPr="005F315A">
        <w:rPr>
          <w:rFonts w:ascii="Garamond" w:hAnsi="Garamond"/>
          <w:sz w:val="18"/>
          <w:szCs w:val="18"/>
        </w:rPr>
        <w:t>Cit</w:t>
      </w:r>
      <w:proofErr w:type="spellEnd"/>
      <w:r w:rsidRPr="005F315A">
        <w:rPr>
          <w:rFonts w:ascii="Garamond" w:hAnsi="Garamond"/>
          <w:sz w:val="18"/>
          <w:szCs w:val="18"/>
        </w:rPr>
        <w:t xml:space="preserve"> in</w:t>
      </w:r>
      <w:r w:rsidR="00DD03ED" w:rsidRPr="005F315A">
        <w:rPr>
          <w:rFonts w:ascii="Garamond" w:hAnsi="Garamond"/>
          <w:sz w:val="18"/>
          <w:szCs w:val="18"/>
        </w:rPr>
        <w:t xml:space="preserve"> </w:t>
      </w:r>
      <w:r w:rsidRPr="005F315A">
        <w:rPr>
          <w:rFonts w:ascii="Garamond" w:hAnsi="Garamond"/>
          <w:sz w:val="18"/>
          <w:szCs w:val="18"/>
        </w:rPr>
        <w:t xml:space="preserve">Anne-Françoise Morel and Stephanie Van </w:t>
      </w:r>
      <w:r w:rsidR="00DD03ED" w:rsidRPr="005F315A">
        <w:rPr>
          <w:rFonts w:ascii="Garamond" w:hAnsi="Garamond"/>
          <w:sz w:val="18"/>
          <w:szCs w:val="18"/>
        </w:rPr>
        <w:t xml:space="preserve">de </w:t>
      </w:r>
      <w:proofErr w:type="spellStart"/>
      <w:r w:rsidRPr="005F315A">
        <w:rPr>
          <w:rFonts w:ascii="Garamond" w:hAnsi="Garamond"/>
          <w:sz w:val="18"/>
          <w:szCs w:val="18"/>
        </w:rPr>
        <w:t>Voorde</w:t>
      </w:r>
      <w:proofErr w:type="spellEnd"/>
      <w:r w:rsidRPr="005F315A">
        <w:rPr>
          <w:rFonts w:ascii="Garamond" w:hAnsi="Garamond"/>
          <w:sz w:val="18"/>
          <w:szCs w:val="18"/>
        </w:rPr>
        <w:t xml:space="preserve">, Rethinking the Twentieth-Century Catholic Church in Belgium: </w:t>
      </w:r>
      <w:proofErr w:type="gramStart"/>
      <w:r w:rsidRPr="005F315A">
        <w:rPr>
          <w:rFonts w:ascii="Garamond" w:hAnsi="Garamond"/>
          <w:sz w:val="18"/>
          <w:szCs w:val="18"/>
        </w:rPr>
        <w:t>the</w:t>
      </w:r>
      <w:proofErr w:type="gramEnd"/>
      <w:r w:rsidRPr="005F315A">
        <w:rPr>
          <w:rFonts w:ascii="Garamond" w:hAnsi="Garamond"/>
          <w:sz w:val="18"/>
          <w:szCs w:val="18"/>
        </w:rPr>
        <w:t xml:space="preserve"> Inter-Relationship Between Liturgy and Architecture, </w:t>
      </w:r>
      <w:r w:rsidRPr="005F315A">
        <w:rPr>
          <w:rFonts w:ascii="Garamond" w:hAnsi="Garamond"/>
          <w:i/>
          <w:iCs/>
          <w:sz w:val="18"/>
          <w:szCs w:val="18"/>
        </w:rPr>
        <w:t>Architectural History</w:t>
      </w:r>
      <w:r w:rsidRPr="005F315A">
        <w:rPr>
          <w:rFonts w:ascii="Garamond" w:hAnsi="Garamond"/>
          <w:sz w:val="18"/>
          <w:szCs w:val="18"/>
        </w:rPr>
        <w:t xml:space="preserve">, </w:t>
      </w:r>
      <w:r w:rsidRPr="005F315A">
        <w:rPr>
          <w:rFonts w:ascii="Garamond" w:hAnsi="Garamond"/>
          <w:color w:val="FF0000"/>
          <w:sz w:val="18"/>
          <w:szCs w:val="18"/>
        </w:rPr>
        <w:t>2012</w:t>
      </w:r>
      <w:r w:rsidRPr="005F315A">
        <w:rPr>
          <w:rFonts w:ascii="Garamond" w:hAnsi="Garamond"/>
          <w:sz w:val="18"/>
          <w:szCs w:val="18"/>
        </w:rPr>
        <w:t>, Vol. 55 (</w:t>
      </w:r>
      <w:r w:rsidRPr="005F315A">
        <w:rPr>
          <w:rFonts w:ascii="Garamond" w:hAnsi="Garamond"/>
          <w:color w:val="FF0000"/>
          <w:sz w:val="18"/>
          <w:szCs w:val="18"/>
        </w:rPr>
        <w:t>2012</w:t>
      </w:r>
      <w:r w:rsidRPr="005F315A">
        <w:rPr>
          <w:rFonts w:ascii="Garamond" w:hAnsi="Garamond"/>
          <w:sz w:val="18"/>
          <w:szCs w:val="18"/>
        </w:rPr>
        <w:t>), pp. 269-297, p.270</w:t>
      </w:r>
    </w:p>
  </w:footnote>
  <w:footnote w:id="25">
    <w:p w14:paraId="50CBF224" w14:textId="77777777" w:rsidR="005E2431" w:rsidRPr="0010214D" w:rsidRDefault="005E2431" w:rsidP="005E2431">
      <w:pPr>
        <w:pStyle w:val="Textodenotaderodap"/>
        <w:jc w:val="both"/>
        <w:rPr>
          <w:rFonts w:ascii="Garamond" w:hAnsi="Garamond"/>
          <w:sz w:val="18"/>
          <w:szCs w:val="18"/>
        </w:rPr>
      </w:pPr>
      <w:r w:rsidRPr="005F315A">
        <w:rPr>
          <w:rStyle w:val="Refdenotaderodap"/>
          <w:rFonts w:ascii="Garamond" w:hAnsi="Garamond"/>
          <w:sz w:val="18"/>
          <w:szCs w:val="18"/>
        </w:rPr>
        <w:footnoteRef/>
      </w:r>
      <w:r w:rsidRPr="005F315A">
        <w:rPr>
          <w:rFonts w:ascii="Garamond" w:hAnsi="Garamond"/>
          <w:sz w:val="18"/>
          <w:szCs w:val="18"/>
        </w:rPr>
        <w:t xml:space="preserve"> Le Corbusier. Towards a New Architecture. Translated by Frederick </w:t>
      </w:r>
      <w:proofErr w:type="spellStart"/>
      <w:r w:rsidRPr="005F315A">
        <w:rPr>
          <w:rFonts w:ascii="Garamond" w:hAnsi="Garamond"/>
          <w:sz w:val="18"/>
          <w:szCs w:val="18"/>
        </w:rPr>
        <w:t>Etchells</w:t>
      </w:r>
      <w:proofErr w:type="spellEnd"/>
      <w:r w:rsidRPr="005F315A">
        <w:rPr>
          <w:rFonts w:ascii="Garamond" w:hAnsi="Garamond"/>
          <w:sz w:val="18"/>
          <w:szCs w:val="18"/>
        </w:rPr>
        <w:t xml:space="preserve">. London: J. </w:t>
      </w:r>
      <w:proofErr w:type="spellStart"/>
      <w:r w:rsidRPr="005F315A">
        <w:rPr>
          <w:rFonts w:ascii="Garamond" w:hAnsi="Garamond"/>
          <w:sz w:val="18"/>
          <w:szCs w:val="18"/>
        </w:rPr>
        <w:t>Rodker</w:t>
      </w:r>
      <w:proofErr w:type="spellEnd"/>
      <w:r w:rsidRPr="005F315A">
        <w:rPr>
          <w:rFonts w:ascii="Garamond" w:hAnsi="Garamond"/>
          <w:sz w:val="18"/>
          <w:szCs w:val="18"/>
        </w:rPr>
        <w:t>, 1931. Reprint New York: Dover Publications, 1986. P. 93</w:t>
      </w:r>
    </w:p>
  </w:footnote>
  <w:footnote w:id="26">
    <w:p w14:paraId="73AC7B49" w14:textId="0656C720" w:rsidR="00FB10B0" w:rsidRPr="00AB637B" w:rsidRDefault="00FB10B0" w:rsidP="004826E9">
      <w:pPr>
        <w:pStyle w:val="Textodenotaderodap"/>
        <w:jc w:val="both"/>
        <w:rPr>
          <w:rFonts w:ascii="Garamond" w:hAnsi="Garamond"/>
        </w:rPr>
      </w:pPr>
      <w:r w:rsidRPr="00AB637B">
        <w:rPr>
          <w:rStyle w:val="Refdenotaderodap"/>
          <w:rFonts w:ascii="Garamond" w:hAnsi="Garamond"/>
        </w:rPr>
        <w:footnoteRef/>
      </w:r>
      <w:r w:rsidRPr="00AB637B">
        <w:rPr>
          <w:rFonts w:ascii="Garamond" w:hAnsi="Garamond"/>
        </w:rPr>
        <w:t xml:space="preserve"> https://www.catholicculture.org/culture/library/dictionary/index.cfm?id=31748</w:t>
      </w:r>
    </w:p>
  </w:footnote>
  <w:footnote w:id="27">
    <w:p w14:paraId="4074B0C3" w14:textId="77777777" w:rsidR="00F805D7" w:rsidRPr="00AB637B" w:rsidRDefault="00F805D7" w:rsidP="00F805D7">
      <w:pPr>
        <w:pStyle w:val="Textodenotaderodap"/>
        <w:rPr>
          <w:rFonts w:ascii="Garamond" w:hAnsi="Garamond"/>
        </w:rPr>
      </w:pPr>
      <w:r w:rsidRPr="00AB637B">
        <w:rPr>
          <w:rStyle w:val="Refdenotaderodap"/>
          <w:rFonts w:ascii="Garamond" w:hAnsi="Garamond"/>
        </w:rPr>
        <w:footnoteRef/>
      </w:r>
      <w:r w:rsidRPr="00AB637B">
        <w:rPr>
          <w:rFonts w:ascii="Garamond" w:hAnsi="Garamond"/>
        </w:rPr>
        <w:t xml:space="preserve"> Le Corbusier, Towards, p.5</w:t>
      </w:r>
    </w:p>
  </w:footnote>
  <w:footnote w:id="28">
    <w:p w14:paraId="50513F6F" w14:textId="77777777" w:rsidR="001D1209" w:rsidRPr="004826E9" w:rsidRDefault="001D1209" w:rsidP="001D1209">
      <w:pPr>
        <w:pStyle w:val="Textodenotaderodap"/>
        <w:jc w:val="both"/>
        <w:rPr>
          <w:rFonts w:ascii="Garamond" w:hAnsi="Garamond"/>
        </w:rPr>
      </w:pPr>
      <w:r w:rsidRPr="004826E9">
        <w:rPr>
          <w:rStyle w:val="Refdenotaderodap"/>
          <w:rFonts w:ascii="Garamond" w:hAnsi="Garamond"/>
        </w:rPr>
        <w:footnoteRef/>
      </w:r>
      <w:r w:rsidRPr="004826E9">
        <w:rPr>
          <w:rFonts w:ascii="Garamond" w:hAnsi="Garamond"/>
        </w:rPr>
        <w:t xml:space="preserve"> Le Corbusier</w:t>
      </w:r>
      <w:r>
        <w:rPr>
          <w:rFonts w:ascii="Garamond" w:hAnsi="Garamond"/>
        </w:rPr>
        <w:t>,</w:t>
      </w:r>
      <w:r w:rsidRPr="004826E9">
        <w:rPr>
          <w:rFonts w:ascii="Garamond" w:hAnsi="Garamond"/>
        </w:rPr>
        <w:t xml:space="preserve"> the Athens Charter (New York, Grossman, 1973) Trans. Anthony Eardley, p.64</w:t>
      </w:r>
    </w:p>
  </w:footnote>
  <w:footnote w:id="29">
    <w:p w14:paraId="6CA89D2F" w14:textId="77777777" w:rsidR="00A93409" w:rsidRPr="00910772" w:rsidRDefault="00A93409" w:rsidP="00A93409">
      <w:pPr>
        <w:pStyle w:val="Textodenotaderodap"/>
        <w:jc w:val="both"/>
        <w:rPr>
          <w:rFonts w:ascii="Garamond" w:hAnsi="Garamond"/>
        </w:rPr>
      </w:pPr>
      <w:r w:rsidRPr="00910772">
        <w:rPr>
          <w:rStyle w:val="Refdenotaderodap"/>
          <w:rFonts w:ascii="Garamond" w:hAnsi="Garamond"/>
        </w:rPr>
        <w:footnoteRef/>
      </w:r>
      <w:r w:rsidRPr="00910772">
        <w:rPr>
          <w:rFonts w:ascii="Garamond" w:hAnsi="Garamond"/>
        </w:rPr>
        <w:t xml:space="preserve"> Clive L. N. Ruggles, ‘Basic Concepts of Positional Astronomy’, in </w:t>
      </w:r>
      <w:r w:rsidRPr="00910772">
        <w:rPr>
          <w:rFonts w:ascii="Garamond" w:hAnsi="Garamond"/>
          <w:i/>
          <w:iCs/>
        </w:rPr>
        <w:t xml:space="preserve">Handbook of </w:t>
      </w:r>
      <w:proofErr w:type="spellStart"/>
      <w:r w:rsidRPr="00910772">
        <w:rPr>
          <w:rFonts w:ascii="Garamond" w:hAnsi="Garamond"/>
          <w:i/>
          <w:iCs/>
        </w:rPr>
        <w:t>Archaeoastronomy</w:t>
      </w:r>
      <w:proofErr w:type="spellEnd"/>
      <w:r w:rsidRPr="00910772">
        <w:rPr>
          <w:rFonts w:ascii="Garamond" w:hAnsi="Garamond"/>
          <w:i/>
          <w:iCs/>
        </w:rPr>
        <w:t xml:space="preserve"> and Ethnoastronomy</w:t>
      </w:r>
      <w:r w:rsidRPr="00910772">
        <w:rPr>
          <w:rFonts w:ascii="Garamond" w:hAnsi="Garamond"/>
        </w:rPr>
        <w:t xml:space="preserve">, ed. by Clive </w:t>
      </w:r>
      <w:proofErr w:type="spellStart"/>
      <w:r w:rsidRPr="00910772">
        <w:rPr>
          <w:rFonts w:ascii="Garamond" w:hAnsi="Garamond"/>
        </w:rPr>
        <w:t>L.N</w:t>
      </w:r>
      <w:proofErr w:type="spellEnd"/>
      <w:r w:rsidRPr="00910772">
        <w:rPr>
          <w:rFonts w:ascii="Garamond" w:hAnsi="Garamond"/>
        </w:rPr>
        <w:t>. Ruggles (Springer, New York, 2015), p. 460</w:t>
      </w:r>
    </w:p>
  </w:footnote>
  <w:footnote w:id="30">
    <w:p w14:paraId="1BA2FCDD" w14:textId="77777777" w:rsidR="00A93409" w:rsidRPr="00EA4A7E" w:rsidRDefault="00A93409" w:rsidP="00A93409">
      <w:pPr>
        <w:pStyle w:val="Textodenotaderodap"/>
        <w:jc w:val="both"/>
        <w:rPr>
          <w:rFonts w:ascii="Garamond" w:hAnsi="Garamond"/>
          <w:sz w:val="18"/>
          <w:szCs w:val="18"/>
        </w:rPr>
      </w:pPr>
      <w:r w:rsidRPr="00EA4A7E">
        <w:rPr>
          <w:rStyle w:val="Refdenotaderodap"/>
          <w:rFonts w:ascii="Garamond" w:hAnsi="Garamond"/>
          <w:sz w:val="18"/>
          <w:szCs w:val="18"/>
        </w:rPr>
        <w:footnoteRef/>
      </w:r>
      <w:r w:rsidRPr="00EA4A7E">
        <w:rPr>
          <w:rFonts w:ascii="Garamond" w:hAnsi="Garamond"/>
          <w:sz w:val="18"/>
          <w:szCs w:val="18"/>
        </w:rPr>
        <w:t xml:space="preserve"> Stephen C. McCluskey, Orientation of Christian Churches, p. 1709</w:t>
      </w:r>
    </w:p>
  </w:footnote>
  <w:footnote w:id="31">
    <w:p w14:paraId="56CB71FE" w14:textId="77777777" w:rsidR="00A93409" w:rsidRPr="00EA4A7E" w:rsidRDefault="00A93409" w:rsidP="00A93409">
      <w:pPr>
        <w:pStyle w:val="Textodenotaderodap"/>
        <w:jc w:val="both"/>
        <w:rPr>
          <w:rFonts w:ascii="Garamond" w:hAnsi="Garamond"/>
          <w:sz w:val="18"/>
          <w:szCs w:val="18"/>
        </w:rPr>
      </w:pPr>
      <w:r w:rsidRPr="00EA4A7E">
        <w:rPr>
          <w:rStyle w:val="Refdenotaderodap"/>
          <w:rFonts w:ascii="Garamond" w:hAnsi="Garamond"/>
          <w:sz w:val="18"/>
          <w:szCs w:val="18"/>
        </w:rPr>
        <w:footnoteRef/>
      </w:r>
      <w:r w:rsidRPr="00EA4A7E">
        <w:rPr>
          <w:rFonts w:ascii="Garamond" w:hAnsi="Garamond"/>
          <w:sz w:val="18"/>
          <w:szCs w:val="18"/>
        </w:rPr>
        <w:t xml:space="preserve"> Martyn Denscombe</w:t>
      </w:r>
      <w:r w:rsidRPr="00EA4A7E">
        <w:rPr>
          <w:rStyle w:val="fontstyle01"/>
          <w:rFonts w:ascii="Garamond" w:hAnsi="Garamond"/>
          <w:sz w:val="18"/>
          <w:szCs w:val="18"/>
        </w:rPr>
        <w:t xml:space="preserve">, </w:t>
      </w:r>
      <w:r w:rsidRPr="00EA4A7E">
        <w:rPr>
          <w:rStyle w:val="fontstyle01"/>
          <w:rFonts w:ascii="Garamond" w:hAnsi="Garamond"/>
          <w:i/>
          <w:iCs/>
          <w:sz w:val="18"/>
          <w:szCs w:val="18"/>
        </w:rPr>
        <w:t>The Good Research Guide, f</w:t>
      </w:r>
      <w:r w:rsidRPr="00EA4A7E">
        <w:rPr>
          <w:rStyle w:val="fontstyle21"/>
          <w:rFonts w:ascii="Garamond" w:hAnsi="Garamond"/>
          <w:i/>
          <w:iCs/>
          <w:sz w:val="18"/>
          <w:szCs w:val="18"/>
        </w:rPr>
        <w:t>or small-scale social research projects</w:t>
      </w:r>
      <w:r w:rsidRPr="00EA4A7E">
        <w:rPr>
          <w:rFonts w:ascii="Garamond" w:hAnsi="Garamond"/>
          <w:sz w:val="18"/>
          <w:szCs w:val="18"/>
        </w:rPr>
        <w:t xml:space="preserve"> (Berkshire/England, Open University Press, 2010)</w:t>
      </w:r>
      <w:r>
        <w:rPr>
          <w:rFonts w:ascii="Garamond" w:hAnsi="Garamond"/>
          <w:sz w:val="18"/>
          <w:szCs w:val="18"/>
        </w:rPr>
        <w:t>, pp. 52-64 [‘</w:t>
      </w:r>
      <w:r w:rsidRPr="00EA4A7E">
        <w:rPr>
          <w:rFonts w:ascii="Garamond" w:hAnsi="Garamond"/>
          <w:sz w:val="18"/>
          <w:szCs w:val="18"/>
        </w:rPr>
        <w:t>Case Studies</w:t>
      </w:r>
      <w:r>
        <w:rPr>
          <w:rFonts w:ascii="Garamond" w:hAnsi="Garamond"/>
          <w:sz w:val="18"/>
          <w:szCs w:val="18"/>
        </w:rPr>
        <w:t>’]</w:t>
      </w:r>
    </w:p>
  </w:footnote>
  <w:footnote w:id="32">
    <w:p w14:paraId="3830A317" w14:textId="29B02AFE" w:rsidR="00A93409" w:rsidRPr="00EC37EF" w:rsidRDefault="00A93409" w:rsidP="00A93409">
      <w:pPr>
        <w:pStyle w:val="Textodenotaderodap"/>
        <w:jc w:val="both"/>
        <w:rPr>
          <w:rFonts w:ascii="Garamond" w:hAnsi="Garamond"/>
        </w:rPr>
      </w:pPr>
      <w:r w:rsidRPr="00567FF3">
        <w:rPr>
          <w:rStyle w:val="Refdenotaderodap"/>
          <w:rFonts w:ascii="Garamond" w:hAnsi="Garamond"/>
        </w:rPr>
        <w:footnoteRef/>
      </w:r>
      <w:r w:rsidRPr="00567FF3">
        <w:rPr>
          <w:rFonts w:ascii="Garamond" w:hAnsi="Garamond"/>
        </w:rPr>
        <w:t xml:space="preserve"> Clive Ruggles, ‘Basic Concepts of Positional Astronomy’, in </w:t>
      </w:r>
      <w:r w:rsidRPr="00567FF3">
        <w:rPr>
          <w:rFonts w:ascii="Garamond" w:hAnsi="Garamond"/>
          <w:i/>
          <w:iCs/>
        </w:rPr>
        <w:t xml:space="preserve">Handbook of </w:t>
      </w:r>
      <w:proofErr w:type="spellStart"/>
      <w:r w:rsidRPr="00567FF3">
        <w:rPr>
          <w:rFonts w:ascii="Garamond" w:hAnsi="Garamond"/>
          <w:i/>
          <w:iCs/>
        </w:rPr>
        <w:t>Archaeoastronomy</w:t>
      </w:r>
      <w:proofErr w:type="spellEnd"/>
      <w:r w:rsidRPr="00567FF3">
        <w:rPr>
          <w:rFonts w:ascii="Garamond" w:hAnsi="Garamond"/>
          <w:i/>
          <w:iCs/>
        </w:rPr>
        <w:t xml:space="preserve"> and Ethnoastronomy</w:t>
      </w:r>
      <w:r w:rsidRPr="00567FF3">
        <w:rPr>
          <w:rFonts w:ascii="Garamond" w:hAnsi="Garamond"/>
        </w:rPr>
        <w:t xml:space="preserve">, ed. by Clive </w:t>
      </w:r>
      <w:proofErr w:type="spellStart"/>
      <w:r w:rsidRPr="00567FF3">
        <w:rPr>
          <w:rFonts w:ascii="Garamond" w:hAnsi="Garamond"/>
        </w:rPr>
        <w:t>L.N</w:t>
      </w:r>
      <w:proofErr w:type="spellEnd"/>
      <w:r w:rsidRPr="00EC37EF">
        <w:rPr>
          <w:rFonts w:ascii="Garamond" w:hAnsi="Garamond"/>
        </w:rPr>
        <w:t>. Ruggles (Springer, New York, 2015), pp. 459-471</w:t>
      </w:r>
      <w:r w:rsidR="00EC37EF" w:rsidRPr="00EC37EF">
        <w:rPr>
          <w:rFonts w:ascii="Garamond" w:hAnsi="Garamond"/>
        </w:rPr>
        <w:t>.</w:t>
      </w:r>
    </w:p>
  </w:footnote>
  <w:footnote w:id="33">
    <w:p w14:paraId="3CED7568" w14:textId="77777777" w:rsidR="00A93409" w:rsidRPr="00EC37EF" w:rsidRDefault="00A93409" w:rsidP="00A93409">
      <w:pPr>
        <w:pStyle w:val="Textodenotaderodap"/>
        <w:jc w:val="both"/>
        <w:rPr>
          <w:rFonts w:ascii="Garamond" w:hAnsi="Garamond"/>
          <w:lang w:val="it-IT"/>
        </w:rPr>
      </w:pPr>
      <w:r w:rsidRPr="00EC37EF">
        <w:rPr>
          <w:rStyle w:val="Refdenotaderodap"/>
          <w:rFonts w:ascii="Garamond" w:hAnsi="Garamond"/>
        </w:rPr>
        <w:footnoteRef/>
      </w:r>
      <w:r w:rsidRPr="00EC37EF">
        <w:rPr>
          <w:rFonts w:ascii="Garamond" w:hAnsi="Garamond"/>
          <w:lang w:val="it-IT"/>
        </w:rPr>
        <w:t xml:space="preserve"> </w:t>
      </w:r>
      <w:r w:rsidRPr="00EC37EF">
        <w:rPr>
          <w:rFonts w:ascii="Garamond" w:hAnsi="Garamond"/>
          <w:lang w:val="it-IT"/>
        </w:rPr>
        <w:t>Hoare (p.1714), e de Spinazzè, p???</w:t>
      </w:r>
    </w:p>
  </w:footnote>
  <w:footnote w:id="34">
    <w:p w14:paraId="7CBDFEA1" w14:textId="77777777" w:rsidR="00A93409" w:rsidRPr="00567FF3" w:rsidRDefault="00A93409" w:rsidP="00A93409">
      <w:pPr>
        <w:pStyle w:val="Textodenotaderodap"/>
        <w:jc w:val="both"/>
        <w:rPr>
          <w:rFonts w:ascii="Garamond" w:hAnsi="Garamond"/>
        </w:rPr>
      </w:pPr>
      <w:r w:rsidRPr="00EC37EF">
        <w:rPr>
          <w:rStyle w:val="Refdenotaderodap"/>
          <w:rFonts w:ascii="Garamond" w:hAnsi="Garamond"/>
        </w:rPr>
        <w:footnoteRef/>
      </w:r>
      <w:r w:rsidRPr="00EC37EF">
        <w:rPr>
          <w:rFonts w:ascii="Garamond" w:hAnsi="Garamond"/>
        </w:rPr>
        <w:t xml:space="preserve"> Ruggles p.466</w:t>
      </w:r>
    </w:p>
  </w:footnote>
  <w:footnote w:id="35">
    <w:p w14:paraId="1FDE5D40" w14:textId="77777777" w:rsidR="00A93409" w:rsidRPr="00EC37EF" w:rsidRDefault="00A93409" w:rsidP="00A93409">
      <w:pPr>
        <w:pStyle w:val="Textodenotaderodap"/>
        <w:jc w:val="both"/>
        <w:rPr>
          <w:rFonts w:ascii="Garamond" w:hAnsi="Garamond"/>
        </w:rPr>
      </w:pPr>
      <w:r w:rsidRPr="00EC37EF">
        <w:rPr>
          <w:rStyle w:val="Refdenotaderodap"/>
          <w:rFonts w:ascii="Garamond" w:hAnsi="Garamond"/>
        </w:rPr>
        <w:footnoteRef/>
      </w:r>
      <w:r w:rsidRPr="00EC37EF">
        <w:rPr>
          <w:rFonts w:ascii="Garamond" w:hAnsi="Garamond"/>
        </w:rPr>
        <w:t xml:space="preserve"> </w:t>
      </w:r>
    </w:p>
  </w:footnote>
  <w:footnote w:id="36">
    <w:p w14:paraId="30AC3658" w14:textId="77777777" w:rsidR="00A93409" w:rsidRPr="00EC37EF" w:rsidRDefault="00A93409" w:rsidP="00A93409">
      <w:pPr>
        <w:pStyle w:val="Textodenotaderodap"/>
        <w:jc w:val="both"/>
        <w:rPr>
          <w:rFonts w:ascii="Garamond" w:hAnsi="Garamond"/>
        </w:rPr>
      </w:pPr>
      <w:r w:rsidRPr="00EC37EF">
        <w:rPr>
          <w:rStyle w:val="Refdenotaderodap"/>
          <w:rFonts w:ascii="Garamond" w:hAnsi="Garamond"/>
        </w:rPr>
        <w:footnoteRef/>
      </w:r>
      <w:r w:rsidRPr="00EC37EF">
        <w:rPr>
          <w:rFonts w:ascii="Garamond" w:hAnsi="Garamond"/>
        </w:rPr>
        <w:t xml:space="preserve"> Belmonte, p.486</w:t>
      </w:r>
    </w:p>
  </w:footnote>
  <w:footnote w:id="37">
    <w:p w14:paraId="59AD9C7E" w14:textId="77777777" w:rsidR="00A93409" w:rsidRPr="00567FF3" w:rsidRDefault="00A93409" w:rsidP="00A93409">
      <w:pPr>
        <w:pStyle w:val="Textodenotaderodap"/>
        <w:jc w:val="both"/>
        <w:rPr>
          <w:rFonts w:ascii="Garamond" w:hAnsi="Garamond"/>
        </w:rPr>
      </w:pPr>
      <w:r w:rsidRPr="00EC37EF">
        <w:rPr>
          <w:rStyle w:val="Refdenotaderodap"/>
          <w:rFonts w:ascii="Garamond" w:hAnsi="Garamond"/>
        </w:rPr>
        <w:footnoteRef/>
      </w:r>
      <w:r w:rsidRPr="00EC37EF">
        <w:rPr>
          <w:rFonts w:ascii="Garamond" w:hAnsi="Garamond"/>
        </w:rPr>
        <w:t xml:space="preserve"> McCluskey, p.1708.</w:t>
      </w:r>
      <w:r w:rsidRPr="00567FF3">
        <w:rPr>
          <w:rFonts w:ascii="Garamond" w:hAnsi="Garamond"/>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2DB82406"/>
    <w:multiLevelType w:val="hybridMultilevel"/>
    <w:tmpl w:val="4524CA4C"/>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7920CF7"/>
    <w:multiLevelType w:val="hybridMultilevel"/>
    <w:tmpl w:val="DB3880A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10"/>
  </w:num>
  <w:num w:numId="4">
    <w:abstractNumId w:val="6"/>
  </w:num>
  <w:num w:numId="5">
    <w:abstractNumId w:val="2"/>
  </w:num>
  <w:num w:numId="6">
    <w:abstractNumId w:val="4"/>
  </w:num>
  <w:num w:numId="7">
    <w:abstractNumId w:val="14"/>
  </w:num>
  <w:num w:numId="8">
    <w:abstractNumId w:val="23"/>
  </w:num>
  <w:num w:numId="9">
    <w:abstractNumId w:val="25"/>
  </w:num>
  <w:num w:numId="10">
    <w:abstractNumId w:val="5"/>
  </w:num>
  <w:num w:numId="11">
    <w:abstractNumId w:val="20"/>
  </w:num>
  <w:num w:numId="12">
    <w:abstractNumId w:val="24"/>
  </w:num>
  <w:num w:numId="13">
    <w:abstractNumId w:val="12"/>
  </w:num>
  <w:num w:numId="14">
    <w:abstractNumId w:val="15"/>
  </w:num>
  <w:num w:numId="15">
    <w:abstractNumId w:val="17"/>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1"/>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3"/>
  </w:num>
  <w:num w:numId="20">
    <w:abstractNumId w:val="18"/>
  </w:num>
  <w:num w:numId="21">
    <w:abstractNumId w:val="3"/>
  </w:num>
  <w:num w:numId="22">
    <w:abstractNumId w:val="8"/>
  </w:num>
  <w:num w:numId="23">
    <w:abstractNumId w:val="16"/>
  </w:num>
  <w:num w:numId="24">
    <w:abstractNumId w:val="9"/>
  </w:num>
  <w:num w:numId="25">
    <w:abstractNumId w:val="1"/>
  </w:num>
  <w:num w:numId="26">
    <w:abstractNumId w:val="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5F"/>
    <w:rsid w:val="00001C3B"/>
    <w:rsid w:val="00002147"/>
    <w:rsid w:val="000021B7"/>
    <w:rsid w:val="00004103"/>
    <w:rsid w:val="00004832"/>
    <w:rsid w:val="00010911"/>
    <w:rsid w:val="000110E4"/>
    <w:rsid w:val="00012A57"/>
    <w:rsid w:val="00013545"/>
    <w:rsid w:val="000136DF"/>
    <w:rsid w:val="00014E06"/>
    <w:rsid w:val="00015742"/>
    <w:rsid w:val="0001646F"/>
    <w:rsid w:val="00017F2C"/>
    <w:rsid w:val="00022345"/>
    <w:rsid w:val="000237EB"/>
    <w:rsid w:val="000242FC"/>
    <w:rsid w:val="00026363"/>
    <w:rsid w:val="00026558"/>
    <w:rsid w:val="00026794"/>
    <w:rsid w:val="000279D8"/>
    <w:rsid w:val="000301CA"/>
    <w:rsid w:val="00031A5D"/>
    <w:rsid w:val="00032329"/>
    <w:rsid w:val="000345F5"/>
    <w:rsid w:val="00036778"/>
    <w:rsid w:val="000373DE"/>
    <w:rsid w:val="000376A4"/>
    <w:rsid w:val="000431C3"/>
    <w:rsid w:val="00043549"/>
    <w:rsid w:val="000437B7"/>
    <w:rsid w:val="000439B0"/>
    <w:rsid w:val="0004603E"/>
    <w:rsid w:val="00046A16"/>
    <w:rsid w:val="00047074"/>
    <w:rsid w:val="000504B7"/>
    <w:rsid w:val="000507E0"/>
    <w:rsid w:val="000539CA"/>
    <w:rsid w:val="00054EA9"/>
    <w:rsid w:val="00056326"/>
    <w:rsid w:val="00060F9B"/>
    <w:rsid w:val="00061D56"/>
    <w:rsid w:val="00064E72"/>
    <w:rsid w:val="000742A5"/>
    <w:rsid w:val="00076A0B"/>
    <w:rsid w:val="00081A94"/>
    <w:rsid w:val="00082E99"/>
    <w:rsid w:val="00084A2D"/>
    <w:rsid w:val="000854DF"/>
    <w:rsid w:val="00091C17"/>
    <w:rsid w:val="00092C4C"/>
    <w:rsid w:val="0009318C"/>
    <w:rsid w:val="000A1673"/>
    <w:rsid w:val="000A6D49"/>
    <w:rsid w:val="000C027E"/>
    <w:rsid w:val="000C6E4F"/>
    <w:rsid w:val="000C7A67"/>
    <w:rsid w:val="000D037B"/>
    <w:rsid w:val="000D3A13"/>
    <w:rsid w:val="000D3C0A"/>
    <w:rsid w:val="000D3CA1"/>
    <w:rsid w:val="000D44BE"/>
    <w:rsid w:val="000D5064"/>
    <w:rsid w:val="000D7AFB"/>
    <w:rsid w:val="000E0938"/>
    <w:rsid w:val="000E3682"/>
    <w:rsid w:val="000E3751"/>
    <w:rsid w:val="000E3B58"/>
    <w:rsid w:val="000E50CB"/>
    <w:rsid w:val="000E759D"/>
    <w:rsid w:val="000E7EE6"/>
    <w:rsid w:val="000F187A"/>
    <w:rsid w:val="000F228A"/>
    <w:rsid w:val="000F2A52"/>
    <w:rsid w:val="000F65BE"/>
    <w:rsid w:val="000F77C9"/>
    <w:rsid w:val="0010199D"/>
    <w:rsid w:val="0010214D"/>
    <w:rsid w:val="00105369"/>
    <w:rsid w:val="0010707D"/>
    <w:rsid w:val="001070F2"/>
    <w:rsid w:val="0010723D"/>
    <w:rsid w:val="001106BB"/>
    <w:rsid w:val="00111283"/>
    <w:rsid w:val="0011161A"/>
    <w:rsid w:val="001133B0"/>
    <w:rsid w:val="0011776E"/>
    <w:rsid w:val="00117A7B"/>
    <w:rsid w:val="00122C86"/>
    <w:rsid w:val="00127154"/>
    <w:rsid w:val="00127E4C"/>
    <w:rsid w:val="0013130F"/>
    <w:rsid w:val="00132DDE"/>
    <w:rsid w:val="00132F44"/>
    <w:rsid w:val="001343A1"/>
    <w:rsid w:val="0013534F"/>
    <w:rsid w:val="00142F38"/>
    <w:rsid w:val="00142FCA"/>
    <w:rsid w:val="0014394F"/>
    <w:rsid w:val="00145D57"/>
    <w:rsid w:val="00147C78"/>
    <w:rsid w:val="00151139"/>
    <w:rsid w:val="00154165"/>
    <w:rsid w:val="00154B2D"/>
    <w:rsid w:val="0015785D"/>
    <w:rsid w:val="001607F9"/>
    <w:rsid w:val="00160A10"/>
    <w:rsid w:val="00162495"/>
    <w:rsid w:val="00165047"/>
    <w:rsid w:val="00172497"/>
    <w:rsid w:val="001724C9"/>
    <w:rsid w:val="00172FF4"/>
    <w:rsid w:val="001758F8"/>
    <w:rsid w:val="00176ADC"/>
    <w:rsid w:val="00176DA4"/>
    <w:rsid w:val="00177644"/>
    <w:rsid w:val="00180050"/>
    <w:rsid w:val="001821AA"/>
    <w:rsid w:val="0018374D"/>
    <w:rsid w:val="001912EB"/>
    <w:rsid w:val="00194421"/>
    <w:rsid w:val="001A2368"/>
    <w:rsid w:val="001A32A5"/>
    <w:rsid w:val="001A33F8"/>
    <w:rsid w:val="001A3E44"/>
    <w:rsid w:val="001A47B3"/>
    <w:rsid w:val="001A5BF6"/>
    <w:rsid w:val="001A5C95"/>
    <w:rsid w:val="001B072E"/>
    <w:rsid w:val="001B139C"/>
    <w:rsid w:val="001B24A0"/>
    <w:rsid w:val="001B3B7D"/>
    <w:rsid w:val="001B6759"/>
    <w:rsid w:val="001B6FF8"/>
    <w:rsid w:val="001B7689"/>
    <w:rsid w:val="001C0B52"/>
    <w:rsid w:val="001C0D1B"/>
    <w:rsid w:val="001C19EF"/>
    <w:rsid w:val="001C3DDD"/>
    <w:rsid w:val="001C3FD2"/>
    <w:rsid w:val="001C4B2D"/>
    <w:rsid w:val="001C78D1"/>
    <w:rsid w:val="001D1209"/>
    <w:rsid w:val="001D4350"/>
    <w:rsid w:val="001D5290"/>
    <w:rsid w:val="001D5329"/>
    <w:rsid w:val="001D7CF6"/>
    <w:rsid w:val="001E0E06"/>
    <w:rsid w:val="001E416B"/>
    <w:rsid w:val="001F0AE3"/>
    <w:rsid w:val="001F4CE1"/>
    <w:rsid w:val="001F5861"/>
    <w:rsid w:val="00202D0E"/>
    <w:rsid w:val="0020301C"/>
    <w:rsid w:val="002109C5"/>
    <w:rsid w:val="002132DC"/>
    <w:rsid w:val="00216211"/>
    <w:rsid w:val="00221A02"/>
    <w:rsid w:val="00224B95"/>
    <w:rsid w:val="00226925"/>
    <w:rsid w:val="00226A95"/>
    <w:rsid w:val="00227318"/>
    <w:rsid w:val="00230983"/>
    <w:rsid w:val="00230F35"/>
    <w:rsid w:val="0023166E"/>
    <w:rsid w:val="00240F48"/>
    <w:rsid w:val="002428E3"/>
    <w:rsid w:val="00245541"/>
    <w:rsid w:val="0024665B"/>
    <w:rsid w:val="002520B4"/>
    <w:rsid w:val="00253C9F"/>
    <w:rsid w:val="0025530E"/>
    <w:rsid w:val="00255518"/>
    <w:rsid w:val="00260068"/>
    <w:rsid w:val="00262123"/>
    <w:rsid w:val="00262CE7"/>
    <w:rsid w:val="0026420B"/>
    <w:rsid w:val="0026692A"/>
    <w:rsid w:val="00270F20"/>
    <w:rsid w:val="002715FA"/>
    <w:rsid w:val="00272B5D"/>
    <w:rsid w:val="00273426"/>
    <w:rsid w:val="00273832"/>
    <w:rsid w:val="00273F47"/>
    <w:rsid w:val="00274195"/>
    <w:rsid w:val="00274D41"/>
    <w:rsid w:val="00275FAA"/>
    <w:rsid w:val="00276002"/>
    <w:rsid w:val="00277421"/>
    <w:rsid w:val="00281504"/>
    <w:rsid w:val="0028223F"/>
    <w:rsid w:val="002822BA"/>
    <w:rsid w:val="00282579"/>
    <w:rsid w:val="00285864"/>
    <w:rsid w:val="00285AD0"/>
    <w:rsid w:val="00287639"/>
    <w:rsid w:val="00290783"/>
    <w:rsid w:val="0029156F"/>
    <w:rsid w:val="00293293"/>
    <w:rsid w:val="00294CA4"/>
    <w:rsid w:val="00295494"/>
    <w:rsid w:val="00297651"/>
    <w:rsid w:val="002A3E29"/>
    <w:rsid w:val="002A4954"/>
    <w:rsid w:val="002A4BC4"/>
    <w:rsid w:val="002A4F8F"/>
    <w:rsid w:val="002A51A1"/>
    <w:rsid w:val="002B160A"/>
    <w:rsid w:val="002B2392"/>
    <w:rsid w:val="002B290C"/>
    <w:rsid w:val="002B37A4"/>
    <w:rsid w:val="002B3A32"/>
    <w:rsid w:val="002B3B96"/>
    <w:rsid w:val="002B7904"/>
    <w:rsid w:val="002C0D6B"/>
    <w:rsid w:val="002C2D8F"/>
    <w:rsid w:val="002C2E52"/>
    <w:rsid w:val="002C489C"/>
    <w:rsid w:val="002C71BA"/>
    <w:rsid w:val="002D0096"/>
    <w:rsid w:val="002D0C28"/>
    <w:rsid w:val="002D2A04"/>
    <w:rsid w:val="002D2E62"/>
    <w:rsid w:val="002D45C2"/>
    <w:rsid w:val="002D64E1"/>
    <w:rsid w:val="002E29CD"/>
    <w:rsid w:val="002E2BA0"/>
    <w:rsid w:val="002E51A3"/>
    <w:rsid w:val="002E52BB"/>
    <w:rsid w:val="002E5369"/>
    <w:rsid w:val="002E56F8"/>
    <w:rsid w:val="002E59A0"/>
    <w:rsid w:val="002E67CE"/>
    <w:rsid w:val="002E6A77"/>
    <w:rsid w:val="002F0998"/>
    <w:rsid w:val="002F105F"/>
    <w:rsid w:val="002F1475"/>
    <w:rsid w:val="002F194B"/>
    <w:rsid w:val="002F37C1"/>
    <w:rsid w:val="002F394C"/>
    <w:rsid w:val="002F467C"/>
    <w:rsid w:val="002F6812"/>
    <w:rsid w:val="002F73DD"/>
    <w:rsid w:val="00300111"/>
    <w:rsid w:val="00300A18"/>
    <w:rsid w:val="00301DFB"/>
    <w:rsid w:val="003035C4"/>
    <w:rsid w:val="0030504B"/>
    <w:rsid w:val="00305185"/>
    <w:rsid w:val="00306680"/>
    <w:rsid w:val="0030719C"/>
    <w:rsid w:val="00307B22"/>
    <w:rsid w:val="00313498"/>
    <w:rsid w:val="00316376"/>
    <w:rsid w:val="00321901"/>
    <w:rsid w:val="00321E8E"/>
    <w:rsid w:val="00322FC1"/>
    <w:rsid w:val="00326631"/>
    <w:rsid w:val="0033179F"/>
    <w:rsid w:val="00333B25"/>
    <w:rsid w:val="00337A70"/>
    <w:rsid w:val="0034160E"/>
    <w:rsid w:val="00341D2F"/>
    <w:rsid w:val="00345114"/>
    <w:rsid w:val="00351F4B"/>
    <w:rsid w:val="00351F83"/>
    <w:rsid w:val="00361B61"/>
    <w:rsid w:val="00361EF1"/>
    <w:rsid w:val="00363BFD"/>
    <w:rsid w:val="00365373"/>
    <w:rsid w:val="00367626"/>
    <w:rsid w:val="00370CD0"/>
    <w:rsid w:val="00371670"/>
    <w:rsid w:val="0037362F"/>
    <w:rsid w:val="003757A0"/>
    <w:rsid w:val="00381658"/>
    <w:rsid w:val="0038321D"/>
    <w:rsid w:val="0038342D"/>
    <w:rsid w:val="00387366"/>
    <w:rsid w:val="00391714"/>
    <w:rsid w:val="00394949"/>
    <w:rsid w:val="00394EA0"/>
    <w:rsid w:val="003A0D6A"/>
    <w:rsid w:val="003A1984"/>
    <w:rsid w:val="003B3DEE"/>
    <w:rsid w:val="003B766A"/>
    <w:rsid w:val="003C04EC"/>
    <w:rsid w:val="003C2E54"/>
    <w:rsid w:val="003C3F4F"/>
    <w:rsid w:val="003C4B4A"/>
    <w:rsid w:val="003C521B"/>
    <w:rsid w:val="003C68C0"/>
    <w:rsid w:val="003C7518"/>
    <w:rsid w:val="003C7F6F"/>
    <w:rsid w:val="003D093E"/>
    <w:rsid w:val="003D140E"/>
    <w:rsid w:val="003D3B6A"/>
    <w:rsid w:val="003D5C39"/>
    <w:rsid w:val="003D6255"/>
    <w:rsid w:val="003E0082"/>
    <w:rsid w:val="003E08F3"/>
    <w:rsid w:val="003E1096"/>
    <w:rsid w:val="003E22D6"/>
    <w:rsid w:val="003E5EC4"/>
    <w:rsid w:val="003E76BE"/>
    <w:rsid w:val="003F0AD2"/>
    <w:rsid w:val="003F3BDA"/>
    <w:rsid w:val="003F4A07"/>
    <w:rsid w:val="003F709B"/>
    <w:rsid w:val="003F737B"/>
    <w:rsid w:val="0040092F"/>
    <w:rsid w:val="0040244A"/>
    <w:rsid w:val="00402DB0"/>
    <w:rsid w:val="0040732D"/>
    <w:rsid w:val="004134D9"/>
    <w:rsid w:val="004200C3"/>
    <w:rsid w:val="00420588"/>
    <w:rsid w:val="004250DD"/>
    <w:rsid w:val="004253DD"/>
    <w:rsid w:val="00426ECD"/>
    <w:rsid w:val="0043205A"/>
    <w:rsid w:val="004344A7"/>
    <w:rsid w:val="00434ABB"/>
    <w:rsid w:val="00437538"/>
    <w:rsid w:val="0043758C"/>
    <w:rsid w:val="004379B3"/>
    <w:rsid w:val="0044129B"/>
    <w:rsid w:val="0044164A"/>
    <w:rsid w:val="00446EA2"/>
    <w:rsid w:val="00447497"/>
    <w:rsid w:val="0045013E"/>
    <w:rsid w:val="00451417"/>
    <w:rsid w:val="0045407B"/>
    <w:rsid w:val="00454A4A"/>
    <w:rsid w:val="0045552A"/>
    <w:rsid w:val="00460A5C"/>
    <w:rsid w:val="004627BA"/>
    <w:rsid w:val="0046720E"/>
    <w:rsid w:val="004672DD"/>
    <w:rsid w:val="004724D6"/>
    <w:rsid w:val="00475C78"/>
    <w:rsid w:val="00476864"/>
    <w:rsid w:val="00481DE0"/>
    <w:rsid w:val="004826E9"/>
    <w:rsid w:val="004838A6"/>
    <w:rsid w:val="004838D5"/>
    <w:rsid w:val="00484197"/>
    <w:rsid w:val="00485F66"/>
    <w:rsid w:val="00485FB6"/>
    <w:rsid w:val="004860DA"/>
    <w:rsid w:val="00493674"/>
    <w:rsid w:val="00494AB6"/>
    <w:rsid w:val="00496C61"/>
    <w:rsid w:val="0049742D"/>
    <w:rsid w:val="004A024B"/>
    <w:rsid w:val="004A0839"/>
    <w:rsid w:val="004A33FF"/>
    <w:rsid w:val="004A3A79"/>
    <w:rsid w:val="004A6D21"/>
    <w:rsid w:val="004B490B"/>
    <w:rsid w:val="004B6552"/>
    <w:rsid w:val="004B73BA"/>
    <w:rsid w:val="004C2C55"/>
    <w:rsid w:val="004C3684"/>
    <w:rsid w:val="004C5544"/>
    <w:rsid w:val="004C5E32"/>
    <w:rsid w:val="004C61BD"/>
    <w:rsid w:val="004C6DFA"/>
    <w:rsid w:val="004C79CE"/>
    <w:rsid w:val="004D28B0"/>
    <w:rsid w:val="004D5700"/>
    <w:rsid w:val="004E0F6C"/>
    <w:rsid w:val="004E1DB6"/>
    <w:rsid w:val="004E3317"/>
    <w:rsid w:val="004F10CF"/>
    <w:rsid w:val="004F1549"/>
    <w:rsid w:val="004F2976"/>
    <w:rsid w:val="004F2B31"/>
    <w:rsid w:val="00502AB6"/>
    <w:rsid w:val="00503C7E"/>
    <w:rsid w:val="00504999"/>
    <w:rsid w:val="00507272"/>
    <w:rsid w:val="005103C6"/>
    <w:rsid w:val="0051172A"/>
    <w:rsid w:val="00516F32"/>
    <w:rsid w:val="00521E0F"/>
    <w:rsid w:val="00523046"/>
    <w:rsid w:val="0052507E"/>
    <w:rsid w:val="00525190"/>
    <w:rsid w:val="0052578B"/>
    <w:rsid w:val="00526015"/>
    <w:rsid w:val="005269D6"/>
    <w:rsid w:val="0053064F"/>
    <w:rsid w:val="00531109"/>
    <w:rsid w:val="0053352E"/>
    <w:rsid w:val="00535E6A"/>
    <w:rsid w:val="00536320"/>
    <w:rsid w:val="00537B4C"/>
    <w:rsid w:val="005404EC"/>
    <w:rsid w:val="005429EF"/>
    <w:rsid w:val="00547C28"/>
    <w:rsid w:val="00547C37"/>
    <w:rsid w:val="00552140"/>
    <w:rsid w:val="005525EB"/>
    <w:rsid w:val="0055334D"/>
    <w:rsid w:val="005538A6"/>
    <w:rsid w:val="0055426D"/>
    <w:rsid w:val="005543AE"/>
    <w:rsid w:val="005623D3"/>
    <w:rsid w:val="005627D4"/>
    <w:rsid w:val="005629A6"/>
    <w:rsid w:val="00566558"/>
    <w:rsid w:val="00567FF3"/>
    <w:rsid w:val="00570EF6"/>
    <w:rsid w:val="00573B91"/>
    <w:rsid w:val="00577503"/>
    <w:rsid w:val="0057776B"/>
    <w:rsid w:val="00577A02"/>
    <w:rsid w:val="005811AF"/>
    <w:rsid w:val="00584237"/>
    <w:rsid w:val="00586D84"/>
    <w:rsid w:val="0058726A"/>
    <w:rsid w:val="00590E9A"/>
    <w:rsid w:val="005914B9"/>
    <w:rsid w:val="00591702"/>
    <w:rsid w:val="00593E93"/>
    <w:rsid w:val="005942E9"/>
    <w:rsid w:val="00595E04"/>
    <w:rsid w:val="00597339"/>
    <w:rsid w:val="005A0527"/>
    <w:rsid w:val="005A3C82"/>
    <w:rsid w:val="005B2492"/>
    <w:rsid w:val="005B2F3A"/>
    <w:rsid w:val="005B3821"/>
    <w:rsid w:val="005B7D57"/>
    <w:rsid w:val="005C001A"/>
    <w:rsid w:val="005C4BCF"/>
    <w:rsid w:val="005C6560"/>
    <w:rsid w:val="005C7AF4"/>
    <w:rsid w:val="005D154F"/>
    <w:rsid w:val="005D2277"/>
    <w:rsid w:val="005D3B22"/>
    <w:rsid w:val="005D5EDB"/>
    <w:rsid w:val="005D6809"/>
    <w:rsid w:val="005D7DCD"/>
    <w:rsid w:val="005E2431"/>
    <w:rsid w:val="005E3DE1"/>
    <w:rsid w:val="005E4F7A"/>
    <w:rsid w:val="005F01DE"/>
    <w:rsid w:val="005F02E0"/>
    <w:rsid w:val="005F315A"/>
    <w:rsid w:val="005F5BF6"/>
    <w:rsid w:val="005F61DB"/>
    <w:rsid w:val="005F64D5"/>
    <w:rsid w:val="005F7A2D"/>
    <w:rsid w:val="006027F8"/>
    <w:rsid w:val="00603A77"/>
    <w:rsid w:val="00603E37"/>
    <w:rsid w:val="006055EC"/>
    <w:rsid w:val="00605F5D"/>
    <w:rsid w:val="00606AE1"/>
    <w:rsid w:val="00610318"/>
    <w:rsid w:val="006109C4"/>
    <w:rsid w:val="006129AB"/>
    <w:rsid w:val="006140EB"/>
    <w:rsid w:val="00614B7E"/>
    <w:rsid w:val="00617898"/>
    <w:rsid w:val="00621332"/>
    <w:rsid w:val="00621642"/>
    <w:rsid w:val="00623431"/>
    <w:rsid w:val="0062367B"/>
    <w:rsid w:val="0062385A"/>
    <w:rsid w:val="00624C1F"/>
    <w:rsid w:val="00624EE1"/>
    <w:rsid w:val="006251F6"/>
    <w:rsid w:val="00632937"/>
    <w:rsid w:val="0063427F"/>
    <w:rsid w:val="006351B1"/>
    <w:rsid w:val="00637BD3"/>
    <w:rsid w:val="00641E75"/>
    <w:rsid w:val="0064341C"/>
    <w:rsid w:val="006442B4"/>
    <w:rsid w:val="00645A8A"/>
    <w:rsid w:val="00645E65"/>
    <w:rsid w:val="006517D7"/>
    <w:rsid w:val="00653F42"/>
    <w:rsid w:val="006557BD"/>
    <w:rsid w:val="006558B9"/>
    <w:rsid w:val="0065654E"/>
    <w:rsid w:val="0065663A"/>
    <w:rsid w:val="00657941"/>
    <w:rsid w:val="006605EF"/>
    <w:rsid w:val="00662453"/>
    <w:rsid w:val="006628A5"/>
    <w:rsid w:val="00662A40"/>
    <w:rsid w:val="006639AB"/>
    <w:rsid w:val="00667326"/>
    <w:rsid w:val="006769D3"/>
    <w:rsid w:val="00677323"/>
    <w:rsid w:val="006779F6"/>
    <w:rsid w:val="006805EC"/>
    <w:rsid w:val="00682AF0"/>
    <w:rsid w:val="006863A6"/>
    <w:rsid w:val="00687068"/>
    <w:rsid w:val="00691073"/>
    <w:rsid w:val="006913CE"/>
    <w:rsid w:val="00691819"/>
    <w:rsid w:val="0069189B"/>
    <w:rsid w:val="006935BB"/>
    <w:rsid w:val="00693C4D"/>
    <w:rsid w:val="006950EF"/>
    <w:rsid w:val="006954DA"/>
    <w:rsid w:val="00695E71"/>
    <w:rsid w:val="00696EA7"/>
    <w:rsid w:val="00697D9B"/>
    <w:rsid w:val="006A205D"/>
    <w:rsid w:val="006A49E6"/>
    <w:rsid w:val="006A65E9"/>
    <w:rsid w:val="006B075F"/>
    <w:rsid w:val="006B0D85"/>
    <w:rsid w:val="006B598D"/>
    <w:rsid w:val="006B75ED"/>
    <w:rsid w:val="006C0A3A"/>
    <w:rsid w:val="006C5E96"/>
    <w:rsid w:val="006D66E8"/>
    <w:rsid w:val="006D7E24"/>
    <w:rsid w:val="006E0AA3"/>
    <w:rsid w:val="006E2751"/>
    <w:rsid w:val="006E3782"/>
    <w:rsid w:val="006E4F24"/>
    <w:rsid w:val="006E5D86"/>
    <w:rsid w:val="006E6907"/>
    <w:rsid w:val="006E7807"/>
    <w:rsid w:val="006F04B7"/>
    <w:rsid w:val="006F063F"/>
    <w:rsid w:val="006F2950"/>
    <w:rsid w:val="006F6C82"/>
    <w:rsid w:val="0070378E"/>
    <w:rsid w:val="00704EC9"/>
    <w:rsid w:val="00704F6E"/>
    <w:rsid w:val="00706C64"/>
    <w:rsid w:val="00712852"/>
    <w:rsid w:val="00713091"/>
    <w:rsid w:val="007133DA"/>
    <w:rsid w:val="00714A48"/>
    <w:rsid w:val="0071537D"/>
    <w:rsid w:val="007157E1"/>
    <w:rsid w:val="00716BB4"/>
    <w:rsid w:val="00717467"/>
    <w:rsid w:val="007202B0"/>
    <w:rsid w:val="00721777"/>
    <w:rsid w:val="00725FB0"/>
    <w:rsid w:val="00726AC1"/>
    <w:rsid w:val="007318C2"/>
    <w:rsid w:val="007341B2"/>
    <w:rsid w:val="00734845"/>
    <w:rsid w:val="0073549F"/>
    <w:rsid w:val="00740211"/>
    <w:rsid w:val="00742858"/>
    <w:rsid w:val="00743DAB"/>
    <w:rsid w:val="00747D44"/>
    <w:rsid w:val="00750DE8"/>
    <w:rsid w:val="0075161E"/>
    <w:rsid w:val="00751BE2"/>
    <w:rsid w:val="00751BED"/>
    <w:rsid w:val="00751E38"/>
    <w:rsid w:val="00752233"/>
    <w:rsid w:val="00754095"/>
    <w:rsid w:val="007625B7"/>
    <w:rsid w:val="00763C9F"/>
    <w:rsid w:val="00765417"/>
    <w:rsid w:val="00766D88"/>
    <w:rsid w:val="00770733"/>
    <w:rsid w:val="00770780"/>
    <w:rsid w:val="00771A99"/>
    <w:rsid w:val="00772EF3"/>
    <w:rsid w:val="00773D0E"/>
    <w:rsid w:val="0077617B"/>
    <w:rsid w:val="00776451"/>
    <w:rsid w:val="00783335"/>
    <w:rsid w:val="0078585B"/>
    <w:rsid w:val="00785BF6"/>
    <w:rsid w:val="0078643A"/>
    <w:rsid w:val="007867A3"/>
    <w:rsid w:val="00790E2F"/>
    <w:rsid w:val="0079116D"/>
    <w:rsid w:val="00794016"/>
    <w:rsid w:val="0079651F"/>
    <w:rsid w:val="0079654C"/>
    <w:rsid w:val="00797DD8"/>
    <w:rsid w:val="007A13D8"/>
    <w:rsid w:val="007A595C"/>
    <w:rsid w:val="007A5D21"/>
    <w:rsid w:val="007A6ED2"/>
    <w:rsid w:val="007B0748"/>
    <w:rsid w:val="007B10C4"/>
    <w:rsid w:val="007B24C6"/>
    <w:rsid w:val="007B25F1"/>
    <w:rsid w:val="007B363B"/>
    <w:rsid w:val="007B3E49"/>
    <w:rsid w:val="007B49C0"/>
    <w:rsid w:val="007B6E84"/>
    <w:rsid w:val="007B721A"/>
    <w:rsid w:val="007B7A25"/>
    <w:rsid w:val="007C098A"/>
    <w:rsid w:val="007C09D1"/>
    <w:rsid w:val="007C2621"/>
    <w:rsid w:val="007C6F33"/>
    <w:rsid w:val="007D2B27"/>
    <w:rsid w:val="007D4276"/>
    <w:rsid w:val="007D6715"/>
    <w:rsid w:val="007D683B"/>
    <w:rsid w:val="007D7175"/>
    <w:rsid w:val="007D7715"/>
    <w:rsid w:val="007E284E"/>
    <w:rsid w:val="007E3A2B"/>
    <w:rsid w:val="007E3D52"/>
    <w:rsid w:val="007E47FB"/>
    <w:rsid w:val="007E70F8"/>
    <w:rsid w:val="007F0560"/>
    <w:rsid w:val="007F1A69"/>
    <w:rsid w:val="007F317C"/>
    <w:rsid w:val="007F51CD"/>
    <w:rsid w:val="007F686F"/>
    <w:rsid w:val="008008EB"/>
    <w:rsid w:val="00801685"/>
    <w:rsid w:val="00802811"/>
    <w:rsid w:val="008035BF"/>
    <w:rsid w:val="00803F66"/>
    <w:rsid w:val="008043EB"/>
    <w:rsid w:val="008065AA"/>
    <w:rsid w:val="00811A42"/>
    <w:rsid w:val="00811B0E"/>
    <w:rsid w:val="00811DB0"/>
    <w:rsid w:val="0081291B"/>
    <w:rsid w:val="008137AE"/>
    <w:rsid w:val="00813BBE"/>
    <w:rsid w:val="00814C61"/>
    <w:rsid w:val="00816B50"/>
    <w:rsid w:val="00823895"/>
    <w:rsid w:val="008239E9"/>
    <w:rsid w:val="008259FA"/>
    <w:rsid w:val="00827105"/>
    <w:rsid w:val="00831820"/>
    <w:rsid w:val="008336F4"/>
    <w:rsid w:val="008337A4"/>
    <w:rsid w:val="0083442E"/>
    <w:rsid w:val="00835014"/>
    <w:rsid w:val="00835819"/>
    <w:rsid w:val="00840B95"/>
    <w:rsid w:val="0084272E"/>
    <w:rsid w:val="0084301B"/>
    <w:rsid w:val="00843DE9"/>
    <w:rsid w:val="00845E7B"/>
    <w:rsid w:val="00846648"/>
    <w:rsid w:val="00850A99"/>
    <w:rsid w:val="00852A46"/>
    <w:rsid w:val="0085510A"/>
    <w:rsid w:val="008565FD"/>
    <w:rsid w:val="00856FE5"/>
    <w:rsid w:val="0085739C"/>
    <w:rsid w:val="00860711"/>
    <w:rsid w:val="008612BD"/>
    <w:rsid w:val="008613D4"/>
    <w:rsid w:val="0086171B"/>
    <w:rsid w:val="00863409"/>
    <w:rsid w:val="00863F7A"/>
    <w:rsid w:val="00871589"/>
    <w:rsid w:val="008727F7"/>
    <w:rsid w:val="00874E30"/>
    <w:rsid w:val="008752C2"/>
    <w:rsid w:val="00883859"/>
    <w:rsid w:val="00883BA7"/>
    <w:rsid w:val="0089447F"/>
    <w:rsid w:val="00894CAE"/>
    <w:rsid w:val="00896846"/>
    <w:rsid w:val="008A16CF"/>
    <w:rsid w:val="008A4178"/>
    <w:rsid w:val="008A4DCC"/>
    <w:rsid w:val="008A4FB2"/>
    <w:rsid w:val="008A59D9"/>
    <w:rsid w:val="008A68AA"/>
    <w:rsid w:val="008B2B42"/>
    <w:rsid w:val="008B2CFE"/>
    <w:rsid w:val="008B3A97"/>
    <w:rsid w:val="008B44CC"/>
    <w:rsid w:val="008B62BC"/>
    <w:rsid w:val="008B6AD0"/>
    <w:rsid w:val="008B7E16"/>
    <w:rsid w:val="008C2DF1"/>
    <w:rsid w:val="008C46B5"/>
    <w:rsid w:val="008C7080"/>
    <w:rsid w:val="008D03F0"/>
    <w:rsid w:val="008D2453"/>
    <w:rsid w:val="008D5680"/>
    <w:rsid w:val="008D674F"/>
    <w:rsid w:val="008E3965"/>
    <w:rsid w:val="008E525C"/>
    <w:rsid w:val="008E57FB"/>
    <w:rsid w:val="008F0881"/>
    <w:rsid w:val="008F3AB1"/>
    <w:rsid w:val="008F51C8"/>
    <w:rsid w:val="008F5C3D"/>
    <w:rsid w:val="008F5C60"/>
    <w:rsid w:val="00901157"/>
    <w:rsid w:val="009028E7"/>
    <w:rsid w:val="00904EF4"/>
    <w:rsid w:val="00905780"/>
    <w:rsid w:val="009059AB"/>
    <w:rsid w:val="00905B64"/>
    <w:rsid w:val="00906BBA"/>
    <w:rsid w:val="00910772"/>
    <w:rsid w:val="00914769"/>
    <w:rsid w:val="00921139"/>
    <w:rsid w:val="00923862"/>
    <w:rsid w:val="009271DE"/>
    <w:rsid w:val="00927985"/>
    <w:rsid w:val="00930E4F"/>
    <w:rsid w:val="00931701"/>
    <w:rsid w:val="00931E88"/>
    <w:rsid w:val="00933D28"/>
    <w:rsid w:val="00934C89"/>
    <w:rsid w:val="0093558E"/>
    <w:rsid w:val="00942603"/>
    <w:rsid w:val="00942F88"/>
    <w:rsid w:val="00946040"/>
    <w:rsid w:val="009527B3"/>
    <w:rsid w:val="00955430"/>
    <w:rsid w:val="0096207A"/>
    <w:rsid w:val="00965942"/>
    <w:rsid w:val="009659AE"/>
    <w:rsid w:val="00967601"/>
    <w:rsid w:val="00967A68"/>
    <w:rsid w:val="00972E00"/>
    <w:rsid w:val="00973B44"/>
    <w:rsid w:val="00973E0E"/>
    <w:rsid w:val="00975013"/>
    <w:rsid w:val="009801D3"/>
    <w:rsid w:val="00980535"/>
    <w:rsid w:val="00981ADE"/>
    <w:rsid w:val="00982144"/>
    <w:rsid w:val="009868FD"/>
    <w:rsid w:val="00987FF7"/>
    <w:rsid w:val="00990F63"/>
    <w:rsid w:val="009A142B"/>
    <w:rsid w:val="009A3708"/>
    <w:rsid w:val="009A3D0A"/>
    <w:rsid w:val="009A4C30"/>
    <w:rsid w:val="009A58B0"/>
    <w:rsid w:val="009A790A"/>
    <w:rsid w:val="009B115C"/>
    <w:rsid w:val="009B2D10"/>
    <w:rsid w:val="009B73FC"/>
    <w:rsid w:val="009C01A3"/>
    <w:rsid w:val="009C1A08"/>
    <w:rsid w:val="009C24FE"/>
    <w:rsid w:val="009C326A"/>
    <w:rsid w:val="009C396A"/>
    <w:rsid w:val="009C4A42"/>
    <w:rsid w:val="009C586B"/>
    <w:rsid w:val="009C699E"/>
    <w:rsid w:val="009C69C5"/>
    <w:rsid w:val="009C7AB2"/>
    <w:rsid w:val="009D20A4"/>
    <w:rsid w:val="009D4397"/>
    <w:rsid w:val="009D4F54"/>
    <w:rsid w:val="009D71A4"/>
    <w:rsid w:val="009E0532"/>
    <w:rsid w:val="009E52FE"/>
    <w:rsid w:val="009E6553"/>
    <w:rsid w:val="009F2623"/>
    <w:rsid w:val="009F480B"/>
    <w:rsid w:val="009F55CA"/>
    <w:rsid w:val="009F6624"/>
    <w:rsid w:val="009F7434"/>
    <w:rsid w:val="009F76AE"/>
    <w:rsid w:val="00A003C5"/>
    <w:rsid w:val="00A02C62"/>
    <w:rsid w:val="00A02E17"/>
    <w:rsid w:val="00A062EE"/>
    <w:rsid w:val="00A06B94"/>
    <w:rsid w:val="00A07E1D"/>
    <w:rsid w:val="00A10CFF"/>
    <w:rsid w:val="00A11BA0"/>
    <w:rsid w:val="00A12377"/>
    <w:rsid w:val="00A14BBB"/>
    <w:rsid w:val="00A2073F"/>
    <w:rsid w:val="00A228D3"/>
    <w:rsid w:val="00A22E21"/>
    <w:rsid w:val="00A23D0B"/>
    <w:rsid w:val="00A2464D"/>
    <w:rsid w:val="00A24C1B"/>
    <w:rsid w:val="00A25C09"/>
    <w:rsid w:val="00A27520"/>
    <w:rsid w:val="00A303FE"/>
    <w:rsid w:val="00A3660A"/>
    <w:rsid w:val="00A36D53"/>
    <w:rsid w:val="00A37262"/>
    <w:rsid w:val="00A41032"/>
    <w:rsid w:val="00A41AF9"/>
    <w:rsid w:val="00A42473"/>
    <w:rsid w:val="00A4269B"/>
    <w:rsid w:val="00A44169"/>
    <w:rsid w:val="00A46CFD"/>
    <w:rsid w:val="00A50018"/>
    <w:rsid w:val="00A507E4"/>
    <w:rsid w:val="00A5117D"/>
    <w:rsid w:val="00A524B3"/>
    <w:rsid w:val="00A55B7C"/>
    <w:rsid w:val="00A60271"/>
    <w:rsid w:val="00A62E68"/>
    <w:rsid w:val="00A66A04"/>
    <w:rsid w:val="00A66D85"/>
    <w:rsid w:val="00A70973"/>
    <w:rsid w:val="00A70DC6"/>
    <w:rsid w:val="00A7384D"/>
    <w:rsid w:val="00A73B47"/>
    <w:rsid w:val="00A745B6"/>
    <w:rsid w:val="00A8088F"/>
    <w:rsid w:val="00A91C65"/>
    <w:rsid w:val="00A91FBD"/>
    <w:rsid w:val="00A93409"/>
    <w:rsid w:val="00A93DE8"/>
    <w:rsid w:val="00A95023"/>
    <w:rsid w:val="00A967F3"/>
    <w:rsid w:val="00A96C14"/>
    <w:rsid w:val="00A972E4"/>
    <w:rsid w:val="00A9744A"/>
    <w:rsid w:val="00A97D91"/>
    <w:rsid w:val="00AA1FCC"/>
    <w:rsid w:val="00AA31CF"/>
    <w:rsid w:val="00AA39D8"/>
    <w:rsid w:val="00AA4BB4"/>
    <w:rsid w:val="00AA5124"/>
    <w:rsid w:val="00AA630B"/>
    <w:rsid w:val="00AA6D28"/>
    <w:rsid w:val="00AB0040"/>
    <w:rsid w:val="00AB30B8"/>
    <w:rsid w:val="00AB32E0"/>
    <w:rsid w:val="00AB637B"/>
    <w:rsid w:val="00AB6DEB"/>
    <w:rsid w:val="00AC1411"/>
    <w:rsid w:val="00AC36E3"/>
    <w:rsid w:val="00AC6213"/>
    <w:rsid w:val="00AC66FB"/>
    <w:rsid w:val="00AD1FCE"/>
    <w:rsid w:val="00AD460A"/>
    <w:rsid w:val="00AD5569"/>
    <w:rsid w:val="00AD5D5A"/>
    <w:rsid w:val="00AE064D"/>
    <w:rsid w:val="00AE1334"/>
    <w:rsid w:val="00AE1D8B"/>
    <w:rsid w:val="00AE3217"/>
    <w:rsid w:val="00AE4766"/>
    <w:rsid w:val="00AE495F"/>
    <w:rsid w:val="00AE5ABF"/>
    <w:rsid w:val="00AE7D67"/>
    <w:rsid w:val="00AF3C6C"/>
    <w:rsid w:val="00AF479D"/>
    <w:rsid w:val="00AF6A10"/>
    <w:rsid w:val="00B00511"/>
    <w:rsid w:val="00B013C7"/>
    <w:rsid w:val="00B02EB8"/>
    <w:rsid w:val="00B05311"/>
    <w:rsid w:val="00B072E5"/>
    <w:rsid w:val="00B11E29"/>
    <w:rsid w:val="00B1379C"/>
    <w:rsid w:val="00B178DA"/>
    <w:rsid w:val="00B21138"/>
    <w:rsid w:val="00B24B5D"/>
    <w:rsid w:val="00B27D6C"/>
    <w:rsid w:val="00B33116"/>
    <w:rsid w:val="00B34964"/>
    <w:rsid w:val="00B3504B"/>
    <w:rsid w:val="00B36F4A"/>
    <w:rsid w:val="00B37223"/>
    <w:rsid w:val="00B420C2"/>
    <w:rsid w:val="00B42501"/>
    <w:rsid w:val="00B4345C"/>
    <w:rsid w:val="00B44083"/>
    <w:rsid w:val="00B45FEF"/>
    <w:rsid w:val="00B462B1"/>
    <w:rsid w:val="00B509C5"/>
    <w:rsid w:val="00B51660"/>
    <w:rsid w:val="00B517C6"/>
    <w:rsid w:val="00B5230A"/>
    <w:rsid w:val="00B55251"/>
    <w:rsid w:val="00B56E7B"/>
    <w:rsid w:val="00B64DC4"/>
    <w:rsid w:val="00B70CB8"/>
    <w:rsid w:val="00B71120"/>
    <w:rsid w:val="00B7163E"/>
    <w:rsid w:val="00B72F46"/>
    <w:rsid w:val="00B7315C"/>
    <w:rsid w:val="00B80668"/>
    <w:rsid w:val="00B80F3B"/>
    <w:rsid w:val="00B81E5D"/>
    <w:rsid w:val="00B82680"/>
    <w:rsid w:val="00B83818"/>
    <w:rsid w:val="00B850D3"/>
    <w:rsid w:val="00B9266B"/>
    <w:rsid w:val="00B9544A"/>
    <w:rsid w:val="00B9561A"/>
    <w:rsid w:val="00B96983"/>
    <w:rsid w:val="00B9724B"/>
    <w:rsid w:val="00BA0A0F"/>
    <w:rsid w:val="00BA2AE3"/>
    <w:rsid w:val="00BA51CB"/>
    <w:rsid w:val="00BA69FE"/>
    <w:rsid w:val="00BB079A"/>
    <w:rsid w:val="00BB1DAD"/>
    <w:rsid w:val="00BB2CCA"/>
    <w:rsid w:val="00BB316D"/>
    <w:rsid w:val="00BB3564"/>
    <w:rsid w:val="00BB6EE5"/>
    <w:rsid w:val="00BB7922"/>
    <w:rsid w:val="00BC00F1"/>
    <w:rsid w:val="00BC0594"/>
    <w:rsid w:val="00BC17F1"/>
    <w:rsid w:val="00BC6537"/>
    <w:rsid w:val="00BD0270"/>
    <w:rsid w:val="00BD05C8"/>
    <w:rsid w:val="00BD2614"/>
    <w:rsid w:val="00BD557E"/>
    <w:rsid w:val="00BE08AE"/>
    <w:rsid w:val="00BE0EA7"/>
    <w:rsid w:val="00BE2AF1"/>
    <w:rsid w:val="00BE6465"/>
    <w:rsid w:val="00BE6DE0"/>
    <w:rsid w:val="00BE7B7A"/>
    <w:rsid w:val="00BE7BEC"/>
    <w:rsid w:val="00BF0CAF"/>
    <w:rsid w:val="00BF22DC"/>
    <w:rsid w:val="00BF2D52"/>
    <w:rsid w:val="00BF3D29"/>
    <w:rsid w:val="00BF43F4"/>
    <w:rsid w:val="00BF6291"/>
    <w:rsid w:val="00C00947"/>
    <w:rsid w:val="00C045B4"/>
    <w:rsid w:val="00C04716"/>
    <w:rsid w:val="00C0574D"/>
    <w:rsid w:val="00C129C7"/>
    <w:rsid w:val="00C14580"/>
    <w:rsid w:val="00C15F0D"/>
    <w:rsid w:val="00C173D6"/>
    <w:rsid w:val="00C22A88"/>
    <w:rsid w:val="00C22E01"/>
    <w:rsid w:val="00C23AE9"/>
    <w:rsid w:val="00C24A5D"/>
    <w:rsid w:val="00C26015"/>
    <w:rsid w:val="00C26AF3"/>
    <w:rsid w:val="00C302FE"/>
    <w:rsid w:val="00C3121C"/>
    <w:rsid w:val="00C31E63"/>
    <w:rsid w:val="00C33B3B"/>
    <w:rsid w:val="00C3693C"/>
    <w:rsid w:val="00C37423"/>
    <w:rsid w:val="00C43B13"/>
    <w:rsid w:val="00C44838"/>
    <w:rsid w:val="00C4505F"/>
    <w:rsid w:val="00C4684F"/>
    <w:rsid w:val="00C5326A"/>
    <w:rsid w:val="00C53E66"/>
    <w:rsid w:val="00C639DC"/>
    <w:rsid w:val="00C65E7F"/>
    <w:rsid w:val="00C749E8"/>
    <w:rsid w:val="00C75AA5"/>
    <w:rsid w:val="00C77B36"/>
    <w:rsid w:val="00C878E8"/>
    <w:rsid w:val="00C914DA"/>
    <w:rsid w:val="00C91C31"/>
    <w:rsid w:val="00C92850"/>
    <w:rsid w:val="00C928B2"/>
    <w:rsid w:val="00C93CD4"/>
    <w:rsid w:val="00C94A2B"/>
    <w:rsid w:val="00C94E99"/>
    <w:rsid w:val="00C960C3"/>
    <w:rsid w:val="00C97496"/>
    <w:rsid w:val="00C97666"/>
    <w:rsid w:val="00CA3005"/>
    <w:rsid w:val="00CA6349"/>
    <w:rsid w:val="00CA7EED"/>
    <w:rsid w:val="00CB0567"/>
    <w:rsid w:val="00CB21B0"/>
    <w:rsid w:val="00CB5E37"/>
    <w:rsid w:val="00CC4253"/>
    <w:rsid w:val="00CC449D"/>
    <w:rsid w:val="00CC52A3"/>
    <w:rsid w:val="00CC782F"/>
    <w:rsid w:val="00CD10B3"/>
    <w:rsid w:val="00CD17EB"/>
    <w:rsid w:val="00CD564D"/>
    <w:rsid w:val="00CD6D53"/>
    <w:rsid w:val="00CD7658"/>
    <w:rsid w:val="00CE3B79"/>
    <w:rsid w:val="00CE3EC9"/>
    <w:rsid w:val="00CE5D7C"/>
    <w:rsid w:val="00CF278B"/>
    <w:rsid w:val="00CF2AEB"/>
    <w:rsid w:val="00CF5048"/>
    <w:rsid w:val="00D04172"/>
    <w:rsid w:val="00D06AF5"/>
    <w:rsid w:val="00D0754F"/>
    <w:rsid w:val="00D115EF"/>
    <w:rsid w:val="00D123D2"/>
    <w:rsid w:val="00D136B8"/>
    <w:rsid w:val="00D141BA"/>
    <w:rsid w:val="00D1602B"/>
    <w:rsid w:val="00D1648F"/>
    <w:rsid w:val="00D1702F"/>
    <w:rsid w:val="00D20F61"/>
    <w:rsid w:val="00D21ED1"/>
    <w:rsid w:val="00D222D3"/>
    <w:rsid w:val="00D24E10"/>
    <w:rsid w:val="00D275F2"/>
    <w:rsid w:val="00D30B3B"/>
    <w:rsid w:val="00D30C72"/>
    <w:rsid w:val="00D328AB"/>
    <w:rsid w:val="00D37BF1"/>
    <w:rsid w:val="00D424A8"/>
    <w:rsid w:val="00D429CC"/>
    <w:rsid w:val="00D43AB7"/>
    <w:rsid w:val="00D44E5C"/>
    <w:rsid w:val="00D459DC"/>
    <w:rsid w:val="00D53E33"/>
    <w:rsid w:val="00D5407E"/>
    <w:rsid w:val="00D54286"/>
    <w:rsid w:val="00D548FF"/>
    <w:rsid w:val="00D56EFA"/>
    <w:rsid w:val="00D57736"/>
    <w:rsid w:val="00D57852"/>
    <w:rsid w:val="00D621C9"/>
    <w:rsid w:val="00D62F18"/>
    <w:rsid w:val="00D63325"/>
    <w:rsid w:val="00D64F7A"/>
    <w:rsid w:val="00D65FD5"/>
    <w:rsid w:val="00D67BF8"/>
    <w:rsid w:val="00D73B66"/>
    <w:rsid w:val="00D74786"/>
    <w:rsid w:val="00D769B6"/>
    <w:rsid w:val="00D76DDF"/>
    <w:rsid w:val="00D80EA0"/>
    <w:rsid w:val="00D82585"/>
    <w:rsid w:val="00D829E8"/>
    <w:rsid w:val="00D82CE6"/>
    <w:rsid w:val="00D82CFC"/>
    <w:rsid w:val="00D83A4D"/>
    <w:rsid w:val="00D83B46"/>
    <w:rsid w:val="00D8738A"/>
    <w:rsid w:val="00D87392"/>
    <w:rsid w:val="00D909AB"/>
    <w:rsid w:val="00D95BED"/>
    <w:rsid w:val="00DA0028"/>
    <w:rsid w:val="00DA3217"/>
    <w:rsid w:val="00DA3E0F"/>
    <w:rsid w:val="00DA4F6F"/>
    <w:rsid w:val="00DA5543"/>
    <w:rsid w:val="00DB185F"/>
    <w:rsid w:val="00DB2E2D"/>
    <w:rsid w:val="00DB43BB"/>
    <w:rsid w:val="00DB4726"/>
    <w:rsid w:val="00DB690C"/>
    <w:rsid w:val="00DB6F41"/>
    <w:rsid w:val="00DB716A"/>
    <w:rsid w:val="00DB76D1"/>
    <w:rsid w:val="00DC0EF6"/>
    <w:rsid w:val="00DC14A6"/>
    <w:rsid w:val="00DC1CE1"/>
    <w:rsid w:val="00DC1DED"/>
    <w:rsid w:val="00DD03ED"/>
    <w:rsid w:val="00DD3244"/>
    <w:rsid w:val="00DD363B"/>
    <w:rsid w:val="00DD4CB8"/>
    <w:rsid w:val="00DD60FB"/>
    <w:rsid w:val="00DD6D3A"/>
    <w:rsid w:val="00DE0EFA"/>
    <w:rsid w:val="00DE29F0"/>
    <w:rsid w:val="00DE395B"/>
    <w:rsid w:val="00DE3DE1"/>
    <w:rsid w:val="00DE452A"/>
    <w:rsid w:val="00DE54B1"/>
    <w:rsid w:val="00DE66EB"/>
    <w:rsid w:val="00DF2DC9"/>
    <w:rsid w:val="00DF6C61"/>
    <w:rsid w:val="00DF6E72"/>
    <w:rsid w:val="00DF732A"/>
    <w:rsid w:val="00E00012"/>
    <w:rsid w:val="00E011A5"/>
    <w:rsid w:val="00E03068"/>
    <w:rsid w:val="00E0495E"/>
    <w:rsid w:val="00E0739B"/>
    <w:rsid w:val="00E10EF3"/>
    <w:rsid w:val="00E12F68"/>
    <w:rsid w:val="00E1744F"/>
    <w:rsid w:val="00E24173"/>
    <w:rsid w:val="00E251B2"/>
    <w:rsid w:val="00E2677A"/>
    <w:rsid w:val="00E27660"/>
    <w:rsid w:val="00E300A2"/>
    <w:rsid w:val="00E3766D"/>
    <w:rsid w:val="00E4537C"/>
    <w:rsid w:val="00E46B70"/>
    <w:rsid w:val="00E4752C"/>
    <w:rsid w:val="00E502BA"/>
    <w:rsid w:val="00E50B77"/>
    <w:rsid w:val="00E52FCD"/>
    <w:rsid w:val="00E57529"/>
    <w:rsid w:val="00E60D8E"/>
    <w:rsid w:val="00E6159A"/>
    <w:rsid w:val="00E62BF9"/>
    <w:rsid w:val="00E65A00"/>
    <w:rsid w:val="00E67719"/>
    <w:rsid w:val="00E70225"/>
    <w:rsid w:val="00E71A63"/>
    <w:rsid w:val="00E731B9"/>
    <w:rsid w:val="00E744AB"/>
    <w:rsid w:val="00E74A64"/>
    <w:rsid w:val="00E81095"/>
    <w:rsid w:val="00E83587"/>
    <w:rsid w:val="00E84F5D"/>
    <w:rsid w:val="00E90FC1"/>
    <w:rsid w:val="00E914CB"/>
    <w:rsid w:val="00E92E42"/>
    <w:rsid w:val="00E939F3"/>
    <w:rsid w:val="00E97313"/>
    <w:rsid w:val="00E97877"/>
    <w:rsid w:val="00EA3856"/>
    <w:rsid w:val="00EA4A7E"/>
    <w:rsid w:val="00EA56CB"/>
    <w:rsid w:val="00EB5124"/>
    <w:rsid w:val="00EB5C23"/>
    <w:rsid w:val="00EB75AA"/>
    <w:rsid w:val="00EC37EF"/>
    <w:rsid w:val="00EC7546"/>
    <w:rsid w:val="00ED182A"/>
    <w:rsid w:val="00ED329C"/>
    <w:rsid w:val="00ED38DA"/>
    <w:rsid w:val="00ED4806"/>
    <w:rsid w:val="00ED64C3"/>
    <w:rsid w:val="00ED70F9"/>
    <w:rsid w:val="00EE04B3"/>
    <w:rsid w:val="00EE1C94"/>
    <w:rsid w:val="00EE29CF"/>
    <w:rsid w:val="00EE33BA"/>
    <w:rsid w:val="00EE79C9"/>
    <w:rsid w:val="00EF1B89"/>
    <w:rsid w:val="00EF1E68"/>
    <w:rsid w:val="00EF374F"/>
    <w:rsid w:val="00EF58CA"/>
    <w:rsid w:val="00EF5925"/>
    <w:rsid w:val="00EF7126"/>
    <w:rsid w:val="00F00349"/>
    <w:rsid w:val="00F02025"/>
    <w:rsid w:val="00F0313B"/>
    <w:rsid w:val="00F03B60"/>
    <w:rsid w:val="00F04B8E"/>
    <w:rsid w:val="00F07CB9"/>
    <w:rsid w:val="00F1352E"/>
    <w:rsid w:val="00F15BA6"/>
    <w:rsid w:val="00F15E99"/>
    <w:rsid w:val="00F16217"/>
    <w:rsid w:val="00F1659D"/>
    <w:rsid w:val="00F1661E"/>
    <w:rsid w:val="00F169E7"/>
    <w:rsid w:val="00F17347"/>
    <w:rsid w:val="00F207A9"/>
    <w:rsid w:val="00F20B11"/>
    <w:rsid w:val="00F23A8B"/>
    <w:rsid w:val="00F2453C"/>
    <w:rsid w:val="00F24ABE"/>
    <w:rsid w:val="00F25134"/>
    <w:rsid w:val="00F26C90"/>
    <w:rsid w:val="00F26EC7"/>
    <w:rsid w:val="00F30B57"/>
    <w:rsid w:val="00F31D61"/>
    <w:rsid w:val="00F340BE"/>
    <w:rsid w:val="00F3419B"/>
    <w:rsid w:val="00F346BE"/>
    <w:rsid w:val="00F35EE8"/>
    <w:rsid w:val="00F36D52"/>
    <w:rsid w:val="00F41220"/>
    <w:rsid w:val="00F42BC0"/>
    <w:rsid w:val="00F42BD2"/>
    <w:rsid w:val="00F518A5"/>
    <w:rsid w:val="00F525FF"/>
    <w:rsid w:val="00F5282D"/>
    <w:rsid w:val="00F53CAB"/>
    <w:rsid w:val="00F541C4"/>
    <w:rsid w:val="00F57EA2"/>
    <w:rsid w:val="00F604FC"/>
    <w:rsid w:val="00F615A1"/>
    <w:rsid w:val="00F62B6A"/>
    <w:rsid w:val="00F63E5A"/>
    <w:rsid w:val="00F6557D"/>
    <w:rsid w:val="00F71D43"/>
    <w:rsid w:val="00F73533"/>
    <w:rsid w:val="00F741F4"/>
    <w:rsid w:val="00F805D7"/>
    <w:rsid w:val="00F8643D"/>
    <w:rsid w:val="00F87C79"/>
    <w:rsid w:val="00F90D3B"/>
    <w:rsid w:val="00F9344F"/>
    <w:rsid w:val="00FA07E9"/>
    <w:rsid w:val="00FA26ED"/>
    <w:rsid w:val="00FA2A4C"/>
    <w:rsid w:val="00FB10B0"/>
    <w:rsid w:val="00FB28F7"/>
    <w:rsid w:val="00FB3CA9"/>
    <w:rsid w:val="00FC0289"/>
    <w:rsid w:val="00FC1EB5"/>
    <w:rsid w:val="00FC4A6C"/>
    <w:rsid w:val="00FC4D46"/>
    <w:rsid w:val="00FC5194"/>
    <w:rsid w:val="00FC5FB7"/>
    <w:rsid w:val="00FC62A7"/>
    <w:rsid w:val="00FC6692"/>
    <w:rsid w:val="00FD1772"/>
    <w:rsid w:val="00FD3F31"/>
    <w:rsid w:val="00FD4B05"/>
    <w:rsid w:val="00FD580F"/>
    <w:rsid w:val="00FD6071"/>
    <w:rsid w:val="00FD70ED"/>
    <w:rsid w:val="00FD745A"/>
    <w:rsid w:val="00FF1125"/>
    <w:rsid w:val="00FF17D3"/>
    <w:rsid w:val="00FF1A5D"/>
    <w:rsid w:val="00FF36A0"/>
    <w:rsid w:val="00FF44E4"/>
    <w:rsid w:val="00FF509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3AA41B"/>
  <w15:chartTrackingRefBased/>
  <w15:docId w15:val="{495AF607-9C39-4099-99D2-1AF2F786B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PT" w:eastAsia="pt-P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Ttulo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Ttulo3">
    <w:name w:val="heading 3"/>
    <w:basedOn w:val="Normal"/>
    <w:qFormat/>
    <w:rsid w:val="00DB185F"/>
    <w:pPr>
      <w:keepNext/>
      <w:ind w:left="720"/>
      <w:jc w:val="both"/>
      <w:outlineLvl w:val="2"/>
    </w:pPr>
    <w:rPr>
      <w:rFonts w:ascii="Tahoma" w:hAnsi="Tahoma" w:cs="Tahoma"/>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Refdecomentrio">
    <w:name w:val="annotation reference"/>
    <w:rsid w:val="00840B95"/>
    <w:rPr>
      <w:sz w:val="16"/>
      <w:szCs w:val="16"/>
    </w:rPr>
  </w:style>
  <w:style w:type="paragraph" w:styleId="Textodecomentrio">
    <w:name w:val="annotation text"/>
    <w:basedOn w:val="Normal"/>
    <w:link w:val="TextodecomentrioCarter"/>
    <w:rsid w:val="00840B95"/>
    <w:rPr>
      <w:sz w:val="20"/>
      <w:szCs w:val="20"/>
      <w:lang w:val="x-none"/>
    </w:rPr>
  </w:style>
  <w:style w:type="character" w:customStyle="1" w:styleId="TextodecomentrioCarter">
    <w:name w:val="Texto de comentário Caráter"/>
    <w:link w:val="Textodecomentrio"/>
    <w:rsid w:val="00840B95"/>
    <w:rPr>
      <w:lang w:eastAsia="zh-CN"/>
    </w:rPr>
  </w:style>
  <w:style w:type="paragraph" w:styleId="Assuntodecomentrio">
    <w:name w:val="annotation subject"/>
    <w:basedOn w:val="Textodecomentrio"/>
    <w:next w:val="Textodecomentrio"/>
    <w:link w:val="AssuntodecomentrioCarter"/>
    <w:rsid w:val="00840B95"/>
    <w:rPr>
      <w:b/>
      <w:bCs/>
    </w:rPr>
  </w:style>
  <w:style w:type="character" w:customStyle="1" w:styleId="AssuntodecomentrioCarter">
    <w:name w:val="Assunto de comentário Caráter"/>
    <w:link w:val="Assuntodecomentrio"/>
    <w:rsid w:val="00840B95"/>
    <w:rPr>
      <w:b/>
      <w:bCs/>
      <w:lang w:eastAsia="zh-CN"/>
    </w:rPr>
  </w:style>
  <w:style w:type="paragraph" w:styleId="Textodebalo">
    <w:name w:val="Balloon Text"/>
    <w:basedOn w:val="Normal"/>
    <w:link w:val="TextodebaloCarter"/>
    <w:uiPriority w:val="99"/>
    <w:rsid w:val="00840B95"/>
    <w:rPr>
      <w:rFonts w:ascii="Tahoma" w:hAnsi="Tahoma"/>
      <w:sz w:val="16"/>
      <w:szCs w:val="16"/>
      <w:lang w:val="x-none"/>
    </w:rPr>
  </w:style>
  <w:style w:type="character" w:customStyle="1" w:styleId="TextodebaloCarter">
    <w:name w:val="Texto de balão Caráter"/>
    <w:link w:val="Textodebalo"/>
    <w:uiPriority w:val="99"/>
    <w:rsid w:val="00840B95"/>
    <w:rPr>
      <w:rFonts w:ascii="Tahoma" w:hAnsi="Tahoma" w:cs="Tahoma"/>
      <w:sz w:val="16"/>
      <w:szCs w:val="16"/>
      <w:lang w:eastAsia="zh-CN"/>
    </w:rPr>
  </w:style>
  <w:style w:type="paragraph" w:styleId="Cabealho">
    <w:name w:val="header"/>
    <w:basedOn w:val="Normal"/>
    <w:link w:val="CabealhoCarte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CabealhoCarter">
    <w:name w:val="Cabeçalho Caráter"/>
    <w:link w:val="Cabealho"/>
    <w:uiPriority w:val="99"/>
    <w:rsid w:val="008A4DCC"/>
    <w:rPr>
      <w:rFonts w:ascii="Trebuchet MS" w:eastAsia="Calibri" w:hAnsi="Trebuchet MS" w:cs="Tahoma"/>
      <w:sz w:val="22"/>
      <w:lang w:eastAsia="en-US"/>
    </w:rPr>
  </w:style>
  <w:style w:type="paragraph" w:styleId="Rodap">
    <w:name w:val="footer"/>
    <w:basedOn w:val="Normal"/>
    <w:link w:val="RodapCarter"/>
    <w:uiPriority w:val="99"/>
    <w:rsid w:val="00AD5D5A"/>
    <w:pPr>
      <w:tabs>
        <w:tab w:val="center" w:pos="4513"/>
        <w:tab w:val="right" w:pos="9026"/>
      </w:tabs>
    </w:pPr>
    <w:rPr>
      <w:lang w:val="x-none"/>
    </w:rPr>
  </w:style>
  <w:style w:type="character" w:customStyle="1" w:styleId="RodapCarter">
    <w:name w:val="Rodapé Caráter"/>
    <w:link w:val="Rodap"/>
    <w:uiPriority w:val="99"/>
    <w:rsid w:val="00AD5D5A"/>
    <w:rPr>
      <w:sz w:val="24"/>
      <w:szCs w:val="24"/>
      <w:lang w:eastAsia="zh-CN"/>
    </w:rPr>
  </w:style>
  <w:style w:type="table" w:styleId="TabelacomGrelha">
    <w:name w:val="Table Grid"/>
    <w:basedOn w:val="Tabela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DD4CB8"/>
    <w:rPr>
      <w:rFonts w:ascii="Helvetica" w:hAnsi="Helvetica" w:cs="Helvetica" w:hint="default"/>
      <w:b w:val="0"/>
      <w:bCs w:val="0"/>
      <w:i w:val="0"/>
      <w:iCs w:val="0"/>
      <w:color w:val="000000"/>
      <w:sz w:val="22"/>
      <w:szCs w:val="22"/>
    </w:rPr>
  </w:style>
  <w:style w:type="character" w:customStyle="1" w:styleId="fontstyle21">
    <w:name w:val="fontstyle21"/>
    <w:rsid w:val="00DD4CB8"/>
    <w:rPr>
      <w:rFonts w:ascii="Helvetica" w:hAnsi="Helvetica" w:hint="default"/>
      <w:b w:val="0"/>
      <w:bCs w:val="0"/>
      <w:i w:val="0"/>
      <w:iCs w:val="0"/>
      <w:color w:val="000000"/>
      <w:sz w:val="24"/>
      <w:szCs w:val="24"/>
    </w:rPr>
  </w:style>
  <w:style w:type="character" w:styleId="Hiperligao">
    <w:name w:val="Hyperlink"/>
    <w:rsid w:val="00657941"/>
    <w:rPr>
      <w:color w:val="0563C1"/>
      <w:u w:val="single"/>
    </w:rPr>
  </w:style>
  <w:style w:type="character" w:customStyle="1" w:styleId="MenoNoResolvida1">
    <w:name w:val="Menção Não Resolvida1"/>
    <w:uiPriority w:val="99"/>
    <w:semiHidden/>
    <w:unhideWhenUsed/>
    <w:rsid w:val="00657941"/>
    <w:rPr>
      <w:color w:val="605E5C"/>
      <w:shd w:val="clear" w:color="auto" w:fill="E1DFDD"/>
    </w:rPr>
  </w:style>
  <w:style w:type="paragraph" w:styleId="Textodenotaderodap">
    <w:name w:val="footnote text"/>
    <w:basedOn w:val="Normal"/>
    <w:link w:val="TextodenotaderodapCarter"/>
    <w:uiPriority w:val="99"/>
    <w:rsid w:val="00E731B9"/>
    <w:rPr>
      <w:sz w:val="20"/>
      <w:szCs w:val="20"/>
    </w:rPr>
  </w:style>
  <w:style w:type="character" w:customStyle="1" w:styleId="TextodenotaderodapCarter">
    <w:name w:val="Texto de nota de rodapé Caráter"/>
    <w:basedOn w:val="Tipodeletrapredefinidodopargrafo"/>
    <w:link w:val="Textodenotaderodap"/>
    <w:uiPriority w:val="99"/>
    <w:rsid w:val="00E731B9"/>
    <w:rPr>
      <w:lang w:val="en-GB" w:eastAsia="zh-CN"/>
    </w:rPr>
  </w:style>
  <w:style w:type="character" w:styleId="Refdenotaderodap">
    <w:name w:val="footnote reference"/>
    <w:basedOn w:val="Tipodeletrapredefinidodopargrafo"/>
    <w:uiPriority w:val="99"/>
    <w:rsid w:val="00E731B9"/>
    <w:rPr>
      <w:vertAlign w:val="superscript"/>
    </w:rPr>
  </w:style>
  <w:style w:type="character" w:customStyle="1" w:styleId="MenoNoResolvida2">
    <w:name w:val="Menção Não Resolvida2"/>
    <w:basedOn w:val="Tipodeletrapredefinidodopargrafo"/>
    <w:uiPriority w:val="99"/>
    <w:semiHidden/>
    <w:unhideWhenUsed/>
    <w:rsid w:val="0030504B"/>
    <w:rPr>
      <w:color w:val="605E5C"/>
      <w:shd w:val="clear" w:color="auto" w:fill="E1DFDD"/>
    </w:rPr>
  </w:style>
  <w:style w:type="paragraph" w:styleId="Legenda">
    <w:name w:val="caption"/>
    <w:basedOn w:val="Normal"/>
    <w:next w:val="Normal"/>
    <w:unhideWhenUsed/>
    <w:qFormat/>
    <w:rsid w:val="00A12377"/>
    <w:pPr>
      <w:spacing w:after="200"/>
    </w:pPr>
    <w:rPr>
      <w:i/>
      <w:iCs/>
      <w:color w:val="44546A" w:themeColor="text2"/>
      <w:sz w:val="18"/>
      <w:szCs w:val="18"/>
    </w:rPr>
  </w:style>
  <w:style w:type="paragraph" w:styleId="PargrafodaLista">
    <w:name w:val="List Paragraph"/>
    <w:basedOn w:val="Normal"/>
    <w:uiPriority w:val="34"/>
    <w:qFormat/>
    <w:rsid w:val="004E33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3819929">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g"/><Relationship Id="rId32" Type="http://schemas.openxmlformats.org/officeDocument/2006/relationships/image" Target="media/image23.jp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8"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37563-5158-47E2-AF8E-D7126E396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6392</Words>
  <Characters>34522</Characters>
  <Application>Microsoft Office Word</Application>
  <DocSecurity>0</DocSecurity>
  <Lines>287</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UNIVERSITY OF WALES</vt:lpstr>
      <vt:lpstr>UNIVERSITY OF WALES</vt:lpstr>
    </vt:vector>
  </TitlesOfParts>
  <Company>University of Wales Lampeter</Company>
  <LinksUpToDate>false</LinksUpToDate>
  <CharactersWithSpaces>40833</CharactersWithSpaces>
  <SharedDoc>false</SharedDoc>
  <HLinks>
    <vt:vector size="6" baseType="variant">
      <vt:variant>
        <vt:i4>3670063</vt:i4>
      </vt:variant>
      <vt:variant>
        <vt:i4>10</vt:i4>
      </vt:variant>
      <vt:variant>
        <vt:i4>0</vt:i4>
      </vt:variant>
      <vt:variant>
        <vt:i4>5</vt:i4>
      </vt:variant>
      <vt:variant>
        <vt:lpwstr>http://www.jstor.org/stable/4121268. Accessed 31 Oct. 2020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sara sucena</cp:lastModifiedBy>
  <cp:revision>2</cp:revision>
  <cp:lastPrinted>2021-05-11T18:37:00Z</cp:lastPrinted>
  <dcterms:created xsi:type="dcterms:W3CDTF">2021-05-14T22:55:00Z</dcterms:created>
  <dcterms:modified xsi:type="dcterms:W3CDTF">2021-05-14T22:55:00Z</dcterms:modified>
</cp:coreProperties>
</file>