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27BB50" w14:textId="792F07A5" w:rsidR="00DF74F4" w:rsidRPr="00DF74F4" w:rsidRDefault="00DF74F4" w:rsidP="00DF74F4">
      <w:pPr>
        <w:jc w:val="center"/>
        <w:rPr>
          <w:sz w:val="24"/>
          <w:u w:val="single"/>
        </w:rPr>
      </w:pPr>
      <w:r>
        <w:rPr>
          <w:sz w:val="24"/>
          <w:u w:val="single"/>
        </w:rPr>
        <w:t xml:space="preserve">Discussion of Childe’s Ten Characteristics </w:t>
      </w:r>
      <w:r>
        <w:rPr>
          <w:sz w:val="24"/>
          <w:u w:val="single"/>
        </w:rPr>
        <w:br/>
        <w:t xml:space="preserve">The Development of Exact Practical Sciences </w:t>
      </w:r>
      <w:proofErr w:type="gramStart"/>
      <w:r>
        <w:rPr>
          <w:sz w:val="24"/>
          <w:u w:val="single"/>
        </w:rPr>
        <w:t>In</w:t>
      </w:r>
      <w:proofErr w:type="gramEnd"/>
      <w:r>
        <w:rPr>
          <w:sz w:val="24"/>
          <w:u w:val="single"/>
        </w:rPr>
        <w:t xml:space="preserve"> Persia</w:t>
      </w:r>
    </w:p>
    <w:p w14:paraId="05B50CDB" w14:textId="57036ADE" w:rsidR="005A57B1" w:rsidRDefault="005A57B1">
      <w:r>
        <w:t>Childe worked to differentiate between cites and villages with the use of ten points.</w:t>
      </w:r>
      <w:r w:rsidR="007709F1">
        <w:rPr>
          <w:rStyle w:val="FootnoteReference"/>
        </w:rPr>
        <w:footnoteReference w:id="1"/>
      </w:r>
      <w:r>
        <w:t xml:space="preserve"> He believed that all ten of these points would be present in order to identify a complex society. </w:t>
      </w:r>
      <w:r w:rsidR="00B628A1">
        <w:t>While this list is useful when looking at a society, it does raise some issues. As Trigger points out, the terms used are very loosely defined which makes it difficult to decide which societies would be considered a civilisation.</w:t>
      </w:r>
      <w:r w:rsidR="007709F1">
        <w:rPr>
          <w:rStyle w:val="FootnoteReference"/>
        </w:rPr>
        <w:footnoteReference w:id="2"/>
      </w:r>
      <w:r w:rsidR="00B628A1">
        <w:t xml:space="preserve"> As well as this, some societies may not meet all the criteria. Therefore, if this trait list system was followed rigidly it would exclude some societies that </w:t>
      </w:r>
      <w:proofErr w:type="gramStart"/>
      <w:r w:rsidR="00B628A1">
        <w:t>are considered to be</w:t>
      </w:r>
      <w:proofErr w:type="gramEnd"/>
      <w:r w:rsidR="00B628A1">
        <w:t xml:space="preserve"> a civilisation.</w:t>
      </w:r>
    </w:p>
    <w:p w14:paraId="7D35C29E" w14:textId="30A9307A" w:rsidR="00BB35F9" w:rsidRDefault="00F54537">
      <w:r>
        <w:t>One of the criteria Childe presents is “the development of exact practical sciences”.</w:t>
      </w:r>
      <w:r>
        <w:rPr>
          <w:rStyle w:val="FootnoteReference"/>
        </w:rPr>
        <w:footnoteReference w:id="3"/>
      </w:r>
      <w:r>
        <w:t xml:space="preserve"> This can be seen in the Persian Empire as they </w:t>
      </w:r>
      <w:r w:rsidR="00F601AD">
        <w:t xml:space="preserve">studied areas such as astronomy and medicine. </w:t>
      </w:r>
      <w:r w:rsidR="00FB6899">
        <w:t>Astronomy was notably seen as the most important of the sciences within Persia due to the high level of mathematical knowledge required when studying the subject.</w:t>
      </w:r>
      <w:r w:rsidR="00FB6899">
        <w:rPr>
          <w:rStyle w:val="FootnoteReference"/>
        </w:rPr>
        <w:footnoteReference w:id="4"/>
      </w:r>
      <w:r w:rsidR="00BB35F9">
        <w:t xml:space="preserve"> </w:t>
      </w:r>
      <w:r w:rsidR="006847C4">
        <w:t>As well as this, astronomy, with the use of astrology, was used to help in the understanding of medicine.</w:t>
      </w:r>
      <w:r w:rsidR="00066E85">
        <w:rPr>
          <w:rStyle w:val="FootnoteReference"/>
        </w:rPr>
        <w:footnoteReference w:id="5"/>
      </w:r>
      <w:r w:rsidR="006847C4">
        <w:t xml:space="preserve"> This placed both subjects in high regard.</w:t>
      </w:r>
    </w:p>
    <w:p w14:paraId="0CA5D870" w14:textId="601D0B11" w:rsidR="00FB6899" w:rsidRDefault="00BB35F9">
      <w:r>
        <w:t xml:space="preserve">What can be seen in Persia is that they took influence from the surrounding civilisations of Mesopotamia and Babylonia. </w:t>
      </w:r>
      <w:r w:rsidR="006847C4">
        <w:t xml:space="preserve">Under the rule of </w:t>
      </w:r>
      <w:proofErr w:type="gramStart"/>
      <w:r w:rsidR="008F3AA7">
        <w:t>Cyrus</w:t>
      </w:r>
      <w:proofErr w:type="gramEnd"/>
      <w:r w:rsidR="008F3AA7">
        <w:t xml:space="preserve"> the Great, Zoroastrian magi traded ideas with Babylonian astronomers.</w:t>
      </w:r>
      <w:r w:rsidR="008F3AA7">
        <w:rPr>
          <w:rStyle w:val="FootnoteReference"/>
        </w:rPr>
        <w:footnoteReference w:id="6"/>
      </w:r>
      <w:r w:rsidR="00CD7E63">
        <w:t xml:space="preserve"> </w:t>
      </w:r>
      <w:r w:rsidR="002F54F6">
        <w:t>Although they were said to be skilled astronomers in their own right</w:t>
      </w:r>
      <w:r w:rsidR="00CD7E63">
        <w:rPr>
          <w:rStyle w:val="FootnoteReference"/>
        </w:rPr>
        <w:footnoteReference w:id="7"/>
      </w:r>
      <w:r w:rsidR="00CD7E63">
        <w:t xml:space="preserve">, little is known about the studies of Persian astronomy before this time. </w:t>
      </w:r>
      <w:r w:rsidR="00B97628">
        <w:t>Any evidence ava</w:t>
      </w:r>
      <w:r w:rsidR="00377AA4">
        <w:t>ilable for the study of astronomy comes from Mesopotamian texts.</w:t>
      </w:r>
      <w:r w:rsidR="00EB0927">
        <w:t xml:space="preserve"> </w:t>
      </w:r>
      <w:r w:rsidR="006C5290">
        <w:t xml:space="preserve">This link </w:t>
      </w:r>
      <w:r w:rsidR="00A36CCC">
        <w:t>of astronomy shows the similarities that occurred b</w:t>
      </w:r>
      <w:r w:rsidR="00A36CCC">
        <w:t>etween the civilisations of the ancient near east</w:t>
      </w:r>
      <w:r w:rsidR="00A36CCC">
        <w:t xml:space="preserve"> and how they interacted with each other.</w:t>
      </w:r>
      <w:r w:rsidR="00122CB5">
        <w:t xml:space="preserve"> </w:t>
      </w:r>
      <w:r w:rsidR="00317333">
        <w:t>As well as this, it shows how the methods of early astronomy entered into the Persian empire and developed their knowledge of the solar system.</w:t>
      </w:r>
    </w:p>
    <w:p w14:paraId="3DB55813" w14:textId="6E7DB27F" w:rsidR="00BC725D" w:rsidRDefault="00753F8A">
      <w:r>
        <w:t xml:space="preserve">The study of astronomy in Ancient Persia also went hand in hand with the study of astrology and the predictions made were used for religious purposes. </w:t>
      </w:r>
      <w:r w:rsidR="00317333">
        <w:t>The study of astronomy and looking at the cosmological movement of the sky was done by Zoroastrian magi within the Persian empire.</w:t>
      </w:r>
      <w:r w:rsidR="00317333">
        <w:rPr>
          <w:rStyle w:val="FootnoteReference"/>
        </w:rPr>
        <w:footnoteReference w:id="8"/>
      </w:r>
      <w:r w:rsidR="00900D61">
        <w:t xml:space="preserve"> This could then be seen to develop into the study of the stars when looking in a religious perspective. Astronomy looks at celestial events and can be used to predict when similar events may occur. In the same vein, astronomy can use these predicted celestial events to interpret what will happen in a spiritual sense. The Zoroastrian magi would have most likely looked at </w:t>
      </w:r>
      <w:proofErr w:type="gramStart"/>
      <w:r w:rsidR="00900D61">
        <w:t>both of these</w:t>
      </w:r>
      <w:proofErr w:type="gramEnd"/>
      <w:r w:rsidR="00900D61">
        <w:t xml:space="preserve"> aspects and put forward ideas as to what was happening both in the skies as well as what was wanted by their god.</w:t>
      </w:r>
    </w:p>
    <w:p w14:paraId="67359C15" w14:textId="2000B18B" w:rsidR="00900D61" w:rsidRDefault="00900D61">
      <w:r>
        <w:t xml:space="preserve">Mathematical astronomy emerged in Persia during the </w:t>
      </w:r>
      <w:proofErr w:type="spellStart"/>
      <w:r>
        <w:t>Selucid</w:t>
      </w:r>
      <w:proofErr w:type="spellEnd"/>
      <w:r>
        <w:t xml:space="preserve"> period where astronomers would use mathematics to predict </w:t>
      </w:r>
      <w:r w:rsidR="002E3866">
        <w:t>celestial events.</w:t>
      </w:r>
      <w:r w:rsidR="002E3866">
        <w:rPr>
          <w:rStyle w:val="FootnoteReference"/>
        </w:rPr>
        <w:footnoteReference w:id="9"/>
      </w:r>
      <w:r w:rsidR="002E3866">
        <w:t xml:space="preserve"> These mathematical functions were developed and used primarily by the Babylonian astronomers</w:t>
      </w:r>
      <w:r w:rsidR="002E3866">
        <w:rPr>
          <w:rStyle w:val="FootnoteReference"/>
        </w:rPr>
        <w:footnoteReference w:id="10"/>
      </w:r>
      <w:r w:rsidR="002E3866">
        <w:t xml:space="preserve"> but would have most likely been used by Persian astronomers as well. Using these functions, astronomers would have been able to predict the movements of the known planets</w:t>
      </w:r>
      <w:r w:rsidR="002E3866">
        <w:rPr>
          <w:rStyle w:val="FootnoteReference"/>
        </w:rPr>
        <w:footnoteReference w:id="11"/>
      </w:r>
      <w:r w:rsidR="002E3866">
        <w:t xml:space="preserve">. This is a major development in practical sciences and would </w:t>
      </w:r>
      <w:r w:rsidR="002E3866">
        <w:lastRenderedPageBreak/>
        <w:t>show the great mathematical intelligence held by the astronomers of the Persian empire to be able to predict such events.</w:t>
      </w:r>
    </w:p>
    <w:p w14:paraId="56BB8B30" w14:textId="7CAB69B6" w:rsidR="00DF74F4" w:rsidRDefault="002E3866">
      <w:r>
        <w:t xml:space="preserve">In the same period, an astronomer known as </w:t>
      </w:r>
      <w:proofErr w:type="spellStart"/>
      <w:r>
        <w:t>Selucius</w:t>
      </w:r>
      <w:proofErr w:type="spellEnd"/>
      <w:r>
        <w:t xml:space="preserve"> of </w:t>
      </w:r>
      <w:proofErr w:type="spellStart"/>
      <w:r>
        <w:t>Selucia</w:t>
      </w:r>
      <w:proofErr w:type="spellEnd"/>
      <w:r>
        <w:t xml:space="preserve"> developed a heliocentric model of the solar system</w:t>
      </w:r>
      <w:r>
        <w:rPr>
          <w:rStyle w:val="FootnoteReference"/>
        </w:rPr>
        <w:footnoteReference w:id="12"/>
      </w:r>
      <w:r w:rsidR="00DF74F4">
        <w:t>, the model by which the sun is placed in the centre. It is said that he came to this conclusion by his study of tides and the impact of the sun and moon upon them.</w:t>
      </w:r>
      <w:r w:rsidR="00DF74F4">
        <w:rPr>
          <w:rStyle w:val="FootnoteReference"/>
        </w:rPr>
        <w:footnoteReference w:id="13"/>
      </w:r>
      <w:r w:rsidR="00DF74F4">
        <w:t xml:space="preserve"> His model would be rejected by Greek scholars</w:t>
      </w:r>
      <w:r w:rsidR="00DF74F4">
        <w:rPr>
          <w:rStyle w:val="FootnoteReference"/>
        </w:rPr>
        <w:footnoteReference w:id="14"/>
      </w:r>
      <w:r w:rsidR="00DF74F4">
        <w:t>. However, this again shows the mathematical and scientific intelligence held by the Persian astronomers and the evidence available for their study and research shows how they developed exact practical sciences, especially in this field.</w:t>
      </w:r>
    </w:p>
    <w:p w14:paraId="638979DF" w14:textId="1C4544B2" w:rsidR="00244E4B" w:rsidRDefault="004B44C7" w:rsidP="002E3866">
      <w:r>
        <w:t>Ancient Persia has</w:t>
      </w:r>
      <w:r w:rsidR="002E3866">
        <w:t xml:space="preserve"> also</w:t>
      </w:r>
      <w:r>
        <w:t xml:space="preserve"> been attributed with the development of the first hospital. The modern interpretation of the hospital comes from the ones created by Persia.</w:t>
      </w:r>
      <w:r>
        <w:rPr>
          <w:rStyle w:val="FootnoteReference"/>
        </w:rPr>
        <w:footnoteReference w:id="15"/>
      </w:r>
      <w:r>
        <w:t xml:space="preserve"> </w:t>
      </w:r>
      <w:r w:rsidR="003A69A4">
        <w:t>These hospitals would be a hub for medical research and knowledge. In them, Persian doctors would continue the study of methods used at the time, modify what they knew through experiences gained and published their research for the use of others.</w:t>
      </w:r>
      <w:r w:rsidR="003A69A4">
        <w:rPr>
          <w:rStyle w:val="FootnoteReference"/>
        </w:rPr>
        <w:footnoteReference w:id="16"/>
      </w:r>
      <w:r w:rsidR="003A69A4">
        <w:t xml:space="preserve"> </w:t>
      </w:r>
      <w:r w:rsidR="000300DC">
        <w:t>This way of study and practise would push medical developments within Persia</w:t>
      </w:r>
      <w:r w:rsidR="0022384F">
        <w:t xml:space="preserve"> and improve the </w:t>
      </w:r>
      <w:r w:rsidR="00122CB5">
        <w:t xml:space="preserve">quality of life for the citizens of the civilisation. The creation of hospitals </w:t>
      </w:r>
      <w:proofErr w:type="gramStart"/>
      <w:r w:rsidR="00122CB5">
        <w:t>can be seen as</w:t>
      </w:r>
      <w:proofErr w:type="gramEnd"/>
      <w:r w:rsidR="00122CB5">
        <w:t xml:space="preserve"> part of the development of “exact practical sciences”</w:t>
      </w:r>
      <w:r w:rsidR="00122CB5">
        <w:rPr>
          <w:rStyle w:val="FootnoteReference"/>
        </w:rPr>
        <w:footnoteReference w:id="17"/>
      </w:r>
      <w:r w:rsidR="00122CB5">
        <w:t xml:space="preserve"> as they helped improve the knowledge of the human body and how different medicines helped in the treatment of illnesses.</w:t>
      </w:r>
      <w:r w:rsidR="002E3866">
        <w:t xml:space="preserve"> </w:t>
      </w:r>
    </w:p>
    <w:p w14:paraId="28692EF7" w14:textId="41826960" w:rsidR="00DF74F4" w:rsidRDefault="00DF74F4" w:rsidP="002E3866">
      <w:pPr>
        <w:rPr>
          <w:u w:val="single"/>
        </w:rPr>
      </w:pPr>
      <w:r>
        <w:rPr>
          <w:u w:val="single"/>
        </w:rPr>
        <w:t>Bibliography</w:t>
      </w:r>
    </w:p>
    <w:p w14:paraId="43115A99" w14:textId="7EA99537" w:rsidR="00DF74F4" w:rsidRDefault="00DF74F4" w:rsidP="002E3866">
      <w:proofErr w:type="spellStart"/>
      <w:r>
        <w:t>Elgood</w:t>
      </w:r>
      <w:proofErr w:type="spellEnd"/>
      <w:r>
        <w:t xml:space="preserve">, C (1953) ‘Persian Science’, in </w:t>
      </w:r>
      <w:proofErr w:type="spellStart"/>
      <w:r>
        <w:t>Arberry</w:t>
      </w:r>
      <w:proofErr w:type="spellEnd"/>
      <w:r>
        <w:t>, A. J (ed.)</w:t>
      </w:r>
      <w:r w:rsidR="00897802">
        <w:t xml:space="preserve"> </w:t>
      </w:r>
      <w:r w:rsidR="00897802">
        <w:rPr>
          <w:i/>
        </w:rPr>
        <w:t>The Legacy of Persia</w:t>
      </w:r>
      <w:r>
        <w:t xml:space="preserve"> Oxford: Clar</w:t>
      </w:r>
      <w:r w:rsidR="00897802">
        <w:t>endon Press</w:t>
      </w:r>
    </w:p>
    <w:p w14:paraId="588A9A51" w14:textId="2B670BB3" w:rsidR="00897802" w:rsidRDefault="00897802" w:rsidP="002E3866">
      <w:r>
        <w:t xml:space="preserve">Shuttleworth, M (2010) </w:t>
      </w:r>
      <w:r>
        <w:rPr>
          <w:i/>
        </w:rPr>
        <w:t xml:space="preserve">Mesopotamian Astronomy </w:t>
      </w:r>
      <w:r>
        <w:t>Available at:</w:t>
      </w:r>
      <w:r w:rsidRPr="00897802">
        <w:t xml:space="preserve"> </w:t>
      </w:r>
      <w:hyperlink r:id="rId8" w:history="1">
        <w:r w:rsidRPr="000B3BE2">
          <w:rPr>
            <w:rStyle w:val="Hyperlink"/>
          </w:rPr>
          <w:t>https://explorable.com/mesopotamian-astronomy</w:t>
        </w:r>
      </w:hyperlink>
      <w:r>
        <w:t xml:space="preserve"> (Accessed: 21/01/2019)</w:t>
      </w:r>
    </w:p>
    <w:p w14:paraId="2B38A3ED" w14:textId="03B08BC6" w:rsidR="00897802" w:rsidRPr="00897802" w:rsidRDefault="00897802" w:rsidP="002E3866">
      <w:r>
        <w:t xml:space="preserve">Trigger, B. G (2003) </w:t>
      </w:r>
      <w:r>
        <w:rPr>
          <w:i/>
        </w:rPr>
        <w:t xml:space="preserve">Understanding Early Civilisations: A Comparative Study </w:t>
      </w:r>
      <w:r>
        <w:t>Cambridge: Cambridge University Press</w:t>
      </w:r>
      <w:bookmarkStart w:id="0" w:name="_GoBack"/>
      <w:bookmarkEnd w:id="0"/>
    </w:p>
    <w:sectPr w:rsidR="00897802" w:rsidRPr="008978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C6156D" w14:textId="77777777" w:rsidR="00217968" w:rsidRDefault="00217968" w:rsidP="007709F1">
      <w:pPr>
        <w:spacing w:after="0" w:line="240" w:lineRule="auto"/>
      </w:pPr>
      <w:r>
        <w:separator/>
      </w:r>
    </w:p>
  </w:endnote>
  <w:endnote w:type="continuationSeparator" w:id="0">
    <w:p w14:paraId="55535E64" w14:textId="77777777" w:rsidR="00217968" w:rsidRDefault="00217968" w:rsidP="007709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DD65AE" w14:textId="77777777" w:rsidR="00217968" w:rsidRDefault="00217968" w:rsidP="007709F1">
      <w:pPr>
        <w:spacing w:after="0" w:line="240" w:lineRule="auto"/>
      </w:pPr>
      <w:r>
        <w:separator/>
      </w:r>
    </w:p>
  </w:footnote>
  <w:footnote w:type="continuationSeparator" w:id="0">
    <w:p w14:paraId="694D18CE" w14:textId="77777777" w:rsidR="00217968" w:rsidRDefault="00217968" w:rsidP="007709F1">
      <w:pPr>
        <w:spacing w:after="0" w:line="240" w:lineRule="auto"/>
      </w:pPr>
      <w:r>
        <w:continuationSeparator/>
      </w:r>
    </w:p>
  </w:footnote>
  <w:footnote w:id="1">
    <w:p w14:paraId="7B3FAA0E" w14:textId="76CD1262" w:rsidR="007709F1" w:rsidRDefault="007709F1">
      <w:pPr>
        <w:pStyle w:val="FootnoteText"/>
      </w:pPr>
      <w:r>
        <w:rPr>
          <w:rStyle w:val="FootnoteReference"/>
        </w:rPr>
        <w:footnoteRef/>
      </w:r>
      <w:r>
        <w:t xml:space="preserve"> Childe, 1950</w:t>
      </w:r>
      <w:r w:rsidR="00122CB5">
        <w:t>. C</w:t>
      </w:r>
      <w:r>
        <w:t>ited in Trigger, 2003, p. 43</w:t>
      </w:r>
    </w:p>
  </w:footnote>
  <w:footnote w:id="2">
    <w:p w14:paraId="34DE2147" w14:textId="06AF70D9" w:rsidR="007709F1" w:rsidRDefault="007709F1">
      <w:pPr>
        <w:pStyle w:val="FootnoteText"/>
      </w:pPr>
      <w:r>
        <w:rPr>
          <w:rStyle w:val="FootnoteReference"/>
        </w:rPr>
        <w:footnoteRef/>
      </w:r>
      <w:r>
        <w:t xml:space="preserve"> Trigger, 2003, pp. 43-44</w:t>
      </w:r>
    </w:p>
  </w:footnote>
  <w:footnote w:id="3">
    <w:p w14:paraId="41F87277" w14:textId="7D8C33E2" w:rsidR="00F54537" w:rsidRDefault="00F54537">
      <w:pPr>
        <w:pStyle w:val="FootnoteText"/>
      </w:pPr>
      <w:r>
        <w:rPr>
          <w:rStyle w:val="FootnoteReference"/>
        </w:rPr>
        <w:footnoteRef/>
      </w:r>
      <w:r>
        <w:t xml:space="preserve"> Childe, 1950. Cited in Trigger, 2003, p. 43</w:t>
      </w:r>
    </w:p>
  </w:footnote>
  <w:footnote w:id="4">
    <w:p w14:paraId="7CF20BC6" w14:textId="49556E0E" w:rsidR="00FB6899" w:rsidRDefault="00FB6899">
      <w:pPr>
        <w:pStyle w:val="FootnoteText"/>
      </w:pPr>
      <w:r>
        <w:rPr>
          <w:rStyle w:val="FootnoteReference"/>
        </w:rPr>
        <w:footnoteRef/>
      </w:r>
      <w:r>
        <w:t xml:space="preserve"> </w:t>
      </w:r>
      <w:proofErr w:type="spellStart"/>
      <w:r w:rsidR="00DF74F4">
        <w:t>Elgood</w:t>
      </w:r>
      <w:proofErr w:type="spellEnd"/>
      <w:r>
        <w:t>, 1953</w:t>
      </w:r>
      <w:r w:rsidR="00317333">
        <w:t xml:space="preserve">, p. </w:t>
      </w:r>
      <w:r w:rsidR="00900D61">
        <w:t>303</w:t>
      </w:r>
    </w:p>
  </w:footnote>
  <w:footnote w:id="5">
    <w:p w14:paraId="65B57396" w14:textId="47083792" w:rsidR="00066E85" w:rsidRDefault="00066E85" w:rsidP="00066E85">
      <w:pPr>
        <w:pStyle w:val="FootnoteText"/>
        <w:tabs>
          <w:tab w:val="left" w:pos="1545"/>
        </w:tabs>
      </w:pPr>
      <w:r>
        <w:rPr>
          <w:rStyle w:val="FootnoteReference"/>
        </w:rPr>
        <w:footnoteRef/>
      </w:r>
      <w:r>
        <w:t xml:space="preserve"> </w:t>
      </w:r>
      <w:proofErr w:type="spellStart"/>
      <w:r w:rsidR="00DF74F4">
        <w:t>Elgood</w:t>
      </w:r>
      <w:proofErr w:type="spellEnd"/>
      <w:r>
        <w:t>, 1953</w:t>
      </w:r>
      <w:r w:rsidR="00900D61">
        <w:t>, p. 302</w:t>
      </w:r>
    </w:p>
  </w:footnote>
  <w:footnote w:id="6">
    <w:p w14:paraId="0442D951" w14:textId="157AB698" w:rsidR="008F3AA7" w:rsidRDefault="008F3AA7">
      <w:pPr>
        <w:pStyle w:val="FootnoteText"/>
      </w:pPr>
      <w:r>
        <w:rPr>
          <w:rStyle w:val="FootnoteReference"/>
        </w:rPr>
        <w:footnoteRef/>
      </w:r>
      <w:r>
        <w:t xml:space="preserve"> Shuttleworth, 2010</w:t>
      </w:r>
    </w:p>
  </w:footnote>
  <w:footnote w:id="7">
    <w:p w14:paraId="35A53AB2" w14:textId="698FC0EC" w:rsidR="00CD7E63" w:rsidRDefault="00CD7E63">
      <w:pPr>
        <w:pStyle w:val="FootnoteText"/>
      </w:pPr>
      <w:r>
        <w:rPr>
          <w:rStyle w:val="FootnoteReference"/>
        </w:rPr>
        <w:footnoteRef/>
      </w:r>
      <w:r>
        <w:t xml:space="preserve"> Shuttleworth, 2010</w:t>
      </w:r>
    </w:p>
  </w:footnote>
  <w:footnote w:id="8">
    <w:p w14:paraId="41F50A8D" w14:textId="5ED47CF5" w:rsidR="00317333" w:rsidRDefault="00317333">
      <w:pPr>
        <w:pStyle w:val="FootnoteText"/>
      </w:pPr>
      <w:r>
        <w:rPr>
          <w:rStyle w:val="FootnoteReference"/>
        </w:rPr>
        <w:footnoteRef/>
      </w:r>
      <w:r>
        <w:t xml:space="preserve"> Shuttleworth, 2010</w:t>
      </w:r>
    </w:p>
  </w:footnote>
  <w:footnote w:id="9">
    <w:p w14:paraId="10206F8C" w14:textId="362CEB7E" w:rsidR="002E3866" w:rsidRDefault="002E3866">
      <w:pPr>
        <w:pStyle w:val="FootnoteText"/>
      </w:pPr>
      <w:r>
        <w:rPr>
          <w:rStyle w:val="FootnoteReference"/>
        </w:rPr>
        <w:footnoteRef/>
      </w:r>
      <w:r>
        <w:t xml:space="preserve"> Shuttleworth, 2010</w:t>
      </w:r>
    </w:p>
  </w:footnote>
  <w:footnote w:id="10">
    <w:p w14:paraId="082D7120" w14:textId="166758E1" w:rsidR="002E3866" w:rsidRDefault="002E3866">
      <w:pPr>
        <w:pStyle w:val="FootnoteText"/>
      </w:pPr>
      <w:r>
        <w:rPr>
          <w:rStyle w:val="FootnoteReference"/>
        </w:rPr>
        <w:footnoteRef/>
      </w:r>
      <w:r>
        <w:t xml:space="preserve"> Shuttleworth, 2010</w:t>
      </w:r>
    </w:p>
  </w:footnote>
  <w:footnote w:id="11">
    <w:p w14:paraId="5E8D7A20" w14:textId="1FB8A50A" w:rsidR="002E3866" w:rsidRDefault="002E3866">
      <w:pPr>
        <w:pStyle w:val="FootnoteText"/>
      </w:pPr>
      <w:r>
        <w:rPr>
          <w:rStyle w:val="FootnoteReference"/>
        </w:rPr>
        <w:footnoteRef/>
      </w:r>
      <w:r>
        <w:t xml:space="preserve"> Shuttleworth, 2010</w:t>
      </w:r>
    </w:p>
  </w:footnote>
  <w:footnote w:id="12">
    <w:p w14:paraId="7E130854" w14:textId="7EA25653" w:rsidR="002E3866" w:rsidRDefault="002E3866">
      <w:pPr>
        <w:pStyle w:val="FootnoteText"/>
      </w:pPr>
      <w:r>
        <w:rPr>
          <w:rStyle w:val="FootnoteReference"/>
        </w:rPr>
        <w:footnoteRef/>
      </w:r>
      <w:r>
        <w:t xml:space="preserve"> Shuttleworth, 2010</w:t>
      </w:r>
    </w:p>
  </w:footnote>
  <w:footnote w:id="13">
    <w:p w14:paraId="4CC25E9C" w14:textId="11EAFCB2" w:rsidR="00DF74F4" w:rsidRDefault="00DF74F4">
      <w:pPr>
        <w:pStyle w:val="FootnoteText"/>
      </w:pPr>
      <w:r>
        <w:rPr>
          <w:rStyle w:val="FootnoteReference"/>
        </w:rPr>
        <w:footnoteRef/>
      </w:r>
      <w:r>
        <w:t xml:space="preserve"> Shuttleworth, 2010</w:t>
      </w:r>
    </w:p>
  </w:footnote>
  <w:footnote w:id="14">
    <w:p w14:paraId="090F93B9" w14:textId="25314E14" w:rsidR="00DF74F4" w:rsidRDefault="00DF74F4">
      <w:pPr>
        <w:pStyle w:val="FootnoteText"/>
      </w:pPr>
      <w:r>
        <w:rPr>
          <w:rStyle w:val="FootnoteReference"/>
        </w:rPr>
        <w:footnoteRef/>
      </w:r>
      <w:r>
        <w:t xml:space="preserve"> Shuttleworth, 2010</w:t>
      </w:r>
    </w:p>
  </w:footnote>
  <w:footnote w:id="15">
    <w:p w14:paraId="3F349FBE" w14:textId="76E45AB3" w:rsidR="004B44C7" w:rsidRDefault="004B44C7">
      <w:pPr>
        <w:pStyle w:val="FootnoteText"/>
      </w:pPr>
      <w:r>
        <w:rPr>
          <w:rStyle w:val="FootnoteReference"/>
        </w:rPr>
        <w:footnoteRef/>
      </w:r>
      <w:r>
        <w:t xml:space="preserve"> </w:t>
      </w:r>
      <w:proofErr w:type="spellStart"/>
      <w:r w:rsidR="00DF74F4">
        <w:t>Elgood</w:t>
      </w:r>
      <w:proofErr w:type="spellEnd"/>
      <w:r>
        <w:t>, 1953</w:t>
      </w:r>
      <w:r w:rsidR="00900D61">
        <w:t>, p. 311</w:t>
      </w:r>
    </w:p>
  </w:footnote>
  <w:footnote w:id="16">
    <w:p w14:paraId="47C4FED2" w14:textId="7D30F8BD" w:rsidR="003A69A4" w:rsidRDefault="003A69A4">
      <w:pPr>
        <w:pStyle w:val="FootnoteText"/>
      </w:pPr>
      <w:r>
        <w:rPr>
          <w:rStyle w:val="FootnoteReference"/>
        </w:rPr>
        <w:footnoteRef/>
      </w:r>
      <w:r>
        <w:t xml:space="preserve"> </w:t>
      </w:r>
      <w:proofErr w:type="spellStart"/>
      <w:r w:rsidR="00DF74F4">
        <w:t>Elgood</w:t>
      </w:r>
      <w:proofErr w:type="spellEnd"/>
      <w:r>
        <w:t xml:space="preserve">, 1953, </w:t>
      </w:r>
      <w:r w:rsidR="00900D61">
        <w:t xml:space="preserve">p. </w:t>
      </w:r>
      <w:r>
        <w:t>311</w:t>
      </w:r>
    </w:p>
  </w:footnote>
  <w:footnote w:id="17">
    <w:p w14:paraId="2EDBA539" w14:textId="7AB8543A" w:rsidR="00122CB5" w:rsidRDefault="00122CB5">
      <w:pPr>
        <w:pStyle w:val="FootnoteText"/>
      </w:pPr>
      <w:r>
        <w:rPr>
          <w:rStyle w:val="FootnoteReference"/>
        </w:rPr>
        <w:footnoteRef/>
      </w:r>
      <w:r>
        <w:t xml:space="preserve"> Childe, 1950. Cited in Trigger, 2003, p. 43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F44D73"/>
    <w:multiLevelType w:val="hybridMultilevel"/>
    <w:tmpl w:val="F95E1384"/>
    <w:lvl w:ilvl="0" w:tplc="E59C1F8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E25805"/>
    <w:multiLevelType w:val="hybridMultilevel"/>
    <w:tmpl w:val="6D00FDF8"/>
    <w:lvl w:ilvl="0" w:tplc="2FBCAB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7B1"/>
    <w:rsid w:val="000300DC"/>
    <w:rsid w:val="00066E85"/>
    <w:rsid w:val="000F29CD"/>
    <w:rsid w:val="00122CB5"/>
    <w:rsid w:val="001302BD"/>
    <w:rsid w:val="00217968"/>
    <w:rsid w:val="0022384F"/>
    <w:rsid w:val="00244E4B"/>
    <w:rsid w:val="0025701E"/>
    <w:rsid w:val="002E3866"/>
    <w:rsid w:val="002F54F6"/>
    <w:rsid w:val="00317333"/>
    <w:rsid w:val="00377AA4"/>
    <w:rsid w:val="003A69A4"/>
    <w:rsid w:val="0043694D"/>
    <w:rsid w:val="004B44C7"/>
    <w:rsid w:val="005518AA"/>
    <w:rsid w:val="005A57B1"/>
    <w:rsid w:val="00673C38"/>
    <w:rsid w:val="006847C4"/>
    <w:rsid w:val="006C5290"/>
    <w:rsid w:val="00732046"/>
    <w:rsid w:val="00753F8A"/>
    <w:rsid w:val="007709F1"/>
    <w:rsid w:val="00860973"/>
    <w:rsid w:val="00897802"/>
    <w:rsid w:val="008A6EC7"/>
    <w:rsid w:val="008D6E02"/>
    <w:rsid w:val="008F3AA7"/>
    <w:rsid w:val="00900D61"/>
    <w:rsid w:val="00A36CCC"/>
    <w:rsid w:val="00AC1DD2"/>
    <w:rsid w:val="00B628A1"/>
    <w:rsid w:val="00B97628"/>
    <w:rsid w:val="00BB35F9"/>
    <w:rsid w:val="00BC725D"/>
    <w:rsid w:val="00CB16F6"/>
    <w:rsid w:val="00CD6AA7"/>
    <w:rsid w:val="00CD7E63"/>
    <w:rsid w:val="00D83723"/>
    <w:rsid w:val="00DF74F4"/>
    <w:rsid w:val="00EB0927"/>
    <w:rsid w:val="00F5372A"/>
    <w:rsid w:val="00F54537"/>
    <w:rsid w:val="00F601AD"/>
    <w:rsid w:val="00FB68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0924A"/>
  <w15:chartTrackingRefBased/>
  <w15:docId w15:val="{A5E92854-4C66-49F6-9729-C06DAF0AB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709F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709F1"/>
    <w:rPr>
      <w:sz w:val="20"/>
      <w:szCs w:val="20"/>
    </w:rPr>
  </w:style>
  <w:style w:type="character" w:styleId="FootnoteReference">
    <w:name w:val="footnote reference"/>
    <w:basedOn w:val="DefaultParagraphFont"/>
    <w:uiPriority w:val="99"/>
    <w:semiHidden/>
    <w:unhideWhenUsed/>
    <w:rsid w:val="007709F1"/>
    <w:rPr>
      <w:vertAlign w:val="superscript"/>
    </w:rPr>
  </w:style>
  <w:style w:type="paragraph" w:styleId="ListParagraph">
    <w:name w:val="List Paragraph"/>
    <w:basedOn w:val="Normal"/>
    <w:uiPriority w:val="34"/>
    <w:qFormat/>
    <w:rsid w:val="00244E4B"/>
    <w:pPr>
      <w:ind w:left="720"/>
      <w:contextualSpacing/>
    </w:pPr>
  </w:style>
  <w:style w:type="character" w:styleId="Hyperlink">
    <w:name w:val="Hyperlink"/>
    <w:basedOn w:val="DefaultParagraphFont"/>
    <w:uiPriority w:val="99"/>
    <w:unhideWhenUsed/>
    <w:rsid w:val="00897802"/>
    <w:rPr>
      <w:color w:val="0563C1" w:themeColor="hyperlink"/>
      <w:u w:val="single"/>
    </w:rPr>
  </w:style>
  <w:style w:type="character" w:styleId="UnresolvedMention">
    <w:name w:val="Unresolved Mention"/>
    <w:basedOn w:val="DefaultParagraphFont"/>
    <w:uiPriority w:val="99"/>
    <w:semiHidden/>
    <w:unhideWhenUsed/>
    <w:rsid w:val="008978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plorable.com/mesopotamian-astronomy"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1EAFB9-24D1-42B7-9359-396DB9C113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452</TotalTime>
  <Pages>2</Pages>
  <Words>757</Words>
  <Characters>4316</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Watts-Robinson</dc:creator>
  <cp:keywords/>
  <dc:description/>
  <cp:lastModifiedBy>Rhiannon Watts-Robinson</cp:lastModifiedBy>
  <cp:revision>5</cp:revision>
  <dcterms:created xsi:type="dcterms:W3CDTF">2019-01-17T11:28:00Z</dcterms:created>
  <dcterms:modified xsi:type="dcterms:W3CDTF">2019-01-25T18:29:00Z</dcterms:modified>
</cp:coreProperties>
</file>