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2BE8" w:rsidRPr="004F27E3" w:rsidRDefault="00892BE8" w:rsidP="00892BE8">
      <w:pPr>
        <w:jc w:val="center"/>
        <w:rPr>
          <w:b/>
          <w:sz w:val="24"/>
          <w:szCs w:val="24"/>
          <w:u w:val="single"/>
        </w:rPr>
      </w:pPr>
      <w:r w:rsidRPr="004F27E3">
        <w:rPr>
          <w:b/>
          <w:sz w:val="24"/>
          <w:szCs w:val="24"/>
          <w:u w:val="single"/>
        </w:rPr>
        <w:t>A visit to Skanda Vale: The ins and outs of the Ashram</w:t>
      </w:r>
    </w:p>
    <w:p w:rsidR="00220222" w:rsidRDefault="00220222" w:rsidP="00220222">
      <w:pPr>
        <w:rPr>
          <w:b/>
          <w:sz w:val="24"/>
          <w:szCs w:val="24"/>
        </w:rPr>
      </w:pPr>
    </w:p>
    <w:p w:rsidR="00220222" w:rsidRDefault="00220222" w:rsidP="00220222">
      <w:pPr>
        <w:rPr>
          <w:b/>
          <w:sz w:val="24"/>
          <w:szCs w:val="24"/>
        </w:rPr>
      </w:pPr>
      <w:r>
        <w:rPr>
          <w:b/>
          <w:sz w:val="24"/>
          <w:szCs w:val="24"/>
        </w:rPr>
        <w:t>Introduction</w:t>
      </w:r>
    </w:p>
    <w:p w:rsidR="00220222" w:rsidRDefault="00220222" w:rsidP="00220222">
      <w:pPr>
        <w:rPr>
          <w:sz w:val="24"/>
          <w:szCs w:val="24"/>
        </w:rPr>
      </w:pPr>
      <w:r>
        <w:rPr>
          <w:sz w:val="24"/>
          <w:szCs w:val="24"/>
        </w:rPr>
        <w:t xml:space="preserve">Within this </w:t>
      </w:r>
      <w:r w:rsidR="00002FDA">
        <w:rPr>
          <w:sz w:val="24"/>
          <w:szCs w:val="24"/>
        </w:rPr>
        <w:t xml:space="preserve">research </w:t>
      </w:r>
      <w:r>
        <w:rPr>
          <w:sz w:val="24"/>
          <w:szCs w:val="24"/>
        </w:rPr>
        <w:t xml:space="preserve">fieldwork </w:t>
      </w:r>
      <w:r w:rsidR="0099405E">
        <w:rPr>
          <w:sz w:val="24"/>
          <w:szCs w:val="24"/>
        </w:rPr>
        <w:t>project,</w:t>
      </w:r>
      <w:r w:rsidR="00F83D6B">
        <w:rPr>
          <w:sz w:val="24"/>
          <w:szCs w:val="24"/>
        </w:rPr>
        <w:t xml:space="preserve"> </w:t>
      </w:r>
      <w:r>
        <w:rPr>
          <w:sz w:val="24"/>
          <w:szCs w:val="24"/>
        </w:rPr>
        <w:t>I visited the ashram Skanda Vale with other students from my class</w:t>
      </w:r>
      <w:r w:rsidR="00F4703F">
        <w:rPr>
          <w:sz w:val="24"/>
          <w:szCs w:val="24"/>
        </w:rPr>
        <w:t xml:space="preserve"> as part of the first year of my degree</w:t>
      </w:r>
      <w:r>
        <w:rPr>
          <w:sz w:val="24"/>
          <w:szCs w:val="24"/>
        </w:rPr>
        <w:t xml:space="preserve">. Skanda Vale is a multi-faith ashram set in the rural welsh countryside </w:t>
      </w:r>
      <w:r w:rsidR="0024618F">
        <w:rPr>
          <w:sz w:val="24"/>
          <w:szCs w:val="24"/>
        </w:rPr>
        <w:t xml:space="preserve">in Carmarthenshire, </w:t>
      </w:r>
      <w:r>
        <w:rPr>
          <w:sz w:val="24"/>
          <w:szCs w:val="24"/>
        </w:rPr>
        <w:t xml:space="preserve">approximately </w:t>
      </w:r>
      <w:r w:rsidR="00ED35B2">
        <w:rPr>
          <w:sz w:val="24"/>
          <w:szCs w:val="24"/>
        </w:rPr>
        <w:t>forty</w:t>
      </w:r>
      <w:r>
        <w:rPr>
          <w:sz w:val="24"/>
          <w:szCs w:val="24"/>
        </w:rPr>
        <w:t xml:space="preserve"> minutes from Lampeter University. Skanda Vale was opened in 1973 by Guru Sri Subramanium, at this time there was only a single derelict farmhouse on the land. </w:t>
      </w:r>
      <w:r w:rsidR="0024618F">
        <w:rPr>
          <w:sz w:val="24"/>
          <w:szCs w:val="24"/>
        </w:rPr>
        <w:t xml:space="preserve">In 1976 they </w:t>
      </w:r>
      <w:r w:rsidR="00ED35B2">
        <w:rPr>
          <w:sz w:val="24"/>
          <w:szCs w:val="24"/>
        </w:rPr>
        <w:t xml:space="preserve">started a monastic order and take </w:t>
      </w:r>
      <w:r w:rsidR="001E5B9B">
        <w:rPr>
          <w:sz w:val="24"/>
          <w:szCs w:val="24"/>
        </w:rPr>
        <w:t>Franciscan</w:t>
      </w:r>
      <w:r w:rsidR="00ED35B2">
        <w:rPr>
          <w:sz w:val="24"/>
          <w:szCs w:val="24"/>
        </w:rPr>
        <w:t xml:space="preserve"> vows</w:t>
      </w:r>
      <w:r w:rsidR="001E5B9B">
        <w:rPr>
          <w:sz w:val="24"/>
          <w:szCs w:val="24"/>
        </w:rPr>
        <w:t xml:space="preserve"> of poverty, obedience and chastity</w:t>
      </w:r>
      <w:r w:rsidR="00EB48FC">
        <w:rPr>
          <w:sz w:val="24"/>
          <w:szCs w:val="24"/>
        </w:rPr>
        <w:t xml:space="preserve"> </w:t>
      </w:r>
      <w:sdt>
        <w:sdtPr>
          <w:rPr>
            <w:sz w:val="24"/>
            <w:szCs w:val="24"/>
          </w:rPr>
          <w:id w:val="-541290071"/>
          <w:citation/>
        </w:sdtPr>
        <w:sdtContent>
          <w:r w:rsidR="00EB48FC">
            <w:rPr>
              <w:sz w:val="24"/>
              <w:szCs w:val="24"/>
            </w:rPr>
            <w:fldChar w:fldCharType="begin"/>
          </w:r>
          <w:r w:rsidR="00EB48FC">
            <w:rPr>
              <w:sz w:val="24"/>
              <w:szCs w:val="24"/>
            </w:rPr>
            <w:instrText xml:space="preserve"> CITATION Ska191 \l 2057 </w:instrText>
          </w:r>
          <w:r w:rsidR="00EB48FC">
            <w:rPr>
              <w:sz w:val="24"/>
              <w:szCs w:val="24"/>
            </w:rPr>
            <w:fldChar w:fldCharType="separate"/>
          </w:r>
          <w:r w:rsidR="00E34F18" w:rsidRPr="00E34F18">
            <w:rPr>
              <w:noProof/>
              <w:sz w:val="24"/>
              <w:szCs w:val="24"/>
            </w:rPr>
            <w:t>(Skanda Vale, n.d.)</w:t>
          </w:r>
          <w:r w:rsidR="00EB48FC">
            <w:rPr>
              <w:sz w:val="24"/>
              <w:szCs w:val="24"/>
            </w:rPr>
            <w:fldChar w:fldCharType="end"/>
          </w:r>
        </w:sdtContent>
      </w:sdt>
      <w:r w:rsidR="00ED35B2">
        <w:rPr>
          <w:sz w:val="24"/>
          <w:szCs w:val="24"/>
        </w:rPr>
        <w:t>.</w:t>
      </w:r>
      <w:r w:rsidR="0024618F">
        <w:rPr>
          <w:sz w:val="24"/>
          <w:szCs w:val="24"/>
        </w:rPr>
        <w:t xml:space="preserve"> They have since allowed women to become nuns and Skanda Vale is now home to around </w:t>
      </w:r>
      <w:r w:rsidR="00D5713F">
        <w:rPr>
          <w:sz w:val="24"/>
          <w:szCs w:val="24"/>
        </w:rPr>
        <w:t>twenty-five</w:t>
      </w:r>
      <w:r w:rsidR="0024618F">
        <w:rPr>
          <w:sz w:val="24"/>
          <w:szCs w:val="24"/>
        </w:rPr>
        <w:t xml:space="preserve"> nuns, monks and residents.</w:t>
      </w:r>
    </w:p>
    <w:p w:rsidR="0024618F" w:rsidRPr="00220222" w:rsidRDefault="0024618F" w:rsidP="00220222">
      <w:pPr>
        <w:rPr>
          <w:sz w:val="24"/>
          <w:szCs w:val="24"/>
        </w:rPr>
      </w:pPr>
      <w:r>
        <w:rPr>
          <w:sz w:val="24"/>
          <w:szCs w:val="24"/>
        </w:rPr>
        <w:t>We were to arrive at the ashram at 1</w:t>
      </w:r>
      <w:r w:rsidR="000C795F">
        <w:rPr>
          <w:sz w:val="24"/>
          <w:szCs w:val="24"/>
        </w:rPr>
        <w:t>1</w:t>
      </w:r>
      <w:r>
        <w:rPr>
          <w:sz w:val="24"/>
          <w:szCs w:val="24"/>
        </w:rPr>
        <w:t>am on Wednesday 27</w:t>
      </w:r>
      <w:r w:rsidRPr="0024618F">
        <w:rPr>
          <w:sz w:val="24"/>
          <w:szCs w:val="24"/>
          <w:vertAlign w:val="superscript"/>
        </w:rPr>
        <w:t>th</w:t>
      </w:r>
      <w:r>
        <w:rPr>
          <w:sz w:val="24"/>
          <w:szCs w:val="24"/>
        </w:rPr>
        <w:t xml:space="preserve"> April 2019, and we were to leave at 3pm the next day. This gave us approximately </w:t>
      </w:r>
      <w:r w:rsidR="00D5713F">
        <w:rPr>
          <w:sz w:val="24"/>
          <w:szCs w:val="24"/>
        </w:rPr>
        <w:t>twenty-eight</w:t>
      </w:r>
      <w:r>
        <w:rPr>
          <w:sz w:val="24"/>
          <w:szCs w:val="24"/>
        </w:rPr>
        <w:t xml:space="preserve"> hours to gather appropriate information</w:t>
      </w:r>
      <w:r w:rsidR="00F83D6B">
        <w:rPr>
          <w:sz w:val="24"/>
          <w:szCs w:val="24"/>
        </w:rPr>
        <w:t xml:space="preserve"> for our chosen focus subject</w:t>
      </w:r>
      <w:r>
        <w:rPr>
          <w:sz w:val="24"/>
          <w:szCs w:val="24"/>
        </w:rPr>
        <w:t xml:space="preserve">. </w:t>
      </w:r>
      <w:r w:rsidR="0024050E">
        <w:rPr>
          <w:sz w:val="24"/>
          <w:szCs w:val="24"/>
        </w:rPr>
        <w:t xml:space="preserve">It is important to state that this is not enough time to conduct thorough research, though I do feel that we gained a useful insight into the lives of people at Skanda Vale and the </w:t>
      </w:r>
      <w:r w:rsidR="00F83D6B">
        <w:rPr>
          <w:sz w:val="24"/>
          <w:szCs w:val="24"/>
        </w:rPr>
        <w:t>location</w:t>
      </w:r>
      <w:r w:rsidR="0024050E">
        <w:rPr>
          <w:sz w:val="24"/>
          <w:szCs w:val="24"/>
        </w:rPr>
        <w:t xml:space="preserve"> itself. </w:t>
      </w:r>
      <w:r w:rsidR="006410A5">
        <w:rPr>
          <w:sz w:val="24"/>
          <w:szCs w:val="24"/>
        </w:rPr>
        <w:t xml:space="preserve">Due to the works of Malinowski (1922) it is largely seen that any work within the field should last anywhere between one and two years. </w:t>
      </w:r>
      <w:r w:rsidR="00F83D6B">
        <w:rPr>
          <w:sz w:val="24"/>
          <w:szCs w:val="24"/>
        </w:rPr>
        <w:t xml:space="preserve">Owing to the </w:t>
      </w:r>
      <w:r w:rsidR="0099405E">
        <w:rPr>
          <w:sz w:val="24"/>
          <w:szCs w:val="24"/>
        </w:rPr>
        <w:t>four-week</w:t>
      </w:r>
      <w:r w:rsidR="00F83D6B">
        <w:rPr>
          <w:sz w:val="24"/>
          <w:szCs w:val="24"/>
        </w:rPr>
        <w:t xml:space="preserve"> timescale of our module it was unfortunately not possible for us to stay in the field for an extensive period of time, though it is important to note that we were made aware that this timescale was not sufficient for valid research.</w:t>
      </w:r>
    </w:p>
    <w:p w:rsidR="00220222" w:rsidRDefault="00220222" w:rsidP="00220222">
      <w:pPr>
        <w:rPr>
          <w:b/>
          <w:sz w:val="24"/>
          <w:szCs w:val="24"/>
        </w:rPr>
      </w:pPr>
      <w:r>
        <w:rPr>
          <w:b/>
          <w:sz w:val="24"/>
          <w:szCs w:val="24"/>
        </w:rPr>
        <w:t>Research Questions</w:t>
      </w:r>
    </w:p>
    <w:p w:rsidR="00220222" w:rsidRPr="001E5B9B" w:rsidRDefault="001E5B9B" w:rsidP="00220222">
      <w:pPr>
        <w:rPr>
          <w:sz w:val="24"/>
          <w:szCs w:val="24"/>
        </w:rPr>
      </w:pPr>
      <w:r>
        <w:rPr>
          <w:sz w:val="24"/>
          <w:szCs w:val="24"/>
        </w:rPr>
        <w:t xml:space="preserve">My main research question was </w:t>
      </w:r>
      <w:r w:rsidR="00F83D6B">
        <w:rPr>
          <w:sz w:val="24"/>
          <w:szCs w:val="24"/>
        </w:rPr>
        <w:t xml:space="preserve">regarding </w:t>
      </w:r>
      <w:r>
        <w:rPr>
          <w:sz w:val="24"/>
          <w:szCs w:val="24"/>
        </w:rPr>
        <w:t xml:space="preserve">how </w:t>
      </w:r>
      <w:r w:rsidR="00EB48FC">
        <w:rPr>
          <w:sz w:val="24"/>
          <w:szCs w:val="24"/>
        </w:rPr>
        <w:t>this multi-faith ashram fit</w:t>
      </w:r>
      <w:r>
        <w:rPr>
          <w:sz w:val="24"/>
          <w:szCs w:val="24"/>
        </w:rPr>
        <w:t xml:space="preserve"> in to the rural welsh countryside, and how did the people within it fit in with each other and their surroundings. </w:t>
      </w:r>
      <w:r w:rsidR="00EB48FC">
        <w:rPr>
          <w:sz w:val="24"/>
          <w:szCs w:val="24"/>
        </w:rPr>
        <w:t xml:space="preserve">The main focus </w:t>
      </w:r>
      <w:r w:rsidR="00F83D6B">
        <w:rPr>
          <w:sz w:val="24"/>
          <w:szCs w:val="24"/>
        </w:rPr>
        <w:t xml:space="preserve">of my study </w:t>
      </w:r>
      <w:r w:rsidR="00EB48FC">
        <w:rPr>
          <w:sz w:val="24"/>
          <w:szCs w:val="24"/>
        </w:rPr>
        <w:t xml:space="preserve">was looking at the outsider aspects of such a place. </w:t>
      </w:r>
      <w:r>
        <w:rPr>
          <w:sz w:val="24"/>
          <w:szCs w:val="24"/>
        </w:rPr>
        <w:t>Another facet of this question is how does the multi faith aspect of th</w:t>
      </w:r>
      <w:r w:rsidR="005E6E0C">
        <w:rPr>
          <w:sz w:val="24"/>
          <w:szCs w:val="24"/>
        </w:rPr>
        <w:t xml:space="preserve">e ashram </w:t>
      </w:r>
      <w:r>
        <w:rPr>
          <w:sz w:val="24"/>
          <w:szCs w:val="24"/>
        </w:rPr>
        <w:t>fit in</w:t>
      </w:r>
      <w:r w:rsidR="00F83D6B">
        <w:rPr>
          <w:sz w:val="24"/>
          <w:szCs w:val="24"/>
        </w:rPr>
        <w:t xml:space="preserve">to the anthropological discourse with regards to </w:t>
      </w:r>
      <w:r>
        <w:rPr>
          <w:sz w:val="24"/>
          <w:szCs w:val="24"/>
        </w:rPr>
        <w:t>religion.</w:t>
      </w:r>
      <w:r w:rsidR="000B4470">
        <w:rPr>
          <w:sz w:val="24"/>
          <w:szCs w:val="24"/>
        </w:rPr>
        <w:t xml:space="preserve"> I wanted to focus on the dichotomy between insider and </w:t>
      </w:r>
      <w:r w:rsidR="004B1E42">
        <w:rPr>
          <w:sz w:val="24"/>
          <w:szCs w:val="24"/>
        </w:rPr>
        <w:t>outsider and</w:t>
      </w:r>
      <w:r w:rsidR="000B4470">
        <w:rPr>
          <w:sz w:val="24"/>
          <w:szCs w:val="24"/>
        </w:rPr>
        <w:t xml:space="preserve"> see just how apparent this may</w:t>
      </w:r>
      <w:r w:rsidR="00F83D6B">
        <w:rPr>
          <w:sz w:val="24"/>
          <w:szCs w:val="24"/>
        </w:rPr>
        <w:t xml:space="preserve"> or may not</w:t>
      </w:r>
      <w:r w:rsidR="000B4470">
        <w:rPr>
          <w:sz w:val="24"/>
          <w:szCs w:val="24"/>
        </w:rPr>
        <w:t xml:space="preserve"> be within Skanda Vale.</w:t>
      </w:r>
    </w:p>
    <w:p w:rsidR="00220222" w:rsidRDefault="00220222" w:rsidP="00220222">
      <w:pPr>
        <w:rPr>
          <w:b/>
          <w:sz w:val="24"/>
          <w:szCs w:val="24"/>
        </w:rPr>
      </w:pPr>
      <w:r>
        <w:rPr>
          <w:b/>
          <w:sz w:val="24"/>
          <w:szCs w:val="24"/>
        </w:rPr>
        <w:t>Aims</w:t>
      </w:r>
    </w:p>
    <w:p w:rsidR="005E6E0C" w:rsidRPr="00244085" w:rsidRDefault="001E5B9B" w:rsidP="00220222">
      <w:pPr>
        <w:rPr>
          <w:sz w:val="24"/>
          <w:szCs w:val="24"/>
        </w:rPr>
      </w:pPr>
      <w:r>
        <w:rPr>
          <w:sz w:val="24"/>
          <w:szCs w:val="24"/>
        </w:rPr>
        <w:t>My aim within this research was to ethnographically gather information about the daily life of people within the ashram in order to answer my research questions</w:t>
      </w:r>
      <w:r w:rsidR="005E6E0C">
        <w:rPr>
          <w:sz w:val="24"/>
          <w:szCs w:val="24"/>
        </w:rPr>
        <w:t xml:space="preserve"> as accurately as possible within such a short time frame</w:t>
      </w:r>
      <w:r>
        <w:rPr>
          <w:sz w:val="24"/>
          <w:szCs w:val="24"/>
        </w:rPr>
        <w:t>. Though the use of the term ethnography seems to be up for debate within Anthropology</w:t>
      </w:r>
      <w:r w:rsidR="000B4470">
        <w:rPr>
          <w:sz w:val="24"/>
          <w:szCs w:val="24"/>
        </w:rPr>
        <w:t xml:space="preserve"> (Ingold, 2014; Miller, 2017)</w:t>
      </w:r>
      <w:r>
        <w:rPr>
          <w:sz w:val="24"/>
          <w:szCs w:val="24"/>
        </w:rPr>
        <w:t>. Ingold (2014) defined ethnography as “the art of describing”</w:t>
      </w:r>
      <w:r w:rsidR="000E7607">
        <w:rPr>
          <w:sz w:val="24"/>
          <w:szCs w:val="24"/>
        </w:rPr>
        <w:t xml:space="preserve">, which is how I chose to look at my own ethnographical work. </w:t>
      </w:r>
      <w:r w:rsidR="000B4470">
        <w:rPr>
          <w:sz w:val="24"/>
          <w:szCs w:val="24"/>
        </w:rPr>
        <w:t xml:space="preserve">I also took into account </w:t>
      </w:r>
      <w:r w:rsidR="00244085">
        <w:rPr>
          <w:sz w:val="24"/>
          <w:szCs w:val="24"/>
        </w:rPr>
        <w:t>the</w:t>
      </w:r>
      <w:r w:rsidR="000B4470">
        <w:rPr>
          <w:sz w:val="24"/>
          <w:szCs w:val="24"/>
        </w:rPr>
        <w:t xml:space="preserve"> </w:t>
      </w:r>
      <w:r w:rsidR="00244085">
        <w:rPr>
          <w:sz w:val="24"/>
          <w:szCs w:val="24"/>
        </w:rPr>
        <w:t xml:space="preserve">suggestion that you have a responsibility </w:t>
      </w:r>
      <w:r w:rsidR="00244085">
        <w:rPr>
          <w:sz w:val="24"/>
          <w:szCs w:val="24"/>
        </w:rPr>
        <w:lastRenderedPageBreak/>
        <w:t xml:space="preserve">to justify your description by having actually witnessed the thing itself </w:t>
      </w:r>
      <w:sdt>
        <w:sdtPr>
          <w:rPr>
            <w:sz w:val="24"/>
            <w:szCs w:val="24"/>
          </w:rPr>
          <w:id w:val="-910075167"/>
          <w:citation/>
        </w:sdtPr>
        <w:sdtContent>
          <w:r w:rsidR="00244085">
            <w:rPr>
              <w:sz w:val="24"/>
              <w:szCs w:val="24"/>
            </w:rPr>
            <w:fldChar w:fldCharType="begin"/>
          </w:r>
          <w:r w:rsidR="00244085">
            <w:rPr>
              <w:sz w:val="24"/>
              <w:szCs w:val="24"/>
            </w:rPr>
            <w:instrText xml:space="preserve"> CITATION Mil17 \l 2057 </w:instrText>
          </w:r>
          <w:r w:rsidR="00244085">
            <w:rPr>
              <w:sz w:val="24"/>
              <w:szCs w:val="24"/>
            </w:rPr>
            <w:fldChar w:fldCharType="separate"/>
          </w:r>
          <w:r w:rsidR="00E34F18" w:rsidRPr="00E34F18">
            <w:rPr>
              <w:noProof/>
              <w:sz w:val="24"/>
              <w:szCs w:val="24"/>
            </w:rPr>
            <w:t>(Miller, 2017)</w:t>
          </w:r>
          <w:r w:rsidR="00244085">
            <w:rPr>
              <w:sz w:val="24"/>
              <w:szCs w:val="24"/>
            </w:rPr>
            <w:fldChar w:fldCharType="end"/>
          </w:r>
        </w:sdtContent>
      </w:sdt>
      <w:r w:rsidR="00244085">
        <w:rPr>
          <w:sz w:val="24"/>
          <w:szCs w:val="24"/>
        </w:rPr>
        <w:t>.</w:t>
      </w:r>
      <w:r w:rsidR="005E6E0C">
        <w:rPr>
          <w:sz w:val="24"/>
          <w:szCs w:val="24"/>
        </w:rPr>
        <w:t xml:space="preserve"> Miller (2017) also speaks of going into the field to learn about the differences between people first hand, and in doing so being able to create a safe space for these differences to exist.</w:t>
      </w:r>
    </w:p>
    <w:p w:rsidR="00220222" w:rsidRDefault="00220222" w:rsidP="00220222">
      <w:pPr>
        <w:rPr>
          <w:b/>
          <w:sz w:val="24"/>
          <w:szCs w:val="24"/>
        </w:rPr>
      </w:pPr>
      <w:r>
        <w:rPr>
          <w:b/>
          <w:sz w:val="24"/>
          <w:szCs w:val="24"/>
        </w:rPr>
        <w:t>Research Methodology</w:t>
      </w:r>
    </w:p>
    <w:p w:rsidR="00220222" w:rsidRDefault="000E7607" w:rsidP="00220222">
      <w:pPr>
        <w:rPr>
          <w:sz w:val="24"/>
          <w:szCs w:val="24"/>
        </w:rPr>
      </w:pPr>
      <w:r>
        <w:rPr>
          <w:sz w:val="24"/>
          <w:szCs w:val="24"/>
        </w:rPr>
        <w:t>The methods I adopted</w:t>
      </w:r>
      <w:r w:rsidR="005E6E0C">
        <w:rPr>
          <w:sz w:val="24"/>
          <w:szCs w:val="24"/>
        </w:rPr>
        <w:t xml:space="preserve"> for my study</w:t>
      </w:r>
      <w:r>
        <w:rPr>
          <w:sz w:val="24"/>
          <w:szCs w:val="24"/>
        </w:rPr>
        <w:t xml:space="preserve"> were participant observation, </w:t>
      </w:r>
      <w:r w:rsidR="00555E25">
        <w:rPr>
          <w:sz w:val="24"/>
          <w:szCs w:val="24"/>
        </w:rPr>
        <w:t xml:space="preserve">reflexive </w:t>
      </w:r>
      <w:r>
        <w:rPr>
          <w:sz w:val="24"/>
          <w:szCs w:val="24"/>
        </w:rPr>
        <w:t xml:space="preserve">journal writing and informal interviews. </w:t>
      </w:r>
      <w:r w:rsidR="00555E25">
        <w:rPr>
          <w:sz w:val="24"/>
          <w:szCs w:val="24"/>
        </w:rPr>
        <w:t xml:space="preserve">Participant observation as described by Ingold (2014) requires the anthropologist to attend, to live with others in an attentive manner. He also suggests that it is a practise of correspondence which is always in the making (Ingold, 2014). With my journal I hoped to show an insight into the feelings that arose whilst at Skanda Vale. In the same manner that Taussig (2003) spoke of I hoped to gain a level of truth I may not have achieved by simply writing a report. </w:t>
      </w:r>
      <w:r w:rsidR="005138FF">
        <w:rPr>
          <w:sz w:val="24"/>
          <w:szCs w:val="24"/>
        </w:rPr>
        <w:t xml:space="preserve">He suggests that </w:t>
      </w:r>
      <w:r w:rsidR="00A3317B">
        <w:rPr>
          <w:sz w:val="24"/>
          <w:szCs w:val="24"/>
        </w:rPr>
        <w:t xml:space="preserve">through the unfiltered manner of diary writing it can be said that this could be seen to be more factual, though he does also note the issues of using such a term </w:t>
      </w:r>
      <w:sdt>
        <w:sdtPr>
          <w:rPr>
            <w:sz w:val="24"/>
            <w:szCs w:val="24"/>
          </w:rPr>
          <w:id w:val="-548599796"/>
          <w:citation/>
        </w:sdtPr>
        <w:sdtContent>
          <w:r w:rsidR="00A3317B">
            <w:rPr>
              <w:sz w:val="24"/>
              <w:szCs w:val="24"/>
            </w:rPr>
            <w:fldChar w:fldCharType="begin"/>
          </w:r>
          <w:r w:rsidR="00A3317B">
            <w:rPr>
              <w:sz w:val="24"/>
              <w:szCs w:val="24"/>
            </w:rPr>
            <w:instrText xml:space="preserve"> CITATION Tau03 \l 2057 </w:instrText>
          </w:r>
          <w:r w:rsidR="00A3317B">
            <w:rPr>
              <w:sz w:val="24"/>
              <w:szCs w:val="24"/>
            </w:rPr>
            <w:fldChar w:fldCharType="separate"/>
          </w:r>
          <w:r w:rsidR="00E34F18" w:rsidRPr="00E34F18">
            <w:rPr>
              <w:noProof/>
              <w:sz w:val="24"/>
              <w:szCs w:val="24"/>
            </w:rPr>
            <w:t>(Taussig, 2003)</w:t>
          </w:r>
          <w:r w:rsidR="00A3317B">
            <w:rPr>
              <w:sz w:val="24"/>
              <w:szCs w:val="24"/>
            </w:rPr>
            <w:fldChar w:fldCharType="end"/>
          </w:r>
        </w:sdtContent>
      </w:sdt>
      <w:r w:rsidR="00A3317B">
        <w:rPr>
          <w:sz w:val="24"/>
          <w:szCs w:val="24"/>
        </w:rPr>
        <w:t xml:space="preserve">.  I wholly agree with the idea that the conventional academic writing style leaves no space for “the stuff that won’t fit” (Taussig, 2003:B12), and wished to avoid normalising the “weird” or where </w:t>
      </w:r>
      <w:r w:rsidR="005E6E0C">
        <w:rPr>
          <w:sz w:val="24"/>
          <w:szCs w:val="24"/>
        </w:rPr>
        <w:t xml:space="preserve">this was </w:t>
      </w:r>
      <w:r w:rsidR="00A3317B">
        <w:rPr>
          <w:sz w:val="24"/>
          <w:szCs w:val="24"/>
        </w:rPr>
        <w:t>not possible</w:t>
      </w:r>
      <w:r w:rsidR="005E6E0C">
        <w:rPr>
          <w:sz w:val="24"/>
          <w:szCs w:val="24"/>
        </w:rPr>
        <w:t>,</w:t>
      </w:r>
      <w:r w:rsidR="00A3317B">
        <w:rPr>
          <w:sz w:val="24"/>
          <w:szCs w:val="24"/>
        </w:rPr>
        <w:t xml:space="preserve"> simply leaving it out. </w:t>
      </w:r>
      <w:r w:rsidR="006C6FDD">
        <w:rPr>
          <w:sz w:val="24"/>
          <w:szCs w:val="24"/>
        </w:rPr>
        <w:t xml:space="preserve">I wished for my journal to be an accurate representation of the experience, and when looking back at my notes to be self-aware and analytical of the encounter </w:t>
      </w:r>
      <w:sdt>
        <w:sdtPr>
          <w:rPr>
            <w:sz w:val="24"/>
            <w:szCs w:val="24"/>
          </w:rPr>
          <w:id w:val="-775172420"/>
          <w:citation/>
        </w:sdtPr>
        <w:sdtContent>
          <w:r w:rsidR="006C6FDD">
            <w:rPr>
              <w:sz w:val="24"/>
              <w:szCs w:val="24"/>
            </w:rPr>
            <w:fldChar w:fldCharType="begin"/>
          </w:r>
          <w:r w:rsidR="006C6FDD">
            <w:rPr>
              <w:sz w:val="24"/>
              <w:szCs w:val="24"/>
            </w:rPr>
            <w:instrText xml:space="preserve"> CITATION Oke92 \l 2057 </w:instrText>
          </w:r>
          <w:r w:rsidR="006C6FDD">
            <w:rPr>
              <w:sz w:val="24"/>
              <w:szCs w:val="24"/>
            </w:rPr>
            <w:fldChar w:fldCharType="separate"/>
          </w:r>
          <w:r w:rsidR="00E34F18" w:rsidRPr="00E34F18">
            <w:rPr>
              <w:noProof/>
              <w:sz w:val="24"/>
              <w:szCs w:val="24"/>
            </w:rPr>
            <w:t>(Okely, 1992)</w:t>
          </w:r>
          <w:r w:rsidR="006C6FDD">
            <w:rPr>
              <w:sz w:val="24"/>
              <w:szCs w:val="24"/>
            </w:rPr>
            <w:fldChar w:fldCharType="end"/>
          </w:r>
        </w:sdtContent>
      </w:sdt>
      <w:r w:rsidR="00D5713F">
        <w:rPr>
          <w:sz w:val="24"/>
          <w:szCs w:val="24"/>
        </w:rPr>
        <w:t>.</w:t>
      </w:r>
    </w:p>
    <w:p w:rsidR="0024618F" w:rsidRPr="000E7607" w:rsidRDefault="0024618F" w:rsidP="00220222">
      <w:pPr>
        <w:rPr>
          <w:sz w:val="24"/>
          <w:szCs w:val="24"/>
        </w:rPr>
      </w:pPr>
      <w:r>
        <w:rPr>
          <w:sz w:val="24"/>
          <w:szCs w:val="24"/>
        </w:rPr>
        <w:t xml:space="preserve">Due to the short amount of time we were staying at Skanda Vale it was </w:t>
      </w:r>
      <w:r w:rsidR="00D5713F">
        <w:rPr>
          <w:sz w:val="24"/>
          <w:szCs w:val="24"/>
        </w:rPr>
        <w:t>imperative</w:t>
      </w:r>
      <w:r>
        <w:rPr>
          <w:sz w:val="24"/>
          <w:szCs w:val="24"/>
        </w:rPr>
        <w:t xml:space="preserve"> that my notes would be clear and </w:t>
      </w:r>
      <w:r w:rsidR="00D5713F">
        <w:rPr>
          <w:sz w:val="24"/>
          <w:szCs w:val="24"/>
        </w:rPr>
        <w:t>concise</w:t>
      </w:r>
      <w:r>
        <w:rPr>
          <w:sz w:val="24"/>
          <w:szCs w:val="24"/>
        </w:rPr>
        <w:t xml:space="preserve"> in order to write about my experience justly. </w:t>
      </w:r>
    </w:p>
    <w:p w:rsidR="00220222" w:rsidRDefault="00220222" w:rsidP="00220222">
      <w:pPr>
        <w:rPr>
          <w:b/>
          <w:sz w:val="24"/>
          <w:szCs w:val="24"/>
        </w:rPr>
      </w:pPr>
      <w:r>
        <w:rPr>
          <w:b/>
          <w:sz w:val="24"/>
          <w:szCs w:val="24"/>
        </w:rPr>
        <w:t>Research Ethics</w:t>
      </w:r>
    </w:p>
    <w:p w:rsidR="00220222" w:rsidRDefault="00A85137" w:rsidP="00220222">
      <w:pPr>
        <w:rPr>
          <w:sz w:val="24"/>
          <w:szCs w:val="24"/>
        </w:rPr>
      </w:pPr>
      <w:r>
        <w:rPr>
          <w:sz w:val="24"/>
          <w:szCs w:val="24"/>
        </w:rPr>
        <w:t xml:space="preserve">In order to ensure that my research was </w:t>
      </w:r>
      <w:r w:rsidR="005E6E0C">
        <w:rPr>
          <w:sz w:val="24"/>
          <w:szCs w:val="24"/>
        </w:rPr>
        <w:t xml:space="preserve">as </w:t>
      </w:r>
      <w:r>
        <w:rPr>
          <w:sz w:val="24"/>
          <w:szCs w:val="24"/>
        </w:rPr>
        <w:t xml:space="preserve">ethical </w:t>
      </w:r>
      <w:r w:rsidR="005E6E0C">
        <w:rPr>
          <w:sz w:val="24"/>
          <w:szCs w:val="24"/>
        </w:rPr>
        <w:t xml:space="preserve">as possible </w:t>
      </w:r>
      <w:r>
        <w:rPr>
          <w:sz w:val="24"/>
          <w:szCs w:val="24"/>
        </w:rPr>
        <w:t xml:space="preserve">I made sure to familiarise myself with the guidelines set out by the ASA </w:t>
      </w:r>
      <w:sdt>
        <w:sdtPr>
          <w:rPr>
            <w:sz w:val="24"/>
            <w:szCs w:val="24"/>
          </w:rPr>
          <w:id w:val="1386228172"/>
          <w:citation/>
        </w:sdtPr>
        <w:sdtContent>
          <w:r>
            <w:rPr>
              <w:sz w:val="24"/>
              <w:szCs w:val="24"/>
            </w:rPr>
            <w:fldChar w:fldCharType="begin"/>
          </w:r>
          <w:r>
            <w:rPr>
              <w:sz w:val="24"/>
              <w:szCs w:val="24"/>
            </w:rPr>
            <w:instrText xml:space="preserve"> CITATION Ass18 \l 2057 </w:instrText>
          </w:r>
          <w:r>
            <w:rPr>
              <w:sz w:val="24"/>
              <w:szCs w:val="24"/>
            </w:rPr>
            <w:fldChar w:fldCharType="separate"/>
          </w:r>
          <w:r w:rsidR="00E34F18" w:rsidRPr="00E34F18">
            <w:rPr>
              <w:noProof/>
              <w:sz w:val="24"/>
              <w:szCs w:val="24"/>
            </w:rPr>
            <w:t>(Association of Social Anthropologists, 2018)</w:t>
          </w:r>
          <w:r>
            <w:rPr>
              <w:sz w:val="24"/>
              <w:szCs w:val="24"/>
            </w:rPr>
            <w:fldChar w:fldCharType="end"/>
          </w:r>
        </w:sdtContent>
      </w:sdt>
      <w:r>
        <w:rPr>
          <w:sz w:val="24"/>
          <w:szCs w:val="24"/>
        </w:rPr>
        <w:t>. In order to maintain an ethical standing I needed to consider any possible consequences that could arise as an outcome of my work</w:t>
      </w:r>
      <w:r w:rsidR="001A520B">
        <w:rPr>
          <w:sz w:val="24"/>
          <w:szCs w:val="24"/>
        </w:rPr>
        <w:t>, this included making sure none of my writing could damage Skanda Vale in any way or the people within the ashram</w:t>
      </w:r>
      <w:r>
        <w:rPr>
          <w:sz w:val="24"/>
          <w:szCs w:val="24"/>
        </w:rPr>
        <w:t xml:space="preserve">. </w:t>
      </w:r>
      <w:r w:rsidR="00934714">
        <w:rPr>
          <w:sz w:val="24"/>
          <w:szCs w:val="24"/>
        </w:rPr>
        <w:t xml:space="preserve">Whilst there I made sure to get </w:t>
      </w:r>
      <w:r w:rsidR="001A520B">
        <w:rPr>
          <w:sz w:val="24"/>
          <w:szCs w:val="24"/>
        </w:rPr>
        <w:t xml:space="preserve">permission to use any information gathered and made sure my intentions were clear. Any questions that were asked were tactful and the utmost care was taken not to cause any offence. I also made sure to state that anyone I spoke with could remain anonymous if they so wished. </w:t>
      </w:r>
    </w:p>
    <w:p w:rsidR="001A520B" w:rsidRPr="00A85137" w:rsidRDefault="001A520B" w:rsidP="00220222">
      <w:pPr>
        <w:rPr>
          <w:sz w:val="24"/>
          <w:szCs w:val="24"/>
        </w:rPr>
      </w:pPr>
      <w:r>
        <w:rPr>
          <w:sz w:val="24"/>
          <w:szCs w:val="24"/>
        </w:rPr>
        <w:t xml:space="preserve">Once I was familiar with these </w:t>
      </w:r>
      <w:r w:rsidR="00EB48FC">
        <w:rPr>
          <w:sz w:val="24"/>
          <w:szCs w:val="24"/>
        </w:rPr>
        <w:t>guidelines,</w:t>
      </w:r>
      <w:r>
        <w:rPr>
          <w:sz w:val="24"/>
          <w:szCs w:val="24"/>
        </w:rPr>
        <w:t xml:space="preserve"> I looked over the rules of the ashram that could be found on their website </w:t>
      </w:r>
      <w:sdt>
        <w:sdtPr>
          <w:rPr>
            <w:sz w:val="24"/>
            <w:szCs w:val="24"/>
          </w:rPr>
          <w:id w:val="1719943015"/>
          <w:citation/>
        </w:sdtPr>
        <w:sdtContent>
          <w:r>
            <w:rPr>
              <w:sz w:val="24"/>
              <w:szCs w:val="24"/>
            </w:rPr>
            <w:fldChar w:fldCharType="begin"/>
          </w:r>
          <w:r>
            <w:rPr>
              <w:sz w:val="24"/>
              <w:szCs w:val="24"/>
            </w:rPr>
            <w:instrText xml:space="preserve"> CITATION Ska19 \l 2057 </w:instrText>
          </w:r>
          <w:r>
            <w:rPr>
              <w:sz w:val="24"/>
              <w:szCs w:val="24"/>
            </w:rPr>
            <w:fldChar w:fldCharType="separate"/>
          </w:r>
          <w:r w:rsidR="00E34F18" w:rsidRPr="00E34F18">
            <w:rPr>
              <w:noProof/>
              <w:sz w:val="24"/>
              <w:szCs w:val="24"/>
            </w:rPr>
            <w:t>(Skanda Vale, n.d.)</w:t>
          </w:r>
          <w:r>
            <w:rPr>
              <w:sz w:val="24"/>
              <w:szCs w:val="24"/>
            </w:rPr>
            <w:fldChar w:fldCharType="end"/>
          </w:r>
        </w:sdtContent>
      </w:sdt>
      <w:r>
        <w:rPr>
          <w:sz w:val="24"/>
          <w:szCs w:val="24"/>
        </w:rPr>
        <w:t xml:space="preserve">. One of the rules is to not consume meat for three days prior to arrival, unfortunately due to a lapse in thought I did consume a small amount of meat two days before. Due to this I made sure to follow rules set out for this circumstance, such as not entering the Maha Shakti temple. Another of the rules is there is no smoking allowed on the site, so I made sure to be off the property in order to do so. </w:t>
      </w:r>
      <w:r w:rsidR="00EB48FC">
        <w:rPr>
          <w:sz w:val="24"/>
          <w:szCs w:val="24"/>
        </w:rPr>
        <w:t xml:space="preserve">No electronic devices are permitted within the ashram, so my mobile phone was left in the </w:t>
      </w:r>
      <w:r w:rsidR="00EB48FC">
        <w:rPr>
          <w:sz w:val="24"/>
          <w:szCs w:val="24"/>
        </w:rPr>
        <w:lastRenderedPageBreak/>
        <w:t xml:space="preserve">vehicle I arrived in and all my notes were taken down via pen and paper as opposed to a Dictaphone. </w:t>
      </w:r>
    </w:p>
    <w:p w:rsidR="00220222" w:rsidRDefault="00220222" w:rsidP="00220222">
      <w:pPr>
        <w:rPr>
          <w:b/>
          <w:sz w:val="24"/>
          <w:szCs w:val="24"/>
        </w:rPr>
      </w:pPr>
      <w:r>
        <w:rPr>
          <w:b/>
          <w:sz w:val="24"/>
          <w:szCs w:val="24"/>
        </w:rPr>
        <w:t>Findings</w:t>
      </w:r>
    </w:p>
    <w:p w:rsidR="00B669A5" w:rsidRDefault="00741BF1" w:rsidP="00220222">
      <w:pPr>
        <w:rPr>
          <w:sz w:val="24"/>
          <w:szCs w:val="24"/>
        </w:rPr>
      </w:pPr>
      <w:r>
        <w:rPr>
          <w:sz w:val="24"/>
          <w:szCs w:val="24"/>
        </w:rPr>
        <w:t xml:space="preserve">Due to having grown up approximately ten minutes’ drive from Skanda Vale, the landscape and area itself was very familiar to me. </w:t>
      </w:r>
      <w:r w:rsidR="00D5713F">
        <w:rPr>
          <w:sz w:val="24"/>
          <w:szCs w:val="24"/>
        </w:rPr>
        <w:t>Firstly,</w:t>
      </w:r>
      <w:r>
        <w:rPr>
          <w:sz w:val="24"/>
          <w:szCs w:val="24"/>
        </w:rPr>
        <w:t xml:space="preserve"> this challenges the idea of what “the field”</w:t>
      </w:r>
      <w:r w:rsidR="005138FF">
        <w:rPr>
          <w:sz w:val="24"/>
          <w:szCs w:val="24"/>
        </w:rPr>
        <w:t xml:space="preserve"> is</w:t>
      </w:r>
      <w:r>
        <w:rPr>
          <w:sz w:val="24"/>
          <w:szCs w:val="24"/>
        </w:rPr>
        <w:t xml:space="preserve">, and where </w:t>
      </w:r>
      <w:r w:rsidR="005138FF">
        <w:rPr>
          <w:sz w:val="24"/>
          <w:szCs w:val="24"/>
        </w:rPr>
        <w:t>it is</w:t>
      </w:r>
      <w:r>
        <w:rPr>
          <w:sz w:val="24"/>
          <w:szCs w:val="24"/>
        </w:rPr>
        <w:t xml:space="preserve">. </w:t>
      </w:r>
      <w:r w:rsidR="00614101">
        <w:rPr>
          <w:sz w:val="24"/>
          <w:szCs w:val="24"/>
        </w:rPr>
        <w:t xml:space="preserve">As Amit </w:t>
      </w:r>
      <w:r w:rsidR="00D6302F">
        <w:rPr>
          <w:sz w:val="24"/>
          <w:szCs w:val="24"/>
        </w:rPr>
        <w:t xml:space="preserve">(2000) states, the field has traditionally involved travel somewhere other than </w:t>
      </w:r>
      <w:r w:rsidR="00B669A5">
        <w:rPr>
          <w:sz w:val="24"/>
          <w:szCs w:val="24"/>
        </w:rPr>
        <w:t>‘</w:t>
      </w:r>
      <w:r w:rsidR="00D6302F">
        <w:rPr>
          <w:sz w:val="24"/>
          <w:szCs w:val="24"/>
        </w:rPr>
        <w:t>home</w:t>
      </w:r>
      <w:r w:rsidR="00B669A5">
        <w:rPr>
          <w:sz w:val="24"/>
          <w:szCs w:val="24"/>
        </w:rPr>
        <w:t>’</w:t>
      </w:r>
      <w:r w:rsidR="00D6302F">
        <w:rPr>
          <w:sz w:val="24"/>
          <w:szCs w:val="24"/>
        </w:rPr>
        <w:t xml:space="preserve">. Skanda Vale was certainly not far away from where I would call </w:t>
      </w:r>
      <w:r w:rsidR="00D5713F">
        <w:rPr>
          <w:sz w:val="24"/>
          <w:szCs w:val="24"/>
        </w:rPr>
        <w:t>home but</w:t>
      </w:r>
      <w:r w:rsidR="00D6302F">
        <w:rPr>
          <w:sz w:val="24"/>
          <w:szCs w:val="24"/>
        </w:rPr>
        <w:t xml:space="preserve"> would still constitute as the field as it was where I was conducting my fieldwork. The tradition</w:t>
      </w:r>
      <w:r w:rsidR="005138FF">
        <w:rPr>
          <w:sz w:val="24"/>
          <w:szCs w:val="24"/>
        </w:rPr>
        <w:t>al</w:t>
      </w:r>
      <w:r w:rsidR="00D6302F">
        <w:rPr>
          <w:sz w:val="24"/>
          <w:szCs w:val="24"/>
        </w:rPr>
        <w:t xml:space="preserve"> view of the field being some foreign land is no longer a pragmatic definition of the field </w:t>
      </w:r>
      <w:sdt>
        <w:sdtPr>
          <w:rPr>
            <w:sz w:val="24"/>
            <w:szCs w:val="24"/>
          </w:rPr>
          <w:id w:val="1933084523"/>
          <w:citation/>
        </w:sdtPr>
        <w:sdtContent>
          <w:r w:rsidR="00D6302F">
            <w:rPr>
              <w:sz w:val="24"/>
              <w:szCs w:val="24"/>
            </w:rPr>
            <w:fldChar w:fldCharType="begin"/>
          </w:r>
          <w:r w:rsidR="00D6302F">
            <w:rPr>
              <w:sz w:val="24"/>
              <w:szCs w:val="24"/>
            </w:rPr>
            <w:instrText xml:space="preserve"> CITATION Ami00 \l 2057 </w:instrText>
          </w:r>
          <w:r w:rsidR="00D6302F">
            <w:rPr>
              <w:sz w:val="24"/>
              <w:szCs w:val="24"/>
            </w:rPr>
            <w:fldChar w:fldCharType="separate"/>
          </w:r>
          <w:r w:rsidR="00E34F18" w:rsidRPr="00E34F18">
            <w:rPr>
              <w:noProof/>
              <w:sz w:val="24"/>
              <w:szCs w:val="24"/>
            </w:rPr>
            <w:t>(Amit, 2000)</w:t>
          </w:r>
          <w:r w:rsidR="00D6302F">
            <w:rPr>
              <w:sz w:val="24"/>
              <w:szCs w:val="24"/>
            </w:rPr>
            <w:fldChar w:fldCharType="end"/>
          </w:r>
        </w:sdtContent>
      </w:sdt>
      <w:r w:rsidR="00D6302F">
        <w:rPr>
          <w:sz w:val="24"/>
          <w:szCs w:val="24"/>
        </w:rPr>
        <w:t xml:space="preserve">. </w:t>
      </w:r>
    </w:p>
    <w:p w:rsidR="006C6FDD" w:rsidRDefault="005138FF" w:rsidP="00220222">
      <w:pPr>
        <w:rPr>
          <w:sz w:val="24"/>
          <w:szCs w:val="24"/>
        </w:rPr>
      </w:pPr>
      <w:r>
        <w:rPr>
          <w:sz w:val="24"/>
          <w:szCs w:val="24"/>
        </w:rPr>
        <w:t xml:space="preserve">The </w:t>
      </w:r>
      <w:r w:rsidR="00B669A5">
        <w:rPr>
          <w:sz w:val="24"/>
          <w:szCs w:val="24"/>
        </w:rPr>
        <w:t>question of</w:t>
      </w:r>
      <w:r>
        <w:rPr>
          <w:sz w:val="24"/>
          <w:szCs w:val="24"/>
        </w:rPr>
        <w:t xml:space="preserve"> what is autoethnography and what is just ethnography was also challenged, much of what I experienced was familiar for me. I would go so far as to suggest that the only part of my experience that was unfamiliar w</w:t>
      </w:r>
      <w:r w:rsidR="00B669A5">
        <w:rPr>
          <w:sz w:val="24"/>
          <w:szCs w:val="24"/>
        </w:rPr>
        <w:t>ere</w:t>
      </w:r>
      <w:r>
        <w:rPr>
          <w:sz w:val="24"/>
          <w:szCs w:val="24"/>
        </w:rPr>
        <w:t xml:space="preserve"> the religious aspects and the Puja’s. </w:t>
      </w:r>
      <w:r w:rsidR="00B669A5">
        <w:rPr>
          <w:sz w:val="24"/>
          <w:szCs w:val="24"/>
        </w:rPr>
        <w:t xml:space="preserve">Autoethnography is conventionally thought of as ethnographical work within the ethnographers own social group or culture, however it can also be used to describe writing about your own experience within an ethnographic setting </w:t>
      </w:r>
      <w:sdt>
        <w:sdtPr>
          <w:rPr>
            <w:sz w:val="24"/>
            <w:szCs w:val="24"/>
          </w:rPr>
          <w:id w:val="1794944034"/>
          <w:citation/>
        </w:sdtPr>
        <w:sdtContent>
          <w:r w:rsidR="00B669A5">
            <w:rPr>
              <w:sz w:val="24"/>
              <w:szCs w:val="24"/>
            </w:rPr>
            <w:fldChar w:fldCharType="begin"/>
          </w:r>
          <w:r w:rsidR="00B669A5">
            <w:rPr>
              <w:sz w:val="24"/>
              <w:szCs w:val="24"/>
            </w:rPr>
            <w:instrText xml:space="preserve"> CITATION Ree17 \l 2057 </w:instrText>
          </w:r>
          <w:r w:rsidR="00B669A5">
            <w:rPr>
              <w:sz w:val="24"/>
              <w:szCs w:val="24"/>
            </w:rPr>
            <w:fldChar w:fldCharType="separate"/>
          </w:r>
          <w:r w:rsidR="00E34F18" w:rsidRPr="00E34F18">
            <w:rPr>
              <w:noProof/>
              <w:sz w:val="24"/>
              <w:szCs w:val="24"/>
            </w:rPr>
            <w:t>(Reed-Danahay, 2017)</w:t>
          </w:r>
          <w:r w:rsidR="00B669A5">
            <w:rPr>
              <w:sz w:val="24"/>
              <w:szCs w:val="24"/>
            </w:rPr>
            <w:fldChar w:fldCharType="end"/>
          </w:r>
        </w:sdtContent>
      </w:sdt>
      <w:r w:rsidR="00B669A5">
        <w:rPr>
          <w:sz w:val="24"/>
          <w:szCs w:val="24"/>
        </w:rPr>
        <w:t xml:space="preserve">. Whilst at Skanda Vale I felt very much ‘at home’ though there were </w:t>
      </w:r>
      <w:r w:rsidR="00D5713F">
        <w:rPr>
          <w:sz w:val="24"/>
          <w:szCs w:val="24"/>
        </w:rPr>
        <w:t>very many</w:t>
      </w:r>
      <w:r w:rsidR="00B669A5">
        <w:rPr>
          <w:sz w:val="24"/>
          <w:szCs w:val="24"/>
        </w:rPr>
        <w:t xml:space="preserve"> elements of unfamiliarity, this caused me to question the dichotomy of what is autoethnography and what is not. </w:t>
      </w:r>
      <w:r w:rsidR="006C6FDD">
        <w:rPr>
          <w:sz w:val="24"/>
          <w:szCs w:val="24"/>
        </w:rPr>
        <w:t xml:space="preserve">Is it not human nature to find familiarities with other people? </w:t>
      </w:r>
      <w:r w:rsidR="00F123F8">
        <w:rPr>
          <w:sz w:val="24"/>
          <w:szCs w:val="24"/>
        </w:rPr>
        <w:t>Though this is not to say that there were no differences, after all there can be “no comparison without difference” (Braun, 1999:2).</w:t>
      </w:r>
    </w:p>
    <w:p w:rsidR="00244085" w:rsidRDefault="00244085" w:rsidP="00220222">
      <w:pPr>
        <w:rPr>
          <w:sz w:val="24"/>
          <w:szCs w:val="24"/>
        </w:rPr>
      </w:pPr>
      <w:r>
        <w:rPr>
          <w:sz w:val="24"/>
          <w:szCs w:val="24"/>
        </w:rPr>
        <w:t xml:space="preserve">I found that it seemed commonplace for the inhabitants of Skanda Vale to describe themselves as “weirdos”, having heard Swami Ishra, Brother Andy and Swami Suryananda use the term to describe themselves, sometimes on more than one occasion (Evans, 2019). By defining themselves in such a way it </w:t>
      </w:r>
      <w:r w:rsidR="004B1E42">
        <w:rPr>
          <w:sz w:val="24"/>
          <w:szCs w:val="24"/>
        </w:rPr>
        <w:t>led</w:t>
      </w:r>
      <w:r>
        <w:rPr>
          <w:sz w:val="24"/>
          <w:szCs w:val="24"/>
        </w:rPr>
        <w:t xml:space="preserve"> me to speculate as to whether they ‘othered’ themselves on purpose or whether it was simply how they assumed other people perceived them</w:t>
      </w:r>
      <w:sdt>
        <w:sdtPr>
          <w:rPr>
            <w:sz w:val="24"/>
            <w:szCs w:val="24"/>
          </w:rPr>
          <w:id w:val="744074650"/>
          <w:citation/>
        </w:sdtPr>
        <w:sdtContent>
          <w:r w:rsidR="00C94ABB">
            <w:rPr>
              <w:sz w:val="24"/>
              <w:szCs w:val="24"/>
            </w:rPr>
            <w:fldChar w:fldCharType="begin"/>
          </w:r>
          <w:r w:rsidR="00C94ABB">
            <w:rPr>
              <w:sz w:val="24"/>
              <w:szCs w:val="24"/>
            </w:rPr>
            <w:instrText xml:space="preserve"> CITATION Sta08 \l 2057 </w:instrText>
          </w:r>
          <w:r w:rsidR="00C94ABB">
            <w:rPr>
              <w:sz w:val="24"/>
              <w:szCs w:val="24"/>
            </w:rPr>
            <w:fldChar w:fldCharType="separate"/>
          </w:r>
          <w:r w:rsidR="00E34F18">
            <w:rPr>
              <w:noProof/>
              <w:sz w:val="24"/>
              <w:szCs w:val="24"/>
            </w:rPr>
            <w:t xml:space="preserve"> </w:t>
          </w:r>
          <w:r w:rsidR="00E34F18" w:rsidRPr="00E34F18">
            <w:rPr>
              <w:noProof/>
              <w:sz w:val="24"/>
              <w:szCs w:val="24"/>
            </w:rPr>
            <w:t>(Staszak, 2008)</w:t>
          </w:r>
          <w:r w:rsidR="00C94ABB">
            <w:rPr>
              <w:sz w:val="24"/>
              <w:szCs w:val="24"/>
            </w:rPr>
            <w:fldChar w:fldCharType="end"/>
          </w:r>
        </w:sdtContent>
      </w:sdt>
      <w:r w:rsidR="00C94ABB">
        <w:rPr>
          <w:sz w:val="24"/>
          <w:szCs w:val="24"/>
        </w:rPr>
        <w:t>. Another stark example of the people at the ashram being perhaps considered as outsiders was in regards to their spiritual beliefs. They stated on a few occasions that they do not class themselves as religious, instead they are more spiritual and believe that god resides in everything (Evans, 2019). They do however welcome parts of many religions into their lives, believing that each deity or depiction of god is simply a different manifestation of god. This leaves them as outsiders of all religions, but at the same time they welcome each religion in with the same respect as you would expect a Christian to show the bible.</w:t>
      </w:r>
    </w:p>
    <w:p w:rsidR="0019582D" w:rsidRDefault="00AA2A0B" w:rsidP="00220222">
      <w:pPr>
        <w:rPr>
          <w:sz w:val="24"/>
          <w:szCs w:val="24"/>
        </w:rPr>
      </w:pPr>
      <w:r>
        <w:rPr>
          <w:sz w:val="24"/>
          <w:szCs w:val="24"/>
        </w:rPr>
        <w:t xml:space="preserve">A further example of Skanda Vale’s outsider status is the story of Shambo and the subsequent views of neighbouring farmers. Shambo was a black bullock living at Skanda Vale, and as such was viewed as part of the divine in line with their beliefs </w:t>
      </w:r>
      <w:sdt>
        <w:sdtPr>
          <w:rPr>
            <w:sz w:val="24"/>
            <w:szCs w:val="24"/>
          </w:rPr>
          <w:id w:val="1227337786"/>
          <w:citation/>
        </w:sdtPr>
        <w:sdtContent>
          <w:r>
            <w:rPr>
              <w:sz w:val="24"/>
              <w:szCs w:val="24"/>
            </w:rPr>
            <w:fldChar w:fldCharType="begin"/>
          </w:r>
          <w:r>
            <w:rPr>
              <w:sz w:val="24"/>
              <w:szCs w:val="24"/>
            </w:rPr>
            <w:instrText xml:space="preserve"> CITATION Ska192 \l 2057 </w:instrText>
          </w:r>
          <w:r>
            <w:rPr>
              <w:sz w:val="24"/>
              <w:szCs w:val="24"/>
            </w:rPr>
            <w:fldChar w:fldCharType="separate"/>
          </w:r>
          <w:r w:rsidR="00E34F18" w:rsidRPr="00E34F18">
            <w:rPr>
              <w:noProof/>
              <w:sz w:val="24"/>
              <w:szCs w:val="24"/>
            </w:rPr>
            <w:t>(Skanda Vale, n.d.)</w:t>
          </w:r>
          <w:r>
            <w:rPr>
              <w:sz w:val="24"/>
              <w:szCs w:val="24"/>
            </w:rPr>
            <w:fldChar w:fldCharType="end"/>
          </w:r>
        </w:sdtContent>
      </w:sdt>
      <w:r>
        <w:rPr>
          <w:sz w:val="24"/>
          <w:szCs w:val="24"/>
        </w:rPr>
        <w:t xml:space="preserve">. Unfortunately, Shambo tested positive for tuberculosis in a routine test required by </w:t>
      </w:r>
      <w:r>
        <w:rPr>
          <w:sz w:val="24"/>
          <w:szCs w:val="24"/>
        </w:rPr>
        <w:lastRenderedPageBreak/>
        <w:t xml:space="preserve">DEFRA, this meant that he was required to be slaughtered </w:t>
      </w:r>
      <w:sdt>
        <w:sdtPr>
          <w:rPr>
            <w:sz w:val="24"/>
            <w:szCs w:val="24"/>
          </w:rPr>
          <w:id w:val="1332033562"/>
          <w:citation/>
        </w:sdtPr>
        <w:sdtContent>
          <w:r>
            <w:rPr>
              <w:sz w:val="24"/>
              <w:szCs w:val="24"/>
            </w:rPr>
            <w:fldChar w:fldCharType="begin"/>
          </w:r>
          <w:r>
            <w:rPr>
              <w:sz w:val="24"/>
              <w:szCs w:val="24"/>
            </w:rPr>
            <w:instrText xml:space="preserve"> CITATION War09 \l 2057 </w:instrText>
          </w:r>
          <w:r>
            <w:rPr>
              <w:sz w:val="24"/>
              <w:szCs w:val="24"/>
            </w:rPr>
            <w:fldChar w:fldCharType="separate"/>
          </w:r>
          <w:r w:rsidR="00E34F18" w:rsidRPr="00E34F18">
            <w:rPr>
              <w:noProof/>
              <w:sz w:val="24"/>
              <w:szCs w:val="24"/>
            </w:rPr>
            <w:t>(Warrier, 2009)</w:t>
          </w:r>
          <w:r>
            <w:rPr>
              <w:sz w:val="24"/>
              <w:szCs w:val="24"/>
            </w:rPr>
            <w:fldChar w:fldCharType="end"/>
          </w:r>
        </w:sdtContent>
      </w:sdt>
      <w:r>
        <w:rPr>
          <w:sz w:val="24"/>
          <w:szCs w:val="24"/>
        </w:rPr>
        <w:t>. The people of Skanda Vale chose to undergo a lengthy legal battle with DEFRA in order to try and save the life of Shambo</w:t>
      </w:r>
      <w:r w:rsidR="004E3D85">
        <w:rPr>
          <w:sz w:val="24"/>
          <w:szCs w:val="24"/>
        </w:rPr>
        <w:t xml:space="preserve">, though they were eventually unsuccessful </w:t>
      </w:r>
      <w:sdt>
        <w:sdtPr>
          <w:rPr>
            <w:sz w:val="24"/>
            <w:szCs w:val="24"/>
          </w:rPr>
          <w:id w:val="-1611725764"/>
          <w:citation/>
        </w:sdtPr>
        <w:sdtContent>
          <w:r w:rsidR="004E3D85">
            <w:rPr>
              <w:sz w:val="24"/>
              <w:szCs w:val="24"/>
            </w:rPr>
            <w:fldChar w:fldCharType="begin"/>
          </w:r>
          <w:r w:rsidR="004E3D85">
            <w:rPr>
              <w:sz w:val="24"/>
              <w:szCs w:val="24"/>
            </w:rPr>
            <w:instrText xml:space="preserve"> CITATION War09 \l 2057 </w:instrText>
          </w:r>
          <w:r w:rsidR="004E3D85">
            <w:rPr>
              <w:sz w:val="24"/>
              <w:szCs w:val="24"/>
            </w:rPr>
            <w:fldChar w:fldCharType="separate"/>
          </w:r>
          <w:r w:rsidR="00E34F18" w:rsidRPr="00E34F18">
            <w:rPr>
              <w:noProof/>
              <w:sz w:val="24"/>
              <w:szCs w:val="24"/>
            </w:rPr>
            <w:t>(Warrier, 2009)</w:t>
          </w:r>
          <w:r w:rsidR="004E3D85">
            <w:rPr>
              <w:sz w:val="24"/>
              <w:szCs w:val="24"/>
            </w:rPr>
            <w:fldChar w:fldCharType="end"/>
          </w:r>
        </w:sdtContent>
      </w:sdt>
      <w:r w:rsidR="004E3D85">
        <w:rPr>
          <w:sz w:val="24"/>
          <w:szCs w:val="24"/>
        </w:rPr>
        <w:t xml:space="preserve">. Many local farmers came to the defence of Skanda Vale, also dissatisfied with DEFRA’s regulations on TB testing </w:t>
      </w:r>
      <w:sdt>
        <w:sdtPr>
          <w:rPr>
            <w:sz w:val="24"/>
            <w:szCs w:val="24"/>
          </w:rPr>
          <w:id w:val="478119818"/>
          <w:citation/>
        </w:sdtPr>
        <w:sdtContent>
          <w:r w:rsidR="004E3D85">
            <w:rPr>
              <w:sz w:val="24"/>
              <w:szCs w:val="24"/>
            </w:rPr>
            <w:fldChar w:fldCharType="begin"/>
          </w:r>
          <w:r w:rsidR="004E3D85">
            <w:rPr>
              <w:sz w:val="24"/>
              <w:szCs w:val="24"/>
            </w:rPr>
            <w:instrText xml:space="preserve"> CITATION Ska192 \l 2057 </w:instrText>
          </w:r>
          <w:r w:rsidR="004E3D85">
            <w:rPr>
              <w:sz w:val="24"/>
              <w:szCs w:val="24"/>
            </w:rPr>
            <w:fldChar w:fldCharType="separate"/>
          </w:r>
          <w:r w:rsidR="00E34F18" w:rsidRPr="00E34F18">
            <w:rPr>
              <w:noProof/>
              <w:sz w:val="24"/>
              <w:szCs w:val="24"/>
            </w:rPr>
            <w:t>(Skanda Vale, n.d.)</w:t>
          </w:r>
          <w:r w:rsidR="004E3D85">
            <w:rPr>
              <w:sz w:val="24"/>
              <w:szCs w:val="24"/>
            </w:rPr>
            <w:fldChar w:fldCharType="end"/>
          </w:r>
        </w:sdtContent>
      </w:sdt>
      <w:r w:rsidR="004E3D85">
        <w:rPr>
          <w:sz w:val="24"/>
          <w:szCs w:val="24"/>
        </w:rPr>
        <w:t>. Equally many farmers we</w:t>
      </w:r>
      <w:r w:rsidR="00E34F18">
        <w:rPr>
          <w:sz w:val="24"/>
          <w:szCs w:val="24"/>
        </w:rPr>
        <w:t>re</w:t>
      </w:r>
      <w:r w:rsidR="004E3D85">
        <w:rPr>
          <w:sz w:val="24"/>
          <w:szCs w:val="24"/>
        </w:rPr>
        <w:t xml:space="preserve"> unhappy with the way in which Skanda Vale were dealing with Shambo’s situation, supporting DEFRA’s culling rules and citing the health risks involved with keeping an animal alive with such an infectious disease </w:t>
      </w:r>
      <w:sdt>
        <w:sdtPr>
          <w:rPr>
            <w:sz w:val="24"/>
            <w:szCs w:val="24"/>
          </w:rPr>
          <w:id w:val="1341894495"/>
          <w:citation/>
        </w:sdtPr>
        <w:sdtContent>
          <w:r w:rsidR="004E3D85">
            <w:rPr>
              <w:sz w:val="24"/>
              <w:szCs w:val="24"/>
            </w:rPr>
            <w:fldChar w:fldCharType="begin"/>
          </w:r>
          <w:r w:rsidR="004E3D85">
            <w:rPr>
              <w:sz w:val="24"/>
              <w:szCs w:val="24"/>
            </w:rPr>
            <w:instrText xml:space="preserve"> CITATION War09 \l 2057 </w:instrText>
          </w:r>
          <w:r w:rsidR="004E3D85">
            <w:rPr>
              <w:sz w:val="24"/>
              <w:szCs w:val="24"/>
            </w:rPr>
            <w:fldChar w:fldCharType="separate"/>
          </w:r>
          <w:r w:rsidR="00E34F18" w:rsidRPr="00E34F18">
            <w:rPr>
              <w:noProof/>
              <w:sz w:val="24"/>
              <w:szCs w:val="24"/>
            </w:rPr>
            <w:t>(Warrier, 2009)</w:t>
          </w:r>
          <w:r w:rsidR="004E3D85">
            <w:rPr>
              <w:sz w:val="24"/>
              <w:szCs w:val="24"/>
            </w:rPr>
            <w:fldChar w:fldCharType="end"/>
          </w:r>
        </w:sdtContent>
      </w:sdt>
      <w:r w:rsidR="004E3D85">
        <w:rPr>
          <w:sz w:val="24"/>
          <w:szCs w:val="24"/>
        </w:rPr>
        <w:t xml:space="preserve">. Due to this and the </w:t>
      </w:r>
      <w:r w:rsidR="002F39B1">
        <w:rPr>
          <w:sz w:val="24"/>
          <w:szCs w:val="24"/>
        </w:rPr>
        <w:t xml:space="preserve">vast amount of media attention they gained from this, they became infamous outsiders in the welsh countryside </w:t>
      </w:r>
      <w:sdt>
        <w:sdtPr>
          <w:rPr>
            <w:sz w:val="24"/>
            <w:szCs w:val="24"/>
          </w:rPr>
          <w:id w:val="-613902704"/>
          <w:citation/>
        </w:sdtPr>
        <w:sdtContent>
          <w:r w:rsidR="002F39B1">
            <w:rPr>
              <w:sz w:val="24"/>
              <w:szCs w:val="24"/>
            </w:rPr>
            <w:fldChar w:fldCharType="begin"/>
          </w:r>
          <w:r w:rsidR="002F39B1">
            <w:rPr>
              <w:sz w:val="24"/>
              <w:szCs w:val="24"/>
            </w:rPr>
            <w:instrText xml:space="preserve"> CITATION BBC07 \l 2057 </w:instrText>
          </w:r>
          <w:r w:rsidR="002F39B1">
            <w:rPr>
              <w:sz w:val="24"/>
              <w:szCs w:val="24"/>
            </w:rPr>
            <w:fldChar w:fldCharType="separate"/>
          </w:r>
          <w:r w:rsidR="00E34F18" w:rsidRPr="00E34F18">
            <w:rPr>
              <w:noProof/>
              <w:sz w:val="24"/>
              <w:szCs w:val="24"/>
            </w:rPr>
            <w:t>(BBC, 2007)</w:t>
          </w:r>
          <w:r w:rsidR="002F39B1">
            <w:rPr>
              <w:sz w:val="24"/>
              <w:szCs w:val="24"/>
            </w:rPr>
            <w:fldChar w:fldCharType="end"/>
          </w:r>
        </w:sdtContent>
      </w:sdt>
      <w:r w:rsidR="002F39B1">
        <w:rPr>
          <w:sz w:val="24"/>
          <w:szCs w:val="24"/>
        </w:rPr>
        <w:t>.</w:t>
      </w:r>
    </w:p>
    <w:p w:rsidR="005E6E0C" w:rsidRDefault="005E6E0C" w:rsidP="00220222">
      <w:pPr>
        <w:rPr>
          <w:b/>
          <w:sz w:val="24"/>
          <w:szCs w:val="24"/>
        </w:rPr>
      </w:pPr>
      <w:r>
        <w:rPr>
          <w:b/>
          <w:sz w:val="24"/>
          <w:szCs w:val="24"/>
        </w:rPr>
        <w:t>Conclusion</w:t>
      </w:r>
    </w:p>
    <w:p w:rsidR="005E6E0C" w:rsidRDefault="00062A30" w:rsidP="00220222">
      <w:pPr>
        <w:rPr>
          <w:sz w:val="24"/>
          <w:szCs w:val="24"/>
        </w:rPr>
      </w:pPr>
      <w:r>
        <w:rPr>
          <w:sz w:val="24"/>
          <w:szCs w:val="24"/>
        </w:rPr>
        <w:t xml:space="preserve">In conclusion, I feel that the people of Skanda Vale have set up their own little bubble away from ‘normal’ society and are happy with this. They appeared to be proud of their ‘weirdo’ status and revel in it. They appear to have recovered from any damage done by the Shambo situation and are happy to talk about it if asked (Evans, 2019). </w:t>
      </w:r>
      <w:r w:rsidR="00472324">
        <w:rPr>
          <w:sz w:val="24"/>
          <w:szCs w:val="24"/>
        </w:rPr>
        <w:t>Their separation from religion is also not as vast as you might expect, and evidence of many religions can be found at the ashram (Evans, 2019).</w:t>
      </w:r>
    </w:p>
    <w:p w:rsidR="00062A30" w:rsidRDefault="00062A30" w:rsidP="00220222">
      <w:pPr>
        <w:rPr>
          <w:sz w:val="24"/>
          <w:szCs w:val="24"/>
        </w:rPr>
      </w:pPr>
      <w:r>
        <w:rPr>
          <w:sz w:val="24"/>
          <w:szCs w:val="24"/>
        </w:rPr>
        <w:t xml:space="preserve">I would suggest that ‘the field’ can in fact be anywhere and does not need to be some exotic far away land, as long as there are some differences or knowledge to gain ‘the field’ could be anywhere </w:t>
      </w:r>
      <w:sdt>
        <w:sdtPr>
          <w:rPr>
            <w:sz w:val="24"/>
            <w:szCs w:val="24"/>
          </w:rPr>
          <w:id w:val="911356615"/>
          <w:citation/>
        </w:sdtPr>
        <w:sdtContent>
          <w:r>
            <w:rPr>
              <w:sz w:val="24"/>
              <w:szCs w:val="24"/>
            </w:rPr>
            <w:fldChar w:fldCharType="begin"/>
          </w:r>
          <w:r>
            <w:rPr>
              <w:sz w:val="24"/>
              <w:szCs w:val="24"/>
            </w:rPr>
            <w:instrText xml:space="preserve"> CITATION Ami00 \l 2057 </w:instrText>
          </w:r>
          <w:r>
            <w:rPr>
              <w:sz w:val="24"/>
              <w:szCs w:val="24"/>
            </w:rPr>
            <w:fldChar w:fldCharType="separate"/>
          </w:r>
          <w:r w:rsidR="00E34F18" w:rsidRPr="00E34F18">
            <w:rPr>
              <w:noProof/>
              <w:sz w:val="24"/>
              <w:szCs w:val="24"/>
            </w:rPr>
            <w:t>(Amit, 2000)</w:t>
          </w:r>
          <w:r>
            <w:rPr>
              <w:sz w:val="24"/>
              <w:szCs w:val="24"/>
            </w:rPr>
            <w:fldChar w:fldCharType="end"/>
          </w:r>
        </w:sdtContent>
      </w:sdt>
      <w:r>
        <w:rPr>
          <w:sz w:val="24"/>
          <w:szCs w:val="24"/>
        </w:rPr>
        <w:t xml:space="preserve">. I would also propose that the dichotomy between familiar and difference should be used carefully, as one cannot exist without the other it can be suggested that both parts of this dichotomy can be found anywhere </w:t>
      </w:r>
      <w:sdt>
        <w:sdtPr>
          <w:rPr>
            <w:sz w:val="24"/>
            <w:szCs w:val="24"/>
          </w:rPr>
          <w:id w:val="1244909055"/>
          <w:citation/>
        </w:sdtPr>
        <w:sdtContent>
          <w:r>
            <w:rPr>
              <w:sz w:val="24"/>
              <w:szCs w:val="24"/>
            </w:rPr>
            <w:fldChar w:fldCharType="begin"/>
          </w:r>
          <w:r>
            <w:rPr>
              <w:sz w:val="24"/>
              <w:szCs w:val="24"/>
            </w:rPr>
            <w:instrText xml:space="preserve"> CITATION Bra99 \l 2057 </w:instrText>
          </w:r>
          <w:r>
            <w:rPr>
              <w:sz w:val="24"/>
              <w:szCs w:val="24"/>
            </w:rPr>
            <w:fldChar w:fldCharType="separate"/>
          </w:r>
          <w:r w:rsidR="00E34F18" w:rsidRPr="00E34F18">
            <w:rPr>
              <w:noProof/>
              <w:sz w:val="24"/>
              <w:szCs w:val="24"/>
            </w:rPr>
            <w:t>(Braun, 1999)</w:t>
          </w:r>
          <w:r>
            <w:rPr>
              <w:sz w:val="24"/>
              <w:szCs w:val="24"/>
            </w:rPr>
            <w:fldChar w:fldCharType="end"/>
          </w:r>
        </w:sdtContent>
      </w:sdt>
      <w:r>
        <w:rPr>
          <w:sz w:val="24"/>
          <w:szCs w:val="24"/>
        </w:rPr>
        <w:t xml:space="preserve">. The line between autoethnography and ethnography, in my opinion should be blurred. If autoethnography is in some part </w:t>
      </w:r>
      <w:r w:rsidR="00472324">
        <w:rPr>
          <w:sz w:val="24"/>
          <w:szCs w:val="24"/>
        </w:rPr>
        <w:t xml:space="preserve">described as placing the researcher within the social discourse </w:t>
      </w:r>
      <w:sdt>
        <w:sdtPr>
          <w:rPr>
            <w:sz w:val="24"/>
            <w:szCs w:val="24"/>
          </w:rPr>
          <w:id w:val="-2043196451"/>
          <w:citation/>
        </w:sdtPr>
        <w:sdtContent>
          <w:r w:rsidR="00472324">
            <w:rPr>
              <w:sz w:val="24"/>
              <w:szCs w:val="24"/>
            </w:rPr>
            <w:fldChar w:fldCharType="begin"/>
          </w:r>
          <w:r w:rsidR="00472324">
            <w:rPr>
              <w:sz w:val="24"/>
              <w:szCs w:val="24"/>
            </w:rPr>
            <w:instrText xml:space="preserve"> CITATION Ree17 \l 2057 </w:instrText>
          </w:r>
          <w:r w:rsidR="00472324">
            <w:rPr>
              <w:sz w:val="24"/>
              <w:szCs w:val="24"/>
            </w:rPr>
            <w:fldChar w:fldCharType="separate"/>
          </w:r>
          <w:r w:rsidR="00E34F18" w:rsidRPr="00E34F18">
            <w:rPr>
              <w:noProof/>
              <w:sz w:val="24"/>
              <w:szCs w:val="24"/>
            </w:rPr>
            <w:t>(Reed-Danahay, 2017)</w:t>
          </w:r>
          <w:r w:rsidR="00472324">
            <w:rPr>
              <w:sz w:val="24"/>
              <w:szCs w:val="24"/>
            </w:rPr>
            <w:fldChar w:fldCharType="end"/>
          </w:r>
        </w:sdtContent>
      </w:sdt>
      <w:r w:rsidR="00472324">
        <w:rPr>
          <w:sz w:val="24"/>
          <w:szCs w:val="24"/>
        </w:rPr>
        <w:t xml:space="preserve">, then surely all ethnography is in part, autoethnographical. </w:t>
      </w:r>
    </w:p>
    <w:p w:rsidR="00472324" w:rsidRDefault="00472324" w:rsidP="00220222">
      <w:pPr>
        <w:rPr>
          <w:sz w:val="24"/>
          <w:szCs w:val="24"/>
        </w:rPr>
      </w:pPr>
      <w:r>
        <w:rPr>
          <w:sz w:val="24"/>
          <w:szCs w:val="24"/>
        </w:rPr>
        <w:t>In short, there is evidence of an outsider outlook within the Skanda Vale community, however my own arguments with anthropological definitions w</w:t>
      </w:r>
      <w:r w:rsidR="004C50F2">
        <w:rPr>
          <w:sz w:val="24"/>
          <w:szCs w:val="24"/>
        </w:rPr>
        <w:t>ere</w:t>
      </w:r>
      <w:r>
        <w:rPr>
          <w:sz w:val="24"/>
          <w:szCs w:val="24"/>
        </w:rPr>
        <w:t xml:space="preserve"> made prominent through this research project. </w:t>
      </w:r>
    </w:p>
    <w:p w:rsidR="004C50F2" w:rsidRPr="005E6E0C" w:rsidRDefault="004C50F2" w:rsidP="00220222">
      <w:pPr>
        <w:rPr>
          <w:sz w:val="24"/>
          <w:szCs w:val="24"/>
        </w:rPr>
      </w:pPr>
    </w:p>
    <w:p w:rsidR="00E34F18" w:rsidRPr="00E34F18" w:rsidRDefault="00220222" w:rsidP="00E34F18">
      <w:pPr>
        <w:rPr>
          <w:rFonts w:cstheme="minorHAnsi"/>
          <w:sz w:val="24"/>
          <w:szCs w:val="24"/>
        </w:rPr>
      </w:pPr>
      <w:r>
        <w:rPr>
          <w:b/>
          <w:sz w:val="24"/>
          <w:szCs w:val="24"/>
        </w:rPr>
        <w:t>References</w:t>
      </w:r>
    </w:p>
    <w:sdt>
      <w:sdtPr>
        <w:rPr>
          <w:rFonts w:cstheme="minorHAnsi"/>
          <w:sz w:val="24"/>
          <w:szCs w:val="24"/>
        </w:rPr>
        <w:id w:val="605391451"/>
        <w:docPartObj>
          <w:docPartGallery w:val="Bibliographies"/>
          <w:docPartUnique/>
        </w:docPartObj>
      </w:sdtPr>
      <w:sdtContent>
        <w:p w:rsidR="00E34F18" w:rsidRPr="00E34F18" w:rsidRDefault="00E34F18" w:rsidP="00E34F18">
          <w:pPr>
            <w:rPr>
              <w:rFonts w:cstheme="minorHAnsi"/>
              <w:sz w:val="24"/>
              <w:szCs w:val="24"/>
            </w:rPr>
          </w:pPr>
        </w:p>
        <w:p w:rsidR="00E34F18" w:rsidRPr="00E34F18" w:rsidRDefault="00E34F18" w:rsidP="00E34F18">
          <w:pPr>
            <w:pStyle w:val="Bibliography"/>
            <w:rPr>
              <w:rFonts w:cstheme="minorHAnsi"/>
              <w:noProof/>
              <w:sz w:val="24"/>
              <w:szCs w:val="24"/>
              <w:lang w:val="en-US"/>
            </w:rPr>
          </w:pPr>
          <w:r w:rsidRPr="00E34F18">
            <w:rPr>
              <w:rFonts w:cstheme="minorHAnsi"/>
              <w:noProof/>
              <w:sz w:val="24"/>
              <w:szCs w:val="24"/>
              <w:lang w:val="en-US"/>
            </w:rPr>
            <w:t xml:space="preserve">Amit, V., 2000. Introduction: Constructing the Field. In: </w:t>
          </w:r>
          <w:r w:rsidRPr="00E34F18">
            <w:rPr>
              <w:rFonts w:cstheme="minorHAnsi"/>
              <w:i/>
              <w:iCs/>
              <w:noProof/>
              <w:sz w:val="24"/>
              <w:szCs w:val="24"/>
              <w:lang w:val="en-US"/>
            </w:rPr>
            <w:t xml:space="preserve">Constructing the Field: Ethnographic Fieldwork in the Contemporary World. </w:t>
          </w:r>
          <w:r w:rsidRPr="00E34F18">
            <w:rPr>
              <w:rFonts w:cstheme="minorHAnsi"/>
              <w:noProof/>
              <w:sz w:val="24"/>
              <w:szCs w:val="24"/>
              <w:lang w:val="en-US"/>
            </w:rPr>
            <w:t>London: Routledge, pp. 1-18.</w:t>
          </w:r>
        </w:p>
        <w:p w:rsidR="00E34F18" w:rsidRPr="00E34F18" w:rsidRDefault="00E34F18" w:rsidP="00E34F18">
          <w:pPr>
            <w:pStyle w:val="Bibliography"/>
            <w:rPr>
              <w:rFonts w:cstheme="minorHAnsi"/>
              <w:noProof/>
              <w:sz w:val="24"/>
              <w:szCs w:val="24"/>
              <w:lang w:val="en-US"/>
            </w:rPr>
          </w:pPr>
          <w:r w:rsidRPr="00E34F18">
            <w:rPr>
              <w:rFonts w:cstheme="minorHAnsi"/>
              <w:noProof/>
              <w:sz w:val="24"/>
              <w:szCs w:val="24"/>
              <w:lang w:val="en-US"/>
            </w:rPr>
            <w:t xml:space="preserve">Association of Social Anthropologists, 2018. </w:t>
          </w:r>
          <w:r w:rsidRPr="00E34F18">
            <w:rPr>
              <w:rFonts w:cstheme="minorHAnsi"/>
              <w:i/>
              <w:iCs/>
              <w:noProof/>
              <w:sz w:val="24"/>
              <w:szCs w:val="24"/>
              <w:lang w:val="en-US"/>
            </w:rPr>
            <w:t xml:space="preserve">Ethical Guidelines for Good Research Practise. </w:t>
          </w:r>
          <w:r w:rsidRPr="00E34F18">
            <w:rPr>
              <w:rFonts w:cstheme="minorHAnsi"/>
              <w:noProof/>
              <w:sz w:val="24"/>
              <w:szCs w:val="24"/>
              <w:lang w:val="en-US"/>
            </w:rPr>
            <w:t xml:space="preserve">[Online] </w:t>
          </w:r>
          <w:r w:rsidRPr="00E34F18">
            <w:rPr>
              <w:rFonts w:cstheme="minorHAnsi"/>
              <w:noProof/>
              <w:sz w:val="24"/>
              <w:szCs w:val="24"/>
              <w:lang w:val="en-US"/>
            </w:rPr>
            <w:br/>
            <w:t xml:space="preserve">Available at: </w:t>
          </w:r>
          <w:r w:rsidRPr="00E34F18">
            <w:rPr>
              <w:rFonts w:cstheme="minorHAnsi"/>
              <w:noProof/>
              <w:sz w:val="24"/>
              <w:szCs w:val="24"/>
              <w:u w:val="single"/>
              <w:lang w:val="en-US"/>
            </w:rPr>
            <w:t>https://www.theasa.org/ethics/guidelines.shtml</w:t>
          </w:r>
          <w:r w:rsidRPr="00E34F18">
            <w:rPr>
              <w:rFonts w:cstheme="minorHAnsi"/>
              <w:noProof/>
              <w:sz w:val="24"/>
              <w:szCs w:val="24"/>
              <w:lang w:val="en-US"/>
            </w:rPr>
            <w:br/>
            <w:t>[Accessed 12 April 2019].</w:t>
          </w:r>
        </w:p>
        <w:p w:rsidR="00E34F18" w:rsidRPr="00E34F18" w:rsidRDefault="00E34F18" w:rsidP="00E34F18">
          <w:pPr>
            <w:pStyle w:val="Bibliography"/>
            <w:rPr>
              <w:rFonts w:cstheme="minorHAnsi"/>
              <w:noProof/>
              <w:sz w:val="24"/>
              <w:szCs w:val="24"/>
              <w:lang w:val="en-US"/>
            </w:rPr>
          </w:pPr>
          <w:r w:rsidRPr="00E34F18">
            <w:rPr>
              <w:rFonts w:cstheme="minorHAnsi"/>
              <w:noProof/>
              <w:sz w:val="24"/>
              <w:szCs w:val="24"/>
              <w:lang w:val="en-US"/>
            </w:rPr>
            <w:lastRenderedPageBreak/>
            <w:t xml:space="preserve">BBC, 2007. </w:t>
          </w:r>
          <w:r w:rsidRPr="00E34F18">
            <w:rPr>
              <w:rFonts w:cstheme="minorHAnsi"/>
              <w:i/>
              <w:iCs/>
              <w:noProof/>
              <w:sz w:val="24"/>
              <w:szCs w:val="24"/>
              <w:lang w:val="en-US"/>
            </w:rPr>
            <w:t xml:space="preserve">Shambo's Lesions 'Typical of TB'. </w:t>
          </w:r>
          <w:r w:rsidRPr="00E34F18">
            <w:rPr>
              <w:rFonts w:cstheme="minorHAnsi"/>
              <w:noProof/>
              <w:sz w:val="24"/>
              <w:szCs w:val="24"/>
              <w:lang w:val="en-US"/>
            </w:rPr>
            <w:t xml:space="preserve">[Online] </w:t>
          </w:r>
          <w:bookmarkStart w:id="0" w:name="_GoBack"/>
          <w:bookmarkEnd w:id="0"/>
          <w:r w:rsidRPr="00E34F18">
            <w:rPr>
              <w:rFonts w:cstheme="minorHAnsi"/>
              <w:noProof/>
              <w:sz w:val="24"/>
              <w:szCs w:val="24"/>
              <w:lang w:val="en-US"/>
            </w:rPr>
            <w:br/>
            <w:t xml:space="preserve">Available at: </w:t>
          </w:r>
          <w:r w:rsidRPr="00E34F18">
            <w:rPr>
              <w:rFonts w:cstheme="minorHAnsi"/>
              <w:noProof/>
              <w:sz w:val="24"/>
              <w:szCs w:val="24"/>
              <w:u w:val="single"/>
              <w:lang w:val="en-US"/>
            </w:rPr>
            <w:t>http://news.bbc.co.uk/1/hi/wales/6918618.stm</w:t>
          </w:r>
          <w:r w:rsidRPr="00E34F18">
            <w:rPr>
              <w:rFonts w:cstheme="minorHAnsi"/>
              <w:noProof/>
              <w:sz w:val="24"/>
              <w:szCs w:val="24"/>
              <w:lang w:val="en-US"/>
            </w:rPr>
            <w:br/>
            <w:t>[Accessed 12 April 2019].</w:t>
          </w:r>
        </w:p>
        <w:p w:rsidR="00E34F18" w:rsidRDefault="00E34F18" w:rsidP="00E34F18">
          <w:pPr>
            <w:pStyle w:val="Bibliography"/>
            <w:rPr>
              <w:rFonts w:cstheme="minorHAnsi"/>
              <w:noProof/>
              <w:sz w:val="24"/>
              <w:szCs w:val="24"/>
              <w:lang w:val="en-US"/>
            </w:rPr>
          </w:pPr>
          <w:r w:rsidRPr="00E34F18">
            <w:rPr>
              <w:rFonts w:cstheme="minorHAnsi"/>
              <w:noProof/>
              <w:sz w:val="24"/>
              <w:szCs w:val="24"/>
              <w:lang w:val="en-US"/>
            </w:rPr>
            <w:t xml:space="preserve">Braun, S.-F., 1999. Comparison and Difference. In: </w:t>
          </w:r>
          <w:r w:rsidRPr="00E34F18">
            <w:rPr>
              <w:rFonts w:cstheme="minorHAnsi"/>
              <w:i/>
              <w:iCs/>
              <w:noProof/>
              <w:sz w:val="24"/>
              <w:szCs w:val="24"/>
              <w:lang w:val="en-US"/>
            </w:rPr>
            <w:t xml:space="preserve">British Social Anthropology, Identity, Culture and Society. </w:t>
          </w:r>
          <w:r w:rsidRPr="00E34F18">
            <w:rPr>
              <w:rFonts w:cstheme="minorHAnsi"/>
              <w:noProof/>
              <w:sz w:val="24"/>
              <w:szCs w:val="24"/>
              <w:lang w:val="en-US"/>
            </w:rPr>
            <w:t>s.l.:Unpublished, pp. 2-3.</w:t>
          </w:r>
        </w:p>
        <w:p w:rsidR="004C50F2" w:rsidRPr="004C50F2" w:rsidRDefault="004C50F2" w:rsidP="004C50F2">
          <w:pPr>
            <w:rPr>
              <w:sz w:val="24"/>
              <w:szCs w:val="24"/>
            </w:rPr>
          </w:pPr>
          <w:r>
            <w:rPr>
              <w:sz w:val="24"/>
              <w:szCs w:val="24"/>
            </w:rPr>
            <w:t xml:space="preserve">Evans, J. (2019) </w:t>
          </w:r>
          <w:r>
            <w:rPr>
              <w:i/>
              <w:sz w:val="24"/>
              <w:szCs w:val="24"/>
            </w:rPr>
            <w:t xml:space="preserve">Fieldwork at Skanda Vale. </w:t>
          </w:r>
          <w:r>
            <w:rPr>
              <w:sz w:val="24"/>
              <w:szCs w:val="24"/>
            </w:rPr>
            <w:t>Unpublished Field Journal, UWTSD.</w:t>
          </w:r>
        </w:p>
        <w:p w:rsidR="00E34F18" w:rsidRPr="00E34F18" w:rsidRDefault="00E34F18" w:rsidP="00E34F18">
          <w:pPr>
            <w:pStyle w:val="Bibliography"/>
            <w:rPr>
              <w:rFonts w:cstheme="minorHAnsi"/>
              <w:noProof/>
              <w:sz w:val="24"/>
              <w:szCs w:val="24"/>
              <w:lang w:val="en-US"/>
            </w:rPr>
          </w:pPr>
          <w:r w:rsidRPr="00E34F18">
            <w:rPr>
              <w:rFonts w:cstheme="minorHAnsi"/>
              <w:noProof/>
              <w:sz w:val="24"/>
              <w:szCs w:val="24"/>
              <w:lang w:val="en-US"/>
            </w:rPr>
            <w:t xml:space="preserve">Ingold, T., 2014. That's Enough About Ethnography!. </w:t>
          </w:r>
          <w:r w:rsidRPr="00E34F18">
            <w:rPr>
              <w:rFonts w:cstheme="minorHAnsi"/>
              <w:i/>
              <w:iCs/>
              <w:noProof/>
              <w:sz w:val="24"/>
              <w:szCs w:val="24"/>
              <w:lang w:val="en-US"/>
            </w:rPr>
            <w:t xml:space="preserve">HAU: Journal of Ethnographic Theory, </w:t>
          </w:r>
          <w:r w:rsidRPr="00E34F18">
            <w:rPr>
              <w:rFonts w:cstheme="minorHAnsi"/>
              <w:noProof/>
              <w:sz w:val="24"/>
              <w:szCs w:val="24"/>
              <w:lang w:val="en-US"/>
            </w:rPr>
            <w:t>4(1), pp. 383-395.</w:t>
          </w:r>
        </w:p>
        <w:p w:rsidR="00E34F18" w:rsidRPr="00E34F18" w:rsidRDefault="00E34F18" w:rsidP="00E34F18">
          <w:pPr>
            <w:pStyle w:val="Bibliography"/>
            <w:rPr>
              <w:rFonts w:cstheme="minorHAnsi"/>
              <w:noProof/>
              <w:sz w:val="24"/>
              <w:szCs w:val="24"/>
              <w:lang w:val="en-US"/>
            </w:rPr>
          </w:pPr>
          <w:r w:rsidRPr="00E34F18">
            <w:rPr>
              <w:rFonts w:cstheme="minorHAnsi"/>
              <w:noProof/>
              <w:sz w:val="24"/>
              <w:szCs w:val="24"/>
              <w:lang w:val="en-US"/>
            </w:rPr>
            <w:t xml:space="preserve">Malinowski, B. a. F. J., 1922. </w:t>
          </w:r>
          <w:r w:rsidRPr="00E34F18">
            <w:rPr>
              <w:rFonts w:cstheme="minorHAnsi"/>
              <w:i/>
              <w:iCs/>
              <w:noProof/>
              <w:sz w:val="24"/>
              <w:szCs w:val="24"/>
              <w:lang w:val="en-US"/>
            </w:rPr>
            <w:t xml:space="preserve">Argonauts of the Western Pacific: An Account of Native Enterprise and Adventure in the Archipelagoes of Melanesian New Guinea. </w:t>
          </w:r>
          <w:r w:rsidRPr="00E34F18">
            <w:rPr>
              <w:rFonts w:cstheme="minorHAnsi"/>
              <w:noProof/>
              <w:sz w:val="24"/>
              <w:szCs w:val="24"/>
              <w:lang w:val="en-US"/>
            </w:rPr>
            <w:t>London: Routledge &amp; Kegan Paul.</w:t>
          </w:r>
        </w:p>
        <w:p w:rsidR="00E34F18" w:rsidRPr="00E34F18" w:rsidRDefault="00E34F18" w:rsidP="00E34F18">
          <w:pPr>
            <w:pStyle w:val="Bibliography"/>
            <w:rPr>
              <w:rFonts w:cstheme="minorHAnsi"/>
              <w:noProof/>
              <w:sz w:val="24"/>
              <w:szCs w:val="24"/>
              <w:lang w:val="en-US"/>
            </w:rPr>
          </w:pPr>
          <w:r w:rsidRPr="00E34F18">
            <w:rPr>
              <w:rFonts w:cstheme="minorHAnsi"/>
              <w:noProof/>
              <w:sz w:val="24"/>
              <w:szCs w:val="24"/>
              <w:lang w:val="en-US"/>
            </w:rPr>
            <w:t xml:space="preserve">Miller, D., 2017. Anthropology is the Discipline but the Goal is Ethnography. </w:t>
          </w:r>
          <w:r w:rsidRPr="00E34F18">
            <w:rPr>
              <w:rFonts w:cstheme="minorHAnsi"/>
              <w:i/>
              <w:iCs/>
              <w:noProof/>
              <w:sz w:val="24"/>
              <w:szCs w:val="24"/>
              <w:lang w:val="en-US"/>
            </w:rPr>
            <w:t xml:space="preserve">HAU: Journal of Ethnographic Theory, </w:t>
          </w:r>
          <w:r w:rsidRPr="00E34F18">
            <w:rPr>
              <w:rFonts w:cstheme="minorHAnsi"/>
              <w:noProof/>
              <w:sz w:val="24"/>
              <w:szCs w:val="24"/>
              <w:lang w:val="en-US"/>
            </w:rPr>
            <w:t>7(1), pp. 27-31.</w:t>
          </w:r>
        </w:p>
        <w:p w:rsidR="00E34F18" w:rsidRPr="00E34F18" w:rsidRDefault="00E34F18" w:rsidP="00E34F18">
          <w:pPr>
            <w:pStyle w:val="Bibliography"/>
            <w:rPr>
              <w:rFonts w:cstheme="minorHAnsi"/>
              <w:noProof/>
              <w:sz w:val="24"/>
              <w:szCs w:val="24"/>
              <w:lang w:val="en-US"/>
            </w:rPr>
          </w:pPr>
          <w:r w:rsidRPr="00E34F18">
            <w:rPr>
              <w:rFonts w:cstheme="minorHAnsi"/>
              <w:noProof/>
              <w:sz w:val="24"/>
              <w:szCs w:val="24"/>
              <w:lang w:val="en-US"/>
            </w:rPr>
            <w:t xml:space="preserve">Okely, J. a. C. H., 1992. </w:t>
          </w:r>
          <w:r w:rsidRPr="00E34F18">
            <w:rPr>
              <w:rFonts w:cstheme="minorHAnsi"/>
              <w:i/>
              <w:iCs/>
              <w:noProof/>
              <w:sz w:val="24"/>
              <w:szCs w:val="24"/>
              <w:lang w:val="en-US"/>
            </w:rPr>
            <w:t xml:space="preserve">Anthropology &amp; Autobiography. </w:t>
          </w:r>
          <w:r w:rsidRPr="00E34F18">
            <w:rPr>
              <w:rFonts w:cstheme="minorHAnsi"/>
              <w:noProof/>
              <w:sz w:val="24"/>
              <w:szCs w:val="24"/>
              <w:lang w:val="en-US"/>
            </w:rPr>
            <w:t>Abingdon: Routledge.</w:t>
          </w:r>
        </w:p>
        <w:p w:rsidR="00E34F18" w:rsidRPr="00E34F18" w:rsidRDefault="00E34F18" w:rsidP="00E34F18">
          <w:pPr>
            <w:pStyle w:val="Bibliography"/>
            <w:rPr>
              <w:rFonts w:cstheme="minorHAnsi"/>
              <w:noProof/>
              <w:sz w:val="24"/>
              <w:szCs w:val="24"/>
              <w:lang w:val="en-US"/>
            </w:rPr>
          </w:pPr>
          <w:r w:rsidRPr="00E34F18">
            <w:rPr>
              <w:rFonts w:cstheme="minorHAnsi"/>
              <w:noProof/>
              <w:sz w:val="24"/>
              <w:szCs w:val="24"/>
              <w:lang w:val="en-US"/>
            </w:rPr>
            <w:t xml:space="preserve">Reed-Danahay, D., 2017. </w:t>
          </w:r>
          <w:r w:rsidRPr="00E34F18">
            <w:rPr>
              <w:rFonts w:cstheme="minorHAnsi"/>
              <w:i/>
              <w:iCs/>
              <w:noProof/>
              <w:sz w:val="24"/>
              <w:szCs w:val="24"/>
              <w:lang w:val="en-US"/>
            </w:rPr>
            <w:t xml:space="preserve">Autoethnography. </w:t>
          </w:r>
          <w:r w:rsidRPr="00E34F18">
            <w:rPr>
              <w:rFonts w:cstheme="minorHAnsi"/>
              <w:noProof/>
              <w:sz w:val="24"/>
              <w:szCs w:val="24"/>
              <w:lang w:val="en-US"/>
            </w:rPr>
            <w:t xml:space="preserve">[Online] </w:t>
          </w:r>
          <w:r w:rsidRPr="00E34F18">
            <w:rPr>
              <w:rFonts w:cstheme="minorHAnsi"/>
              <w:noProof/>
              <w:sz w:val="24"/>
              <w:szCs w:val="24"/>
              <w:lang w:val="en-US"/>
            </w:rPr>
            <w:br/>
            <w:t xml:space="preserve">Available at: </w:t>
          </w:r>
          <w:r w:rsidRPr="00E34F18">
            <w:rPr>
              <w:rFonts w:cstheme="minorHAnsi"/>
              <w:noProof/>
              <w:sz w:val="24"/>
              <w:szCs w:val="24"/>
              <w:u w:val="single"/>
              <w:lang w:val="en-US"/>
            </w:rPr>
            <w:t>http://www.oxfordbibliographies.com/view/document/obo-9780199766567/obo-9780199766567-0162.xml?rskey=aok4pM&amp;result=1&amp;q=autoethnography#firstMatch</w:t>
          </w:r>
          <w:r w:rsidRPr="00E34F18">
            <w:rPr>
              <w:rFonts w:cstheme="minorHAnsi"/>
              <w:noProof/>
              <w:sz w:val="24"/>
              <w:szCs w:val="24"/>
              <w:lang w:val="en-US"/>
            </w:rPr>
            <w:br/>
            <w:t>[Accessed 12 April 2019].</w:t>
          </w:r>
        </w:p>
        <w:p w:rsidR="00E34F18" w:rsidRPr="00E34F18" w:rsidRDefault="00E34F18" w:rsidP="00E34F18">
          <w:pPr>
            <w:pStyle w:val="Bibliography"/>
            <w:rPr>
              <w:rFonts w:cstheme="minorHAnsi"/>
              <w:noProof/>
              <w:sz w:val="24"/>
              <w:szCs w:val="24"/>
              <w:lang w:val="en-US"/>
            </w:rPr>
          </w:pPr>
          <w:r w:rsidRPr="00E34F18">
            <w:rPr>
              <w:rFonts w:cstheme="minorHAnsi"/>
              <w:noProof/>
              <w:sz w:val="24"/>
              <w:szCs w:val="24"/>
              <w:lang w:val="en-US"/>
            </w:rPr>
            <w:t xml:space="preserve">Skanda Vale, n.d. </w:t>
          </w:r>
          <w:r w:rsidRPr="00E34F18">
            <w:rPr>
              <w:rFonts w:cstheme="minorHAnsi"/>
              <w:i/>
              <w:iCs/>
              <w:noProof/>
              <w:sz w:val="24"/>
              <w:szCs w:val="24"/>
              <w:lang w:val="en-US"/>
            </w:rPr>
            <w:t xml:space="preserve">History. </w:t>
          </w:r>
          <w:r w:rsidRPr="00E34F18">
            <w:rPr>
              <w:rFonts w:cstheme="minorHAnsi"/>
              <w:noProof/>
              <w:sz w:val="24"/>
              <w:szCs w:val="24"/>
              <w:lang w:val="en-US"/>
            </w:rPr>
            <w:t xml:space="preserve">[Online] </w:t>
          </w:r>
          <w:r w:rsidRPr="00E34F18">
            <w:rPr>
              <w:rFonts w:cstheme="minorHAnsi"/>
              <w:noProof/>
              <w:sz w:val="24"/>
              <w:szCs w:val="24"/>
              <w:lang w:val="en-US"/>
            </w:rPr>
            <w:br/>
            <w:t xml:space="preserve">Available at: </w:t>
          </w:r>
          <w:r w:rsidRPr="00E34F18">
            <w:rPr>
              <w:rFonts w:cstheme="minorHAnsi"/>
              <w:noProof/>
              <w:sz w:val="24"/>
              <w:szCs w:val="24"/>
              <w:u w:val="single"/>
              <w:lang w:val="en-US"/>
            </w:rPr>
            <w:t>https://www.skandavale.org/history/</w:t>
          </w:r>
          <w:r w:rsidRPr="00E34F18">
            <w:rPr>
              <w:rFonts w:cstheme="minorHAnsi"/>
              <w:noProof/>
              <w:sz w:val="24"/>
              <w:szCs w:val="24"/>
              <w:lang w:val="en-US"/>
            </w:rPr>
            <w:br/>
            <w:t>[Accessed 12 April 2019].</w:t>
          </w:r>
        </w:p>
        <w:p w:rsidR="00E34F18" w:rsidRPr="00E34F18" w:rsidRDefault="00E34F18" w:rsidP="00E34F18">
          <w:pPr>
            <w:pStyle w:val="Bibliography"/>
            <w:rPr>
              <w:rFonts w:cstheme="minorHAnsi"/>
              <w:noProof/>
              <w:sz w:val="24"/>
              <w:szCs w:val="24"/>
              <w:lang w:val="en-US"/>
            </w:rPr>
          </w:pPr>
          <w:r w:rsidRPr="00E34F18">
            <w:rPr>
              <w:rFonts w:cstheme="minorHAnsi"/>
              <w:noProof/>
              <w:sz w:val="24"/>
              <w:szCs w:val="24"/>
              <w:lang w:val="en-US"/>
            </w:rPr>
            <w:t xml:space="preserve">Skanda Vale, n.d. </w:t>
          </w:r>
          <w:r w:rsidRPr="00E34F18">
            <w:rPr>
              <w:rFonts w:cstheme="minorHAnsi"/>
              <w:i/>
              <w:iCs/>
              <w:noProof/>
              <w:sz w:val="24"/>
              <w:szCs w:val="24"/>
              <w:lang w:val="en-US"/>
            </w:rPr>
            <w:t xml:space="preserve">Pilgrim's Guide. </w:t>
          </w:r>
          <w:r w:rsidRPr="00E34F18">
            <w:rPr>
              <w:rFonts w:cstheme="minorHAnsi"/>
              <w:noProof/>
              <w:sz w:val="24"/>
              <w:szCs w:val="24"/>
              <w:lang w:val="en-US"/>
            </w:rPr>
            <w:t xml:space="preserve">[Online] </w:t>
          </w:r>
          <w:r w:rsidRPr="00E34F18">
            <w:rPr>
              <w:rFonts w:cstheme="minorHAnsi"/>
              <w:noProof/>
              <w:sz w:val="24"/>
              <w:szCs w:val="24"/>
              <w:lang w:val="en-US"/>
            </w:rPr>
            <w:br/>
            <w:t xml:space="preserve">Available at: </w:t>
          </w:r>
          <w:r w:rsidRPr="00E34F18">
            <w:rPr>
              <w:rFonts w:cstheme="minorHAnsi"/>
              <w:noProof/>
              <w:sz w:val="24"/>
              <w:szCs w:val="24"/>
              <w:u w:val="single"/>
              <w:lang w:val="en-US"/>
            </w:rPr>
            <w:t>https://www.skandavale.org/pilgrims-guide/</w:t>
          </w:r>
          <w:r w:rsidRPr="00E34F18">
            <w:rPr>
              <w:rFonts w:cstheme="minorHAnsi"/>
              <w:noProof/>
              <w:sz w:val="24"/>
              <w:szCs w:val="24"/>
              <w:lang w:val="en-US"/>
            </w:rPr>
            <w:br/>
            <w:t>[Accessed 12 April 2019].</w:t>
          </w:r>
        </w:p>
        <w:p w:rsidR="00E34F18" w:rsidRPr="00E34F18" w:rsidRDefault="00E34F18" w:rsidP="00E34F18">
          <w:pPr>
            <w:pStyle w:val="Bibliography"/>
            <w:rPr>
              <w:rFonts w:cstheme="minorHAnsi"/>
              <w:noProof/>
              <w:sz w:val="24"/>
              <w:szCs w:val="24"/>
              <w:lang w:val="en-US"/>
            </w:rPr>
          </w:pPr>
          <w:r w:rsidRPr="00E34F18">
            <w:rPr>
              <w:rFonts w:cstheme="minorHAnsi"/>
              <w:noProof/>
              <w:sz w:val="24"/>
              <w:szCs w:val="24"/>
              <w:lang w:val="en-US"/>
            </w:rPr>
            <w:t xml:space="preserve">Skanda Vale, n.d. </w:t>
          </w:r>
          <w:r w:rsidRPr="00E34F18">
            <w:rPr>
              <w:rFonts w:cstheme="minorHAnsi"/>
              <w:i/>
              <w:iCs/>
              <w:noProof/>
              <w:sz w:val="24"/>
              <w:szCs w:val="24"/>
              <w:lang w:val="en-US"/>
            </w:rPr>
            <w:t xml:space="preserve">Shambo. </w:t>
          </w:r>
          <w:r w:rsidRPr="00E34F18">
            <w:rPr>
              <w:rFonts w:cstheme="minorHAnsi"/>
              <w:noProof/>
              <w:sz w:val="24"/>
              <w:szCs w:val="24"/>
              <w:lang w:val="en-US"/>
            </w:rPr>
            <w:t xml:space="preserve">[Online] </w:t>
          </w:r>
          <w:r w:rsidRPr="00E34F18">
            <w:rPr>
              <w:rFonts w:cstheme="minorHAnsi"/>
              <w:noProof/>
              <w:sz w:val="24"/>
              <w:szCs w:val="24"/>
              <w:lang w:val="en-US"/>
            </w:rPr>
            <w:br/>
            <w:t xml:space="preserve">Available at: </w:t>
          </w:r>
          <w:r w:rsidRPr="00E34F18">
            <w:rPr>
              <w:rFonts w:cstheme="minorHAnsi"/>
              <w:noProof/>
              <w:sz w:val="24"/>
              <w:szCs w:val="24"/>
              <w:u w:val="single"/>
              <w:lang w:val="en-US"/>
            </w:rPr>
            <w:t>https://www.skandavale.org/shambo-sanctity-of-life/</w:t>
          </w:r>
          <w:r w:rsidRPr="00E34F18">
            <w:rPr>
              <w:rFonts w:cstheme="minorHAnsi"/>
              <w:noProof/>
              <w:sz w:val="24"/>
              <w:szCs w:val="24"/>
              <w:lang w:val="en-US"/>
            </w:rPr>
            <w:br/>
            <w:t>[Accessed 12 April 2019].</w:t>
          </w:r>
        </w:p>
        <w:p w:rsidR="00E34F18" w:rsidRPr="00E34F18" w:rsidRDefault="00E34F18" w:rsidP="00E34F18">
          <w:pPr>
            <w:pStyle w:val="Bibliography"/>
            <w:rPr>
              <w:rFonts w:cstheme="minorHAnsi"/>
              <w:noProof/>
              <w:sz w:val="24"/>
              <w:szCs w:val="24"/>
              <w:lang w:val="en-US"/>
            </w:rPr>
          </w:pPr>
          <w:r w:rsidRPr="00E34F18">
            <w:rPr>
              <w:rFonts w:cstheme="minorHAnsi"/>
              <w:noProof/>
              <w:sz w:val="24"/>
              <w:szCs w:val="24"/>
              <w:lang w:val="en-US"/>
            </w:rPr>
            <w:t xml:space="preserve">Staszak, J.-F., 2008. Other/Otherness. In: </w:t>
          </w:r>
          <w:r w:rsidRPr="00E34F18">
            <w:rPr>
              <w:rFonts w:cstheme="minorHAnsi"/>
              <w:i/>
              <w:iCs/>
              <w:noProof/>
              <w:sz w:val="24"/>
              <w:szCs w:val="24"/>
              <w:lang w:val="en-US"/>
            </w:rPr>
            <w:t xml:space="preserve">International Encyclopedia of Human Geography. </w:t>
          </w:r>
          <w:r w:rsidRPr="00E34F18">
            <w:rPr>
              <w:rFonts w:cstheme="minorHAnsi"/>
              <w:noProof/>
              <w:sz w:val="24"/>
              <w:szCs w:val="24"/>
              <w:lang w:val="en-US"/>
            </w:rPr>
            <w:t>Oxford: Elsevier Science.</w:t>
          </w:r>
        </w:p>
        <w:p w:rsidR="00E34F18" w:rsidRPr="00E34F18" w:rsidRDefault="00E34F18" w:rsidP="00E34F18">
          <w:pPr>
            <w:pStyle w:val="Bibliography"/>
            <w:rPr>
              <w:rFonts w:cstheme="minorHAnsi"/>
              <w:noProof/>
              <w:sz w:val="24"/>
              <w:szCs w:val="24"/>
              <w:lang w:val="en-US"/>
            </w:rPr>
          </w:pPr>
          <w:r w:rsidRPr="00E34F18">
            <w:rPr>
              <w:rFonts w:cstheme="minorHAnsi"/>
              <w:noProof/>
              <w:sz w:val="24"/>
              <w:szCs w:val="24"/>
              <w:lang w:val="en-US"/>
            </w:rPr>
            <w:t xml:space="preserve">Taussig, M., 2003. The Diary as Witness: an Anthropologist Writes What He Must. </w:t>
          </w:r>
          <w:r w:rsidRPr="00E34F18">
            <w:rPr>
              <w:rFonts w:cstheme="minorHAnsi"/>
              <w:i/>
              <w:iCs/>
              <w:noProof/>
              <w:sz w:val="24"/>
              <w:szCs w:val="24"/>
              <w:lang w:val="en-US"/>
            </w:rPr>
            <w:t xml:space="preserve">The Chronicle Review, </w:t>
          </w:r>
          <w:r w:rsidRPr="00E34F18">
            <w:rPr>
              <w:rFonts w:cstheme="minorHAnsi"/>
              <w:noProof/>
              <w:sz w:val="24"/>
              <w:szCs w:val="24"/>
              <w:lang w:val="en-US"/>
            </w:rPr>
            <w:t>50(17), pp. B12-B13.</w:t>
          </w:r>
        </w:p>
        <w:p w:rsidR="00E34F18" w:rsidRPr="00E34F18" w:rsidRDefault="00E34F18" w:rsidP="00E34F18">
          <w:pPr>
            <w:pStyle w:val="Bibliography"/>
            <w:rPr>
              <w:rFonts w:cstheme="minorHAnsi"/>
              <w:noProof/>
              <w:sz w:val="24"/>
              <w:szCs w:val="24"/>
              <w:lang w:val="en-US"/>
            </w:rPr>
          </w:pPr>
          <w:r w:rsidRPr="00E34F18">
            <w:rPr>
              <w:rFonts w:cstheme="minorHAnsi"/>
              <w:noProof/>
              <w:sz w:val="24"/>
              <w:szCs w:val="24"/>
              <w:lang w:val="en-US"/>
            </w:rPr>
            <w:lastRenderedPageBreak/>
            <w:t xml:space="preserve">Warrier, M., 2009. The Temple Bull Controversy as Skanda Vale and the Construction of Hindu Identity in Britain. </w:t>
          </w:r>
          <w:r w:rsidRPr="00E34F18">
            <w:rPr>
              <w:rFonts w:cstheme="minorHAnsi"/>
              <w:i/>
              <w:iCs/>
              <w:noProof/>
              <w:sz w:val="24"/>
              <w:szCs w:val="24"/>
              <w:lang w:val="en-US"/>
            </w:rPr>
            <w:t xml:space="preserve">International Journal of Hindu Studies, </w:t>
          </w:r>
          <w:r w:rsidRPr="00E34F18">
            <w:rPr>
              <w:rFonts w:cstheme="minorHAnsi"/>
              <w:noProof/>
              <w:sz w:val="24"/>
              <w:szCs w:val="24"/>
              <w:lang w:val="en-US"/>
            </w:rPr>
            <w:t>13(3), pp. 261-278.</w:t>
          </w:r>
        </w:p>
        <w:p w:rsidR="00E34F18" w:rsidRPr="00E34F18" w:rsidRDefault="00E34F18" w:rsidP="00E34F18">
          <w:pPr>
            <w:rPr>
              <w:rFonts w:cstheme="minorHAnsi"/>
              <w:sz w:val="24"/>
              <w:szCs w:val="24"/>
            </w:rPr>
          </w:pPr>
        </w:p>
      </w:sdtContent>
    </w:sdt>
    <w:p w:rsidR="00E34F18" w:rsidRPr="00E34F18" w:rsidRDefault="00E34F18" w:rsidP="00220222">
      <w:pPr>
        <w:rPr>
          <w:rFonts w:cstheme="minorHAnsi"/>
          <w:sz w:val="24"/>
          <w:szCs w:val="24"/>
        </w:rPr>
      </w:pPr>
    </w:p>
    <w:p w:rsidR="00A85137" w:rsidRPr="00E34F18" w:rsidRDefault="00A85137" w:rsidP="00220222">
      <w:pPr>
        <w:rPr>
          <w:rFonts w:cstheme="minorHAnsi"/>
          <w:sz w:val="24"/>
          <w:szCs w:val="24"/>
        </w:rPr>
      </w:pPr>
    </w:p>
    <w:sectPr w:rsidR="00A85137" w:rsidRPr="00E34F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docVars>
    <w:docVar w:name="__Grammarly_42____i" w:val="H4sIAAAAAAAEAKtWckksSQxILCpxzi/NK1GyMqwFAAEhoTITAAAA"/>
    <w:docVar w:name="__Grammarly_42___1" w:val="H4sIAAAAAAAEAKtWcslP9kxRslIyNDa0tDQxNTE0MjEyNzW3MDBR0lEKTi0uzszPAykwrAUArIojziwAAAA="/>
  </w:docVars>
  <w:rsids>
    <w:rsidRoot w:val="00220222"/>
    <w:rsid w:val="00002FDA"/>
    <w:rsid w:val="00062A30"/>
    <w:rsid w:val="000B4470"/>
    <w:rsid w:val="000C795F"/>
    <w:rsid w:val="000E7607"/>
    <w:rsid w:val="0019582D"/>
    <w:rsid w:val="001A520B"/>
    <w:rsid w:val="001E5B9B"/>
    <w:rsid w:val="00220222"/>
    <w:rsid w:val="0024050E"/>
    <w:rsid w:val="00244085"/>
    <w:rsid w:val="0024618F"/>
    <w:rsid w:val="002F39B1"/>
    <w:rsid w:val="00472324"/>
    <w:rsid w:val="004B1E42"/>
    <w:rsid w:val="004C50F2"/>
    <w:rsid w:val="004E3D85"/>
    <w:rsid w:val="005138FF"/>
    <w:rsid w:val="00543713"/>
    <w:rsid w:val="00555E25"/>
    <w:rsid w:val="00577B8A"/>
    <w:rsid w:val="005E6E0C"/>
    <w:rsid w:val="00614101"/>
    <w:rsid w:val="006410A5"/>
    <w:rsid w:val="006C6FDD"/>
    <w:rsid w:val="00741BF1"/>
    <w:rsid w:val="00853FCE"/>
    <w:rsid w:val="00892BE8"/>
    <w:rsid w:val="00934714"/>
    <w:rsid w:val="009402E5"/>
    <w:rsid w:val="0099405E"/>
    <w:rsid w:val="00A3317B"/>
    <w:rsid w:val="00A85137"/>
    <w:rsid w:val="00AA2A0B"/>
    <w:rsid w:val="00B06C38"/>
    <w:rsid w:val="00B669A5"/>
    <w:rsid w:val="00B74AC2"/>
    <w:rsid w:val="00C94ABB"/>
    <w:rsid w:val="00D5713F"/>
    <w:rsid w:val="00D6302F"/>
    <w:rsid w:val="00E34F18"/>
    <w:rsid w:val="00EB48FC"/>
    <w:rsid w:val="00ED35B2"/>
    <w:rsid w:val="00F123F8"/>
    <w:rsid w:val="00F4703F"/>
    <w:rsid w:val="00F83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86C99"/>
  <w15:chartTrackingRefBased/>
  <w15:docId w15:val="{8858CB91-0572-43C5-AAA2-D7DF47190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4F18"/>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F18"/>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E34F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721524">
      <w:bodyDiv w:val="1"/>
      <w:marLeft w:val="0"/>
      <w:marRight w:val="0"/>
      <w:marTop w:val="0"/>
      <w:marBottom w:val="0"/>
      <w:divBdr>
        <w:top w:val="none" w:sz="0" w:space="0" w:color="auto"/>
        <w:left w:val="none" w:sz="0" w:space="0" w:color="auto"/>
        <w:bottom w:val="none" w:sz="0" w:space="0" w:color="auto"/>
        <w:right w:val="none" w:sz="0" w:space="0" w:color="auto"/>
      </w:divBdr>
    </w:div>
    <w:div w:id="115293828">
      <w:bodyDiv w:val="1"/>
      <w:marLeft w:val="0"/>
      <w:marRight w:val="0"/>
      <w:marTop w:val="0"/>
      <w:marBottom w:val="0"/>
      <w:divBdr>
        <w:top w:val="none" w:sz="0" w:space="0" w:color="auto"/>
        <w:left w:val="none" w:sz="0" w:space="0" w:color="auto"/>
        <w:bottom w:val="none" w:sz="0" w:space="0" w:color="auto"/>
        <w:right w:val="none" w:sz="0" w:space="0" w:color="auto"/>
      </w:divBdr>
    </w:div>
    <w:div w:id="153224704">
      <w:bodyDiv w:val="1"/>
      <w:marLeft w:val="0"/>
      <w:marRight w:val="0"/>
      <w:marTop w:val="0"/>
      <w:marBottom w:val="0"/>
      <w:divBdr>
        <w:top w:val="none" w:sz="0" w:space="0" w:color="auto"/>
        <w:left w:val="none" w:sz="0" w:space="0" w:color="auto"/>
        <w:bottom w:val="none" w:sz="0" w:space="0" w:color="auto"/>
        <w:right w:val="none" w:sz="0" w:space="0" w:color="auto"/>
      </w:divBdr>
    </w:div>
    <w:div w:id="192619380">
      <w:bodyDiv w:val="1"/>
      <w:marLeft w:val="0"/>
      <w:marRight w:val="0"/>
      <w:marTop w:val="0"/>
      <w:marBottom w:val="0"/>
      <w:divBdr>
        <w:top w:val="none" w:sz="0" w:space="0" w:color="auto"/>
        <w:left w:val="none" w:sz="0" w:space="0" w:color="auto"/>
        <w:bottom w:val="none" w:sz="0" w:space="0" w:color="auto"/>
        <w:right w:val="none" w:sz="0" w:space="0" w:color="auto"/>
      </w:divBdr>
    </w:div>
    <w:div w:id="221673164">
      <w:bodyDiv w:val="1"/>
      <w:marLeft w:val="0"/>
      <w:marRight w:val="0"/>
      <w:marTop w:val="0"/>
      <w:marBottom w:val="0"/>
      <w:divBdr>
        <w:top w:val="none" w:sz="0" w:space="0" w:color="auto"/>
        <w:left w:val="none" w:sz="0" w:space="0" w:color="auto"/>
        <w:bottom w:val="none" w:sz="0" w:space="0" w:color="auto"/>
        <w:right w:val="none" w:sz="0" w:space="0" w:color="auto"/>
      </w:divBdr>
    </w:div>
    <w:div w:id="238638512">
      <w:bodyDiv w:val="1"/>
      <w:marLeft w:val="0"/>
      <w:marRight w:val="0"/>
      <w:marTop w:val="0"/>
      <w:marBottom w:val="0"/>
      <w:divBdr>
        <w:top w:val="none" w:sz="0" w:space="0" w:color="auto"/>
        <w:left w:val="none" w:sz="0" w:space="0" w:color="auto"/>
        <w:bottom w:val="none" w:sz="0" w:space="0" w:color="auto"/>
        <w:right w:val="none" w:sz="0" w:space="0" w:color="auto"/>
      </w:divBdr>
    </w:div>
    <w:div w:id="247889182">
      <w:bodyDiv w:val="1"/>
      <w:marLeft w:val="0"/>
      <w:marRight w:val="0"/>
      <w:marTop w:val="0"/>
      <w:marBottom w:val="0"/>
      <w:divBdr>
        <w:top w:val="none" w:sz="0" w:space="0" w:color="auto"/>
        <w:left w:val="none" w:sz="0" w:space="0" w:color="auto"/>
        <w:bottom w:val="none" w:sz="0" w:space="0" w:color="auto"/>
        <w:right w:val="none" w:sz="0" w:space="0" w:color="auto"/>
      </w:divBdr>
    </w:div>
    <w:div w:id="300577298">
      <w:bodyDiv w:val="1"/>
      <w:marLeft w:val="0"/>
      <w:marRight w:val="0"/>
      <w:marTop w:val="0"/>
      <w:marBottom w:val="0"/>
      <w:divBdr>
        <w:top w:val="none" w:sz="0" w:space="0" w:color="auto"/>
        <w:left w:val="none" w:sz="0" w:space="0" w:color="auto"/>
        <w:bottom w:val="none" w:sz="0" w:space="0" w:color="auto"/>
        <w:right w:val="none" w:sz="0" w:space="0" w:color="auto"/>
      </w:divBdr>
    </w:div>
    <w:div w:id="304505322">
      <w:bodyDiv w:val="1"/>
      <w:marLeft w:val="0"/>
      <w:marRight w:val="0"/>
      <w:marTop w:val="0"/>
      <w:marBottom w:val="0"/>
      <w:divBdr>
        <w:top w:val="none" w:sz="0" w:space="0" w:color="auto"/>
        <w:left w:val="none" w:sz="0" w:space="0" w:color="auto"/>
        <w:bottom w:val="none" w:sz="0" w:space="0" w:color="auto"/>
        <w:right w:val="none" w:sz="0" w:space="0" w:color="auto"/>
      </w:divBdr>
    </w:div>
    <w:div w:id="512303791">
      <w:bodyDiv w:val="1"/>
      <w:marLeft w:val="0"/>
      <w:marRight w:val="0"/>
      <w:marTop w:val="0"/>
      <w:marBottom w:val="0"/>
      <w:divBdr>
        <w:top w:val="none" w:sz="0" w:space="0" w:color="auto"/>
        <w:left w:val="none" w:sz="0" w:space="0" w:color="auto"/>
        <w:bottom w:val="none" w:sz="0" w:space="0" w:color="auto"/>
        <w:right w:val="none" w:sz="0" w:space="0" w:color="auto"/>
      </w:divBdr>
    </w:div>
    <w:div w:id="512769917">
      <w:bodyDiv w:val="1"/>
      <w:marLeft w:val="0"/>
      <w:marRight w:val="0"/>
      <w:marTop w:val="0"/>
      <w:marBottom w:val="0"/>
      <w:divBdr>
        <w:top w:val="none" w:sz="0" w:space="0" w:color="auto"/>
        <w:left w:val="none" w:sz="0" w:space="0" w:color="auto"/>
        <w:bottom w:val="none" w:sz="0" w:space="0" w:color="auto"/>
        <w:right w:val="none" w:sz="0" w:space="0" w:color="auto"/>
      </w:divBdr>
    </w:div>
    <w:div w:id="575285273">
      <w:bodyDiv w:val="1"/>
      <w:marLeft w:val="0"/>
      <w:marRight w:val="0"/>
      <w:marTop w:val="0"/>
      <w:marBottom w:val="0"/>
      <w:divBdr>
        <w:top w:val="none" w:sz="0" w:space="0" w:color="auto"/>
        <w:left w:val="none" w:sz="0" w:space="0" w:color="auto"/>
        <w:bottom w:val="none" w:sz="0" w:space="0" w:color="auto"/>
        <w:right w:val="none" w:sz="0" w:space="0" w:color="auto"/>
      </w:divBdr>
    </w:div>
    <w:div w:id="663632800">
      <w:bodyDiv w:val="1"/>
      <w:marLeft w:val="0"/>
      <w:marRight w:val="0"/>
      <w:marTop w:val="0"/>
      <w:marBottom w:val="0"/>
      <w:divBdr>
        <w:top w:val="none" w:sz="0" w:space="0" w:color="auto"/>
        <w:left w:val="none" w:sz="0" w:space="0" w:color="auto"/>
        <w:bottom w:val="none" w:sz="0" w:space="0" w:color="auto"/>
        <w:right w:val="none" w:sz="0" w:space="0" w:color="auto"/>
      </w:divBdr>
    </w:div>
    <w:div w:id="674957958">
      <w:bodyDiv w:val="1"/>
      <w:marLeft w:val="0"/>
      <w:marRight w:val="0"/>
      <w:marTop w:val="0"/>
      <w:marBottom w:val="0"/>
      <w:divBdr>
        <w:top w:val="none" w:sz="0" w:space="0" w:color="auto"/>
        <w:left w:val="none" w:sz="0" w:space="0" w:color="auto"/>
        <w:bottom w:val="none" w:sz="0" w:space="0" w:color="auto"/>
        <w:right w:val="none" w:sz="0" w:space="0" w:color="auto"/>
      </w:divBdr>
    </w:div>
    <w:div w:id="676932114">
      <w:bodyDiv w:val="1"/>
      <w:marLeft w:val="0"/>
      <w:marRight w:val="0"/>
      <w:marTop w:val="0"/>
      <w:marBottom w:val="0"/>
      <w:divBdr>
        <w:top w:val="none" w:sz="0" w:space="0" w:color="auto"/>
        <w:left w:val="none" w:sz="0" w:space="0" w:color="auto"/>
        <w:bottom w:val="none" w:sz="0" w:space="0" w:color="auto"/>
        <w:right w:val="none" w:sz="0" w:space="0" w:color="auto"/>
      </w:divBdr>
    </w:div>
    <w:div w:id="720247721">
      <w:bodyDiv w:val="1"/>
      <w:marLeft w:val="0"/>
      <w:marRight w:val="0"/>
      <w:marTop w:val="0"/>
      <w:marBottom w:val="0"/>
      <w:divBdr>
        <w:top w:val="none" w:sz="0" w:space="0" w:color="auto"/>
        <w:left w:val="none" w:sz="0" w:space="0" w:color="auto"/>
        <w:bottom w:val="none" w:sz="0" w:space="0" w:color="auto"/>
        <w:right w:val="none" w:sz="0" w:space="0" w:color="auto"/>
      </w:divBdr>
    </w:div>
    <w:div w:id="766731077">
      <w:bodyDiv w:val="1"/>
      <w:marLeft w:val="0"/>
      <w:marRight w:val="0"/>
      <w:marTop w:val="0"/>
      <w:marBottom w:val="0"/>
      <w:divBdr>
        <w:top w:val="none" w:sz="0" w:space="0" w:color="auto"/>
        <w:left w:val="none" w:sz="0" w:space="0" w:color="auto"/>
        <w:bottom w:val="none" w:sz="0" w:space="0" w:color="auto"/>
        <w:right w:val="none" w:sz="0" w:space="0" w:color="auto"/>
      </w:divBdr>
    </w:div>
    <w:div w:id="787775106">
      <w:bodyDiv w:val="1"/>
      <w:marLeft w:val="0"/>
      <w:marRight w:val="0"/>
      <w:marTop w:val="0"/>
      <w:marBottom w:val="0"/>
      <w:divBdr>
        <w:top w:val="none" w:sz="0" w:space="0" w:color="auto"/>
        <w:left w:val="none" w:sz="0" w:space="0" w:color="auto"/>
        <w:bottom w:val="none" w:sz="0" w:space="0" w:color="auto"/>
        <w:right w:val="none" w:sz="0" w:space="0" w:color="auto"/>
      </w:divBdr>
    </w:div>
    <w:div w:id="797064078">
      <w:bodyDiv w:val="1"/>
      <w:marLeft w:val="0"/>
      <w:marRight w:val="0"/>
      <w:marTop w:val="0"/>
      <w:marBottom w:val="0"/>
      <w:divBdr>
        <w:top w:val="none" w:sz="0" w:space="0" w:color="auto"/>
        <w:left w:val="none" w:sz="0" w:space="0" w:color="auto"/>
        <w:bottom w:val="none" w:sz="0" w:space="0" w:color="auto"/>
        <w:right w:val="none" w:sz="0" w:space="0" w:color="auto"/>
      </w:divBdr>
    </w:div>
    <w:div w:id="824321751">
      <w:bodyDiv w:val="1"/>
      <w:marLeft w:val="0"/>
      <w:marRight w:val="0"/>
      <w:marTop w:val="0"/>
      <w:marBottom w:val="0"/>
      <w:divBdr>
        <w:top w:val="none" w:sz="0" w:space="0" w:color="auto"/>
        <w:left w:val="none" w:sz="0" w:space="0" w:color="auto"/>
        <w:bottom w:val="none" w:sz="0" w:space="0" w:color="auto"/>
        <w:right w:val="none" w:sz="0" w:space="0" w:color="auto"/>
      </w:divBdr>
    </w:div>
    <w:div w:id="829909882">
      <w:bodyDiv w:val="1"/>
      <w:marLeft w:val="0"/>
      <w:marRight w:val="0"/>
      <w:marTop w:val="0"/>
      <w:marBottom w:val="0"/>
      <w:divBdr>
        <w:top w:val="none" w:sz="0" w:space="0" w:color="auto"/>
        <w:left w:val="none" w:sz="0" w:space="0" w:color="auto"/>
        <w:bottom w:val="none" w:sz="0" w:space="0" w:color="auto"/>
        <w:right w:val="none" w:sz="0" w:space="0" w:color="auto"/>
      </w:divBdr>
    </w:div>
    <w:div w:id="985477612">
      <w:bodyDiv w:val="1"/>
      <w:marLeft w:val="0"/>
      <w:marRight w:val="0"/>
      <w:marTop w:val="0"/>
      <w:marBottom w:val="0"/>
      <w:divBdr>
        <w:top w:val="none" w:sz="0" w:space="0" w:color="auto"/>
        <w:left w:val="none" w:sz="0" w:space="0" w:color="auto"/>
        <w:bottom w:val="none" w:sz="0" w:space="0" w:color="auto"/>
        <w:right w:val="none" w:sz="0" w:space="0" w:color="auto"/>
      </w:divBdr>
    </w:div>
    <w:div w:id="1086807997">
      <w:bodyDiv w:val="1"/>
      <w:marLeft w:val="0"/>
      <w:marRight w:val="0"/>
      <w:marTop w:val="0"/>
      <w:marBottom w:val="0"/>
      <w:divBdr>
        <w:top w:val="none" w:sz="0" w:space="0" w:color="auto"/>
        <w:left w:val="none" w:sz="0" w:space="0" w:color="auto"/>
        <w:bottom w:val="none" w:sz="0" w:space="0" w:color="auto"/>
        <w:right w:val="none" w:sz="0" w:space="0" w:color="auto"/>
      </w:divBdr>
    </w:div>
    <w:div w:id="1311834733">
      <w:bodyDiv w:val="1"/>
      <w:marLeft w:val="0"/>
      <w:marRight w:val="0"/>
      <w:marTop w:val="0"/>
      <w:marBottom w:val="0"/>
      <w:divBdr>
        <w:top w:val="none" w:sz="0" w:space="0" w:color="auto"/>
        <w:left w:val="none" w:sz="0" w:space="0" w:color="auto"/>
        <w:bottom w:val="none" w:sz="0" w:space="0" w:color="auto"/>
        <w:right w:val="none" w:sz="0" w:space="0" w:color="auto"/>
      </w:divBdr>
    </w:div>
    <w:div w:id="1335062110">
      <w:bodyDiv w:val="1"/>
      <w:marLeft w:val="0"/>
      <w:marRight w:val="0"/>
      <w:marTop w:val="0"/>
      <w:marBottom w:val="0"/>
      <w:divBdr>
        <w:top w:val="none" w:sz="0" w:space="0" w:color="auto"/>
        <w:left w:val="none" w:sz="0" w:space="0" w:color="auto"/>
        <w:bottom w:val="none" w:sz="0" w:space="0" w:color="auto"/>
        <w:right w:val="none" w:sz="0" w:space="0" w:color="auto"/>
      </w:divBdr>
    </w:div>
    <w:div w:id="1361131181">
      <w:bodyDiv w:val="1"/>
      <w:marLeft w:val="0"/>
      <w:marRight w:val="0"/>
      <w:marTop w:val="0"/>
      <w:marBottom w:val="0"/>
      <w:divBdr>
        <w:top w:val="none" w:sz="0" w:space="0" w:color="auto"/>
        <w:left w:val="none" w:sz="0" w:space="0" w:color="auto"/>
        <w:bottom w:val="none" w:sz="0" w:space="0" w:color="auto"/>
        <w:right w:val="none" w:sz="0" w:space="0" w:color="auto"/>
      </w:divBdr>
    </w:div>
    <w:div w:id="1389066389">
      <w:bodyDiv w:val="1"/>
      <w:marLeft w:val="0"/>
      <w:marRight w:val="0"/>
      <w:marTop w:val="0"/>
      <w:marBottom w:val="0"/>
      <w:divBdr>
        <w:top w:val="none" w:sz="0" w:space="0" w:color="auto"/>
        <w:left w:val="none" w:sz="0" w:space="0" w:color="auto"/>
        <w:bottom w:val="none" w:sz="0" w:space="0" w:color="auto"/>
        <w:right w:val="none" w:sz="0" w:space="0" w:color="auto"/>
      </w:divBdr>
    </w:div>
    <w:div w:id="1436243951">
      <w:bodyDiv w:val="1"/>
      <w:marLeft w:val="0"/>
      <w:marRight w:val="0"/>
      <w:marTop w:val="0"/>
      <w:marBottom w:val="0"/>
      <w:divBdr>
        <w:top w:val="none" w:sz="0" w:space="0" w:color="auto"/>
        <w:left w:val="none" w:sz="0" w:space="0" w:color="auto"/>
        <w:bottom w:val="none" w:sz="0" w:space="0" w:color="auto"/>
        <w:right w:val="none" w:sz="0" w:space="0" w:color="auto"/>
      </w:divBdr>
    </w:div>
    <w:div w:id="1506822211">
      <w:bodyDiv w:val="1"/>
      <w:marLeft w:val="0"/>
      <w:marRight w:val="0"/>
      <w:marTop w:val="0"/>
      <w:marBottom w:val="0"/>
      <w:divBdr>
        <w:top w:val="none" w:sz="0" w:space="0" w:color="auto"/>
        <w:left w:val="none" w:sz="0" w:space="0" w:color="auto"/>
        <w:bottom w:val="none" w:sz="0" w:space="0" w:color="auto"/>
        <w:right w:val="none" w:sz="0" w:space="0" w:color="auto"/>
      </w:divBdr>
    </w:div>
    <w:div w:id="1509709163">
      <w:bodyDiv w:val="1"/>
      <w:marLeft w:val="0"/>
      <w:marRight w:val="0"/>
      <w:marTop w:val="0"/>
      <w:marBottom w:val="0"/>
      <w:divBdr>
        <w:top w:val="none" w:sz="0" w:space="0" w:color="auto"/>
        <w:left w:val="none" w:sz="0" w:space="0" w:color="auto"/>
        <w:bottom w:val="none" w:sz="0" w:space="0" w:color="auto"/>
        <w:right w:val="none" w:sz="0" w:space="0" w:color="auto"/>
      </w:divBdr>
    </w:div>
    <w:div w:id="1522009587">
      <w:bodyDiv w:val="1"/>
      <w:marLeft w:val="0"/>
      <w:marRight w:val="0"/>
      <w:marTop w:val="0"/>
      <w:marBottom w:val="0"/>
      <w:divBdr>
        <w:top w:val="none" w:sz="0" w:space="0" w:color="auto"/>
        <w:left w:val="none" w:sz="0" w:space="0" w:color="auto"/>
        <w:bottom w:val="none" w:sz="0" w:space="0" w:color="auto"/>
        <w:right w:val="none" w:sz="0" w:space="0" w:color="auto"/>
      </w:divBdr>
    </w:div>
    <w:div w:id="1534927157">
      <w:bodyDiv w:val="1"/>
      <w:marLeft w:val="0"/>
      <w:marRight w:val="0"/>
      <w:marTop w:val="0"/>
      <w:marBottom w:val="0"/>
      <w:divBdr>
        <w:top w:val="none" w:sz="0" w:space="0" w:color="auto"/>
        <w:left w:val="none" w:sz="0" w:space="0" w:color="auto"/>
        <w:bottom w:val="none" w:sz="0" w:space="0" w:color="auto"/>
        <w:right w:val="none" w:sz="0" w:space="0" w:color="auto"/>
      </w:divBdr>
    </w:div>
    <w:div w:id="1541892973">
      <w:bodyDiv w:val="1"/>
      <w:marLeft w:val="0"/>
      <w:marRight w:val="0"/>
      <w:marTop w:val="0"/>
      <w:marBottom w:val="0"/>
      <w:divBdr>
        <w:top w:val="none" w:sz="0" w:space="0" w:color="auto"/>
        <w:left w:val="none" w:sz="0" w:space="0" w:color="auto"/>
        <w:bottom w:val="none" w:sz="0" w:space="0" w:color="auto"/>
        <w:right w:val="none" w:sz="0" w:space="0" w:color="auto"/>
      </w:divBdr>
    </w:div>
    <w:div w:id="1579553356">
      <w:bodyDiv w:val="1"/>
      <w:marLeft w:val="0"/>
      <w:marRight w:val="0"/>
      <w:marTop w:val="0"/>
      <w:marBottom w:val="0"/>
      <w:divBdr>
        <w:top w:val="none" w:sz="0" w:space="0" w:color="auto"/>
        <w:left w:val="none" w:sz="0" w:space="0" w:color="auto"/>
        <w:bottom w:val="none" w:sz="0" w:space="0" w:color="auto"/>
        <w:right w:val="none" w:sz="0" w:space="0" w:color="auto"/>
      </w:divBdr>
    </w:div>
    <w:div w:id="1584484312">
      <w:bodyDiv w:val="1"/>
      <w:marLeft w:val="0"/>
      <w:marRight w:val="0"/>
      <w:marTop w:val="0"/>
      <w:marBottom w:val="0"/>
      <w:divBdr>
        <w:top w:val="none" w:sz="0" w:space="0" w:color="auto"/>
        <w:left w:val="none" w:sz="0" w:space="0" w:color="auto"/>
        <w:bottom w:val="none" w:sz="0" w:space="0" w:color="auto"/>
        <w:right w:val="none" w:sz="0" w:space="0" w:color="auto"/>
      </w:divBdr>
    </w:div>
    <w:div w:id="1753236795">
      <w:bodyDiv w:val="1"/>
      <w:marLeft w:val="0"/>
      <w:marRight w:val="0"/>
      <w:marTop w:val="0"/>
      <w:marBottom w:val="0"/>
      <w:divBdr>
        <w:top w:val="none" w:sz="0" w:space="0" w:color="auto"/>
        <w:left w:val="none" w:sz="0" w:space="0" w:color="auto"/>
        <w:bottom w:val="none" w:sz="0" w:space="0" w:color="auto"/>
        <w:right w:val="none" w:sz="0" w:space="0" w:color="auto"/>
      </w:divBdr>
    </w:div>
    <w:div w:id="1812793406">
      <w:bodyDiv w:val="1"/>
      <w:marLeft w:val="0"/>
      <w:marRight w:val="0"/>
      <w:marTop w:val="0"/>
      <w:marBottom w:val="0"/>
      <w:divBdr>
        <w:top w:val="none" w:sz="0" w:space="0" w:color="auto"/>
        <w:left w:val="none" w:sz="0" w:space="0" w:color="auto"/>
        <w:bottom w:val="none" w:sz="0" w:space="0" w:color="auto"/>
        <w:right w:val="none" w:sz="0" w:space="0" w:color="auto"/>
      </w:divBdr>
    </w:div>
    <w:div w:id="1870411739">
      <w:bodyDiv w:val="1"/>
      <w:marLeft w:val="0"/>
      <w:marRight w:val="0"/>
      <w:marTop w:val="0"/>
      <w:marBottom w:val="0"/>
      <w:divBdr>
        <w:top w:val="none" w:sz="0" w:space="0" w:color="auto"/>
        <w:left w:val="none" w:sz="0" w:space="0" w:color="auto"/>
        <w:bottom w:val="none" w:sz="0" w:space="0" w:color="auto"/>
        <w:right w:val="none" w:sz="0" w:space="0" w:color="auto"/>
      </w:divBdr>
    </w:div>
    <w:div w:id="1999065786">
      <w:bodyDiv w:val="1"/>
      <w:marLeft w:val="0"/>
      <w:marRight w:val="0"/>
      <w:marTop w:val="0"/>
      <w:marBottom w:val="0"/>
      <w:divBdr>
        <w:top w:val="none" w:sz="0" w:space="0" w:color="auto"/>
        <w:left w:val="none" w:sz="0" w:space="0" w:color="auto"/>
        <w:bottom w:val="none" w:sz="0" w:space="0" w:color="auto"/>
        <w:right w:val="none" w:sz="0" w:space="0" w:color="auto"/>
      </w:divBdr>
    </w:div>
    <w:div w:id="2040470429">
      <w:bodyDiv w:val="1"/>
      <w:marLeft w:val="0"/>
      <w:marRight w:val="0"/>
      <w:marTop w:val="0"/>
      <w:marBottom w:val="0"/>
      <w:divBdr>
        <w:top w:val="none" w:sz="0" w:space="0" w:color="auto"/>
        <w:left w:val="none" w:sz="0" w:space="0" w:color="auto"/>
        <w:bottom w:val="none" w:sz="0" w:space="0" w:color="auto"/>
        <w:right w:val="none" w:sz="0" w:space="0" w:color="auto"/>
      </w:divBdr>
    </w:div>
    <w:div w:id="2043480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Tim14</b:Tag>
    <b:SourceType>JournalArticle</b:SourceType>
    <b:Guid>{BC66EDC8-4831-4134-A1E0-BFBC61474CE9}</b:Guid>
    <b:Title>That's Enough About Ethnography!</b:Title>
    <b:Year>2014</b:Year>
    <b:Author>
      <b:Author>
        <b:NameList>
          <b:Person>
            <b:Last>Ingold</b:Last>
            <b:First>T</b:First>
          </b:Person>
        </b:NameList>
      </b:Author>
    </b:Author>
    <b:JournalName>HAU: Journal of Ethnographic Theory</b:JournalName>
    <b:Pages>383-395</b:Pages>
    <b:Volume>4</b:Volume>
    <b:Issue>1</b:Issue>
    <b:RefOrder>14</b:RefOrder>
  </b:Source>
  <b:Source>
    <b:Tag>Tau03</b:Tag>
    <b:SourceType>JournalArticle</b:SourceType>
    <b:Guid>{C03EBD60-B1CD-4C20-8F13-A89803B08AEE}</b:Guid>
    <b:Author>
      <b:Author>
        <b:NameList>
          <b:Person>
            <b:Last>Taussig</b:Last>
            <b:First>M.</b:First>
          </b:Person>
        </b:NameList>
      </b:Author>
    </b:Author>
    <b:Title>The Diary as Witness: an Anthropologist Writes What He Must</b:Title>
    <b:JournalName>The Chronicle Review</b:JournalName>
    <b:Year>2003</b:Year>
    <b:Pages>B12-B13</b:Pages>
    <b:Volume>50</b:Volume>
    <b:Issue>17</b:Issue>
    <b:RefOrder>3</b:RefOrder>
  </b:Source>
  <b:Source>
    <b:Tag>Ass18</b:Tag>
    <b:SourceType>InternetSite</b:SourceType>
    <b:Guid>{53F50C59-524E-4563-865E-27523BB6805B}</b:Guid>
    <b:Title>Ethical Guidelines for Good Research Practise </b:Title>
    <b:Year>2018</b:Year>
    <b:Author>
      <b:Author>
        <b:Corporate>Association of Social Anthropologists</b:Corporate>
      </b:Author>
    </b:Author>
    <b:YearAccessed>2019</b:YearAccessed>
    <b:MonthAccessed>April</b:MonthAccessed>
    <b:DayAccessed>12</b:DayAccessed>
    <b:URL>https://www.theasa.org/ethics/guidelines.shtml</b:URL>
    <b:RefOrder>5</b:RefOrder>
  </b:Source>
  <b:Source>
    <b:Tag>Ska19</b:Tag>
    <b:SourceType>InternetSite</b:SourceType>
    <b:Guid>{F508715D-39BC-4B63-AA93-B558BEAD99F7}</b:Guid>
    <b:Author>
      <b:Author>
        <b:Corporate>Skanda Vale</b:Corporate>
      </b:Author>
    </b:Author>
    <b:Title>Pilgrim's Guide</b:Title>
    <b:YearAccessed>2019</b:YearAccessed>
    <b:MonthAccessed>April</b:MonthAccessed>
    <b:DayAccessed>12</b:DayAccessed>
    <b:URL>https://www.skandavale.org/pilgrims-guide/</b:URL>
    <b:RefOrder>6</b:RefOrder>
  </b:Source>
  <b:Source>
    <b:Tag>Ska191</b:Tag>
    <b:SourceType>InternetSite</b:SourceType>
    <b:Guid>{E589249D-DD20-4095-89A1-E99F7076D87D}</b:Guid>
    <b:Author>
      <b:Author>
        <b:Corporate>Skanda Vale</b:Corporate>
      </b:Author>
    </b:Author>
    <b:Title>History</b:Title>
    <b:YearAccessed>2019</b:YearAccessed>
    <b:MonthAccessed>April</b:MonthAccessed>
    <b:DayAccessed>12</b:DayAccessed>
    <b:URL>https://www.skandavale.org/history/</b:URL>
    <b:RefOrder>1</b:RefOrder>
  </b:Source>
  <b:Source>
    <b:Tag>Mal22</b:Tag>
    <b:SourceType>Book</b:SourceType>
    <b:Guid>{7E966E49-887B-4CBD-A09A-CF41963BA433}</b:Guid>
    <b:Title>Argonauts of the Western Pacific: An Account of Native Enterprise and Adventure in the Archipelagoes of Melanesian New Guinea</b:Title>
    <b:Year>1922</b:Year>
    <b:Author>
      <b:Author>
        <b:NameList>
          <b:Person>
            <b:Last>Malinowski</b:Last>
            <b:First>B</b:First>
            <b:Middle>and Frazer, J</b:Middle>
          </b:Person>
        </b:NameList>
      </b:Author>
    </b:Author>
    <b:City>London</b:City>
    <b:Publisher>Routledge &amp; Kegan Paul</b:Publisher>
    <b:RefOrder>15</b:RefOrder>
  </b:Source>
  <b:Source>
    <b:Tag>Ami00</b:Tag>
    <b:SourceType>BookSection</b:SourceType>
    <b:Guid>{71A0904D-6EA7-47B4-95D0-C967E63B7F6B}</b:Guid>
    <b:Title>Introduction: Constructing the Field</b:Title>
    <b:Year>2000</b:Year>
    <b:City>London</b:City>
    <b:Publisher>Routledge</b:Publisher>
    <b:Author>
      <b:Author>
        <b:NameList>
          <b:Person>
            <b:Last>Amit</b:Last>
            <b:First>V</b:First>
          </b:Person>
        </b:NameList>
      </b:Author>
    </b:Author>
    <b:BookTitle>Constructing the Field: Ethnographic Fieldwork in the Contemporary World</b:BookTitle>
    <b:Pages>1-18</b:Pages>
    <b:RefOrder>7</b:RefOrder>
  </b:Source>
  <b:Source>
    <b:Tag>Ree17</b:Tag>
    <b:SourceType>InternetSite</b:SourceType>
    <b:Guid>{0344D208-769B-4450-A1BE-D320E2081D50}</b:Guid>
    <b:Author>
      <b:Author>
        <b:NameList>
          <b:Person>
            <b:Last>Reed-Danahay</b:Last>
            <b:First>D</b:First>
          </b:Person>
        </b:NameList>
      </b:Author>
      <b:Editor>
        <b:NameList>
          <b:Person>
            <b:Last>http://www.oxfordbibliographies.com/view/document/obo-9780199766567/obo-9780199766567-0162.xml?rskey=aok4pM&amp;result=1&amp;q=autoethnography#firstMatch</b:Last>
          </b:Person>
        </b:NameList>
      </b:Editor>
    </b:Author>
    <b:Title>Autoethnography</b:Title>
    <b:Year>2017</b:Year>
    <b:YearAccessed>2019</b:YearAccessed>
    <b:MonthAccessed>April</b:MonthAccessed>
    <b:DayAccessed>12</b:DayAccessed>
    <b:URL>http://www.oxfordbibliographies.com/view/document/obo-9780199766567/obo-9780199766567-0162.xml?rskey=aok4pM&amp;result=1&amp;q=autoethnography#firstMatch</b:URL>
    <b:RefOrder>8</b:RefOrder>
  </b:Source>
  <b:Source>
    <b:Tag>Oke92</b:Tag>
    <b:SourceType>Book</b:SourceType>
    <b:Guid>{C1056FF8-1BC2-4DC4-BDAE-DA0C5C2FE764}</b:Guid>
    <b:Title>Anthropology &amp; Autobiography</b:Title>
    <b:Year>1992</b:Year>
    <b:City>Abingdon</b:City>
    <b:Publisher>Routledge</b:Publisher>
    <b:Author>
      <b:Author>
        <b:NameList>
          <b:Person>
            <b:Last>Okely</b:Last>
            <b:First>J</b:First>
            <b:Middle>and Callaway, H</b:Middle>
          </b:Person>
        </b:NameList>
      </b:Author>
    </b:Author>
    <b:RefOrder>4</b:RefOrder>
  </b:Source>
  <b:Source>
    <b:Tag>Bra99</b:Tag>
    <b:SourceType>BookSection</b:SourceType>
    <b:Guid>{47D54E06-A980-4C86-A5D5-261D492E545B}</b:Guid>
    <b:Title>Comparison and Difference</b:Title>
    <b:Year>1999</b:Year>
    <b:Publisher>Unpublished</b:Publisher>
    <b:Author>
      <b:Author>
        <b:NameList>
          <b:Person>
            <b:Last>Braun</b:Last>
            <b:First>S-F</b:First>
          </b:Person>
        </b:NameList>
      </b:Author>
    </b:Author>
    <b:BookTitle>British Social Anthropology, Identity, Culture and Society</b:BookTitle>
    <b:Pages>2-3</b:Pages>
    <b:RefOrder>13</b:RefOrder>
  </b:Source>
  <b:Source>
    <b:Tag>Mil17</b:Tag>
    <b:SourceType>JournalArticle</b:SourceType>
    <b:Guid>{6FAF52BE-7ADD-4AB3-8C34-85C9B7D185EC}</b:Guid>
    <b:Title>Anthropology is the Discipline but the Goal is Ethnography</b:Title>
    <b:Year>2017</b:Year>
    <b:Pages>27-31</b:Pages>
    <b:Author>
      <b:Author>
        <b:NameList>
          <b:Person>
            <b:Last>Miller</b:Last>
            <b:First>D</b:First>
          </b:Person>
        </b:NameList>
      </b:Author>
    </b:Author>
    <b:JournalName>HAU: Journal of Ethnographic Theory</b:JournalName>
    <b:Volume>7</b:Volume>
    <b:Issue>1</b:Issue>
    <b:RefOrder>2</b:RefOrder>
  </b:Source>
  <b:Source>
    <b:Tag>Sta08</b:Tag>
    <b:SourceType>BookSection</b:SourceType>
    <b:Guid>{40CBE13E-7635-4822-B1B2-C9F4ADE209C1}</b:Guid>
    <b:Author>
      <b:Author>
        <b:NameList>
          <b:Person>
            <b:Last>Staszak</b:Last>
            <b:First>J-F</b:First>
          </b:Person>
        </b:NameList>
      </b:Author>
    </b:Author>
    <b:Title>Other/Otherness</b:Title>
    <b:JournalName>International Encyclopedia of Human Georgreaphy</b:JournalName>
    <b:Year>2008</b:Year>
    <b:City>Oxford</b:City>
    <b:Publisher>Elsevier Science</b:Publisher>
    <b:PublicationTitle>International Encyclopedia of Human Georgraphy</b:PublicationTitle>
    <b:BookTitle>International Encyclopedia of Human Geography</b:BookTitle>
    <b:RefOrder>9</b:RefOrder>
  </b:Source>
  <b:Source>
    <b:Tag>Ska192</b:Tag>
    <b:SourceType>InternetSite</b:SourceType>
    <b:Guid>{2638BAED-A2C9-4D37-ADFD-1EF477C559C2}</b:Guid>
    <b:Title>Shambo</b:Title>
    <b:Author>
      <b:Author>
        <b:Corporate>Skanda Vale</b:Corporate>
      </b:Author>
    </b:Author>
    <b:YearAccessed>2019</b:YearAccessed>
    <b:MonthAccessed>April</b:MonthAccessed>
    <b:DayAccessed>12</b:DayAccessed>
    <b:URL>https://www.skandavale.org/shambo-sanctity-of-life/</b:URL>
    <b:RefOrder>10</b:RefOrder>
  </b:Source>
  <b:Source>
    <b:Tag>War09</b:Tag>
    <b:SourceType>JournalArticle</b:SourceType>
    <b:Guid>{73701D07-2F68-49FA-BB88-A7EB6EDE2530}</b:Guid>
    <b:Title>The Temple Bull Controversy as Skanda Vale and the Construction of Hindu Identity in Britain</b:Title>
    <b:Year>2009</b:Year>
    <b:Author>
      <b:Author>
        <b:NameList>
          <b:Person>
            <b:Last>Warrier</b:Last>
            <b:First>M</b:First>
          </b:Person>
        </b:NameList>
      </b:Author>
    </b:Author>
    <b:JournalName>International Journal of Hindu Studies</b:JournalName>
    <b:Pages>261-278</b:Pages>
    <b:Volume>13</b:Volume>
    <b:Issue>3</b:Issue>
    <b:RefOrder>11</b:RefOrder>
  </b:Source>
  <b:Source>
    <b:Tag>BBC07</b:Tag>
    <b:SourceType>InternetSite</b:SourceType>
    <b:Guid>{A49FB2AA-8443-45AA-BD44-EB6AE417935E}</b:Guid>
    <b:Title>Shambo's Lesions 'Typical of TB'</b:Title>
    <b:Year>2007</b:Year>
    <b:Author>
      <b:Author>
        <b:Corporate>BBC</b:Corporate>
      </b:Author>
    </b:Author>
    <b:YearAccessed>2019</b:YearAccessed>
    <b:MonthAccessed>April</b:MonthAccessed>
    <b:DayAccessed>12</b:DayAccessed>
    <b:URL>http://news.bbc.co.uk/1/hi/wales/6918618.stm</b:URL>
    <b:RefOrder>12</b:RefOrder>
  </b:Source>
</b:Sources>
</file>

<file path=customXml/itemProps1.xml><?xml version="1.0" encoding="utf-8"?>
<ds:datastoreItem xmlns:ds="http://schemas.openxmlformats.org/officeDocument/2006/customXml" ds:itemID="{D878B3EA-F8A1-4E71-8840-4F5FBDB69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1787</TotalTime>
  <Pages>6</Pages>
  <Words>2038</Words>
  <Characters>11623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9</cp:revision>
  <dcterms:created xsi:type="dcterms:W3CDTF">2019-04-11T11:02:00Z</dcterms:created>
  <dcterms:modified xsi:type="dcterms:W3CDTF">2019-04-12T20:41:00Z</dcterms:modified>
</cp:coreProperties>
</file>