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35A25" w14:textId="77777777" w:rsidR="00303E28" w:rsidRPr="00A719C0" w:rsidRDefault="00303E28" w:rsidP="00303E28">
      <w:pPr>
        <w:jc w:val="center"/>
        <w:rPr>
          <w:rFonts w:cs="Arial"/>
          <w:bCs/>
          <w:szCs w:val="24"/>
        </w:rPr>
      </w:pPr>
      <w:r w:rsidRPr="00A719C0">
        <w:rPr>
          <w:rFonts w:cs="Arial"/>
          <w:bCs/>
          <w:noProof/>
          <w:szCs w:val="24"/>
        </w:rPr>
        <w:drawing>
          <wp:inline distT="0" distB="0" distL="0" distR="0" wp14:anchorId="6D3A9F4A" wp14:editId="7CFDD07E">
            <wp:extent cx="1276350" cy="570737"/>
            <wp:effectExtent l="0" t="0" r="0" b="1270"/>
            <wp:docPr id="1425492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7712" cy="580289"/>
                    </a:xfrm>
                    <a:prstGeom prst="rect">
                      <a:avLst/>
                    </a:prstGeom>
                    <a:noFill/>
                    <a:ln>
                      <a:noFill/>
                    </a:ln>
                  </pic:spPr>
                </pic:pic>
              </a:graphicData>
            </a:graphic>
          </wp:inline>
        </w:drawing>
      </w:r>
      <w:r w:rsidRPr="00A719C0">
        <w:rPr>
          <w:rFonts w:cs="Arial"/>
          <w:bCs/>
          <w:szCs w:val="24"/>
        </w:rPr>
        <w:br/>
      </w:r>
    </w:p>
    <w:p w14:paraId="7AF62AAF" w14:textId="6EDF4DCD" w:rsidR="00303E28" w:rsidRPr="00303E28" w:rsidRDefault="00303E28" w:rsidP="00303E28">
      <w:pPr>
        <w:jc w:val="center"/>
        <w:rPr>
          <w:rFonts w:ascii="Arial" w:hAnsi="Arial" w:cs="Arial"/>
          <w:bCs/>
          <w:sz w:val="24"/>
          <w:szCs w:val="24"/>
        </w:rPr>
      </w:pPr>
      <w:r>
        <w:rPr>
          <w:rFonts w:ascii="Arial" w:hAnsi="Arial" w:cs="Arial"/>
          <w:bCs/>
          <w:sz w:val="24"/>
          <w:szCs w:val="24"/>
        </w:rPr>
        <w:t>Jaguar Land Rover</w:t>
      </w:r>
      <w:r w:rsidRPr="00303E28">
        <w:rPr>
          <w:rFonts w:ascii="Arial" w:hAnsi="Arial" w:cs="Arial"/>
          <w:bCs/>
          <w:sz w:val="24"/>
          <w:szCs w:val="24"/>
        </w:rPr>
        <w:t>: Management Accounting Tools and Techniques</w:t>
      </w:r>
    </w:p>
    <w:p w14:paraId="50D07555" w14:textId="77777777" w:rsidR="00303E28" w:rsidRPr="00303E28" w:rsidRDefault="00303E28" w:rsidP="00303E28">
      <w:pPr>
        <w:jc w:val="center"/>
        <w:rPr>
          <w:rFonts w:ascii="Arial" w:hAnsi="Arial" w:cs="Arial"/>
          <w:bCs/>
          <w:sz w:val="24"/>
          <w:szCs w:val="24"/>
        </w:rPr>
      </w:pPr>
      <w:r w:rsidRPr="00303E28">
        <w:rPr>
          <w:rFonts w:ascii="Arial" w:hAnsi="Arial" w:cs="Arial"/>
          <w:bCs/>
          <w:sz w:val="24"/>
          <w:szCs w:val="24"/>
        </w:rPr>
        <w:t>in Financial Decision-Making</w:t>
      </w:r>
    </w:p>
    <w:p w14:paraId="68321E29" w14:textId="77777777" w:rsidR="00303E28" w:rsidRPr="00303E28" w:rsidRDefault="00303E28" w:rsidP="00303E28">
      <w:pPr>
        <w:rPr>
          <w:rFonts w:ascii="Arial" w:hAnsi="Arial" w:cs="Arial"/>
          <w:bCs/>
          <w:sz w:val="24"/>
          <w:szCs w:val="24"/>
        </w:rPr>
      </w:pPr>
    </w:p>
    <w:p w14:paraId="65BBF464" w14:textId="77777777" w:rsidR="00303E28" w:rsidRPr="00303E28" w:rsidRDefault="00303E28" w:rsidP="00303E28">
      <w:pPr>
        <w:rPr>
          <w:rFonts w:ascii="Arial" w:hAnsi="Arial" w:cs="Arial"/>
          <w:bCs/>
          <w:sz w:val="24"/>
          <w:szCs w:val="24"/>
        </w:rPr>
      </w:pPr>
      <w:r w:rsidRPr="00303E28">
        <w:rPr>
          <w:rFonts w:ascii="Arial" w:hAnsi="Arial" w:cs="Arial"/>
          <w:bCs/>
          <w:sz w:val="24"/>
          <w:szCs w:val="24"/>
        </w:rPr>
        <w:t xml:space="preserve">Module name: </w:t>
      </w:r>
      <w:r w:rsidRPr="00303E28">
        <w:rPr>
          <w:rFonts w:ascii="Arial" w:hAnsi="Arial" w:cs="Arial"/>
          <w:sz w:val="24"/>
          <w:szCs w:val="24"/>
        </w:rPr>
        <w:t>Management Accounting for Managers</w:t>
      </w:r>
    </w:p>
    <w:p w14:paraId="769B96F0" w14:textId="77777777" w:rsidR="00303E28" w:rsidRPr="00303E28" w:rsidRDefault="00303E28" w:rsidP="00303E28">
      <w:pPr>
        <w:rPr>
          <w:rFonts w:ascii="Arial" w:hAnsi="Arial" w:cs="Arial"/>
          <w:bCs/>
          <w:sz w:val="24"/>
          <w:szCs w:val="24"/>
        </w:rPr>
      </w:pPr>
      <w:r w:rsidRPr="00303E28">
        <w:rPr>
          <w:rFonts w:ascii="Arial" w:hAnsi="Arial" w:cs="Arial"/>
          <w:bCs/>
          <w:sz w:val="24"/>
          <w:szCs w:val="24"/>
        </w:rPr>
        <w:t>Module code: LCBB5010</w:t>
      </w:r>
    </w:p>
    <w:p w14:paraId="49FA63A2" w14:textId="77777777" w:rsidR="00303E28" w:rsidRPr="00303E28" w:rsidRDefault="00303E28" w:rsidP="00303E28">
      <w:pPr>
        <w:rPr>
          <w:rFonts w:ascii="Arial" w:hAnsi="Arial" w:cs="Arial"/>
          <w:bCs/>
          <w:sz w:val="24"/>
          <w:szCs w:val="24"/>
        </w:rPr>
      </w:pPr>
      <w:r w:rsidRPr="00303E28">
        <w:rPr>
          <w:rFonts w:ascii="Arial" w:hAnsi="Arial" w:cs="Arial"/>
          <w:bCs/>
          <w:sz w:val="24"/>
          <w:szCs w:val="24"/>
        </w:rPr>
        <w:t>Assignment number: Component 1 Coursework: Individual Report</w:t>
      </w:r>
    </w:p>
    <w:p w14:paraId="25CD0DCD" w14:textId="4E529B48" w:rsidR="00303E28" w:rsidRPr="00303E28" w:rsidRDefault="00303E28" w:rsidP="00303E28">
      <w:pPr>
        <w:rPr>
          <w:rFonts w:ascii="Arial" w:hAnsi="Arial" w:cs="Arial"/>
          <w:bCs/>
          <w:sz w:val="24"/>
          <w:szCs w:val="24"/>
        </w:rPr>
      </w:pPr>
      <w:r w:rsidRPr="00303E28">
        <w:rPr>
          <w:rFonts w:ascii="Arial" w:hAnsi="Arial" w:cs="Arial"/>
          <w:bCs/>
          <w:sz w:val="24"/>
          <w:szCs w:val="24"/>
        </w:rPr>
        <w:t xml:space="preserve">Name: </w:t>
      </w:r>
      <w:r>
        <w:rPr>
          <w:rFonts w:ascii="Arial" w:hAnsi="Arial" w:cs="Arial"/>
          <w:bCs/>
          <w:sz w:val="24"/>
          <w:szCs w:val="24"/>
        </w:rPr>
        <w:t>Daniela Munteanu</w:t>
      </w:r>
    </w:p>
    <w:p w14:paraId="4697440B" w14:textId="33F6E443" w:rsidR="00303E28" w:rsidRPr="00303E28" w:rsidRDefault="00303E28" w:rsidP="00303E28">
      <w:pPr>
        <w:rPr>
          <w:rFonts w:ascii="Arial" w:hAnsi="Arial" w:cs="Arial"/>
          <w:bCs/>
          <w:sz w:val="24"/>
          <w:szCs w:val="24"/>
        </w:rPr>
      </w:pPr>
      <w:r w:rsidRPr="00303E28">
        <w:rPr>
          <w:rFonts w:ascii="Arial" w:hAnsi="Arial" w:cs="Arial"/>
          <w:bCs/>
          <w:sz w:val="24"/>
          <w:szCs w:val="24"/>
        </w:rPr>
        <w:t>Student Number: 22404</w:t>
      </w:r>
      <w:r w:rsidR="002D2AEC">
        <w:rPr>
          <w:rFonts w:ascii="Arial" w:hAnsi="Arial" w:cs="Arial"/>
          <w:bCs/>
          <w:sz w:val="24"/>
          <w:szCs w:val="24"/>
        </w:rPr>
        <w:t>58</w:t>
      </w:r>
    </w:p>
    <w:p w14:paraId="5454782E" w14:textId="341A3A48" w:rsidR="00303E28" w:rsidRDefault="00303E28" w:rsidP="00303E28">
      <w:pPr>
        <w:spacing w:line="360" w:lineRule="auto"/>
        <w:rPr>
          <w:rFonts w:ascii="Arial" w:hAnsi="Arial" w:cs="Arial"/>
          <w:b/>
          <w:bCs/>
          <w:sz w:val="24"/>
          <w:szCs w:val="24"/>
        </w:rPr>
      </w:pPr>
      <w:r w:rsidRPr="00303E28">
        <w:rPr>
          <w:rFonts w:ascii="Arial" w:hAnsi="Arial" w:cs="Arial"/>
          <w:bCs/>
          <w:sz w:val="24"/>
          <w:szCs w:val="24"/>
        </w:rPr>
        <w:t>Lecturer name: Dr.  Mudassar Hasan</w:t>
      </w:r>
      <w:r w:rsidRPr="00303E28">
        <w:rPr>
          <w:rFonts w:ascii="Arial" w:hAnsi="Arial" w:cs="Arial"/>
          <w:bCs/>
          <w:sz w:val="24"/>
          <w:szCs w:val="24"/>
        </w:rPr>
        <w:br/>
      </w:r>
      <w:r w:rsidRPr="00303E28">
        <w:rPr>
          <w:rFonts w:ascii="Arial" w:hAnsi="Arial" w:cs="Arial"/>
          <w:bCs/>
          <w:sz w:val="24"/>
          <w:szCs w:val="24"/>
        </w:rPr>
        <w:br/>
      </w:r>
    </w:p>
    <w:p w14:paraId="0702130B" w14:textId="77777777" w:rsidR="002D2AEC" w:rsidRDefault="002D2AEC" w:rsidP="00303E28">
      <w:pPr>
        <w:spacing w:line="360" w:lineRule="auto"/>
        <w:rPr>
          <w:rFonts w:ascii="Arial" w:hAnsi="Arial" w:cs="Arial"/>
          <w:b/>
          <w:bCs/>
          <w:sz w:val="24"/>
          <w:szCs w:val="24"/>
        </w:rPr>
      </w:pPr>
    </w:p>
    <w:p w14:paraId="455E7D33" w14:textId="77777777" w:rsidR="002D2AEC" w:rsidRDefault="002D2AEC" w:rsidP="00303E28">
      <w:pPr>
        <w:spacing w:line="360" w:lineRule="auto"/>
        <w:rPr>
          <w:rFonts w:ascii="Arial" w:hAnsi="Arial" w:cs="Arial"/>
          <w:b/>
          <w:bCs/>
          <w:sz w:val="24"/>
          <w:szCs w:val="24"/>
        </w:rPr>
      </w:pPr>
    </w:p>
    <w:p w14:paraId="785DD6F5" w14:textId="77777777" w:rsidR="002D2AEC" w:rsidRDefault="002D2AEC" w:rsidP="00303E28">
      <w:pPr>
        <w:spacing w:line="360" w:lineRule="auto"/>
        <w:rPr>
          <w:rFonts w:ascii="Arial" w:hAnsi="Arial" w:cs="Arial"/>
          <w:b/>
          <w:bCs/>
          <w:sz w:val="24"/>
          <w:szCs w:val="24"/>
        </w:rPr>
      </w:pPr>
    </w:p>
    <w:p w14:paraId="4CAC2A06" w14:textId="77777777" w:rsidR="002D2AEC" w:rsidRDefault="002D2AEC" w:rsidP="00303E28">
      <w:pPr>
        <w:spacing w:line="360" w:lineRule="auto"/>
        <w:rPr>
          <w:rFonts w:ascii="Arial" w:hAnsi="Arial" w:cs="Arial"/>
          <w:b/>
          <w:bCs/>
          <w:sz w:val="24"/>
          <w:szCs w:val="24"/>
        </w:rPr>
      </w:pPr>
    </w:p>
    <w:p w14:paraId="1C4E3BEA" w14:textId="77777777" w:rsidR="002D2AEC" w:rsidRDefault="002D2AEC" w:rsidP="00303E28">
      <w:pPr>
        <w:spacing w:line="360" w:lineRule="auto"/>
        <w:rPr>
          <w:rFonts w:ascii="Arial" w:hAnsi="Arial" w:cs="Arial"/>
          <w:b/>
          <w:bCs/>
          <w:sz w:val="24"/>
          <w:szCs w:val="24"/>
        </w:rPr>
      </w:pPr>
    </w:p>
    <w:p w14:paraId="162D63F3" w14:textId="77777777" w:rsidR="002D2AEC" w:rsidRDefault="002D2AEC" w:rsidP="00303E28">
      <w:pPr>
        <w:spacing w:line="360" w:lineRule="auto"/>
        <w:rPr>
          <w:rFonts w:ascii="Arial" w:hAnsi="Arial" w:cs="Arial"/>
          <w:b/>
          <w:bCs/>
          <w:sz w:val="24"/>
          <w:szCs w:val="24"/>
        </w:rPr>
      </w:pPr>
    </w:p>
    <w:p w14:paraId="10B55CE3" w14:textId="77777777" w:rsidR="002D2AEC" w:rsidRDefault="002D2AEC" w:rsidP="00303E28">
      <w:pPr>
        <w:spacing w:line="360" w:lineRule="auto"/>
        <w:rPr>
          <w:rFonts w:ascii="Arial" w:hAnsi="Arial" w:cs="Arial"/>
          <w:b/>
          <w:bCs/>
          <w:sz w:val="24"/>
          <w:szCs w:val="24"/>
        </w:rPr>
      </w:pPr>
    </w:p>
    <w:p w14:paraId="1200A216" w14:textId="77777777" w:rsidR="002D2AEC" w:rsidRDefault="002D2AEC" w:rsidP="00303E28">
      <w:pPr>
        <w:spacing w:line="360" w:lineRule="auto"/>
        <w:rPr>
          <w:rFonts w:ascii="Arial" w:hAnsi="Arial" w:cs="Arial"/>
          <w:b/>
          <w:bCs/>
          <w:sz w:val="24"/>
          <w:szCs w:val="24"/>
        </w:rPr>
      </w:pPr>
    </w:p>
    <w:p w14:paraId="4B0C3DCC" w14:textId="77777777" w:rsidR="002D2AEC" w:rsidRDefault="002D2AEC" w:rsidP="00303E28">
      <w:pPr>
        <w:spacing w:line="360" w:lineRule="auto"/>
        <w:rPr>
          <w:rFonts w:ascii="Arial" w:hAnsi="Arial" w:cs="Arial"/>
          <w:b/>
          <w:bCs/>
          <w:sz w:val="24"/>
          <w:szCs w:val="24"/>
        </w:rPr>
      </w:pPr>
    </w:p>
    <w:p w14:paraId="62BD941F" w14:textId="77777777" w:rsidR="002D2AEC" w:rsidRDefault="002D2AEC" w:rsidP="00303E28">
      <w:pPr>
        <w:spacing w:line="360" w:lineRule="auto"/>
        <w:rPr>
          <w:rFonts w:ascii="Arial" w:hAnsi="Arial" w:cs="Arial"/>
          <w:b/>
          <w:bCs/>
          <w:sz w:val="24"/>
          <w:szCs w:val="24"/>
        </w:rPr>
      </w:pPr>
    </w:p>
    <w:p w14:paraId="76AD1CB6" w14:textId="77777777" w:rsidR="002D2AEC" w:rsidRDefault="002D2AEC" w:rsidP="00303E28">
      <w:pPr>
        <w:spacing w:line="360" w:lineRule="auto"/>
        <w:rPr>
          <w:rFonts w:ascii="Arial" w:hAnsi="Arial" w:cs="Arial"/>
          <w:b/>
          <w:bCs/>
          <w:sz w:val="24"/>
          <w:szCs w:val="24"/>
        </w:rPr>
      </w:pPr>
    </w:p>
    <w:p w14:paraId="527088A4" w14:textId="77777777" w:rsidR="002D2AEC" w:rsidRDefault="002D2AEC" w:rsidP="00303E28">
      <w:pPr>
        <w:spacing w:line="360" w:lineRule="auto"/>
        <w:rPr>
          <w:rFonts w:ascii="Arial" w:hAnsi="Arial" w:cs="Arial"/>
          <w:b/>
          <w:bCs/>
          <w:sz w:val="24"/>
          <w:szCs w:val="24"/>
        </w:rPr>
      </w:pPr>
    </w:p>
    <w:p w14:paraId="61A48907" w14:textId="77777777" w:rsidR="002D2AEC" w:rsidRDefault="002D2AEC" w:rsidP="00303E28">
      <w:pPr>
        <w:spacing w:line="360" w:lineRule="auto"/>
        <w:rPr>
          <w:rFonts w:ascii="Arial" w:hAnsi="Arial" w:cs="Arial"/>
          <w:b/>
          <w:bCs/>
          <w:sz w:val="24"/>
          <w:szCs w:val="24"/>
        </w:rPr>
      </w:pPr>
    </w:p>
    <w:p w14:paraId="7CB73C41" w14:textId="77777777" w:rsidR="002F55AF" w:rsidRDefault="002F55AF" w:rsidP="00303E28">
      <w:pPr>
        <w:spacing w:line="360" w:lineRule="auto"/>
        <w:rPr>
          <w:rFonts w:ascii="Arial" w:hAnsi="Arial" w:cs="Arial"/>
          <w:b/>
          <w:bCs/>
          <w:sz w:val="24"/>
          <w:szCs w:val="24"/>
        </w:rPr>
      </w:pPr>
    </w:p>
    <w:p w14:paraId="09F0534F" w14:textId="7C449815" w:rsidR="002F55AF" w:rsidRDefault="002F55AF" w:rsidP="00303E28">
      <w:pPr>
        <w:spacing w:line="360" w:lineRule="auto"/>
        <w:rPr>
          <w:rFonts w:ascii="Arial" w:hAnsi="Arial" w:cs="Arial"/>
          <w:b/>
          <w:bCs/>
          <w:sz w:val="24"/>
          <w:szCs w:val="24"/>
        </w:rPr>
      </w:pPr>
      <w:r>
        <w:rPr>
          <w:rFonts w:ascii="Arial" w:hAnsi="Arial" w:cs="Arial"/>
          <w:b/>
          <w:bCs/>
          <w:sz w:val="24"/>
          <w:szCs w:val="24"/>
        </w:rPr>
        <w:lastRenderedPageBreak/>
        <w:t>Content</w:t>
      </w:r>
    </w:p>
    <w:p w14:paraId="6EDE1DA2" w14:textId="50FC152C" w:rsidR="002F55AF" w:rsidRPr="002F55AF" w:rsidRDefault="002F55AF" w:rsidP="002F55AF">
      <w:pPr>
        <w:pStyle w:val="ListParagraph"/>
        <w:numPr>
          <w:ilvl w:val="0"/>
          <w:numId w:val="5"/>
        </w:numPr>
        <w:spacing w:line="360" w:lineRule="auto"/>
        <w:rPr>
          <w:rFonts w:ascii="Arial" w:hAnsi="Arial" w:cs="Arial"/>
          <w:b/>
          <w:bCs/>
          <w:sz w:val="24"/>
          <w:szCs w:val="24"/>
        </w:rPr>
      </w:pPr>
      <w:r w:rsidRPr="002F55AF">
        <w:rPr>
          <w:rFonts w:ascii="Arial" w:hAnsi="Arial" w:cs="Arial"/>
          <w:b/>
          <w:bCs/>
          <w:sz w:val="24"/>
          <w:szCs w:val="24"/>
        </w:rPr>
        <w:t>Introduction</w:t>
      </w:r>
      <w:r w:rsidRPr="002F55AF">
        <w:rPr>
          <w:rFonts w:ascii="Arial" w:hAnsi="Arial" w:cs="Arial"/>
          <w:b/>
          <w:bCs/>
          <w:sz w:val="24"/>
          <w:szCs w:val="24"/>
        </w:rPr>
        <w:t>…………………………………………………………………………</w:t>
      </w:r>
      <w:r w:rsidR="003F3091">
        <w:rPr>
          <w:rFonts w:ascii="Arial" w:hAnsi="Arial" w:cs="Arial"/>
          <w:b/>
          <w:bCs/>
          <w:sz w:val="24"/>
          <w:szCs w:val="24"/>
        </w:rPr>
        <w:t>..</w:t>
      </w:r>
      <w:r w:rsidRPr="002F55AF">
        <w:rPr>
          <w:rFonts w:ascii="Arial" w:hAnsi="Arial" w:cs="Arial"/>
          <w:b/>
          <w:bCs/>
          <w:sz w:val="24"/>
          <w:szCs w:val="24"/>
        </w:rPr>
        <w:t>…</w:t>
      </w:r>
      <w:r w:rsidR="00EA1AFE">
        <w:rPr>
          <w:rFonts w:ascii="Arial" w:hAnsi="Arial" w:cs="Arial"/>
          <w:b/>
          <w:bCs/>
          <w:sz w:val="24"/>
          <w:szCs w:val="24"/>
        </w:rPr>
        <w:t>3</w:t>
      </w:r>
    </w:p>
    <w:p w14:paraId="6F878389" w14:textId="311F5270" w:rsidR="002F55AF" w:rsidRPr="002F55AF" w:rsidRDefault="002F55AF" w:rsidP="002F55AF">
      <w:pPr>
        <w:pStyle w:val="ListParagraph"/>
        <w:numPr>
          <w:ilvl w:val="0"/>
          <w:numId w:val="5"/>
        </w:numPr>
        <w:spacing w:line="360" w:lineRule="auto"/>
        <w:rPr>
          <w:rFonts w:ascii="Arial" w:hAnsi="Arial" w:cs="Arial"/>
          <w:b/>
          <w:bCs/>
          <w:sz w:val="24"/>
          <w:szCs w:val="24"/>
        </w:rPr>
      </w:pPr>
      <w:r w:rsidRPr="002F55AF">
        <w:rPr>
          <w:rFonts w:ascii="Arial" w:hAnsi="Arial" w:cs="Arial"/>
          <w:b/>
          <w:bCs/>
          <w:sz w:val="24"/>
          <w:szCs w:val="24"/>
        </w:rPr>
        <w:t>Cost Analysis and Business Model</w:t>
      </w:r>
      <w:r>
        <w:rPr>
          <w:rFonts w:ascii="Arial" w:hAnsi="Arial" w:cs="Arial"/>
          <w:b/>
          <w:bCs/>
          <w:sz w:val="24"/>
          <w:szCs w:val="24"/>
        </w:rPr>
        <w:t>……………………………………………</w:t>
      </w:r>
      <w:r w:rsidR="003F3091">
        <w:rPr>
          <w:rFonts w:ascii="Arial" w:hAnsi="Arial" w:cs="Arial"/>
          <w:b/>
          <w:bCs/>
          <w:sz w:val="24"/>
          <w:szCs w:val="24"/>
        </w:rPr>
        <w:t>..</w:t>
      </w:r>
      <w:r>
        <w:rPr>
          <w:rFonts w:ascii="Arial" w:hAnsi="Arial" w:cs="Arial"/>
          <w:b/>
          <w:bCs/>
          <w:sz w:val="24"/>
          <w:szCs w:val="24"/>
        </w:rPr>
        <w:t>….</w:t>
      </w:r>
      <w:r w:rsidR="007571B7">
        <w:rPr>
          <w:rFonts w:ascii="Arial" w:hAnsi="Arial" w:cs="Arial"/>
          <w:b/>
          <w:bCs/>
          <w:sz w:val="24"/>
          <w:szCs w:val="24"/>
        </w:rPr>
        <w:t>4</w:t>
      </w:r>
    </w:p>
    <w:p w14:paraId="00D86C91" w14:textId="5B454D5C" w:rsidR="002F55AF" w:rsidRDefault="002F55AF" w:rsidP="002F55AF">
      <w:pPr>
        <w:pStyle w:val="ListParagraph"/>
        <w:numPr>
          <w:ilvl w:val="0"/>
          <w:numId w:val="5"/>
        </w:numPr>
        <w:spacing w:line="360" w:lineRule="auto"/>
        <w:rPr>
          <w:rFonts w:ascii="Arial" w:hAnsi="Arial" w:cs="Arial"/>
          <w:b/>
          <w:bCs/>
          <w:sz w:val="24"/>
          <w:szCs w:val="24"/>
        </w:rPr>
      </w:pPr>
      <w:r w:rsidRPr="00721823">
        <w:rPr>
          <w:rFonts w:ascii="Arial" w:hAnsi="Arial" w:cs="Arial"/>
          <w:b/>
          <w:bCs/>
          <w:sz w:val="24"/>
          <w:szCs w:val="24"/>
        </w:rPr>
        <w:t>Budgeting and Financial Planning</w:t>
      </w:r>
      <w:r>
        <w:rPr>
          <w:rFonts w:ascii="Arial" w:hAnsi="Arial" w:cs="Arial"/>
          <w:b/>
          <w:bCs/>
          <w:sz w:val="24"/>
          <w:szCs w:val="24"/>
        </w:rPr>
        <w:t>……………………………………………</w:t>
      </w:r>
      <w:r w:rsidR="003F3091">
        <w:rPr>
          <w:rFonts w:ascii="Arial" w:hAnsi="Arial" w:cs="Arial"/>
          <w:b/>
          <w:bCs/>
          <w:sz w:val="24"/>
          <w:szCs w:val="24"/>
        </w:rPr>
        <w:t>....</w:t>
      </w:r>
      <w:r>
        <w:rPr>
          <w:rFonts w:ascii="Arial" w:hAnsi="Arial" w:cs="Arial"/>
          <w:b/>
          <w:bCs/>
          <w:sz w:val="24"/>
          <w:szCs w:val="24"/>
        </w:rPr>
        <w:t>…</w:t>
      </w:r>
      <w:r w:rsidR="003F3091">
        <w:rPr>
          <w:rFonts w:ascii="Arial" w:hAnsi="Arial" w:cs="Arial"/>
          <w:b/>
          <w:bCs/>
          <w:sz w:val="24"/>
          <w:szCs w:val="24"/>
        </w:rPr>
        <w:t>6</w:t>
      </w:r>
    </w:p>
    <w:p w14:paraId="4E096B84" w14:textId="0CB597D8" w:rsidR="002F55AF" w:rsidRPr="002F55AF" w:rsidRDefault="002F55AF" w:rsidP="002F55AF">
      <w:pPr>
        <w:pStyle w:val="ListParagraph"/>
        <w:numPr>
          <w:ilvl w:val="0"/>
          <w:numId w:val="5"/>
        </w:numPr>
        <w:spacing w:line="360" w:lineRule="auto"/>
        <w:rPr>
          <w:rFonts w:ascii="Arial" w:hAnsi="Arial" w:cs="Arial"/>
          <w:b/>
          <w:bCs/>
          <w:sz w:val="24"/>
          <w:szCs w:val="24"/>
        </w:rPr>
      </w:pPr>
      <w:r w:rsidRPr="002F55AF">
        <w:rPr>
          <w:rFonts w:ascii="Arial" w:hAnsi="Arial" w:cs="Arial"/>
          <w:b/>
          <w:bCs/>
          <w:sz w:val="24"/>
          <w:szCs w:val="24"/>
        </w:rPr>
        <w:t>Performance Measurement and Decision-Making</w:t>
      </w:r>
      <w:r>
        <w:rPr>
          <w:rFonts w:ascii="Arial" w:hAnsi="Arial" w:cs="Arial"/>
          <w:b/>
          <w:bCs/>
          <w:sz w:val="24"/>
          <w:szCs w:val="24"/>
        </w:rPr>
        <w:t>……………………………</w:t>
      </w:r>
      <w:r w:rsidR="003F3091">
        <w:rPr>
          <w:rFonts w:ascii="Arial" w:hAnsi="Arial" w:cs="Arial"/>
          <w:b/>
          <w:bCs/>
          <w:sz w:val="24"/>
          <w:szCs w:val="24"/>
        </w:rPr>
        <w:t>.</w:t>
      </w:r>
      <w:r>
        <w:rPr>
          <w:rFonts w:ascii="Arial" w:hAnsi="Arial" w:cs="Arial"/>
          <w:b/>
          <w:bCs/>
          <w:sz w:val="24"/>
          <w:szCs w:val="24"/>
        </w:rPr>
        <w:t>…</w:t>
      </w:r>
      <w:r w:rsidR="003F3091">
        <w:rPr>
          <w:rFonts w:ascii="Arial" w:hAnsi="Arial" w:cs="Arial"/>
          <w:b/>
          <w:bCs/>
          <w:sz w:val="24"/>
          <w:szCs w:val="24"/>
        </w:rPr>
        <w:t>7</w:t>
      </w:r>
    </w:p>
    <w:p w14:paraId="2A95C092" w14:textId="5F8C4CEE" w:rsidR="002F55AF" w:rsidRDefault="002F55AF" w:rsidP="002F55AF">
      <w:pPr>
        <w:pStyle w:val="ListParagraph"/>
        <w:numPr>
          <w:ilvl w:val="0"/>
          <w:numId w:val="5"/>
        </w:numPr>
        <w:spacing w:line="360" w:lineRule="auto"/>
        <w:rPr>
          <w:rFonts w:ascii="Arial" w:hAnsi="Arial" w:cs="Arial"/>
          <w:b/>
          <w:bCs/>
          <w:sz w:val="24"/>
          <w:szCs w:val="24"/>
        </w:rPr>
      </w:pPr>
      <w:r w:rsidRPr="00721823">
        <w:rPr>
          <w:rFonts w:ascii="Arial" w:hAnsi="Arial" w:cs="Arial"/>
          <w:b/>
          <w:bCs/>
          <w:sz w:val="24"/>
          <w:szCs w:val="24"/>
        </w:rPr>
        <w:t>Sustainability and Ethical Considerations</w:t>
      </w:r>
      <w:r>
        <w:rPr>
          <w:rFonts w:ascii="Arial" w:hAnsi="Arial" w:cs="Arial"/>
          <w:b/>
          <w:bCs/>
          <w:sz w:val="24"/>
          <w:szCs w:val="24"/>
        </w:rPr>
        <w:t>………………………………………..</w:t>
      </w:r>
      <w:r w:rsidR="003F3091">
        <w:rPr>
          <w:rFonts w:ascii="Arial" w:hAnsi="Arial" w:cs="Arial"/>
          <w:b/>
          <w:bCs/>
          <w:sz w:val="24"/>
          <w:szCs w:val="24"/>
        </w:rPr>
        <w:t>8</w:t>
      </w:r>
    </w:p>
    <w:p w14:paraId="73B96335" w14:textId="019EE7F0" w:rsidR="002F55AF" w:rsidRDefault="00EA1AFE" w:rsidP="002F55AF">
      <w:pPr>
        <w:pStyle w:val="ListParagraph"/>
        <w:numPr>
          <w:ilvl w:val="0"/>
          <w:numId w:val="5"/>
        </w:numPr>
        <w:spacing w:line="360" w:lineRule="auto"/>
        <w:rPr>
          <w:rFonts w:ascii="Arial" w:hAnsi="Arial" w:cs="Arial"/>
          <w:b/>
          <w:bCs/>
          <w:sz w:val="24"/>
          <w:szCs w:val="24"/>
        </w:rPr>
      </w:pPr>
      <w:r w:rsidRPr="00721823">
        <w:rPr>
          <w:rFonts w:ascii="Arial" w:hAnsi="Arial" w:cs="Arial"/>
          <w:b/>
          <w:bCs/>
          <w:sz w:val="24"/>
          <w:szCs w:val="24"/>
        </w:rPr>
        <w:t>Conclusion and Recommendations</w:t>
      </w:r>
      <w:r>
        <w:rPr>
          <w:rFonts w:ascii="Arial" w:hAnsi="Arial" w:cs="Arial"/>
          <w:b/>
          <w:bCs/>
          <w:sz w:val="24"/>
          <w:szCs w:val="24"/>
        </w:rPr>
        <w:t>………………………………………………..</w:t>
      </w:r>
      <w:r w:rsidR="003F3091">
        <w:rPr>
          <w:rFonts w:ascii="Arial" w:hAnsi="Arial" w:cs="Arial"/>
          <w:b/>
          <w:bCs/>
          <w:sz w:val="24"/>
          <w:szCs w:val="24"/>
        </w:rPr>
        <w:t>9</w:t>
      </w:r>
    </w:p>
    <w:p w14:paraId="52054CD1" w14:textId="3350EC87" w:rsidR="003F3091" w:rsidRDefault="003F3091" w:rsidP="002F55AF">
      <w:pPr>
        <w:pStyle w:val="ListParagraph"/>
        <w:numPr>
          <w:ilvl w:val="0"/>
          <w:numId w:val="5"/>
        </w:numPr>
        <w:spacing w:line="360" w:lineRule="auto"/>
        <w:rPr>
          <w:rFonts w:ascii="Arial" w:hAnsi="Arial" w:cs="Arial"/>
          <w:b/>
          <w:bCs/>
          <w:sz w:val="24"/>
          <w:szCs w:val="24"/>
        </w:rPr>
      </w:pPr>
      <w:r w:rsidRPr="002F55AF">
        <w:rPr>
          <w:rFonts w:ascii="Arial" w:hAnsi="Arial" w:cs="Arial"/>
          <w:b/>
          <w:bCs/>
          <w:sz w:val="24"/>
          <w:szCs w:val="24"/>
        </w:rPr>
        <w:t>List of all abbreviations</w:t>
      </w:r>
      <w:r>
        <w:rPr>
          <w:rFonts w:ascii="Arial" w:hAnsi="Arial" w:cs="Arial"/>
          <w:b/>
          <w:bCs/>
          <w:sz w:val="24"/>
          <w:szCs w:val="24"/>
        </w:rPr>
        <w:t>……………………………………………………….,……10</w:t>
      </w:r>
    </w:p>
    <w:p w14:paraId="02D2B2B6" w14:textId="69430661" w:rsidR="003F3091" w:rsidRPr="003F3091" w:rsidRDefault="003F3091" w:rsidP="003F3091">
      <w:pPr>
        <w:pStyle w:val="ListParagraph"/>
        <w:numPr>
          <w:ilvl w:val="0"/>
          <w:numId w:val="5"/>
        </w:numPr>
        <w:spacing w:after="40" w:line="360" w:lineRule="auto"/>
        <w:rPr>
          <w:rFonts w:ascii="Arial" w:hAnsi="Arial" w:cs="Arial"/>
          <w:b/>
          <w:bCs/>
          <w:sz w:val="24"/>
          <w:szCs w:val="24"/>
        </w:rPr>
      </w:pPr>
      <w:r w:rsidRPr="003F3091">
        <w:rPr>
          <w:rFonts w:ascii="Arial" w:hAnsi="Arial" w:cs="Arial"/>
          <w:b/>
          <w:bCs/>
          <w:sz w:val="24"/>
          <w:szCs w:val="24"/>
        </w:rPr>
        <w:t>References</w:t>
      </w:r>
      <w:r>
        <w:rPr>
          <w:rFonts w:ascii="Arial" w:hAnsi="Arial" w:cs="Arial"/>
          <w:b/>
          <w:bCs/>
          <w:sz w:val="24"/>
          <w:szCs w:val="24"/>
        </w:rPr>
        <w:t>………………………………………………………………………….…11</w:t>
      </w:r>
    </w:p>
    <w:p w14:paraId="720ED7F8" w14:textId="77777777" w:rsidR="002F55AF" w:rsidRDefault="002F55AF" w:rsidP="00303E28">
      <w:pPr>
        <w:spacing w:line="360" w:lineRule="auto"/>
        <w:rPr>
          <w:rFonts w:ascii="Arial" w:hAnsi="Arial" w:cs="Arial"/>
          <w:b/>
          <w:bCs/>
          <w:sz w:val="24"/>
          <w:szCs w:val="24"/>
        </w:rPr>
      </w:pPr>
    </w:p>
    <w:p w14:paraId="438A9B28" w14:textId="77777777" w:rsidR="00EA1AFE" w:rsidRDefault="00EA1AFE" w:rsidP="00303E28">
      <w:pPr>
        <w:spacing w:line="360" w:lineRule="auto"/>
        <w:rPr>
          <w:rFonts w:ascii="Arial" w:hAnsi="Arial" w:cs="Arial"/>
          <w:b/>
          <w:bCs/>
          <w:sz w:val="24"/>
          <w:szCs w:val="24"/>
        </w:rPr>
      </w:pPr>
    </w:p>
    <w:p w14:paraId="3F4EAD49" w14:textId="77777777" w:rsidR="00EA1AFE" w:rsidRDefault="00EA1AFE" w:rsidP="00303E28">
      <w:pPr>
        <w:spacing w:line="360" w:lineRule="auto"/>
        <w:rPr>
          <w:rFonts w:ascii="Arial" w:hAnsi="Arial" w:cs="Arial"/>
          <w:b/>
          <w:bCs/>
          <w:sz w:val="24"/>
          <w:szCs w:val="24"/>
        </w:rPr>
      </w:pPr>
    </w:p>
    <w:p w14:paraId="58D50B1C" w14:textId="77777777" w:rsidR="00EA1AFE" w:rsidRDefault="00EA1AFE" w:rsidP="00303E28">
      <w:pPr>
        <w:spacing w:line="360" w:lineRule="auto"/>
        <w:rPr>
          <w:rFonts w:ascii="Arial" w:hAnsi="Arial" w:cs="Arial"/>
          <w:b/>
          <w:bCs/>
          <w:sz w:val="24"/>
          <w:szCs w:val="24"/>
        </w:rPr>
      </w:pPr>
    </w:p>
    <w:p w14:paraId="367F3759" w14:textId="77777777" w:rsidR="00EA1AFE" w:rsidRDefault="00EA1AFE" w:rsidP="00303E28">
      <w:pPr>
        <w:spacing w:line="360" w:lineRule="auto"/>
        <w:rPr>
          <w:rFonts w:ascii="Arial" w:hAnsi="Arial" w:cs="Arial"/>
          <w:b/>
          <w:bCs/>
          <w:sz w:val="24"/>
          <w:szCs w:val="24"/>
        </w:rPr>
      </w:pPr>
    </w:p>
    <w:p w14:paraId="1356EBC4" w14:textId="77777777" w:rsidR="00EA1AFE" w:rsidRDefault="00EA1AFE" w:rsidP="00303E28">
      <w:pPr>
        <w:spacing w:line="360" w:lineRule="auto"/>
        <w:rPr>
          <w:rFonts w:ascii="Arial" w:hAnsi="Arial" w:cs="Arial"/>
          <w:b/>
          <w:bCs/>
          <w:sz w:val="24"/>
          <w:szCs w:val="24"/>
        </w:rPr>
      </w:pPr>
    </w:p>
    <w:p w14:paraId="6726B9E6" w14:textId="77777777" w:rsidR="00EA1AFE" w:rsidRDefault="00EA1AFE" w:rsidP="00303E28">
      <w:pPr>
        <w:spacing w:line="360" w:lineRule="auto"/>
        <w:rPr>
          <w:rFonts w:ascii="Arial" w:hAnsi="Arial" w:cs="Arial"/>
          <w:b/>
          <w:bCs/>
          <w:sz w:val="24"/>
          <w:szCs w:val="24"/>
        </w:rPr>
      </w:pPr>
    </w:p>
    <w:p w14:paraId="2008F76E" w14:textId="77777777" w:rsidR="00EA1AFE" w:rsidRDefault="00EA1AFE" w:rsidP="00303E28">
      <w:pPr>
        <w:spacing w:line="360" w:lineRule="auto"/>
        <w:rPr>
          <w:rFonts w:ascii="Arial" w:hAnsi="Arial" w:cs="Arial"/>
          <w:b/>
          <w:bCs/>
          <w:sz w:val="24"/>
          <w:szCs w:val="24"/>
        </w:rPr>
      </w:pPr>
    </w:p>
    <w:p w14:paraId="59F3C6E4" w14:textId="77777777" w:rsidR="00EA1AFE" w:rsidRDefault="00EA1AFE" w:rsidP="00303E28">
      <w:pPr>
        <w:spacing w:line="360" w:lineRule="auto"/>
        <w:rPr>
          <w:rFonts w:ascii="Arial" w:hAnsi="Arial" w:cs="Arial"/>
          <w:b/>
          <w:bCs/>
          <w:sz w:val="24"/>
          <w:szCs w:val="24"/>
        </w:rPr>
      </w:pPr>
    </w:p>
    <w:p w14:paraId="4A4D5172" w14:textId="77777777" w:rsidR="00EA1AFE" w:rsidRDefault="00EA1AFE" w:rsidP="00303E28">
      <w:pPr>
        <w:spacing w:line="360" w:lineRule="auto"/>
        <w:rPr>
          <w:rFonts w:ascii="Arial" w:hAnsi="Arial" w:cs="Arial"/>
          <w:b/>
          <w:bCs/>
          <w:sz w:val="24"/>
          <w:szCs w:val="24"/>
        </w:rPr>
      </w:pPr>
    </w:p>
    <w:p w14:paraId="433C60E7" w14:textId="77777777" w:rsidR="00EA1AFE" w:rsidRDefault="00EA1AFE" w:rsidP="00303E28">
      <w:pPr>
        <w:spacing w:line="360" w:lineRule="auto"/>
        <w:rPr>
          <w:rFonts w:ascii="Arial" w:hAnsi="Arial" w:cs="Arial"/>
          <w:b/>
          <w:bCs/>
          <w:sz w:val="24"/>
          <w:szCs w:val="24"/>
        </w:rPr>
      </w:pPr>
    </w:p>
    <w:p w14:paraId="04C6BA3D" w14:textId="77777777" w:rsidR="00EA1AFE" w:rsidRDefault="00EA1AFE" w:rsidP="00303E28">
      <w:pPr>
        <w:spacing w:line="360" w:lineRule="auto"/>
        <w:rPr>
          <w:rFonts w:ascii="Arial" w:hAnsi="Arial" w:cs="Arial"/>
          <w:b/>
          <w:bCs/>
          <w:sz w:val="24"/>
          <w:szCs w:val="24"/>
        </w:rPr>
      </w:pPr>
    </w:p>
    <w:p w14:paraId="6CCE6A18" w14:textId="77777777" w:rsidR="00EA1AFE" w:rsidRDefault="00EA1AFE" w:rsidP="00303E28">
      <w:pPr>
        <w:spacing w:line="360" w:lineRule="auto"/>
        <w:rPr>
          <w:rFonts w:ascii="Arial" w:hAnsi="Arial" w:cs="Arial"/>
          <w:b/>
          <w:bCs/>
          <w:sz w:val="24"/>
          <w:szCs w:val="24"/>
        </w:rPr>
      </w:pPr>
    </w:p>
    <w:p w14:paraId="4A2F9A20" w14:textId="77777777" w:rsidR="00EA1AFE" w:rsidRDefault="00EA1AFE" w:rsidP="00303E28">
      <w:pPr>
        <w:spacing w:line="360" w:lineRule="auto"/>
        <w:rPr>
          <w:rFonts w:ascii="Arial" w:hAnsi="Arial" w:cs="Arial"/>
          <w:b/>
          <w:bCs/>
          <w:sz w:val="24"/>
          <w:szCs w:val="24"/>
        </w:rPr>
      </w:pPr>
    </w:p>
    <w:p w14:paraId="5A5C534A" w14:textId="77777777" w:rsidR="00EA1AFE" w:rsidRDefault="00EA1AFE" w:rsidP="00303E28">
      <w:pPr>
        <w:spacing w:line="360" w:lineRule="auto"/>
        <w:rPr>
          <w:rFonts w:ascii="Arial" w:hAnsi="Arial" w:cs="Arial"/>
          <w:b/>
          <w:bCs/>
          <w:sz w:val="24"/>
          <w:szCs w:val="24"/>
        </w:rPr>
      </w:pPr>
    </w:p>
    <w:p w14:paraId="08618FD7" w14:textId="77777777" w:rsidR="00EA1AFE" w:rsidRDefault="00EA1AFE" w:rsidP="00303E28">
      <w:pPr>
        <w:spacing w:line="360" w:lineRule="auto"/>
        <w:rPr>
          <w:rFonts w:ascii="Arial" w:hAnsi="Arial" w:cs="Arial"/>
          <w:b/>
          <w:bCs/>
          <w:sz w:val="24"/>
          <w:szCs w:val="24"/>
        </w:rPr>
      </w:pPr>
    </w:p>
    <w:p w14:paraId="73011A99" w14:textId="77777777" w:rsidR="00EA1AFE" w:rsidRDefault="00EA1AFE" w:rsidP="00303E28">
      <w:pPr>
        <w:spacing w:line="360" w:lineRule="auto"/>
        <w:rPr>
          <w:rFonts w:ascii="Arial" w:hAnsi="Arial" w:cs="Arial"/>
          <w:b/>
          <w:bCs/>
          <w:sz w:val="24"/>
          <w:szCs w:val="24"/>
        </w:rPr>
      </w:pPr>
    </w:p>
    <w:p w14:paraId="4CBDA7A1" w14:textId="77777777" w:rsidR="00EA1AFE" w:rsidRDefault="00EA1AFE" w:rsidP="00303E28">
      <w:pPr>
        <w:spacing w:line="360" w:lineRule="auto"/>
        <w:rPr>
          <w:rFonts w:ascii="Arial" w:hAnsi="Arial" w:cs="Arial"/>
          <w:b/>
          <w:bCs/>
          <w:sz w:val="24"/>
          <w:szCs w:val="24"/>
        </w:rPr>
      </w:pPr>
    </w:p>
    <w:p w14:paraId="1D8F9798" w14:textId="6D43D704" w:rsidR="002D2AEC" w:rsidRPr="00721823" w:rsidRDefault="00721823" w:rsidP="003F3091">
      <w:pPr>
        <w:rPr>
          <w:rFonts w:ascii="Arial" w:hAnsi="Arial" w:cs="Arial"/>
          <w:b/>
          <w:bCs/>
          <w:sz w:val="24"/>
          <w:szCs w:val="24"/>
        </w:rPr>
      </w:pPr>
      <w:r w:rsidRPr="00721823">
        <w:rPr>
          <w:rFonts w:ascii="Arial" w:hAnsi="Arial" w:cs="Arial"/>
          <w:b/>
          <w:bCs/>
          <w:sz w:val="24"/>
          <w:szCs w:val="24"/>
        </w:rPr>
        <w:lastRenderedPageBreak/>
        <w:t>Individual Report: Evaluation of the Use of Management Accounting Tools and Techniques in Supporting Financial Decision-Making at Jaguar Land Rover</w:t>
      </w:r>
    </w:p>
    <w:p w14:paraId="2FDBAD59" w14:textId="77777777" w:rsidR="00721823" w:rsidRPr="00721823" w:rsidRDefault="00721823" w:rsidP="008D3449">
      <w:pPr>
        <w:spacing w:line="360" w:lineRule="auto"/>
        <w:ind w:firstLine="720"/>
        <w:rPr>
          <w:rFonts w:ascii="Arial" w:hAnsi="Arial" w:cs="Arial"/>
          <w:b/>
          <w:bCs/>
          <w:sz w:val="24"/>
          <w:szCs w:val="24"/>
        </w:rPr>
      </w:pPr>
      <w:r w:rsidRPr="00721823">
        <w:rPr>
          <w:rFonts w:ascii="Arial" w:hAnsi="Arial" w:cs="Arial"/>
          <w:b/>
          <w:bCs/>
          <w:sz w:val="24"/>
          <w:szCs w:val="24"/>
        </w:rPr>
        <w:t>1. Introduction</w:t>
      </w:r>
    </w:p>
    <w:p w14:paraId="010B4B0E" w14:textId="77777777" w:rsidR="008D3449" w:rsidRDefault="002C2A77" w:rsidP="008D3449">
      <w:pPr>
        <w:spacing w:line="360" w:lineRule="auto"/>
        <w:ind w:firstLine="720"/>
        <w:rPr>
          <w:rFonts w:ascii="Arial" w:hAnsi="Arial" w:cs="Arial"/>
          <w:sz w:val="24"/>
          <w:szCs w:val="24"/>
        </w:rPr>
      </w:pPr>
      <w:r w:rsidRPr="002C2A77">
        <w:rPr>
          <w:rFonts w:ascii="Arial" w:hAnsi="Arial" w:cs="Arial"/>
          <w:sz w:val="24"/>
          <w:szCs w:val="24"/>
        </w:rPr>
        <w:t xml:space="preserve">Jaguar Land Rover (JLR) is a British manufacturer of luxury automobiles and sport utility vehicles. Tata Motors has owned it since 2008. The corporation is headquartered in Coventry, UK, although </w:t>
      </w:r>
      <w:r w:rsidR="003F6546">
        <w:rPr>
          <w:rFonts w:ascii="Arial" w:hAnsi="Arial" w:cs="Arial"/>
          <w:sz w:val="24"/>
          <w:szCs w:val="24"/>
        </w:rPr>
        <w:t xml:space="preserve">it </w:t>
      </w:r>
      <w:r w:rsidRPr="002C2A77">
        <w:rPr>
          <w:rFonts w:ascii="Arial" w:hAnsi="Arial" w:cs="Arial"/>
          <w:sz w:val="24"/>
          <w:szCs w:val="24"/>
        </w:rPr>
        <w:t>maintains a significant global presence. The company operates plants in the UK, China, Slovakia, India, and Brazil, employing over 40,000 individuals globally. The company's primary offerings consist of renowned models, such as the Range Rover, Defender, Discovery, and Jaguar. They specialise in plug-in hybrid electric vehicles (PHEV) and fully electric vehicles, while also providing after-sales services, accessories, and financing options. JLR's consolidated revenues for fiscal year FY25 (April 2024 to March 2025) amounted to £29 billion (unchanged from the prior year), its profit before tax and exceptional items reached £2.5 billion (the highest in the last decade, reflecting a 15% year-over-year increase), and its adjusted EBIT margin stood at 8.5% (consistent with the previous year). This indicates that the corporation has adjusted to the shift towards electrification and to macroeconomic issues, including inflation and supply chain disruptions (Jaguar Land Rover, 2025a; media.jaguarlandrover.com, 2025).</w:t>
      </w:r>
    </w:p>
    <w:p w14:paraId="67B523BF" w14:textId="736A8C20" w:rsidR="002D2AEC" w:rsidRDefault="002C2A77" w:rsidP="008D3449">
      <w:pPr>
        <w:spacing w:line="360" w:lineRule="auto"/>
        <w:ind w:firstLine="720"/>
        <w:rPr>
          <w:rFonts w:ascii="Arial" w:hAnsi="Arial" w:cs="Arial"/>
          <w:sz w:val="24"/>
          <w:szCs w:val="24"/>
        </w:rPr>
      </w:pPr>
      <w:r w:rsidRPr="002C2A77">
        <w:rPr>
          <w:rFonts w:ascii="Arial" w:hAnsi="Arial" w:cs="Arial"/>
          <w:sz w:val="24"/>
          <w:szCs w:val="24"/>
        </w:rPr>
        <w:t xml:space="preserve">Management accounting is crucial for contemporary enterprises as it provides comprehensive internal data for strategic planning, operational management, and performance assessment. The automotive sector must contend with substantial expenditures in green technologies, macroeconomic fluctuations (inflation, trade barriers), and stringent sustainability mandates. To ensure the efficient utilisation of resources, mitigate risks, and achieve long-term objectives, methodologies such as cost-volume-profit analysis, flexible budgeting, and activity-based costing are employed. These technologies assist JLR's Reimagine strategy by enabling the company to make informed decisions amidst global challenges while still profiting from its substantial investments in electric vehicles. Incorporating non-financial data, such as emissions, into financial models enhances their predictive accuracy and stability over time </w:t>
      </w:r>
      <w:r w:rsidR="00852BB4" w:rsidRPr="00034CAD">
        <w:rPr>
          <w:rFonts w:ascii="Arial" w:hAnsi="Arial" w:cs="Arial"/>
          <w:sz w:val="24"/>
          <w:szCs w:val="24"/>
        </w:rPr>
        <w:t>(Drury, 2018, pp. 64–100; Atrill and McLaney, 2021, pp. 66–100; Zimmerman, 20</w:t>
      </w:r>
      <w:r w:rsidR="003D210F">
        <w:rPr>
          <w:rFonts w:ascii="Arial" w:hAnsi="Arial" w:cs="Arial"/>
          <w:sz w:val="24"/>
          <w:szCs w:val="24"/>
        </w:rPr>
        <w:t>19</w:t>
      </w:r>
      <w:r w:rsidR="00852BB4" w:rsidRPr="00034CAD">
        <w:rPr>
          <w:rFonts w:ascii="Arial" w:hAnsi="Arial" w:cs="Arial"/>
          <w:sz w:val="24"/>
          <w:szCs w:val="24"/>
        </w:rPr>
        <w:t>, pp. 253–300).</w:t>
      </w:r>
    </w:p>
    <w:p w14:paraId="1170B997" w14:textId="77777777" w:rsidR="00EC6D29" w:rsidRDefault="00EC6D29" w:rsidP="002C2A77">
      <w:pPr>
        <w:spacing w:line="360" w:lineRule="auto"/>
        <w:rPr>
          <w:rFonts w:ascii="Arial" w:hAnsi="Arial" w:cs="Arial"/>
          <w:sz w:val="24"/>
          <w:szCs w:val="24"/>
        </w:rPr>
      </w:pPr>
    </w:p>
    <w:p w14:paraId="24F0A566" w14:textId="77777777" w:rsidR="00EC6D29" w:rsidRDefault="00EC6D29" w:rsidP="002C2A77">
      <w:pPr>
        <w:spacing w:line="360" w:lineRule="auto"/>
        <w:rPr>
          <w:rFonts w:ascii="Arial" w:hAnsi="Arial" w:cs="Arial"/>
          <w:sz w:val="24"/>
          <w:szCs w:val="24"/>
        </w:rPr>
      </w:pPr>
    </w:p>
    <w:p w14:paraId="66221647" w14:textId="77777777" w:rsidR="00EC6D29" w:rsidRDefault="00EC6D29" w:rsidP="002C2A77">
      <w:pPr>
        <w:spacing w:line="360" w:lineRule="auto"/>
        <w:rPr>
          <w:rFonts w:ascii="Arial" w:hAnsi="Arial" w:cs="Arial"/>
          <w:sz w:val="24"/>
          <w:szCs w:val="24"/>
        </w:rPr>
      </w:pPr>
    </w:p>
    <w:p w14:paraId="1367B7A8" w14:textId="77777777" w:rsidR="00721823" w:rsidRPr="00721823" w:rsidRDefault="00721823" w:rsidP="008D3449">
      <w:pPr>
        <w:spacing w:line="360" w:lineRule="auto"/>
        <w:ind w:firstLine="720"/>
        <w:rPr>
          <w:rFonts w:ascii="Arial" w:hAnsi="Arial" w:cs="Arial"/>
          <w:b/>
          <w:bCs/>
          <w:sz w:val="24"/>
          <w:szCs w:val="24"/>
        </w:rPr>
      </w:pPr>
      <w:r w:rsidRPr="00721823">
        <w:rPr>
          <w:rFonts w:ascii="Arial" w:hAnsi="Arial" w:cs="Arial"/>
          <w:b/>
          <w:bCs/>
          <w:sz w:val="24"/>
          <w:szCs w:val="24"/>
        </w:rPr>
        <w:t>2. Cost Analysis and Business Model</w:t>
      </w:r>
    </w:p>
    <w:p w14:paraId="0BC9E153" w14:textId="77777777" w:rsidR="008D3449" w:rsidRDefault="002C2A77" w:rsidP="008D3449">
      <w:pPr>
        <w:spacing w:line="360" w:lineRule="auto"/>
        <w:ind w:firstLine="720"/>
        <w:rPr>
          <w:rFonts w:ascii="Arial" w:hAnsi="Arial" w:cs="Arial"/>
          <w:sz w:val="24"/>
          <w:szCs w:val="24"/>
        </w:rPr>
      </w:pPr>
      <w:r w:rsidRPr="002C2A77">
        <w:rPr>
          <w:rFonts w:ascii="Arial" w:hAnsi="Arial" w:cs="Arial"/>
          <w:sz w:val="24"/>
          <w:szCs w:val="24"/>
        </w:rPr>
        <w:t>JLR derives the majority of its revenue from the sale of luxury vehicles, accounting for approximately 90% of total income, while also generating income from after-sales services, spare parts, accessories, and financial services. The company's revenues remained approximately £29 billion in FY25, attributable to a strategic shift towards a more lucrative product mix. This encompassed an emphasis on high-margin vehicles such as the Defender (which achieved record sales), the Range Rover, and the Range Rover Sport, and an increase in the PHEV segments (up 22% year-over-year in certain categories). The mean transaction price is approximately £70,000 per unit, indicating that the company operates within the luxury market segment. The corporation is diversifying by entering growing markets such as China and India and providing mobility services. The Reimagine plan integrates electrification with profit generation via sustainable models and strategic partnerships, including collaboration with BNP Paribas on green finance. This addresses the increasing worldwide demand for electric automobiles. This model possesses sufficient robustness to accommodate market fluctuations, and after-sales services can provide assistance during sales declines (Automotive World, 2025; Jaguar Land Rover, 2025c).</w:t>
      </w:r>
    </w:p>
    <w:p w14:paraId="49F664E6" w14:textId="77777777" w:rsidR="00852BB4" w:rsidRDefault="002C2A77" w:rsidP="00852BB4">
      <w:pPr>
        <w:spacing w:line="360" w:lineRule="auto"/>
        <w:ind w:firstLine="720"/>
      </w:pPr>
      <w:r w:rsidRPr="002C2A77">
        <w:rPr>
          <w:rFonts w:ascii="Arial" w:hAnsi="Arial" w:cs="Arial"/>
          <w:sz w:val="24"/>
          <w:szCs w:val="24"/>
        </w:rPr>
        <w:t xml:space="preserve">Fixed costs constitute around 65–70% of JLR's total expenses. Luxury production necessitates substantial financial investment in research and development (R&amp;D), modernising plants (such as preparing Halewood and Solihull for electric vehicle manufacture), compensating administrative personnel, and accounting for depreciation and amortisation. In FY25, total capital expenditure amounted to £3.8 billion, reflecting a 9% increase compared to the prior year. The acceleration of the Reimagine plan was the reason behind this. Variable costs (30–35%) encompass essential elements like as aluminium, lithium-ion batteries, and semiconductors, in addition to worldwide logistics and variable marketing expenses (VME), which increased in FY25 to support the promotion of electrified vehicles. Management implemented significant measures to enhance operations, such as reducing depreciation through the gradual discontinuation of outdated Jaguar models, strategically procuring materials (including recycled aluminium), establishing collaborations with suppliers in cost-effective regions, and adhering to circular economy principles. This resulted in a 15% year-over-year improvement in operational profit despite stagnant revenues. Management accounting instruments such as cost-volume-profit (CVP) analysis identify break-even points and </w:t>
      </w:r>
      <w:r w:rsidRPr="002C2A77">
        <w:rPr>
          <w:rFonts w:ascii="Arial" w:hAnsi="Arial" w:cs="Arial"/>
          <w:sz w:val="24"/>
          <w:szCs w:val="24"/>
        </w:rPr>
        <w:lastRenderedPageBreak/>
        <w:t xml:space="preserve">illustrate the impact of various scenarios on the firm, such as the effect of increased battery prices on profit margins. Activity-based costing (ABC) precisely allocates indirect costs to products, elucidating the true cost drivers, such as the complexity of electronics in electric vehicles compared to classic internal combustion engine versions. These critical methodologies facilitate decisions such as discontinuing the old Jaguar and reallocating resources to higher-margin product lines, while considering external factors, like fluctuations in raw material prices </w:t>
      </w:r>
      <w:r w:rsidR="00852BB4" w:rsidRPr="00034CAD">
        <w:rPr>
          <w:rFonts w:ascii="Arial" w:hAnsi="Arial" w:cs="Arial"/>
          <w:sz w:val="24"/>
          <w:szCs w:val="24"/>
        </w:rPr>
        <w:t>(Tayles and Drury, 1997, pp. 43–55; Porporato, 2016, pp. 389–404; Purwohedi, 2023, pp. 31–40; Gulshan, 2024).</w:t>
      </w:r>
    </w:p>
    <w:p w14:paraId="0E76385C" w14:textId="06A6D999" w:rsidR="00721823" w:rsidRPr="00721823" w:rsidRDefault="00721823" w:rsidP="00852BB4">
      <w:pPr>
        <w:spacing w:line="360" w:lineRule="auto"/>
        <w:rPr>
          <w:rFonts w:ascii="Arial" w:hAnsi="Arial" w:cs="Arial"/>
          <w:sz w:val="24"/>
          <w:szCs w:val="24"/>
        </w:rPr>
      </w:pPr>
      <w:r w:rsidRPr="00721823">
        <w:rPr>
          <w:rFonts w:ascii="Arial" w:hAnsi="Arial" w:cs="Arial"/>
          <w:b/>
          <w:bCs/>
          <w:sz w:val="24"/>
          <w:szCs w:val="24"/>
        </w:rPr>
        <w:t>Table 1: Key Financial Indicators FY25 vs. FY24</w:t>
      </w:r>
    </w:p>
    <w:tbl>
      <w:tblPr>
        <w:tblStyle w:val="TableGrid"/>
        <w:tblW w:w="0" w:type="auto"/>
        <w:tblLook w:val="04A0" w:firstRow="1" w:lastRow="0" w:firstColumn="1" w:lastColumn="0" w:noHBand="0" w:noVBand="1"/>
      </w:tblPr>
      <w:tblGrid>
        <w:gridCol w:w="2437"/>
        <w:gridCol w:w="1351"/>
        <w:gridCol w:w="1351"/>
        <w:gridCol w:w="1263"/>
        <w:gridCol w:w="2942"/>
      </w:tblGrid>
      <w:tr w:rsidR="003F6546" w:rsidRPr="00721823" w14:paraId="4BA66AA8" w14:textId="77777777" w:rsidTr="003F6546">
        <w:tc>
          <w:tcPr>
            <w:tcW w:w="0" w:type="auto"/>
            <w:hideMark/>
          </w:tcPr>
          <w:p w14:paraId="685CCAB5"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Indicator</w:t>
            </w:r>
          </w:p>
        </w:tc>
        <w:tc>
          <w:tcPr>
            <w:tcW w:w="0" w:type="auto"/>
            <w:hideMark/>
          </w:tcPr>
          <w:p w14:paraId="4AD95ED1"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FY24 (£ billion)</w:t>
            </w:r>
          </w:p>
        </w:tc>
        <w:tc>
          <w:tcPr>
            <w:tcW w:w="0" w:type="auto"/>
            <w:hideMark/>
          </w:tcPr>
          <w:p w14:paraId="10174255"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FY25 (£ billion)</w:t>
            </w:r>
          </w:p>
        </w:tc>
        <w:tc>
          <w:tcPr>
            <w:tcW w:w="0" w:type="auto"/>
            <w:hideMark/>
          </w:tcPr>
          <w:p w14:paraId="67587884"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Change (%)</w:t>
            </w:r>
          </w:p>
        </w:tc>
        <w:tc>
          <w:tcPr>
            <w:tcW w:w="0" w:type="auto"/>
            <w:hideMark/>
          </w:tcPr>
          <w:p w14:paraId="48143E4A"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Main Observations</w:t>
            </w:r>
          </w:p>
        </w:tc>
      </w:tr>
      <w:tr w:rsidR="003F6546" w:rsidRPr="00721823" w14:paraId="6FE18155" w14:textId="77777777" w:rsidTr="003F6546">
        <w:tc>
          <w:tcPr>
            <w:tcW w:w="0" w:type="auto"/>
            <w:hideMark/>
          </w:tcPr>
          <w:p w14:paraId="4A569DB3"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Consolidated Revenues</w:t>
            </w:r>
          </w:p>
        </w:tc>
        <w:tc>
          <w:tcPr>
            <w:tcW w:w="0" w:type="auto"/>
            <w:hideMark/>
          </w:tcPr>
          <w:p w14:paraId="77ECC0BA"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29.0</w:t>
            </w:r>
          </w:p>
        </w:tc>
        <w:tc>
          <w:tcPr>
            <w:tcW w:w="0" w:type="auto"/>
            <w:hideMark/>
          </w:tcPr>
          <w:p w14:paraId="50AAA491"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29.0</w:t>
            </w:r>
          </w:p>
        </w:tc>
        <w:tc>
          <w:tcPr>
            <w:tcW w:w="0" w:type="auto"/>
            <w:hideMark/>
          </w:tcPr>
          <w:p w14:paraId="3D783866"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0 (flat)</w:t>
            </w:r>
          </w:p>
        </w:tc>
        <w:tc>
          <w:tcPr>
            <w:tcW w:w="0" w:type="auto"/>
            <w:hideMark/>
          </w:tcPr>
          <w:p w14:paraId="48188635"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Stable premium mix, consistent volumes</w:t>
            </w:r>
          </w:p>
        </w:tc>
      </w:tr>
      <w:tr w:rsidR="003F6546" w:rsidRPr="00721823" w14:paraId="379DEC95" w14:textId="77777777" w:rsidTr="003F6546">
        <w:tc>
          <w:tcPr>
            <w:tcW w:w="0" w:type="auto"/>
            <w:hideMark/>
          </w:tcPr>
          <w:p w14:paraId="392B912A"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Profit before tax and exceptionals</w:t>
            </w:r>
          </w:p>
        </w:tc>
        <w:tc>
          <w:tcPr>
            <w:tcW w:w="0" w:type="auto"/>
            <w:hideMark/>
          </w:tcPr>
          <w:p w14:paraId="576CD8B0"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2.2</w:t>
            </w:r>
          </w:p>
        </w:tc>
        <w:tc>
          <w:tcPr>
            <w:tcW w:w="0" w:type="auto"/>
            <w:hideMark/>
          </w:tcPr>
          <w:p w14:paraId="05C1CF61"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2.5</w:t>
            </w:r>
          </w:p>
        </w:tc>
        <w:tc>
          <w:tcPr>
            <w:tcW w:w="0" w:type="auto"/>
            <w:hideMark/>
          </w:tcPr>
          <w:p w14:paraId="773D5DE1"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+15</w:t>
            </w:r>
          </w:p>
        </w:tc>
        <w:tc>
          <w:tcPr>
            <w:tcW w:w="0" w:type="auto"/>
            <w:hideMark/>
          </w:tcPr>
          <w:p w14:paraId="08476FF0"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Highest in a decade, effective cost control</w:t>
            </w:r>
          </w:p>
        </w:tc>
      </w:tr>
      <w:tr w:rsidR="003F6546" w:rsidRPr="00721823" w14:paraId="1EA442EE" w14:textId="77777777" w:rsidTr="003F6546">
        <w:tc>
          <w:tcPr>
            <w:tcW w:w="0" w:type="auto"/>
            <w:hideMark/>
          </w:tcPr>
          <w:p w14:paraId="4089D1EB"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Adjusted EBIT Margin (%)</w:t>
            </w:r>
          </w:p>
        </w:tc>
        <w:tc>
          <w:tcPr>
            <w:tcW w:w="0" w:type="auto"/>
            <w:hideMark/>
          </w:tcPr>
          <w:p w14:paraId="0246EA49"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8.5</w:t>
            </w:r>
          </w:p>
        </w:tc>
        <w:tc>
          <w:tcPr>
            <w:tcW w:w="0" w:type="auto"/>
            <w:hideMark/>
          </w:tcPr>
          <w:p w14:paraId="759691B0"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8.5</w:t>
            </w:r>
          </w:p>
        </w:tc>
        <w:tc>
          <w:tcPr>
            <w:tcW w:w="0" w:type="auto"/>
            <w:hideMark/>
          </w:tcPr>
          <w:p w14:paraId="2C5FFC5C"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Flat</w:t>
            </w:r>
          </w:p>
        </w:tc>
        <w:tc>
          <w:tcPr>
            <w:tcW w:w="0" w:type="auto"/>
            <w:hideMark/>
          </w:tcPr>
          <w:p w14:paraId="796123B8" w14:textId="4F93B053"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 xml:space="preserve">VME </w:t>
            </w:r>
            <w:r w:rsidR="003F6546">
              <w:rPr>
                <w:rFonts w:ascii="Arial" w:hAnsi="Arial" w:cs="Arial"/>
                <w:sz w:val="24"/>
                <w:szCs w:val="24"/>
              </w:rPr>
              <w:t>increases</w:t>
            </w:r>
            <w:r w:rsidRPr="00721823">
              <w:rPr>
                <w:rFonts w:ascii="Arial" w:hAnsi="Arial" w:cs="Arial"/>
                <w:sz w:val="24"/>
                <w:szCs w:val="24"/>
              </w:rPr>
              <w:t xml:space="preserve"> offset by efficiencies</w:t>
            </w:r>
          </w:p>
        </w:tc>
      </w:tr>
      <w:tr w:rsidR="003F6546" w:rsidRPr="00721823" w14:paraId="0190B4C0" w14:textId="77777777" w:rsidTr="003F6546">
        <w:tc>
          <w:tcPr>
            <w:tcW w:w="0" w:type="auto"/>
            <w:hideMark/>
          </w:tcPr>
          <w:p w14:paraId="1EA86C52"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Total Capital Expenditure</w:t>
            </w:r>
          </w:p>
        </w:tc>
        <w:tc>
          <w:tcPr>
            <w:tcW w:w="0" w:type="auto"/>
            <w:hideMark/>
          </w:tcPr>
          <w:p w14:paraId="3E5040AF"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~3.5</w:t>
            </w:r>
          </w:p>
        </w:tc>
        <w:tc>
          <w:tcPr>
            <w:tcW w:w="0" w:type="auto"/>
            <w:hideMark/>
          </w:tcPr>
          <w:p w14:paraId="27CE4A93"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3.8</w:t>
            </w:r>
          </w:p>
        </w:tc>
        <w:tc>
          <w:tcPr>
            <w:tcW w:w="0" w:type="auto"/>
            <w:hideMark/>
          </w:tcPr>
          <w:p w14:paraId="300FAA71"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+9</w:t>
            </w:r>
          </w:p>
        </w:tc>
        <w:tc>
          <w:tcPr>
            <w:tcW w:w="0" w:type="auto"/>
            <w:hideMark/>
          </w:tcPr>
          <w:p w14:paraId="640A7E00"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Reimagine acceleration, electrification focus</w:t>
            </w:r>
          </w:p>
        </w:tc>
      </w:tr>
    </w:tbl>
    <w:p w14:paraId="00C10D12" w14:textId="77777777" w:rsidR="003F6546" w:rsidRDefault="003F6546" w:rsidP="00304BEA">
      <w:pPr>
        <w:spacing w:after="0" w:line="360" w:lineRule="auto"/>
        <w:rPr>
          <w:rFonts w:ascii="Arial" w:hAnsi="Arial" w:cs="Arial"/>
          <w:b/>
          <w:bCs/>
          <w:sz w:val="24"/>
          <w:szCs w:val="24"/>
        </w:rPr>
      </w:pPr>
    </w:p>
    <w:p w14:paraId="2772C8B2" w14:textId="7906463A" w:rsidR="00721823" w:rsidRPr="00721823" w:rsidRDefault="00721823" w:rsidP="00304BEA">
      <w:pPr>
        <w:spacing w:after="0" w:line="360" w:lineRule="auto"/>
        <w:rPr>
          <w:rFonts w:ascii="Arial" w:hAnsi="Arial" w:cs="Arial"/>
          <w:sz w:val="24"/>
          <w:szCs w:val="24"/>
        </w:rPr>
      </w:pPr>
      <w:r w:rsidRPr="00721823">
        <w:rPr>
          <w:rFonts w:ascii="Arial" w:hAnsi="Arial" w:cs="Arial"/>
          <w:b/>
          <w:bCs/>
          <w:sz w:val="24"/>
          <w:szCs w:val="24"/>
        </w:rPr>
        <w:t>Table 2: Estimated Cost Structure (FY25)</w:t>
      </w:r>
    </w:p>
    <w:tbl>
      <w:tblPr>
        <w:tblStyle w:val="TableGrid"/>
        <w:tblW w:w="0" w:type="auto"/>
        <w:tblLook w:val="04A0" w:firstRow="1" w:lastRow="0" w:firstColumn="1" w:lastColumn="0" w:noHBand="0" w:noVBand="1"/>
      </w:tblPr>
      <w:tblGrid>
        <w:gridCol w:w="1163"/>
        <w:gridCol w:w="3151"/>
        <w:gridCol w:w="1941"/>
        <w:gridCol w:w="3089"/>
      </w:tblGrid>
      <w:tr w:rsidR="00721823" w:rsidRPr="00721823" w14:paraId="36CD754C" w14:textId="77777777" w:rsidTr="003F6546">
        <w:tc>
          <w:tcPr>
            <w:tcW w:w="0" w:type="auto"/>
            <w:hideMark/>
          </w:tcPr>
          <w:p w14:paraId="798A2F2D"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Cost Type</w:t>
            </w:r>
          </w:p>
        </w:tc>
        <w:tc>
          <w:tcPr>
            <w:tcW w:w="0" w:type="auto"/>
            <w:hideMark/>
          </w:tcPr>
          <w:p w14:paraId="4540C6DF"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Main Examples</w:t>
            </w:r>
          </w:p>
        </w:tc>
        <w:tc>
          <w:tcPr>
            <w:tcW w:w="0" w:type="auto"/>
            <w:hideMark/>
          </w:tcPr>
          <w:p w14:paraId="611A426F"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Estimated Proportion (%)</w:t>
            </w:r>
          </w:p>
        </w:tc>
        <w:tc>
          <w:tcPr>
            <w:tcW w:w="0" w:type="auto"/>
            <w:hideMark/>
          </w:tcPr>
          <w:p w14:paraId="47738BF8" w14:textId="77777777" w:rsidR="00721823" w:rsidRPr="00721823" w:rsidRDefault="00721823" w:rsidP="002C2A77">
            <w:pPr>
              <w:spacing w:after="160" w:line="360" w:lineRule="auto"/>
              <w:rPr>
                <w:rFonts w:ascii="Arial" w:hAnsi="Arial" w:cs="Arial"/>
                <w:b/>
                <w:bCs/>
                <w:sz w:val="24"/>
                <w:szCs w:val="24"/>
              </w:rPr>
            </w:pPr>
            <w:r w:rsidRPr="00721823">
              <w:rPr>
                <w:rFonts w:ascii="Arial" w:hAnsi="Arial" w:cs="Arial"/>
                <w:b/>
                <w:bCs/>
                <w:sz w:val="24"/>
                <w:szCs w:val="24"/>
              </w:rPr>
              <w:t>Main Decision Impact</w:t>
            </w:r>
          </w:p>
        </w:tc>
      </w:tr>
      <w:tr w:rsidR="00721823" w:rsidRPr="00721823" w14:paraId="3DF63B94" w14:textId="77777777" w:rsidTr="003F6546">
        <w:tc>
          <w:tcPr>
            <w:tcW w:w="0" w:type="auto"/>
            <w:hideMark/>
          </w:tcPr>
          <w:p w14:paraId="0319B40A"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Fixed</w:t>
            </w:r>
          </w:p>
        </w:tc>
        <w:tc>
          <w:tcPr>
            <w:tcW w:w="0" w:type="auto"/>
            <w:hideMark/>
          </w:tcPr>
          <w:p w14:paraId="0C1C856E" w14:textId="3F010B5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 xml:space="preserve">R&amp;D, factories, administrative salaries, </w:t>
            </w:r>
            <w:r w:rsidRPr="002C2A77">
              <w:rPr>
                <w:rFonts w:ascii="Arial" w:hAnsi="Arial" w:cs="Arial"/>
                <w:sz w:val="24"/>
                <w:szCs w:val="24"/>
              </w:rPr>
              <w:t xml:space="preserve">and </w:t>
            </w:r>
            <w:r w:rsidRPr="00721823">
              <w:rPr>
                <w:rFonts w:ascii="Arial" w:hAnsi="Arial" w:cs="Arial"/>
                <w:sz w:val="24"/>
                <w:szCs w:val="24"/>
              </w:rPr>
              <w:t>transformation</w:t>
            </w:r>
          </w:p>
        </w:tc>
        <w:tc>
          <w:tcPr>
            <w:tcW w:w="0" w:type="auto"/>
            <w:hideMark/>
          </w:tcPr>
          <w:p w14:paraId="3D377D5E"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65–70</w:t>
            </w:r>
          </w:p>
        </w:tc>
        <w:tc>
          <w:tcPr>
            <w:tcW w:w="0" w:type="auto"/>
            <w:hideMark/>
          </w:tcPr>
          <w:p w14:paraId="14D156A9"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Strategic EV investments, legacy depreciation reduction</w:t>
            </w:r>
          </w:p>
        </w:tc>
      </w:tr>
      <w:tr w:rsidR="00721823" w:rsidRPr="00721823" w14:paraId="71F7130D" w14:textId="77777777" w:rsidTr="003F6546">
        <w:tc>
          <w:tcPr>
            <w:tcW w:w="0" w:type="auto"/>
            <w:hideMark/>
          </w:tcPr>
          <w:p w14:paraId="2A5880B9"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Variable</w:t>
            </w:r>
          </w:p>
        </w:tc>
        <w:tc>
          <w:tcPr>
            <w:tcW w:w="0" w:type="auto"/>
            <w:hideMark/>
          </w:tcPr>
          <w:p w14:paraId="204EF886"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Materials (aluminium, batteries), logistics, VME</w:t>
            </w:r>
          </w:p>
        </w:tc>
        <w:tc>
          <w:tcPr>
            <w:tcW w:w="0" w:type="auto"/>
            <w:hideMark/>
          </w:tcPr>
          <w:p w14:paraId="10A0F2D1"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30–35</w:t>
            </w:r>
          </w:p>
        </w:tc>
        <w:tc>
          <w:tcPr>
            <w:tcW w:w="0" w:type="auto"/>
            <w:hideMark/>
          </w:tcPr>
          <w:p w14:paraId="098FF001" w14:textId="77777777" w:rsidR="00721823" w:rsidRPr="00721823" w:rsidRDefault="00721823" w:rsidP="002C2A77">
            <w:pPr>
              <w:spacing w:after="160" w:line="360" w:lineRule="auto"/>
              <w:rPr>
                <w:rFonts w:ascii="Arial" w:hAnsi="Arial" w:cs="Arial"/>
                <w:sz w:val="24"/>
                <w:szCs w:val="24"/>
              </w:rPr>
            </w:pPr>
            <w:r w:rsidRPr="00721823">
              <w:rPr>
                <w:rFonts w:ascii="Arial" w:hAnsi="Arial" w:cs="Arial"/>
                <w:sz w:val="24"/>
                <w:szCs w:val="24"/>
              </w:rPr>
              <w:t>Volume fluctuations, sourcing optimisation, circular economy</w:t>
            </w:r>
          </w:p>
        </w:tc>
      </w:tr>
    </w:tbl>
    <w:p w14:paraId="228AC1C7" w14:textId="77777777" w:rsidR="002D2AEC" w:rsidRDefault="002D2AEC" w:rsidP="002C2A77">
      <w:pPr>
        <w:spacing w:line="360" w:lineRule="auto"/>
        <w:rPr>
          <w:rFonts w:ascii="Arial" w:hAnsi="Arial" w:cs="Arial"/>
          <w:b/>
          <w:bCs/>
          <w:sz w:val="24"/>
          <w:szCs w:val="24"/>
        </w:rPr>
      </w:pPr>
    </w:p>
    <w:p w14:paraId="35F7739C" w14:textId="77777777" w:rsidR="00EC6D29" w:rsidRDefault="00EC6D29" w:rsidP="002C2A77">
      <w:pPr>
        <w:spacing w:line="360" w:lineRule="auto"/>
        <w:rPr>
          <w:rFonts w:ascii="Arial" w:hAnsi="Arial" w:cs="Arial"/>
          <w:b/>
          <w:bCs/>
          <w:sz w:val="24"/>
          <w:szCs w:val="24"/>
        </w:rPr>
      </w:pPr>
    </w:p>
    <w:p w14:paraId="30E574FE" w14:textId="77777777" w:rsidR="00EC6D29" w:rsidRDefault="00EC6D29" w:rsidP="002C2A77">
      <w:pPr>
        <w:spacing w:line="360" w:lineRule="auto"/>
        <w:rPr>
          <w:rFonts w:ascii="Arial" w:hAnsi="Arial" w:cs="Arial"/>
          <w:b/>
          <w:bCs/>
          <w:sz w:val="24"/>
          <w:szCs w:val="24"/>
        </w:rPr>
      </w:pPr>
    </w:p>
    <w:p w14:paraId="394CE24F" w14:textId="10B24842" w:rsidR="00721823" w:rsidRPr="00721823" w:rsidRDefault="00721823" w:rsidP="008D3449">
      <w:pPr>
        <w:spacing w:line="360" w:lineRule="auto"/>
        <w:ind w:firstLine="720"/>
        <w:rPr>
          <w:rFonts w:ascii="Arial" w:hAnsi="Arial" w:cs="Arial"/>
          <w:b/>
          <w:bCs/>
          <w:sz w:val="24"/>
          <w:szCs w:val="24"/>
        </w:rPr>
      </w:pPr>
      <w:r w:rsidRPr="00721823">
        <w:rPr>
          <w:rFonts w:ascii="Arial" w:hAnsi="Arial" w:cs="Arial"/>
          <w:b/>
          <w:bCs/>
          <w:sz w:val="24"/>
          <w:szCs w:val="24"/>
        </w:rPr>
        <w:t>3. Budgeting and Financial Planning</w:t>
      </w:r>
    </w:p>
    <w:p w14:paraId="589A95C0" w14:textId="3784E092" w:rsidR="008D3449" w:rsidRPr="00852BB4" w:rsidRDefault="002C2A77" w:rsidP="008D3449">
      <w:pPr>
        <w:spacing w:line="360" w:lineRule="auto"/>
        <w:ind w:firstLine="720"/>
        <w:rPr>
          <w:rFonts w:ascii="Arial" w:hAnsi="Arial" w:cs="Arial"/>
          <w:sz w:val="24"/>
          <w:szCs w:val="24"/>
        </w:rPr>
      </w:pPr>
      <w:r w:rsidRPr="002C2A77">
        <w:rPr>
          <w:rFonts w:ascii="Arial" w:hAnsi="Arial" w:cs="Arial"/>
          <w:sz w:val="24"/>
          <w:szCs w:val="24"/>
        </w:rPr>
        <w:t xml:space="preserve">Budgeting is integral to JLR's operations as it ensures the optimal use of resources in alignment with the Reimagine goal. Capital budgets indicate to corporations the allocation of substantial funds (£18 billion over five years, with £3.8 billion designated for FY25) for initiatives such as electrification, industrial modernisation, ADAS validation, and the development of an EV platform. Flexible budgets enable adjustments to your financial plan in response to external factors, such as disruptions in aluminium supply or U.S. tariffs. Conversely, operating budgets monitor everyday expenditures. Zero-based budgeting (ZBB) is a methodology that necessitates a comprehensive justification of each expense from the beginning of each budgeting cycle. This reduces waste and enhances financial discipline. Participative budgeting encompasses operational management, enhancing forecast accuracy and fostering team commitment </w:t>
      </w:r>
      <w:r w:rsidR="00852BB4" w:rsidRPr="00034CAD">
        <w:rPr>
          <w:rFonts w:ascii="Arial" w:hAnsi="Arial" w:cs="Arial"/>
          <w:sz w:val="24"/>
          <w:szCs w:val="24"/>
        </w:rPr>
        <w:t>(Zimmerman, 20</w:t>
      </w:r>
      <w:r w:rsidR="003D210F">
        <w:rPr>
          <w:rFonts w:ascii="Arial" w:hAnsi="Arial" w:cs="Arial"/>
          <w:sz w:val="24"/>
          <w:szCs w:val="24"/>
        </w:rPr>
        <w:t>19</w:t>
      </w:r>
      <w:r w:rsidR="00852BB4" w:rsidRPr="00034CAD">
        <w:rPr>
          <w:rFonts w:ascii="Arial" w:hAnsi="Arial" w:cs="Arial"/>
          <w:sz w:val="24"/>
          <w:szCs w:val="24"/>
        </w:rPr>
        <w:t>, pp. 253–300; Lata and Ussahawanitchakit, 2015, pp. 322–334).</w:t>
      </w:r>
    </w:p>
    <w:p w14:paraId="0BBDF024" w14:textId="2C126432" w:rsidR="002D2AEC" w:rsidRDefault="002C2A77" w:rsidP="008D3449">
      <w:pPr>
        <w:spacing w:line="360" w:lineRule="auto"/>
        <w:ind w:firstLine="720"/>
        <w:rPr>
          <w:rFonts w:ascii="Arial" w:hAnsi="Arial" w:cs="Arial"/>
          <w:sz w:val="24"/>
          <w:szCs w:val="24"/>
        </w:rPr>
      </w:pPr>
      <w:r w:rsidRPr="002C2A77">
        <w:rPr>
          <w:rFonts w:ascii="Arial" w:hAnsi="Arial" w:cs="Arial"/>
          <w:sz w:val="24"/>
          <w:szCs w:val="24"/>
        </w:rPr>
        <w:t>In FY25, consolidated operating expenses, encompassing materials, personnel costs, administrative overheads, and VME, increased by around 2–5% year-on-year, estimated at £26.5–27 billion. This occurred because of both internal and external factors. The internal growth was attributed to accelerated investments in electric vehicles (EVs), software development, and marketing initiatives for plug-in hybrid electric vehicles (PHEVs) and EVs. Material inflation, US tariffs (27.5% on select imports), and worsening conditions in China collectively exert heightened pressure on prices. Management implemented measures to reduce fixed costs by optimising supply chain management, discontinuing the outdated Jaguar brand (resulting in savings on depreciation and amortisation), renegotiating supplier agreements, and prioritising high-margin production. The implementation of these measures, coupled with rolling forecasts and quarterly budget evaluations, maintained the EBIT margin at 8.5% and generated a net cash flow of £278 million, demonstrating the efficacy of Zero-Based Budgeting in risk management (Jaguar Land Rover, 2025a; media.jaguarlandrover.com, 2025).</w:t>
      </w:r>
    </w:p>
    <w:p w14:paraId="5F386150" w14:textId="77777777" w:rsidR="00EC6D29" w:rsidRDefault="00EC6D29" w:rsidP="002C2A77">
      <w:pPr>
        <w:spacing w:line="360" w:lineRule="auto"/>
        <w:rPr>
          <w:rFonts w:ascii="Arial" w:hAnsi="Arial" w:cs="Arial"/>
          <w:sz w:val="24"/>
          <w:szCs w:val="24"/>
        </w:rPr>
      </w:pPr>
    </w:p>
    <w:p w14:paraId="67AEB5FF" w14:textId="77777777" w:rsidR="00EC6D29" w:rsidRDefault="00EC6D29" w:rsidP="002C2A77">
      <w:pPr>
        <w:spacing w:line="360" w:lineRule="auto"/>
        <w:rPr>
          <w:rFonts w:ascii="Arial" w:hAnsi="Arial" w:cs="Arial"/>
          <w:sz w:val="24"/>
          <w:szCs w:val="24"/>
        </w:rPr>
      </w:pPr>
    </w:p>
    <w:p w14:paraId="05200A37" w14:textId="77777777" w:rsidR="00EC6D29" w:rsidRDefault="00EC6D29" w:rsidP="002C2A77">
      <w:pPr>
        <w:spacing w:line="360" w:lineRule="auto"/>
        <w:rPr>
          <w:rFonts w:ascii="Arial" w:hAnsi="Arial" w:cs="Arial"/>
          <w:sz w:val="24"/>
          <w:szCs w:val="24"/>
        </w:rPr>
      </w:pPr>
    </w:p>
    <w:p w14:paraId="2E29E249" w14:textId="77777777" w:rsidR="00EC6D29" w:rsidRDefault="00EC6D29" w:rsidP="002C2A77">
      <w:pPr>
        <w:spacing w:line="360" w:lineRule="auto"/>
        <w:rPr>
          <w:rFonts w:ascii="Arial" w:hAnsi="Arial" w:cs="Arial"/>
          <w:sz w:val="24"/>
          <w:szCs w:val="24"/>
        </w:rPr>
      </w:pPr>
    </w:p>
    <w:p w14:paraId="4E3E74B3" w14:textId="77777777" w:rsidR="00304BEA" w:rsidRPr="00721823" w:rsidRDefault="00304BEA" w:rsidP="00304BEA">
      <w:pPr>
        <w:spacing w:line="360" w:lineRule="auto"/>
        <w:rPr>
          <w:rFonts w:ascii="Arial" w:hAnsi="Arial" w:cs="Arial"/>
          <w:sz w:val="24"/>
          <w:szCs w:val="24"/>
        </w:rPr>
      </w:pPr>
      <w:r w:rsidRPr="00721823">
        <w:rPr>
          <w:rFonts w:ascii="Arial" w:hAnsi="Arial" w:cs="Arial"/>
          <w:b/>
          <w:bCs/>
          <w:sz w:val="24"/>
          <w:szCs w:val="24"/>
        </w:rPr>
        <w:t>Table 3: Year-on-Year Changes in Key Indicators (FY24 vs. FY25)</w:t>
      </w:r>
    </w:p>
    <w:tbl>
      <w:tblPr>
        <w:tblStyle w:val="TableGrid"/>
        <w:tblW w:w="0" w:type="auto"/>
        <w:tblLook w:val="04A0" w:firstRow="1" w:lastRow="0" w:firstColumn="1" w:lastColumn="0" w:noHBand="0" w:noVBand="1"/>
      </w:tblPr>
      <w:tblGrid>
        <w:gridCol w:w="2264"/>
        <w:gridCol w:w="1405"/>
        <w:gridCol w:w="1405"/>
        <w:gridCol w:w="1289"/>
        <w:gridCol w:w="2981"/>
      </w:tblGrid>
      <w:tr w:rsidR="00304BEA" w:rsidRPr="00721823" w14:paraId="716B3507" w14:textId="77777777" w:rsidTr="00D57A07">
        <w:tc>
          <w:tcPr>
            <w:tcW w:w="0" w:type="auto"/>
            <w:hideMark/>
          </w:tcPr>
          <w:p w14:paraId="4D0FE519" w14:textId="77777777" w:rsidR="00304BEA" w:rsidRPr="00721823" w:rsidRDefault="00304BEA" w:rsidP="00D57A07">
            <w:pPr>
              <w:spacing w:after="160" w:line="360" w:lineRule="auto"/>
              <w:rPr>
                <w:rFonts w:ascii="Arial" w:hAnsi="Arial" w:cs="Arial"/>
                <w:b/>
                <w:bCs/>
                <w:sz w:val="24"/>
                <w:szCs w:val="24"/>
              </w:rPr>
            </w:pPr>
            <w:r w:rsidRPr="00721823">
              <w:rPr>
                <w:rFonts w:ascii="Arial" w:hAnsi="Arial" w:cs="Arial"/>
                <w:b/>
                <w:bCs/>
                <w:sz w:val="24"/>
                <w:szCs w:val="24"/>
              </w:rPr>
              <w:t>Indicator</w:t>
            </w:r>
          </w:p>
        </w:tc>
        <w:tc>
          <w:tcPr>
            <w:tcW w:w="0" w:type="auto"/>
            <w:hideMark/>
          </w:tcPr>
          <w:p w14:paraId="75D4C366" w14:textId="77777777" w:rsidR="00304BEA" w:rsidRPr="00721823" w:rsidRDefault="00304BEA" w:rsidP="00D57A07">
            <w:pPr>
              <w:spacing w:after="160" w:line="360" w:lineRule="auto"/>
              <w:rPr>
                <w:rFonts w:ascii="Arial" w:hAnsi="Arial" w:cs="Arial"/>
                <w:b/>
                <w:bCs/>
                <w:sz w:val="24"/>
                <w:szCs w:val="24"/>
              </w:rPr>
            </w:pPr>
            <w:r w:rsidRPr="00721823">
              <w:rPr>
                <w:rFonts w:ascii="Arial" w:hAnsi="Arial" w:cs="Arial"/>
                <w:b/>
                <w:bCs/>
                <w:sz w:val="24"/>
                <w:szCs w:val="24"/>
              </w:rPr>
              <w:t>FY24 (£ billion)</w:t>
            </w:r>
          </w:p>
        </w:tc>
        <w:tc>
          <w:tcPr>
            <w:tcW w:w="0" w:type="auto"/>
            <w:hideMark/>
          </w:tcPr>
          <w:p w14:paraId="7E591FA7" w14:textId="77777777" w:rsidR="00304BEA" w:rsidRPr="00721823" w:rsidRDefault="00304BEA" w:rsidP="00D57A07">
            <w:pPr>
              <w:spacing w:after="160" w:line="360" w:lineRule="auto"/>
              <w:rPr>
                <w:rFonts w:ascii="Arial" w:hAnsi="Arial" w:cs="Arial"/>
                <w:b/>
                <w:bCs/>
                <w:sz w:val="24"/>
                <w:szCs w:val="24"/>
              </w:rPr>
            </w:pPr>
            <w:r w:rsidRPr="00721823">
              <w:rPr>
                <w:rFonts w:ascii="Arial" w:hAnsi="Arial" w:cs="Arial"/>
                <w:b/>
                <w:bCs/>
                <w:sz w:val="24"/>
                <w:szCs w:val="24"/>
              </w:rPr>
              <w:t>FY25 (£ billion)</w:t>
            </w:r>
          </w:p>
        </w:tc>
        <w:tc>
          <w:tcPr>
            <w:tcW w:w="0" w:type="auto"/>
            <w:hideMark/>
          </w:tcPr>
          <w:p w14:paraId="3C2056C2" w14:textId="77777777" w:rsidR="00304BEA" w:rsidRPr="00721823" w:rsidRDefault="00304BEA" w:rsidP="00D57A07">
            <w:pPr>
              <w:spacing w:after="160" w:line="360" w:lineRule="auto"/>
              <w:rPr>
                <w:rFonts w:ascii="Arial" w:hAnsi="Arial" w:cs="Arial"/>
                <w:b/>
                <w:bCs/>
                <w:sz w:val="24"/>
                <w:szCs w:val="24"/>
              </w:rPr>
            </w:pPr>
            <w:r w:rsidRPr="00721823">
              <w:rPr>
                <w:rFonts w:ascii="Arial" w:hAnsi="Arial" w:cs="Arial"/>
                <w:b/>
                <w:bCs/>
                <w:sz w:val="24"/>
                <w:szCs w:val="24"/>
              </w:rPr>
              <w:t>Change (%)</w:t>
            </w:r>
          </w:p>
        </w:tc>
        <w:tc>
          <w:tcPr>
            <w:tcW w:w="0" w:type="auto"/>
            <w:hideMark/>
          </w:tcPr>
          <w:p w14:paraId="3FAD2B84" w14:textId="77777777" w:rsidR="00304BEA" w:rsidRPr="00721823" w:rsidRDefault="00304BEA" w:rsidP="00D57A07">
            <w:pPr>
              <w:spacing w:after="160" w:line="360" w:lineRule="auto"/>
              <w:rPr>
                <w:rFonts w:ascii="Arial" w:hAnsi="Arial" w:cs="Arial"/>
                <w:b/>
                <w:bCs/>
                <w:sz w:val="24"/>
                <w:szCs w:val="24"/>
              </w:rPr>
            </w:pPr>
            <w:r w:rsidRPr="00721823">
              <w:rPr>
                <w:rFonts w:ascii="Arial" w:hAnsi="Arial" w:cs="Arial"/>
                <w:b/>
                <w:bCs/>
                <w:sz w:val="24"/>
                <w:szCs w:val="24"/>
              </w:rPr>
              <w:t>Main Factors</w:t>
            </w:r>
          </w:p>
        </w:tc>
      </w:tr>
      <w:tr w:rsidR="00304BEA" w:rsidRPr="00721823" w14:paraId="5C4F4B30" w14:textId="77777777" w:rsidTr="00D57A07">
        <w:tc>
          <w:tcPr>
            <w:tcW w:w="0" w:type="auto"/>
            <w:hideMark/>
          </w:tcPr>
          <w:p w14:paraId="38DE31B9"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Estimated Operating Expenses</w:t>
            </w:r>
          </w:p>
        </w:tc>
        <w:tc>
          <w:tcPr>
            <w:tcW w:w="0" w:type="auto"/>
            <w:hideMark/>
          </w:tcPr>
          <w:p w14:paraId="3F265A80"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~26.0</w:t>
            </w:r>
          </w:p>
        </w:tc>
        <w:tc>
          <w:tcPr>
            <w:tcW w:w="0" w:type="auto"/>
            <w:hideMark/>
          </w:tcPr>
          <w:p w14:paraId="3D6AC79A"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~26.5–27.0</w:t>
            </w:r>
          </w:p>
        </w:tc>
        <w:tc>
          <w:tcPr>
            <w:tcW w:w="0" w:type="auto"/>
            <w:hideMark/>
          </w:tcPr>
          <w:p w14:paraId="44783663"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+2–5</w:t>
            </w:r>
          </w:p>
        </w:tc>
        <w:tc>
          <w:tcPr>
            <w:tcW w:w="0" w:type="auto"/>
            <w:hideMark/>
          </w:tcPr>
          <w:p w14:paraId="52CB4CD4"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EV investments, inflation, ZBB adjustments</w:t>
            </w:r>
          </w:p>
        </w:tc>
      </w:tr>
      <w:tr w:rsidR="00304BEA" w:rsidRPr="00721823" w14:paraId="76D4594D" w14:textId="77777777" w:rsidTr="00D57A07">
        <w:tc>
          <w:tcPr>
            <w:tcW w:w="0" w:type="auto"/>
            <w:hideMark/>
          </w:tcPr>
          <w:p w14:paraId="69045909"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Profit before tax</w:t>
            </w:r>
          </w:p>
        </w:tc>
        <w:tc>
          <w:tcPr>
            <w:tcW w:w="0" w:type="auto"/>
            <w:hideMark/>
          </w:tcPr>
          <w:p w14:paraId="66D89DFC"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2.2</w:t>
            </w:r>
          </w:p>
        </w:tc>
        <w:tc>
          <w:tcPr>
            <w:tcW w:w="0" w:type="auto"/>
            <w:hideMark/>
          </w:tcPr>
          <w:p w14:paraId="1F31C615"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2.5</w:t>
            </w:r>
          </w:p>
        </w:tc>
        <w:tc>
          <w:tcPr>
            <w:tcW w:w="0" w:type="auto"/>
            <w:hideMark/>
          </w:tcPr>
          <w:p w14:paraId="5388DEEE"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+15</w:t>
            </w:r>
          </w:p>
        </w:tc>
        <w:tc>
          <w:tcPr>
            <w:tcW w:w="0" w:type="auto"/>
            <w:hideMark/>
          </w:tcPr>
          <w:p w14:paraId="44DD3F5B"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Cost efficiencies, depreciation reduction</w:t>
            </w:r>
          </w:p>
        </w:tc>
      </w:tr>
      <w:tr w:rsidR="00304BEA" w:rsidRPr="00721823" w14:paraId="2D18E6DB" w14:textId="77777777" w:rsidTr="00D57A07">
        <w:tc>
          <w:tcPr>
            <w:tcW w:w="0" w:type="auto"/>
            <w:hideMark/>
          </w:tcPr>
          <w:p w14:paraId="4B72D79B"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Free Cash Flow</w:t>
            </w:r>
          </w:p>
        </w:tc>
        <w:tc>
          <w:tcPr>
            <w:tcW w:w="0" w:type="auto"/>
            <w:hideMark/>
          </w:tcPr>
          <w:p w14:paraId="0FC6403C"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2.3</w:t>
            </w:r>
          </w:p>
        </w:tc>
        <w:tc>
          <w:tcPr>
            <w:tcW w:w="0" w:type="auto"/>
            <w:hideMark/>
          </w:tcPr>
          <w:p w14:paraId="439AF8FE"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1.5</w:t>
            </w:r>
          </w:p>
        </w:tc>
        <w:tc>
          <w:tcPr>
            <w:tcW w:w="0" w:type="auto"/>
            <w:hideMark/>
          </w:tcPr>
          <w:p w14:paraId="2B4EEEC8"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-35</w:t>
            </w:r>
          </w:p>
        </w:tc>
        <w:tc>
          <w:tcPr>
            <w:tcW w:w="0" w:type="auto"/>
            <w:hideMark/>
          </w:tcPr>
          <w:p w14:paraId="0E2B4594" w14:textId="77777777" w:rsidR="00304BEA" w:rsidRPr="00721823" w:rsidRDefault="00304BEA" w:rsidP="00D57A07">
            <w:pPr>
              <w:spacing w:after="160" w:line="360" w:lineRule="auto"/>
              <w:rPr>
                <w:rFonts w:ascii="Arial" w:hAnsi="Arial" w:cs="Arial"/>
                <w:sz w:val="24"/>
                <w:szCs w:val="24"/>
              </w:rPr>
            </w:pPr>
            <w:r w:rsidRPr="00721823">
              <w:rPr>
                <w:rFonts w:ascii="Arial" w:hAnsi="Arial" w:cs="Arial"/>
                <w:sz w:val="24"/>
                <w:szCs w:val="24"/>
              </w:rPr>
              <w:t>Net cash positive position</w:t>
            </w:r>
          </w:p>
        </w:tc>
      </w:tr>
    </w:tbl>
    <w:p w14:paraId="76027D4F" w14:textId="77777777" w:rsidR="002D2AEC" w:rsidRDefault="002D2AEC" w:rsidP="002C2A77">
      <w:pPr>
        <w:spacing w:line="360" w:lineRule="auto"/>
        <w:rPr>
          <w:rFonts w:ascii="Arial" w:hAnsi="Arial" w:cs="Arial"/>
          <w:sz w:val="24"/>
          <w:szCs w:val="24"/>
        </w:rPr>
      </w:pPr>
    </w:p>
    <w:p w14:paraId="645D9EF6" w14:textId="2203154F" w:rsidR="00DF4284" w:rsidRPr="00852BB4" w:rsidRDefault="00DF749B" w:rsidP="008D3449">
      <w:pPr>
        <w:spacing w:line="360" w:lineRule="auto"/>
        <w:ind w:firstLine="720"/>
        <w:rPr>
          <w:rFonts w:ascii="Arial" w:hAnsi="Arial" w:cs="Arial"/>
          <w:sz w:val="24"/>
          <w:szCs w:val="24"/>
        </w:rPr>
      </w:pPr>
      <w:r w:rsidRPr="00DF749B">
        <w:rPr>
          <w:rFonts w:ascii="Arial" w:hAnsi="Arial" w:cs="Arial"/>
          <w:sz w:val="24"/>
          <w:szCs w:val="24"/>
        </w:rPr>
        <w:t xml:space="preserve">JLR's budgeting is increasingly incorporating sustainability goals, setting aside money for projects that reduce emissions and promote a circular economy, which helps the company stay strong over time </w:t>
      </w:r>
      <w:r w:rsidR="00852BB4" w:rsidRPr="00034CAD">
        <w:rPr>
          <w:rFonts w:ascii="Arial" w:hAnsi="Arial" w:cs="Arial"/>
          <w:sz w:val="24"/>
          <w:szCs w:val="24"/>
        </w:rPr>
        <w:t>(Datar and Rajan, 2014, pp. 400–500 approx.; Porporato, 2016, pp. 389–404).</w:t>
      </w:r>
    </w:p>
    <w:p w14:paraId="171C619E" w14:textId="77777777" w:rsidR="00721823" w:rsidRPr="00721823" w:rsidRDefault="00721823" w:rsidP="008D3449">
      <w:pPr>
        <w:spacing w:line="360" w:lineRule="auto"/>
        <w:ind w:firstLine="720"/>
        <w:rPr>
          <w:rFonts w:ascii="Arial" w:hAnsi="Arial" w:cs="Arial"/>
          <w:b/>
          <w:bCs/>
          <w:sz w:val="24"/>
          <w:szCs w:val="24"/>
        </w:rPr>
      </w:pPr>
      <w:r w:rsidRPr="00721823">
        <w:rPr>
          <w:rFonts w:ascii="Arial" w:hAnsi="Arial" w:cs="Arial"/>
          <w:b/>
          <w:bCs/>
          <w:sz w:val="24"/>
          <w:szCs w:val="24"/>
        </w:rPr>
        <w:t>4. Performance Measurement and Decision-Making</w:t>
      </w:r>
    </w:p>
    <w:p w14:paraId="2C75F6C3" w14:textId="77777777" w:rsidR="008D3449" w:rsidRDefault="00F86ED3" w:rsidP="008D3449">
      <w:pPr>
        <w:spacing w:line="360" w:lineRule="auto"/>
        <w:rPr>
          <w:rFonts w:ascii="Arial" w:hAnsi="Arial" w:cs="Arial"/>
          <w:sz w:val="24"/>
          <w:szCs w:val="24"/>
        </w:rPr>
      </w:pPr>
      <w:r w:rsidRPr="00F86ED3">
        <w:rPr>
          <w:rFonts w:ascii="Arial" w:hAnsi="Arial" w:cs="Arial"/>
          <w:sz w:val="24"/>
          <w:szCs w:val="24"/>
        </w:rPr>
        <w:t>There are five key performance indicators (KPIs) that JLR uses to monitor performance. These KPIs include both financial and non-financial variables.</w:t>
      </w:r>
    </w:p>
    <w:p w14:paraId="79608AAF" w14:textId="77777777" w:rsidR="008D3449" w:rsidRDefault="008D3449" w:rsidP="008D3449">
      <w:pPr>
        <w:spacing w:line="360" w:lineRule="auto"/>
        <w:ind w:firstLine="720"/>
        <w:rPr>
          <w:rFonts w:ascii="Arial" w:hAnsi="Arial" w:cs="Arial"/>
          <w:sz w:val="24"/>
          <w:szCs w:val="24"/>
        </w:rPr>
      </w:pPr>
      <w:r>
        <w:rPr>
          <w:rFonts w:ascii="Arial" w:hAnsi="Arial" w:cs="Arial"/>
          <w:sz w:val="24"/>
          <w:szCs w:val="24"/>
        </w:rPr>
        <w:t xml:space="preserve">1. </w:t>
      </w:r>
      <w:r w:rsidR="00F86ED3" w:rsidRPr="00F86ED3">
        <w:rPr>
          <w:rFonts w:ascii="Arial" w:hAnsi="Arial" w:cs="Arial"/>
          <w:sz w:val="24"/>
          <w:szCs w:val="24"/>
        </w:rPr>
        <w:t>The adjusted EBIT margin is 8.5%, which is the highest it has been in the past ten years and has not changed from the prior year. This demonstrates that the company is operating efficiently.</w:t>
      </w:r>
    </w:p>
    <w:p w14:paraId="0B853B87" w14:textId="77777777" w:rsidR="008D3449" w:rsidRDefault="00F86ED3" w:rsidP="008D3449">
      <w:pPr>
        <w:spacing w:line="360" w:lineRule="auto"/>
        <w:ind w:firstLine="720"/>
        <w:rPr>
          <w:rFonts w:ascii="Arial" w:hAnsi="Arial" w:cs="Arial"/>
          <w:sz w:val="24"/>
          <w:szCs w:val="24"/>
        </w:rPr>
      </w:pPr>
      <w:r w:rsidRPr="00F86ED3">
        <w:rPr>
          <w:rFonts w:ascii="Arial" w:hAnsi="Arial" w:cs="Arial"/>
          <w:sz w:val="24"/>
          <w:szCs w:val="24"/>
        </w:rPr>
        <w:t xml:space="preserve">2. Profit before taxes and other expenses: £2.5 billion, which represents an increase of 15% over the previous year and demonstrates the overall profitability of the </w:t>
      </w:r>
      <w:r>
        <w:rPr>
          <w:rFonts w:ascii="Arial" w:hAnsi="Arial" w:cs="Arial"/>
          <w:sz w:val="24"/>
          <w:szCs w:val="24"/>
        </w:rPr>
        <w:t>organisation</w:t>
      </w:r>
      <w:r w:rsidRPr="00F86ED3">
        <w:rPr>
          <w:rFonts w:ascii="Arial" w:hAnsi="Arial" w:cs="Arial"/>
          <w:sz w:val="24"/>
          <w:szCs w:val="24"/>
        </w:rPr>
        <w:t>.</w:t>
      </w:r>
    </w:p>
    <w:p w14:paraId="76F3F0C8" w14:textId="77777777" w:rsidR="008D3449" w:rsidRDefault="00F86ED3" w:rsidP="008D3449">
      <w:pPr>
        <w:spacing w:line="360" w:lineRule="auto"/>
        <w:ind w:firstLine="720"/>
        <w:rPr>
          <w:rFonts w:ascii="Arial" w:hAnsi="Arial" w:cs="Arial"/>
          <w:sz w:val="24"/>
          <w:szCs w:val="24"/>
        </w:rPr>
      </w:pPr>
      <w:r w:rsidRPr="00F86ED3">
        <w:rPr>
          <w:rFonts w:ascii="Arial" w:hAnsi="Arial" w:cs="Arial"/>
          <w:sz w:val="24"/>
          <w:szCs w:val="24"/>
        </w:rPr>
        <w:t>3. The free cash flow was £1.5 billion, which is the second-best performance in recent years and indicates that there are funds available for investments.</w:t>
      </w:r>
    </w:p>
    <w:p w14:paraId="2BFB245F" w14:textId="77777777" w:rsidR="008D3449" w:rsidRDefault="00F86ED3" w:rsidP="008D3449">
      <w:pPr>
        <w:spacing w:line="360" w:lineRule="auto"/>
        <w:ind w:firstLine="720"/>
        <w:rPr>
          <w:rFonts w:ascii="Arial" w:hAnsi="Arial" w:cs="Arial"/>
          <w:sz w:val="24"/>
          <w:szCs w:val="24"/>
        </w:rPr>
      </w:pPr>
      <w:r w:rsidRPr="00F86ED3">
        <w:rPr>
          <w:rFonts w:ascii="Arial" w:hAnsi="Arial" w:cs="Arial"/>
          <w:sz w:val="24"/>
          <w:szCs w:val="24"/>
        </w:rPr>
        <w:lastRenderedPageBreak/>
        <w:t>4. Retail Sales: 428,854 units, which is a slight decrease from 431,733 units in FY24 and indicates that there is demand from customers.</w:t>
      </w:r>
    </w:p>
    <w:p w14:paraId="6089DCD5" w14:textId="77777777" w:rsidR="008D3449" w:rsidRDefault="00F86ED3" w:rsidP="008D3449">
      <w:pPr>
        <w:spacing w:line="360" w:lineRule="auto"/>
        <w:ind w:firstLine="720"/>
        <w:rPr>
          <w:rFonts w:ascii="Arial" w:hAnsi="Arial" w:cs="Arial"/>
          <w:sz w:val="24"/>
          <w:szCs w:val="24"/>
        </w:rPr>
      </w:pPr>
      <w:r w:rsidRPr="00F86ED3">
        <w:rPr>
          <w:rFonts w:ascii="Arial" w:hAnsi="Arial" w:cs="Arial"/>
          <w:sz w:val="24"/>
          <w:szCs w:val="24"/>
        </w:rPr>
        <w:t xml:space="preserve">5. Reduce the amount of carbon dioxide emissions throughout the whole value chain, </w:t>
      </w:r>
      <w:r>
        <w:rPr>
          <w:rFonts w:ascii="Arial" w:hAnsi="Arial" w:cs="Arial"/>
          <w:sz w:val="24"/>
          <w:szCs w:val="24"/>
        </w:rPr>
        <w:t>to reach</w:t>
      </w:r>
      <w:r w:rsidRPr="00F86ED3">
        <w:rPr>
          <w:rFonts w:ascii="Arial" w:hAnsi="Arial" w:cs="Arial"/>
          <w:sz w:val="24"/>
          <w:szCs w:val="24"/>
        </w:rPr>
        <w:t xml:space="preserve"> net-zero emissions by the year 2039 (which is approximately twenty percent below the baseline), in accordance with the sustainability goals (Jaguar Land Rover, 2025a; IFAC, 2023).</w:t>
      </w:r>
    </w:p>
    <w:p w14:paraId="7400270C" w14:textId="17FC2541" w:rsidR="00214E79" w:rsidRPr="00F86ED3" w:rsidRDefault="00852BB4" w:rsidP="008D3449">
      <w:pPr>
        <w:spacing w:line="360" w:lineRule="auto"/>
        <w:ind w:firstLine="720"/>
        <w:rPr>
          <w:rFonts w:ascii="Arial" w:hAnsi="Arial" w:cs="Arial"/>
          <w:sz w:val="24"/>
          <w:szCs w:val="24"/>
        </w:rPr>
      </w:pPr>
      <w:r w:rsidRPr="00034CAD">
        <w:rPr>
          <w:rFonts w:ascii="Arial" w:hAnsi="Arial" w:cs="Arial"/>
          <w:sz w:val="24"/>
          <w:szCs w:val="24"/>
        </w:rPr>
        <w:t>According to Kaplan and Norton (1996, pp. 71–79),</w:t>
      </w:r>
      <w:r w:rsidRPr="00034CAD">
        <w:t xml:space="preserve"> </w:t>
      </w:r>
      <w:r w:rsidR="00F86ED3" w:rsidRPr="00F86ED3">
        <w:rPr>
          <w:rFonts w:ascii="Arial" w:hAnsi="Arial" w:cs="Arial"/>
          <w:sz w:val="24"/>
          <w:szCs w:val="24"/>
        </w:rPr>
        <w:t xml:space="preserve">these key performance indicators (KPIs) provide a balanced scorecard, which enables the evaluation of performance from a variety of perspectives. The expedited electrification (an investment of £3.8 billion in FY25), the systematic discontinuation of legacy Jaguar models </w:t>
      </w:r>
      <w:r w:rsidR="00F86ED3">
        <w:rPr>
          <w:rFonts w:ascii="Arial" w:hAnsi="Arial" w:cs="Arial"/>
          <w:sz w:val="24"/>
          <w:szCs w:val="24"/>
        </w:rPr>
        <w:t>to</w:t>
      </w:r>
      <w:r w:rsidR="00F86ED3" w:rsidRPr="00F86ED3">
        <w:rPr>
          <w:rFonts w:ascii="Arial" w:hAnsi="Arial" w:cs="Arial"/>
          <w:sz w:val="24"/>
          <w:szCs w:val="24"/>
        </w:rPr>
        <w:t xml:space="preserve"> reduce fixed costs, the emphasis on high-margin production (Defender, Range Rover Sport), pricing modifications informed by CVP analysis and market data </w:t>
      </w:r>
      <w:r w:rsidR="00F86ED3">
        <w:rPr>
          <w:rFonts w:ascii="Arial" w:hAnsi="Arial" w:cs="Arial"/>
          <w:sz w:val="24"/>
          <w:szCs w:val="24"/>
        </w:rPr>
        <w:t>to</w:t>
      </w:r>
      <w:r w:rsidR="00F86ED3" w:rsidRPr="00F86ED3">
        <w:rPr>
          <w:rFonts w:ascii="Arial" w:hAnsi="Arial" w:cs="Arial"/>
          <w:sz w:val="24"/>
          <w:szCs w:val="24"/>
        </w:rPr>
        <w:t xml:space="preserve"> maintain premium margins in the face of inflation, and partnerships for the procurement of batteries and sustainable aluminium are all examples of strategic decisions that have been significantly influenced by financial and non-financial data. The steps taken here point to a shift away from a strategy that is orientated on volume and towards one that is centred on quality and sustainability. </w:t>
      </w:r>
      <w:r w:rsidR="00290FC4" w:rsidRPr="00034CAD">
        <w:rPr>
          <w:rFonts w:ascii="Arial" w:hAnsi="Arial" w:cs="Arial"/>
          <w:sz w:val="24"/>
          <w:szCs w:val="24"/>
        </w:rPr>
        <w:t>Mills (2023) and Tayles and Drury (1997, pp. 43–55)</w:t>
      </w:r>
      <w:r w:rsidR="00290FC4">
        <w:t xml:space="preserve"> </w:t>
      </w:r>
      <w:r w:rsidR="00F86ED3">
        <w:rPr>
          <w:rFonts w:ascii="Arial" w:hAnsi="Arial" w:cs="Arial"/>
          <w:sz w:val="24"/>
          <w:szCs w:val="24"/>
        </w:rPr>
        <w:t>researched</w:t>
      </w:r>
      <w:r w:rsidR="00F86ED3" w:rsidRPr="00F86ED3">
        <w:rPr>
          <w:rFonts w:ascii="Arial" w:hAnsi="Arial" w:cs="Arial"/>
          <w:sz w:val="24"/>
          <w:szCs w:val="24"/>
        </w:rPr>
        <w:t xml:space="preserve"> alternative solutions, one of which was the diversification of supply chains, in relation to the examination of macroeconomic risks.</w:t>
      </w:r>
    </w:p>
    <w:p w14:paraId="439ED464" w14:textId="77777777" w:rsidR="00721823" w:rsidRPr="00721823" w:rsidRDefault="00721823" w:rsidP="008D3449">
      <w:pPr>
        <w:spacing w:line="360" w:lineRule="auto"/>
        <w:ind w:firstLine="720"/>
        <w:rPr>
          <w:rFonts w:ascii="Arial" w:hAnsi="Arial" w:cs="Arial"/>
          <w:b/>
          <w:bCs/>
          <w:sz w:val="24"/>
          <w:szCs w:val="24"/>
        </w:rPr>
      </w:pPr>
      <w:r w:rsidRPr="00721823">
        <w:rPr>
          <w:rFonts w:ascii="Arial" w:hAnsi="Arial" w:cs="Arial"/>
          <w:b/>
          <w:bCs/>
          <w:sz w:val="24"/>
          <w:szCs w:val="24"/>
        </w:rPr>
        <w:t>5. Sustainability and Ethical Considerations</w:t>
      </w:r>
    </w:p>
    <w:p w14:paraId="3C232CFB" w14:textId="77777777" w:rsidR="00C47094" w:rsidRDefault="00F86ED3" w:rsidP="008D3449">
      <w:pPr>
        <w:spacing w:line="360" w:lineRule="auto"/>
        <w:ind w:firstLine="720"/>
        <w:rPr>
          <w:rFonts w:ascii="Arial" w:hAnsi="Arial" w:cs="Arial"/>
          <w:sz w:val="24"/>
          <w:szCs w:val="24"/>
        </w:rPr>
      </w:pPr>
      <w:r w:rsidRPr="00F86ED3">
        <w:rPr>
          <w:rFonts w:ascii="Arial" w:hAnsi="Arial" w:cs="Arial"/>
          <w:sz w:val="24"/>
          <w:szCs w:val="24"/>
        </w:rPr>
        <w:t xml:space="preserve">Under the Planet Regenerate initiative, a component of Reimagine, JLR incorporates sustainability into its financial decision-making processes. The objective is to achieve net-zero carbon throughout the entire value chain (operations, supply chain, vehicles) by 2039. Management accounting employs life-cycle costing (LCC) to ascertain the total cost of manufacturing electric vehicles, considering factors </w:t>
      </w:r>
      <w:r>
        <w:rPr>
          <w:rFonts w:ascii="Arial" w:hAnsi="Arial" w:cs="Arial"/>
          <w:sz w:val="24"/>
          <w:szCs w:val="24"/>
        </w:rPr>
        <w:t>such</w:t>
      </w:r>
      <w:r w:rsidRPr="00F86ED3">
        <w:rPr>
          <w:rFonts w:ascii="Arial" w:hAnsi="Arial" w:cs="Arial"/>
          <w:sz w:val="24"/>
          <w:szCs w:val="24"/>
        </w:rPr>
        <w:t xml:space="preserve"> as emissions and recycling. Investments in recovered aluminium, circular economy initiatives, and low-emission suppliers are evaluated using specific KPIs (Scope 1, 2, and 3 emissions reduction), influencing budget distribution and investment decisions (for instance, a £15 billion shift to electric-first by 2025). Notable progress includes a decrease exceeding 20% in absolute emissions from the baseline, along with the integration of sustainability protocols into digital systems for pre-launch KPI forecasting (Jaguar Land Rover, 2025a; Jaguar Land Rover, 2025d; IFAC, 2023).</w:t>
      </w:r>
    </w:p>
    <w:p w14:paraId="635E08FE" w14:textId="77777777" w:rsidR="00F217EF" w:rsidRPr="00F217EF" w:rsidRDefault="00F217EF" w:rsidP="00F217EF">
      <w:pPr>
        <w:spacing w:line="360" w:lineRule="auto"/>
        <w:ind w:firstLine="720"/>
        <w:rPr>
          <w:rFonts w:ascii="Arial" w:hAnsi="Arial" w:cs="Arial"/>
          <w:sz w:val="24"/>
          <w:szCs w:val="24"/>
        </w:rPr>
      </w:pPr>
      <w:r w:rsidRPr="00F217EF">
        <w:rPr>
          <w:rFonts w:ascii="Arial" w:hAnsi="Arial" w:cs="Arial"/>
          <w:sz w:val="24"/>
          <w:szCs w:val="24"/>
        </w:rPr>
        <w:lastRenderedPageBreak/>
        <w:t>From an ethical perspective, JLR enforces a rigorous Code of Conduct that prohibits corruption, forced labour, and practices detrimental to competition within the supply chain. Premium pricing remains equitable and does not exploit consumers, while cost reductions are implemented responsibly, such as enhancing logistics efficiency without compromising safety or environmental standards. Elevated battery expenses and the transition to electric vehicles present significant challenges that can be addressed by harmonising profitability with social and corporate responsibility, in accordance with international standards (UN, GRI, TCFD). Transparency in sustainability reporting and independent audits bolster ethical credibility (Atrill and McLaney, 2021, pp. 308–320; Gulshan, 2024, pp. 6–8; Purwohedi, 2023, pp. 31–40).</w:t>
      </w:r>
    </w:p>
    <w:p w14:paraId="5AA2869F" w14:textId="54914056" w:rsidR="00F86ED3" w:rsidRPr="00BA6BF2" w:rsidRDefault="00F86ED3" w:rsidP="008D3449">
      <w:pPr>
        <w:spacing w:line="360" w:lineRule="auto"/>
        <w:ind w:firstLine="720"/>
        <w:rPr>
          <w:rFonts w:ascii="Arial" w:hAnsi="Arial" w:cs="Arial"/>
          <w:sz w:val="24"/>
          <w:szCs w:val="24"/>
        </w:rPr>
      </w:pPr>
    </w:p>
    <w:p w14:paraId="2FE8A50A" w14:textId="77777777" w:rsidR="00721823" w:rsidRPr="00721823" w:rsidRDefault="00721823" w:rsidP="00C47094">
      <w:pPr>
        <w:spacing w:line="360" w:lineRule="auto"/>
        <w:ind w:firstLine="720"/>
        <w:rPr>
          <w:rFonts w:ascii="Arial" w:hAnsi="Arial" w:cs="Arial"/>
          <w:b/>
          <w:bCs/>
          <w:sz w:val="24"/>
          <w:szCs w:val="24"/>
        </w:rPr>
      </w:pPr>
      <w:r w:rsidRPr="00721823">
        <w:rPr>
          <w:rFonts w:ascii="Arial" w:hAnsi="Arial" w:cs="Arial"/>
          <w:b/>
          <w:bCs/>
          <w:sz w:val="24"/>
          <w:szCs w:val="24"/>
        </w:rPr>
        <w:t>6. Conclusion and Recommendations</w:t>
      </w:r>
    </w:p>
    <w:p w14:paraId="3BEB2A3C" w14:textId="2F26D5DE" w:rsidR="00214E79" w:rsidRPr="00DF749B" w:rsidRDefault="00F86ED3" w:rsidP="00C47094">
      <w:pPr>
        <w:spacing w:line="360" w:lineRule="auto"/>
        <w:ind w:firstLine="720"/>
        <w:rPr>
          <w:rFonts w:ascii="Arial" w:hAnsi="Arial" w:cs="Arial"/>
          <w:sz w:val="24"/>
          <w:szCs w:val="24"/>
        </w:rPr>
      </w:pPr>
      <w:r w:rsidRPr="00F86ED3">
        <w:rPr>
          <w:rFonts w:ascii="Arial" w:hAnsi="Arial" w:cs="Arial"/>
          <w:sz w:val="24"/>
          <w:szCs w:val="24"/>
        </w:rPr>
        <w:t>The research indicates that Jaguar Land Rover employs management accounting methods such as CVP, ABC, ZBB, and the balanced scorecard to manage complex costs, plan significant expenditures, and evaluate performance as the company transitions towards electrification and sustainability. The FY25 results, featuring a record profit of £2.5 billion and a stable EBIT margin, underscore the significance of these measures for maintaining resilience and profitability under stagnant sales and elevated external challenges. Incorporating sustainability and ethics into financial decisions enhances long-term strategic positioning.</w:t>
      </w:r>
    </w:p>
    <w:p w14:paraId="0B285415" w14:textId="77777777" w:rsidR="00721823" w:rsidRPr="00EA1AFE" w:rsidRDefault="00721823" w:rsidP="002C2A77">
      <w:pPr>
        <w:spacing w:line="360" w:lineRule="auto"/>
        <w:rPr>
          <w:rFonts w:ascii="Arial" w:hAnsi="Arial" w:cs="Arial"/>
          <w:sz w:val="24"/>
          <w:szCs w:val="24"/>
        </w:rPr>
      </w:pPr>
      <w:r w:rsidRPr="00721823">
        <w:rPr>
          <w:rFonts w:ascii="Arial" w:hAnsi="Arial" w:cs="Arial"/>
          <w:b/>
          <w:bCs/>
          <w:sz w:val="24"/>
          <w:szCs w:val="24"/>
        </w:rPr>
        <w:t xml:space="preserve">Recommendations based on management </w:t>
      </w:r>
      <w:r w:rsidRPr="00EA1AFE">
        <w:rPr>
          <w:rFonts w:ascii="Arial" w:hAnsi="Arial" w:cs="Arial"/>
          <w:b/>
          <w:bCs/>
          <w:sz w:val="24"/>
          <w:szCs w:val="24"/>
        </w:rPr>
        <w:t xml:space="preserve">accounting </w:t>
      </w:r>
      <w:r w:rsidRPr="00EA1AFE">
        <w:rPr>
          <w:rStyle w:val="Heading1Char"/>
          <w:rFonts w:ascii="Arial" w:hAnsi="Arial" w:cs="Arial"/>
          <w:b/>
          <w:bCs/>
          <w:color w:val="000000" w:themeColor="text1"/>
          <w:sz w:val="24"/>
          <w:szCs w:val="24"/>
        </w:rPr>
        <w:t>principles</w:t>
      </w:r>
      <w:r w:rsidRPr="00EA1AFE">
        <w:rPr>
          <w:rFonts w:ascii="Arial" w:hAnsi="Arial" w:cs="Arial"/>
          <w:b/>
          <w:bCs/>
          <w:color w:val="000000" w:themeColor="text1"/>
          <w:sz w:val="24"/>
          <w:szCs w:val="24"/>
        </w:rPr>
        <w:t>:</w:t>
      </w:r>
    </w:p>
    <w:p w14:paraId="6F912A64" w14:textId="7DC4A50C" w:rsidR="00DF4284" w:rsidRDefault="00F86ED3" w:rsidP="00EC6D29">
      <w:pPr>
        <w:pStyle w:val="ListParagraph"/>
        <w:numPr>
          <w:ilvl w:val="0"/>
          <w:numId w:val="4"/>
        </w:numPr>
        <w:spacing w:line="360" w:lineRule="auto"/>
        <w:rPr>
          <w:rFonts w:ascii="Arial" w:eastAsia="Times New Roman" w:hAnsi="Arial" w:cs="Arial"/>
          <w:kern w:val="0"/>
          <w:sz w:val="24"/>
          <w:szCs w:val="24"/>
          <w:lang w:eastAsia="en-GB"/>
          <w14:ligatures w14:val="none"/>
        </w:rPr>
      </w:pPr>
      <w:r w:rsidRPr="00214E79">
        <w:rPr>
          <w:rFonts w:ascii="Arial" w:eastAsia="Times New Roman" w:hAnsi="Arial" w:cs="Arial"/>
          <w:kern w:val="0"/>
          <w:sz w:val="24"/>
          <w:szCs w:val="24"/>
          <w:lang w:eastAsia="en-GB"/>
          <w14:ligatures w14:val="none"/>
        </w:rPr>
        <w:t xml:space="preserve">Sophisticated application of activity-based costing to precisely allocate indirect costs in the production of electric vehicles and batteries. </w:t>
      </w:r>
      <w:r w:rsidRPr="00214E79">
        <w:rPr>
          <w:rFonts w:ascii="Arial" w:eastAsia="Times New Roman" w:hAnsi="Arial" w:cs="Arial"/>
          <w:kern w:val="0"/>
          <w:sz w:val="24"/>
          <w:szCs w:val="24"/>
          <w:lang w:eastAsia="en-GB"/>
          <w14:ligatures w14:val="none"/>
        </w:rPr>
        <w:br/>
        <w:t xml:space="preserve">2. Employing artificial intelligence and dynamic forecasting in the budgeting process to enable rapid adjustments to economic fluctuations, including tariffs and raw material costs. </w:t>
      </w:r>
      <w:r w:rsidRPr="00214E79">
        <w:rPr>
          <w:rFonts w:ascii="Arial" w:eastAsia="Times New Roman" w:hAnsi="Arial" w:cs="Arial"/>
          <w:kern w:val="0"/>
          <w:sz w:val="24"/>
          <w:szCs w:val="24"/>
          <w:lang w:eastAsia="en-GB"/>
          <w14:ligatures w14:val="none"/>
        </w:rPr>
        <w:br/>
        <w:t>3. Assigning greater significance to non-financial KPIs (such as emission reduction, biodiversity preservation, and supplier satisfaction) in performance evaluations and incentive structures for management.</w:t>
      </w:r>
    </w:p>
    <w:p w14:paraId="77957C45" w14:textId="77777777" w:rsidR="00EC6D29" w:rsidRDefault="00EC6D29" w:rsidP="00EC6D29">
      <w:pPr>
        <w:spacing w:line="360" w:lineRule="auto"/>
        <w:rPr>
          <w:rFonts w:ascii="Arial" w:eastAsia="Times New Roman" w:hAnsi="Arial" w:cs="Arial"/>
          <w:kern w:val="0"/>
          <w:sz w:val="24"/>
          <w:szCs w:val="24"/>
          <w:lang w:eastAsia="en-GB"/>
          <w14:ligatures w14:val="none"/>
        </w:rPr>
      </w:pPr>
    </w:p>
    <w:p w14:paraId="2F83E02F" w14:textId="77777777" w:rsidR="00EC6D29" w:rsidRDefault="00EC6D29" w:rsidP="00EC6D29">
      <w:pPr>
        <w:spacing w:line="360" w:lineRule="auto"/>
        <w:rPr>
          <w:rFonts w:ascii="Arial" w:eastAsia="Times New Roman" w:hAnsi="Arial" w:cs="Arial"/>
          <w:kern w:val="0"/>
          <w:sz w:val="24"/>
          <w:szCs w:val="24"/>
          <w:lang w:eastAsia="en-GB"/>
          <w14:ligatures w14:val="none"/>
        </w:rPr>
      </w:pPr>
    </w:p>
    <w:p w14:paraId="198A0A16" w14:textId="77777777" w:rsidR="00F217EF" w:rsidRPr="00EC6D29" w:rsidRDefault="00F217EF" w:rsidP="00EC6D29">
      <w:pPr>
        <w:spacing w:line="360" w:lineRule="auto"/>
        <w:rPr>
          <w:rFonts w:ascii="Arial" w:eastAsia="Times New Roman" w:hAnsi="Arial" w:cs="Arial"/>
          <w:kern w:val="0"/>
          <w:sz w:val="24"/>
          <w:szCs w:val="24"/>
          <w:lang w:eastAsia="en-GB"/>
          <w14:ligatures w14:val="none"/>
        </w:rPr>
      </w:pPr>
    </w:p>
    <w:p w14:paraId="38136EA8" w14:textId="7FE782C8" w:rsidR="00721823" w:rsidRPr="00721823" w:rsidRDefault="00721823" w:rsidP="00214E79">
      <w:pPr>
        <w:spacing w:line="240" w:lineRule="auto"/>
        <w:rPr>
          <w:rFonts w:ascii="Arial" w:hAnsi="Arial" w:cs="Arial"/>
          <w:sz w:val="24"/>
          <w:szCs w:val="24"/>
        </w:rPr>
      </w:pPr>
      <w:r w:rsidRPr="002F55AF">
        <w:rPr>
          <w:rFonts w:ascii="Arial" w:hAnsi="Arial" w:cs="Arial"/>
          <w:b/>
          <w:bCs/>
          <w:sz w:val="24"/>
          <w:szCs w:val="24"/>
        </w:rPr>
        <w:lastRenderedPageBreak/>
        <w:t>List of all abbreviations</w:t>
      </w:r>
      <w:r w:rsidRPr="00721823">
        <w:rPr>
          <w:rFonts w:ascii="Arial" w:hAnsi="Arial" w:cs="Arial"/>
          <w:sz w:val="24"/>
          <w:szCs w:val="24"/>
        </w:rPr>
        <w:t xml:space="preserve"> (in alphabetical order):</w:t>
      </w:r>
    </w:p>
    <w:p w14:paraId="5C88F8D3" w14:textId="2E0206DA"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ABC</w:t>
      </w:r>
      <w:r w:rsidRPr="00721823">
        <w:rPr>
          <w:rFonts w:ascii="Arial" w:hAnsi="Arial" w:cs="Arial"/>
          <w:sz w:val="24"/>
          <w:szCs w:val="24"/>
        </w:rPr>
        <w:t xml:space="preserve"> – Activity-Based Costing</w:t>
      </w:r>
      <w:r w:rsidRPr="002C2A77">
        <w:rPr>
          <w:rFonts w:ascii="Arial" w:hAnsi="Arial" w:cs="Arial"/>
          <w:sz w:val="24"/>
          <w:szCs w:val="24"/>
        </w:rPr>
        <w:t>:</w:t>
      </w:r>
      <w:r w:rsidRPr="00721823">
        <w:rPr>
          <w:rFonts w:ascii="Arial" w:hAnsi="Arial" w:cs="Arial"/>
          <w:sz w:val="24"/>
          <w:szCs w:val="24"/>
        </w:rPr>
        <w:t xml:space="preserve"> A method of allocating indirect costs to products/services based on actual cost drivers (e.g., number of operations, complexity).</w:t>
      </w:r>
    </w:p>
    <w:p w14:paraId="0DBE8FAC"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ADAS</w:t>
      </w:r>
      <w:r w:rsidRPr="00721823">
        <w:rPr>
          <w:rFonts w:ascii="Arial" w:hAnsi="Arial" w:cs="Arial"/>
          <w:sz w:val="24"/>
          <w:szCs w:val="24"/>
        </w:rPr>
        <w:t xml:space="preserve"> – Advanced Driver Assistance Systems Technologies such as automatic emergency braking, lane-keeping assist, traffic sign recognition, etc.</w:t>
      </w:r>
    </w:p>
    <w:p w14:paraId="629A64DE"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CVP</w:t>
      </w:r>
      <w:r w:rsidRPr="00721823">
        <w:rPr>
          <w:rFonts w:ascii="Arial" w:hAnsi="Arial" w:cs="Arial"/>
          <w:sz w:val="24"/>
          <w:szCs w:val="24"/>
        </w:rPr>
        <w:t xml:space="preserve"> – Cost-Volume-Profit Analysis that examines the relationship between costs, sales volume, and profit; used to calculate break-even point and scenario simulations.</w:t>
      </w:r>
    </w:p>
    <w:p w14:paraId="581C7901"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ESG</w:t>
      </w:r>
      <w:r w:rsidRPr="00721823">
        <w:rPr>
          <w:rFonts w:ascii="Arial" w:hAnsi="Arial" w:cs="Arial"/>
          <w:sz w:val="24"/>
          <w:szCs w:val="24"/>
        </w:rPr>
        <w:t xml:space="preserve"> – Environmental, Social and Governance Framework for evaluating a company's non-financial performance (sustainability, social responsibility, corporate governance).</w:t>
      </w:r>
    </w:p>
    <w:p w14:paraId="575B0BD4" w14:textId="6D100EA3"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EV</w:t>
      </w:r>
      <w:r w:rsidRPr="00721823">
        <w:rPr>
          <w:rFonts w:ascii="Arial" w:hAnsi="Arial" w:cs="Arial"/>
          <w:sz w:val="24"/>
          <w:szCs w:val="24"/>
        </w:rPr>
        <w:t xml:space="preserve"> – Electric Vehicle</w:t>
      </w:r>
      <w:r w:rsidRPr="002C2A77">
        <w:rPr>
          <w:rFonts w:ascii="Arial" w:hAnsi="Arial" w:cs="Arial"/>
          <w:sz w:val="24"/>
          <w:szCs w:val="24"/>
        </w:rPr>
        <w:t>:</w:t>
      </w:r>
      <w:r w:rsidRPr="00721823">
        <w:rPr>
          <w:rFonts w:ascii="Arial" w:hAnsi="Arial" w:cs="Arial"/>
          <w:sz w:val="24"/>
          <w:szCs w:val="24"/>
        </w:rPr>
        <w:t xml:space="preserve"> Fully battery-powered vehicle (no internal combustion engine).</w:t>
      </w:r>
    </w:p>
    <w:p w14:paraId="5AE1B681"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FY</w:t>
      </w:r>
      <w:r w:rsidRPr="00721823">
        <w:rPr>
          <w:rFonts w:ascii="Arial" w:hAnsi="Arial" w:cs="Arial"/>
          <w:sz w:val="24"/>
          <w:szCs w:val="24"/>
        </w:rPr>
        <w:t xml:space="preserve"> – Fiscal Year The company's accounting period; for JLR: April – March (e.g., FY25 = 1 April 2024 – 31 March 2025).</w:t>
      </w:r>
    </w:p>
    <w:p w14:paraId="202361AF" w14:textId="1C0E6AD8"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GRI</w:t>
      </w:r>
      <w:r w:rsidRPr="00721823">
        <w:rPr>
          <w:rFonts w:ascii="Arial" w:hAnsi="Arial" w:cs="Arial"/>
          <w:sz w:val="24"/>
          <w:szCs w:val="24"/>
        </w:rPr>
        <w:t xml:space="preserve"> – Global Reporting Initiative</w:t>
      </w:r>
      <w:r w:rsidRPr="002C2A77">
        <w:rPr>
          <w:rFonts w:ascii="Arial" w:hAnsi="Arial" w:cs="Arial"/>
          <w:sz w:val="24"/>
          <w:szCs w:val="24"/>
        </w:rPr>
        <w:t>:</w:t>
      </w:r>
      <w:r w:rsidRPr="00721823">
        <w:rPr>
          <w:rFonts w:ascii="Arial" w:hAnsi="Arial" w:cs="Arial"/>
          <w:sz w:val="24"/>
          <w:szCs w:val="24"/>
        </w:rPr>
        <w:t xml:space="preserve"> International standard for sustainability and non-financial impact reporting.</w:t>
      </w:r>
    </w:p>
    <w:p w14:paraId="086742DB" w14:textId="70259C09"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ICE</w:t>
      </w:r>
      <w:r w:rsidRPr="00721823">
        <w:rPr>
          <w:rFonts w:ascii="Arial" w:hAnsi="Arial" w:cs="Arial"/>
          <w:sz w:val="24"/>
          <w:szCs w:val="24"/>
        </w:rPr>
        <w:t xml:space="preserve"> – Internal Combustion Engine</w:t>
      </w:r>
      <w:r w:rsidRPr="002C2A77">
        <w:rPr>
          <w:rFonts w:ascii="Arial" w:hAnsi="Arial" w:cs="Arial"/>
          <w:sz w:val="24"/>
          <w:szCs w:val="24"/>
        </w:rPr>
        <w:t>:</w:t>
      </w:r>
      <w:r w:rsidRPr="00721823">
        <w:rPr>
          <w:rFonts w:ascii="Arial" w:hAnsi="Arial" w:cs="Arial"/>
          <w:sz w:val="24"/>
          <w:szCs w:val="24"/>
        </w:rPr>
        <w:t xml:space="preserve"> Traditional petrol/diesel-powered vehicles.</w:t>
      </w:r>
    </w:p>
    <w:p w14:paraId="7C7C7B96" w14:textId="25239F30"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KPI</w:t>
      </w:r>
      <w:r w:rsidRPr="00721823">
        <w:rPr>
          <w:rFonts w:ascii="Arial" w:hAnsi="Arial" w:cs="Arial"/>
          <w:sz w:val="24"/>
          <w:szCs w:val="24"/>
        </w:rPr>
        <w:t xml:space="preserve"> – Key Performance Indicator</w:t>
      </w:r>
      <w:r w:rsidRPr="002C2A77">
        <w:rPr>
          <w:rFonts w:ascii="Arial" w:hAnsi="Arial" w:cs="Arial"/>
          <w:sz w:val="24"/>
          <w:szCs w:val="24"/>
        </w:rPr>
        <w:t>:</w:t>
      </w:r>
      <w:r w:rsidRPr="00721823">
        <w:rPr>
          <w:rFonts w:ascii="Arial" w:hAnsi="Arial" w:cs="Arial"/>
          <w:sz w:val="24"/>
          <w:szCs w:val="24"/>
        </w:rPr>
        <w:t xml:space="preserve"> Quantifiable metrics used to evaluate success in achieving objectives.</w:t>
      </w:r>
    </w:p>
    <w:p w14:paraId="4E9E13E4"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LCC</w:t>
      </w:r>
      <w:r w:rsidRPr="00721823">
        <w:rPr>
          <w:rFonts w:ascii="Arial" w:hAnsi="Arial" w:cs="Arial"/>
          <w:sz w:val="24"/>
          <w:szCs w:val="24"/>
        </w:rPr>
        <w:t xml:space="preserve"> – Life-Cycle Costing Method of assessing all costs associated with a product over its entire life (production, use, maintenance, recycling).</w:t>
      </w:r>
    </w:p>
    <w:p w14:paraId="216DE8F9" w14:textId="1C7D13F0"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PHEV</w:t>
      </w:r>
      <w:r w:rsidRPr="00721823">
        <w:rPr>
          <w:rFonts w:ascii="Arial" w:hAnsi="Arial" w:cs="Arial"/>
          <w:sz w:val="24"/>
          <w:szCs w:val="24"/>
        </w:rPr>
        <w:t xml:space="preserve"> – Plug-in Hybrid Electric Vehicle</w:t>
      </w:r>
      <w:r w:rsidRPr="002C2A77">
        <w:rPr>
          <w:rFonts w:ascii="Arial" w:hAnsi="Arial" w:cs="Arial"/>
          <w:sz w:val="24"/>
          <w:szCs w:val="24"/>
        </w:rPr>
        <w:t>:</w:t>
      </w:r>
      <w:r w:rsidRPr="00721823">
        <w:rPr>
          <w:rFonts w:ascii="Arial" w:hAnsi="Arial" w:cs="Arial"/>
          <w:sz w:val="24"/>
          <w:szCs w:val="24"/>
        </w:rPr>
        <w:t xml:space="preserve"> Hybrid vehicle with an internal combustion engine + rechargeable battery that allows electric-only driving for medium distances.</w:t>
      </w:r>
    </w:p>
    <w:p w14:paraId="108F5574"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R&amp;D</w:t>
      </w:r>
      <w:r w:rsidRPr="00721823">
        <w:rPr>
          <w:rFonts w:ascii="Arial" w:hAnsi="Arial" w:cs="Arial"/>
          <w:sz w:val="24"/>
          <w:szCs w:val="24"/>
        </w:rPr>
        <w:t xml:space="preserve"> – Research and Development Activities related to innovation, design, and testing of new products/technologies.</w:t>
      </w:r>
    </w:p>
    <w:p w14:paraId="65CDF112"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TCFD</w:t>
      </w:r>
      <w:r w:rsidRPr="00721823">
        <w:rPr>
          <w:rFonts w:ascii="Arial" w:hAnsi="Arial" w:cs="Arial"/>
          <w:sz w:val="24"/>
          <w:szCs w:val="24"/>
        </w:rPr>
        <w:t xml:space="preserve"> – Task Force on Climate-related Financial Disclosures Framework for disclosing climate-related financial risks and opportunities in financial reports.</w:t>
      </w:r>
    </w:p>
    <w:p w14:paraId="28A626A4"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VME</w:t>
      </w:r>
      <w:r w:rsidRPr="00721823">
        <w:rPr>
          <w:rFonts w:ascii="Arial" w:hAnsi="Arial" w:cs="Arial"/>
          <w:sz w:val="24"/>
          <w:szCs w:val="24"/>
        </w:rPr>
        <w:t xml:space="preserve"> – Variable Marketing Expense Promotion costs that vary with sales volume (advertising, discounts, campaigns).</w:t>
      </w:r>
    </w:p>
    <w:p w14:paraId="09253906" w14:textId="77777777" w:rsidR="00721823" w:rsidRPr="00721823"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YoY</w:t>
      </w:r>
      <w:r w:rsidRPr="00721823">
        <w:rPr>
          <w:rFonts w:ascii="Arial" w:hAnsi="Arial" w:cs="Arial"/>
          <w:sz w:val="24"/>
          <w:szCs w:val="24"/>
        </w:rPr>
        <w:t xml:space="preserve"> – Year-on-Year Comparison of an indicator with the same period in the previous year.</w:t>
      </w:r>
    </w:p>
    <w:p w14:paraId="4E045E19" w14:textId="46FF3F04" w:rsidR="00EC6D29" w:rsidRDefault="00721823" w:rsidP="00EC6D29">
      <w:pPr>
        <w:numPr>
          <w:ilvl w:val="0"/>
          <w:numId w:val="3"/>
        </w:numPr>
        <w:spacing w:after="80" w:line="240" w:lineRule="auto"/>
        <w:ind w:left="714" w:hanging="357"/>
        <w:rPr>
          <w:rFonts w:ascii="Arial" w:hAnsi="Arial" w:cs="Arial"/>
          <w:sz w:val="24"/>
          <w:szCs w:val="24"/>
        </w:rPr>
      </w:pPr>
      <w:r w:rsidRPr="00721823">
        <w:rPr>
          <w:rFonts w:ascii="Arial" w:hAnsi="Arial" w:cs="Arial"/>
          <w:b/>
          <w:bCs/>
          <w:sz w:val="24"/>
          <w:szCs w:val="24"/>
        </w:rPr>
        <w:t>ZBB</w:t>
      </w:r>
      <w:r w:rsidRPr="00721823">
        <w:rPr>
          <w:rFonts w:ascii="Arial" w:hAnsi="Arial" w:cs="Arial"/>
          <w:sz w:val="24"/>
          <w:szCs w:val="24"/>
        </w:rPr>
        <w:t xml:space="preserve"> – Zero-Based Budgeting</w:t>
      </w:r>
      <w:r w:rsidRPr="002C2A77">
        <w:rPr>
          <w:rFonts w:ascii="Arial" w:hAnsi="Arial" w:cs="Arial"/>
          <w:sz w:val="24"/>
          <w:szCs w:val="24"/>
        </w:rPr>
        <w:t>.</w:t>
      </w:r>
      <w:r w:rsidRPr="00721823">
        <w:rPr>
          <w:rFonts w:ascii="Arial" w:hAnsi="Arial" w:cs="Arial"/>
          <w:sz w:val="24"/>
          <w:szCs w:val="24"/>
        </w:rPr>
        <w:t xml:space="preserve"> Budgeting method in which every expense must be justified from zero in each budget cycle, without starting from the previous year's budget.</w:t>
      </w:r>
    </w:p>
    <w:p w14:paraId="33831667" w14:textId="008C1210" w:rsidR="002F55AF" w:rsidRDefault="002F55AF" w:rsidP="00EC6D29">
      <w:pPr>
        <w:rPr>
          <w:rFonts w:ascii="Arial" w:hAnsi="Arial" w:cs="Arial"/>
          <w:sz w:val="24"/>
          <w:szCs w:val="24"/>
        </w:rPr>
      </w:pPr>
    </w:p>
    <w:p w14:paraId="71D627D4" w14:textId="77777777" w:rsidR="00EC6D29" w:rsidRDefault="00EC6D29" w:rsidP="00EC6D29">
      <w:pPr>
        <w:rPr>
          <w:rFonts w:ascii="Arial" w:hAnsi="Arial" w:cs="Arial"/>
          <w:sz w:val="24"/>
          <w:szCs w:val="24"/>
        </w:rPr>
      </w:pPr>
    </w:p>
    <w:p w14:paraId="35766B55" w14:textId="77777777" w:rsidR="00EC6D29" w:rsidRDefault="00EC6D29" w:rsidP="00EC6D29">
      <w:pPr>
        <w:rPr>
          <w:rFonts w:ascii="Arial" w:hAnsi="Arial" w:cs="Arial"/>
          <w:sz w:val="24"/>
          <w:szCs w:val="24"/>
        </w:rPr>
      </w:pPr>
    </w:p>
    <w:p w14:paraId="779D7475" w14:textId="77777777" w:rsidR="00EC6D29" w:rsidRDefault="00EC6D29" w:rsidP="00EC6D29">
      <w:pPr>
        <w:rPr>
          <w:rFonts w:ascii="Arial" w:hAnsi="Arial" w:cs="Arial"/>
          <w:sz w:val="24"/>
          <w:szCs w:val="24"/>
        </w:rPr>
      </w:pPr>
    </w:p>
    <w:p w14:paraId="32998EBE" w14:textId="77777777" w:rsidR="00EC6D29" w:rsidRDefault="00EC6D29" w:rsidP="00EC6D29">
      <w:pPr>
        <w:rPr>
          <w:rFonts w:ascii="Arial" w:hAnsi="Arial" w:cs="Arial"/>
          <w:sz w:val="24"/>
          <w:szCs w:val="24"/>
        </w:rPr>
      </w:pPr>
    </w:p>
    <w:p w14:paraId="5F0346DC" w14:textId="77777777" w:rsidR="005F40F3" w:rsidRDefault="005F40F3" w:rsidP="004C1A95">
      <w:pPr>
        <w:spacing w:after="40" w:line="360" w:lineRule="auto"/>
        <w:rPr>
          <w:rFonts w:ascii="Arial" w:hAnsi="Arial" w:cs="Arial"/>
          <w:sz w:val="24"/>
          <w:szCs w:val="24"/>
        </w:rPr>
      </w:pPr>
    </w:p>
    <w:p w14:paraId="59C4254C" w14:textId="20BF1E8A" w:rsidR="00721823" w:rsidRPr="00721823" w:rsidRDefault="00721823" w:rsidP="004C1A95">
      <w:pPr>
        <w:spacing w:after="40" w:line="360" w:lineRule="auto"/>
        <w:rPr>
          <w:rFonts w:ascii="Arial" w:hAnsi="Arial" w:cs="Arial"/>
          <w:b/>
          <w:bCs/>
          <w:sz w:val="24"/>
          <w:szCs w:val="24"/>
        </w:rPr>
      </w:pPr>
      <w:r w:rsidRPr="00721823">
        <w:rPr>
          <w:rFonts w:ascii="Arial" w:hAnsi="Arial" w:cs="Arial"/>
          <w:b/>
          <w:bCs/>
          <w:sz w:val="24"/>
          <w:szCs w:val="24"/>
        </w:rPr>
        <w:lastRenderedPageBreak/>
        <w:t>References</w:t>
      </w:r>
    </w:p>
    <w:p w14:paraId="54D7C84C" w14:textId="1B300165"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Atrill, P. and McLaney, E. (2021) </w:t>
      </w:r>
      <w:r w:rsidRPr="00EB7C4E">
        <w:rPr>
          <w:rFonts w:ascii="Arial" w:hAnsi="Arial" w:cs="Arial"/>
          <w:i/>
          <w:iCs/>
          <w:sz w:val="24"/>
          <w:szCs w:val="24"/>
        </w:rPr>
        <w:t>Management Accounting for Decision Makers</w:t>
      </w:r>
      <w:r w:rsidRPr="00EB7C4E">
        <w:rPr>
          <w:rFonts w:ascii="Arial" w:hAnsi="Arial" w:cs="Arial"/>
          <w:sz w:val="24"/>
          <w:szCs w:val="24"/>
        </w:rPr>
        <w:t>. 10th edn. Pearson.</w:t>
      </w:r>
    </w:p>
    <w:p w14:paraId="752BF6D4" w14:textId="31EDC544"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Automotive World (2025) 'JLR delivers strong full year performance', 13 May. Available at: </w:t>
      </w:r>
      <w:hyperlink r:id="rId8" w:tgtFrame="_blank" w:history="1">
        <w:r w:rsidRPr="00EB7C4E">
          <w:rPr>
            <w:rStyle w:val="Hyperlink"/>
            <w:rFonts w:ascii="Arial" w:hAnsi="Arial" w:cs="Arial"/>
            <w:sz w:val="24"/>
            <w:szCs w:val="24"/>
          </w:rPr>
          <w:t>https://www.automotiveworld.com/news-releases/jlr-delivers-strong-full-year-performance</w:t>
        </w:r>
      </w:hyperlink>
      <w:r w:rsidRPr="00EB7C4E">
        <w:rPr>
          <w:rFonts w:ascii="Arial" w:hAnsi="Arial" w:cs="Arial"/>
          <w:sz w:val="24"/>
          <w:szCs w:val="24"/>
        </w:rPr>
        <w:t xml:space="preserve"> (Accessed: 2</w:t>
      </w:r>
      <w:r w:rsidR="005F4F5B">
        <w:rPr>
          <w:rFonts w:ascii="Arial" w:hAnsi="Arial" w:cs="Arial"/>
          <w:sz w:val="24"/>
          <w:szCs w:val="24"/>
        </w:rPr>
        <w:t>6</w:t>
      </w:r>
      <w:r w:rsidRPr="00EB7C4E">
        <w:rPr>
          <w:rFonts w:ascii="Arial" w:hAnsi="Arial" w:cs="Arial"/>
          <w:sz w:val="24"/>
          <w:szCs w:val="24"/>
        </w:rPr>
        <w:t xml:space="preserve"> February 2026).</w:t>
      </w:r>
    </w:p>
    <w:p w14:paraId="32A92072" w14:textId="16929ADE" w:rsidR="00721823" w:rsidRPr="00EB7C4E" w:rsidRDefault="00372852" w:rsidP="00EB7C4E">
      <w:pPr>
        <w:pStyle w:val="ListParagraph"/>
        <w:numPr>
          <w:ilvl w:val="1"/>
          <w:numId w:val="3"/>
        </w:numPr>
        <w:spacing w:after="40" w:line="240" w:lineRule="auto"/>
        <w:rPr>
          <w:rFonts w:ascii="Arial" w:hAnsi="Arial" w:cs="Arial"/>
          <w:sz w:val="24"/>
          <w:szCs w:val="24"/>
        </w:rPr>
      </w:pPr>
      <w:r>
        <w:rPr>
          <w:rFonts w:ascii="Arial" w:hAnsi="Arial" w:cs="Arial"/>
          <w:sz w:val="24"/>
          <w:szCs w:val="24"/>
        </w:rPr>
        <w:t>Datar</w:t>
      </w:r>
      <w:r w:rsidR="00721823" w:rsidRPr="00EB7C4E">
        <w:rPr>
          <w:rFonts w:ascii="Arial" w:hAnsi="Arial" w:cs="Arial"/>
          <w:sz w:val="24"/>
          <w:szCs w:val="24"/>
        </w:rPr>
        <w:t xml:space="preserve">, S.M. and Rajan, M.V. (2014) </w:t>
      </w:r>
      <w:r w:rsidR="00721823" w:rsidRPr="00EB7C4E">
        <w:rPr>
          <w:rFonts w:ascii="Arial" w:hAnsi="Arial" w:cs="Arial"/>
          <w:i/>
          <w:iCs/>
          <w:sz w:val="24"/>
          <w:szCs w:val="24"/>
        </w:rPr>
        <w:t>Managerial Accounting: Decision Making and Motivating Performance</w:t>
      </w:r>
      <w:r w:rsidR="00721823" w:rsidRPr="00EB7C4E">
        <w:rPr>
          <w:rFonts w:ascii="Arial" w:hAnsi="Arial" w:cs="Arial"/>
          <w:sz w:val="24"/>
          <w:szCs w:val="24"/>
        </w:rPr>
        <w:t xml:space="preserve">. </w:t>
      </w:r>
      <w:r w:rsidR="00307B00">
        <w:rPr>
          <w:rFonts w:ascii="Arial" w:hAnsi="Arial" w:cs="Arial"/>
          <w:sz w:val="24"/>
          <w:szCs w:val="24"/>
        </w:rPr>
        <w:t xml:space="preserve">Boston: </w:t>
      </w:r>
      <w:r w:rsidR="00721823" w:rsidRPr="00EB7C4E">
        <w:rPr>
          <w:rFonts w:ascii="Arial" w:hAnsi="Arial" w:cs="Arial"/>
          <w:sz w:val="24"/>
          <w:szCs w:val="24"/>
        </w:rPr>
        <w:t>Pearson.</w:t>
      </w:r>
    </w:p>
    <w:p w14:paraId="1D4E91F4" w14:textId="762927C5"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Drury, C. (2018) </w:t>
      </w:r>
      <w:r w:rsidRPr="00EB7C4E">
        <w:rPr>
          <w:rFonts w:ascii="Arial" w:hAnsi="Arial" w:cs="Arial"/>
          <w:i/>
          <w:iCs/>
          <w:sz w:val="24"/>
          <w:szCs w:val="24"/>
        </w:rPr>
        <w:t>Management and Cost Accounting</w:t>
      </w:r>
      <w:r w:rsidRPr="00EB7C4E">
        <w:rPr>
          <w:rFonts w:ascii="Arial" w:hAnsi="Arial" w:cs="Arial"/>
          <w:sz w:val="24"/>
          <w:szCs w:val="24"/>
        </w:rPr>
        <w:t xml:space="preserve">. 10th edn. </w:t>
      </w:r>
      <w:r w:rsidR="00307B00">
        <w:rPr>
          <w:rFonts w:ascii="Arial" w:hAnsi="Arial" w:cs="Arial"/>
          <w:sz w:val="24"/>
          <w:szCs w:val="24"/>
        </w:rPr>
        <w:t xml:space="preserve">Andover: </w:t>
      </w:r>
      <w:r w:rsidRPr="00EB7C4E">
        <w:rPr>
          <w:rFonts w:ascii="Arial" w:hAnsi="Arial" w:cs="Arial"/>
          <w:sz w:val="24"/>
          <w:szCs w:val="24"/>
        </w:rPr>
        <w:t>Cengage Learning</w:t>
      </w:r>
      <w:r w:rsidR="00307B00">
        <w:rPr>
          <w:rFonts w:ascii="Arial" w:hAnsi="Arial" w:cs="Arial"/>
          <w:sz w:val="24"/>
          <w:szCs w:val="24"/>
        </w:rPr>
        <w:t xml:space="preserve"> EMEA</w:t>
      </w:r>
      <w:r w:rsidRPr="00EB7C4E">
        <w:rPr>
          <w:rFonts w:ascii="Arial" w:hAnsi="Arial" w:cs="Arial"/>
          <w:sz w:val="24"/>
          <w:szCs w:val="24"/>
        </w:rPr>
        <w:t>.</w:t>
      </w:r>
    </w:p>
    <w:p w14:paraId="6B99CB28" w14:textId="6123E357" w:rsidR="00387B83" w:rsidRPr="00387B83" w:rsidRDefault="00721823" w:rsidP="00387B83">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Gulshan, H.</w:t>
      </w:r>
      <w:r w:rsidR="00387B83">
        <w:rPr>
          <w:rFonts w:ascii="Arial" w:hAnsi="Arial" w:cs="Arial"/>
          <w:sz w:val="24"/>
          <w:szCs w:val="24"/>
        </w:rPr>
        <w:t>, Ahmad, S. and Manochin, M.</w:t>
      </w:r>
      <w:r w:rsidRPr="00EB7C4E">
        <w:rPr>
          <w:rFonts w:ascii="Arial" w:hAnsi="Arial" w:cs="Arial"/>
          <w:sz w:val="24"/>
          <w:szCs w:val="24"/>
        </w:rPr>
        <w:t xml:space="preserve"> (2024) 'Management accounting for embedding net-zero goals in an automotive company', </w:t>
      </w:r>
      <w:r w:rsidRPr="00EB7C4E">
        <w:rPr>
          <w:rFonts w:ascii="Arial" w:hAnsi="Arial" w:cs="Arial"/>
          <w:i/>
          <w:iCs/>
          <w:sz w:val="24"/>
          <w:szCs w:val="24"/>
        </w:rPr>
        <w:t>AICPA &amp; CIMA Report</w:t>
      </w:r>
      <w:r w:rsidRPr="00EB7C4E">
        <w:rPr>
          <w:rFonts w:ascii="Arial" w:hAnsi="Arial" w:cs="Arial"/>
          <w:sz w:val="24"/>
          <w:szCs w:val="24"/>
        </w:rPr>
        <w:t>.</w:t>
      </w:r>
      <w:r w:rsidR="00387B83">
        <w:rPr>
          <w:rFonts w:ascii="Arial" w:hAnsi="Arial" w:cs="Arial"/>
          <w:sz w:val="24"/>
          <w:szCs w:val="24"/>
        </w:rPr>
        <w:t xml:space="preserve"> Available at: </w:t>
      </w:r>
      <w:hyperlink r:id="rId9" w:history="1">
        <w:r w:rsidR="00387B83" w:rsidRPr="00E13508">
          <w:rPr>
            <w:rStyle w:val="Hyperlink"/>
            <w:rFonts w:ascii="Arial" w:hAnsi="Arial" w:cs="Arial"/>
            <w:sz w:val="24"/>
            <w:szCs w:val="24"/>
          </w:rPr>
          <w:t>https://www.aicpa-cima.com/resources/download/management-accounting-for-embedding-net-zero-goals-in-an-automotive-company</w:t>
        </w:r>
      </w:hyperlink>
      <w:r w:rsidR="00387B83">
        <w:rPr>
          <w:rFonts w:ascii="Arial" w:hAnsi="Arial" w:cs="Arial"/>
          <w:sz w:val="24"/>
          <w:szCs w:val="24"/>
        </w:rPr>
        <w:t xml:space="preserve"> (Accessed: 24 February 2026)</w:t>
      </w:r>
    </w:p>
    <w:p w14:paraId="00ABE7FA" w14:textId="482F5C71"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IFAC (2023) 'Case Study: Connecting Finance and Sustainability at Jaguar Land Rover'. Available at: </w:t>
      </w:r>
      <w:hyperlink r:id="rId10" w:tgtFrame="_blank" w:history="1">
        <w:r w:rsidRPr="00EB7C4E">
          <w:rPr>
            <w:rStyle w:val="Hyperlink"/>
            <w:rFonts w:ascii="Arial" w:hAnsi="Arial" w:cs="Arial"/>
            <w:sz w:val="24"/>
            <w:szCs w:val="24"/>
          </w:rPr>
          <w:t>https://www.ifac.org/knowledge-gateway/discussion/case-study-connecting-finance-and-sustainability-jaguar-land-rover-jlr-automotive-plc</w:t>
        </w:r>
      </w:hyperlink>
      <w:r w:rsidRPr="00EB7C4E">
        <w:rPr>
          <w:rFonts w:ascii="Arial" w:hAnsi="Arial" w:cs="Arial"/>
          <w:sz w:val="24"/>
          <w:szCs w:val="24"/>
        </w:rPr>
        <w:t xml:space="preserve"> (Accessed: 28 February 2026).</w:t>
      </w:r>
    </w:p>
    <w:p w14:paraId="5DEF172B" w14:textId="06E0507F"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Jaguar Land Rover (2025a) </w:t>
      </w:r>
      <w:r w:rsidRPr="00EB7C4E">
        <w:rPr>
          <w:rFonts w:ascii="Arial" w:hAnsi="Arial" w:cs="Arial"/>
          <w:i/>
          <w:iCs/>
          <w:sz w:val="24"/>
          <w:szCs w:val="24"/>
        </w:rPr>
        <w:t>Annual Report FY24/25</w:t>
      </w:r>
      <w:r w:rsidRPr="00EB7C4E">
        <w:rPr>
          <w:rFonts w:ascii="Arial" w:hAnsi="Arial" w:cs="Arial"/>
          <w:sz w:val="24"/>
          <w:szCs w:val="24"/>
        </w:rPr>
        <w:t xml:space="preserve">. Available at: </w:t>
      </w:r>
      <w:hyperlink r:id="rId11" w:tgtFrame="_blank" w:history="1">
        <w:r w:rsidRPr="00EB7C4E">
          <w:rPr>
            <w:rStyle w:val="Hyperlink"/>
            <w:rFonts w:ascii="Arial" w:hAnsi="Arial" w:cs="Arial"/>
            <w:sz w:val="24"/>
            <w:szCs w:val="24"/>
          </w:rPr>
          <w:t>https://www.jlr.com/annual-report-2025</w:t>
        </w:r>
      </w:hyperlink>
      <w:r w:rsidRPr="00EB7C4E">
        <w:rPr>
          <w:rFonts w:ascii="Arial" w:hAnsi="Arial" w:cs="Arial"/>
          <w:sz w:val="24"/>
          <w:szCs w:val="24"/>
        </w:rPr>
        <w:t xml:space="preserve"> (Accessed: 2</w:t>
      </w:r>
      <w:r w:rsidR="00307B00">
        <w:rPr>
          <w:rFonts w:ascii="Arial" w:hAnsi="Arial" w:cs="Arial"/>
          <w:sz w:val="24"/>
          <w:szCs w:val="24"/>
        </w:rPr>
        <w:t>7</w:t>
      </w:r>
      <w:r w:rsidRPr="00EB7C4E">
        <w:rPr>
          <w:rFonts w:ascii="Arial" w:hAnsi="Arial" w:cs="Arial"/>
          <w:sz w:val="24"/>
          <w:szCs w:val="24"/>
        </w:rPr>
        <w:t xml:space="preserve"> February 2026).</w:t>
      </w:r>
    </w:p>
    <w:p w14:paraId="3858B30D" w14:textId="29251681"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Jaguar Land Rover (2025c) </w:t>
      </w:r>
      <w:r w:rsidRPr="00EB7C4E">
        <w:rPr>
          <w:rFonts w:ascii="Arial" w:hAnsi="Arial" w:cs="Arial"/>
          <w:i/>
          <w:iCs/>
          <w:sz w:val="24"/>
          <w:szCs w:val="24"/>
        </w:rPr>
        <w:t>Reimagine Strategy</w:t>
      </w:r>
      <w:r w:rsidRPr="00EB7C4E">
        <w:rPr>
          <w:rFonts w:ascii="Arial" w:hAnsi="Arial" w:cs="Arial"/>
          <w:sz w:val="24"/>
          <w:szCs w:val="24"/>
        </w:rPr>
        <w:t xml:space="preserve">. Available at: </w:t>
      </w:r>
      <w:hyperlink r:id="rId12" w:tgtFrame="_blank" w:history="1">
        <w:r w:rsidRPr="00EB7C4E">
          <w:rPr>
            <w:rStyle w:val="Hyperlink"/>
            <w:rFonts w:ascii="Arial" w:hAnsi="Arial" w:cs="Arial"/>
            <w:sz w:val="24"/>
            <w:szCs w:val="24"/>
          </w:rPr>
          <w:t>https://www.jlr.com/reimagine</w:t>
        </w:r>
      </w:hyperlink>
      <w:r w:rsidRPr="00EB7C4E">
        <w:rPr>
          <w:rFonts w:ascii="Arial" w:hAnsi="Arial" w:cs="Arial"/>
          <w:sz w:val="24"/>
          <w:szCs w:val="24"/>
        </w:rPr>
        <w:t xml:space="preserve"> (Accessed: 2</w:t>
      </w:r>
      <w:r w:rsidR="00307B00">
        <w:rPr>
          <w:rFonts w:ascii="Arial" w:hAnsi="Arial" w:cs="Arial"/>
          <w:sz w:val="24"/>
          <w:szCs w:val="24"/>
        </w:rPr>
        <w:t>6</w:t>
      </w:r>
      <w:r w:rsidRPr="00EB7C4E">
        <w:rPr>
          <w:rFonts w:ascii="Arial" w:hAnsi="Arial" w:cs="Arial"/>
          <w:sz w:val="24"/>
          <w:szCs w:val="24"/>
        </w:rPr>
        <w:t xml:space="preserve"> February 2026).</w:t>
      </w:r>
    </w:p>
    <w:p w14:paraId="3DD9C447" w14:textId="54371C03"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Jaguar Land Rover (2025d) </w:t>
      </w:r>
      <w:r w:rsidRPr="00EB7C4E">
        <w:rPr>
          <w:rFonts w:ascii="Arial" w:hAnsi="Arial" w:cs="Arial"/>
          <w:i/>
          <w:iCs/>
          <w:sz w:val="24"/>
          <w:szCs w:val="24"/>
        </w:rPr>
        <w:t>Sustainability</w:t>
      </w:r>
      <w:r w:rsidRPr="00EB7C4E">
        <w:rPr>
          <w:rFonts w:ascii="Arial" w:hAnsi="Arial" w:cs="Arial"/>
          <w:sz w:val="24"/>
          <w:szCs w:val="24"/>
        </w:rPr>
        <w:t xml:space="preserve">. Available at: </w:t>
      </w:r>
      <w:hyperlink r:id="rId13" w:tgtFrame="_blank" w:history="1">
        <w:r w:rsidRPr="00EB7C4E">
          <w:rPr>
            <w:rStyle w:val="Hyperlink"/>
            <w:rFonts w:ascii="Arial" w:hAnsi="Arial" w:cs="Arial"/>
            <w:sz w:val="24"/>
            <w:szCs w:val="24"/>
          </w:rPr>
          <w:t>https://www.jlr.com/sustainability</w:t>
        </w:r>
      </w:hyperlink>
      <w:r w:rsidRPr="00EB7C4E">
        <w:rPr>
          <w:rFonts w:ascii="Arial" w:hAnsi="Arial" w:cs="Arial"/>
          <w:sz w:val="24"/>
          <w:szCs w:val="24"/>
        </w:rPr>
        <w:t xml:space="preserve"> (Accessed: 2</w:t>
      </w:r>
      <w:r w:rsidR="00307B00">
        <w:rPr>
          <w:rFonts w:ascii="Arial" w:hAnsi="Arial" w:cs="Arial"/>
          <w:sz w:val="24"/>
          <w:szCs w:val="24"/>
        </w:rPr>
        <w:t>6</w:t>
      </w:r>
      <w:r w:rsidRPr="00EB7C4E">
        <w:rPr>
          <w:rFonts w:ascii="Arial" w:hAnsi="Arial" w:cs="Arial"/>
          <w:sz w:val="24"/>
          <w:szCs w:val="24"/>
        </w:rPr>
        <w:t xml:space="preserve"> February 2026).</w:t>
      </w:r>
    </w:p>
    <w:p w14:paraId="664BA75D" w14:textId="00F36491"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Kaplan, R.S. and Norton, D.P. (1996) </w:t>
      </w:r>
      <w:r w:rsidR="006E2DD8">
        <w:rPr>
          <w:rFonts w:ascii="Arial" w:hAnsi="Arial" w:cs="Arial"/>
          <w:i/>
          <w:iCs/>
          <w:sz w:val="24"/>
          <w:szCs w:val="24"/>
        </w:rPr>
        <w:t>T</w:t>
      </w:r>
      <w:r w:rsidRPr="00EB7C4E">
        <w:rPr>
          <w:rFonts w:ascii="Arial" w:hAnsi="Arial" w:cs="Arial"/>
          <w:i/>
          <w:iCs/>
          <w:sz w:val="24"/>
          <w:szCs w:val="24"/>
        </w:rPr>
        <w:t xml:space="preserve">he </w:t>
      </w:r>
      <w:r w:rsidR="006E2DD8">
        <w:rPr>
          <w:rFonts w:ascii="Arial" w:hAnsi="Arial" w:cs="Arial"/>
          <w:i/>
          <w:iCs/>
          <w:sz w:val="24"/>
          <w:szCs w:val="24"/>
        </w:rPr>
        <w:t>b</w:t>
      </w:r>
      <w:r w:rsidRPr="00EB7C4E">
        <w:rPr>
          <w:rFonts w:ascii="Arial" w:hAnsi="Arial" w:cs="Arial"/>
          <w:i/>
          <w:iCs/>
          <w:sz w:val="24"/>
          <w:szCs w:val="24"/>
        </w:rPr>
        <w:t xml:space="preserve">alanced </w:t>
      </w:r>
      <w:r w:rsidR="006E2DD8">
        <w:rPr>
          <w:rFonts w:ascii="Arial" w:hAnsi="Arial" w:cs="Arial"/>
          <w:i/>
          <w:iCs/>
          <w:sz w:val="24"/>
          <w:szCs w:val="24"/>
        </w:rPr>
        <w:t>s</w:t>
      </w:r>
      <w:r w:rsidRPr="00EB7C4E">
        <w:rPr>
          <w:rFonts w:ascii="Arial" w:hAnsi="Arial" w:cs="Arial"/>
          <w:i/>
          <w:iCs/>
          <w:sz w:val="24"/>
          <w:szCs w:val="24"/>
        </w:rPr>
        <w:t>corecard</w:t>
      </w:r>
      <w:r w:rsidR="006E2DD8">
        <w:rPr>
          <w:rFonts w:ascii="Arial" w:hAnsi="Arial" w:cs="Arial"/>
          <w:i/>
          <w:iCs/>
          <w:sz w:val="24"/>
          <w:szCs w:val="24"/>
        </w:rPr>
        <w:t xml:space="preserve">: translating strategy into action. </w:t>
      </w:r>
      <w:r w:rsidR="006E2DD8" w:rsidRPr="006E2DD8">
        <w:rPr>
          <w:rFonts w:ascii="Arial" w:hAnsi="Arial" w:cs="Arial"/>
          <w:sz w:val="24"/>
          <w:szCs w:val="24"/>
        </w:rPr>
        <w:t>Boston</w:t>
      </w:r>
      <w:r w:rsidR="006E2DD8">
        <w:rPr>
          <w:rFonts w:ascii="Arial" w:hAnsi="Arial" w:cs="Arial"/>
          <w:sz w:val="24"/>
          <w:szCs w:val="24"/>
        </w:rPr>
        <w:t>:</w:t>
      </w:r>
      <w:r w:rsidR="006E2DD8" w:rsidRPr="006E2DD8">
        <w:rPr>
          <w:rFonts w:ascii="Arial" w:hAnsi="Arial" w:cs="Arial"/>
          <w:sz w:val="24"/>
          <w:szCs w:val="24"/>
        </w:rPr>
        <w:t xml:space="preserve"> </w:t>
      </w:r>
      <w:r w:rsidRPr="006E2DD8">
        <w:rPr>
          <w:rFonts w:ascii="Arial" w:hAnsi="Arial" w:cs="Arial"/>
          <w:sz w:val="24"/>
          <w:szCs w:val="24"/>
        </w:rPr>
        <w:t xml:space="preserve">Harvard Business </w:t>
      </w:r>
      <w:r w:rsidR="006E2DD8">
        <w:rPr>
          <w:rFonts w:ascii="Arial" w:hAnsi="Arial" w:cs="Arial"/>
          <w:sz w:val="24"/>
          <w:szCs w:val="24"/>
        </w:rPr>
        <w:t>School Press</w:t>
      </w:r>
      <w:r w:rsidRPr="00EB7C4E">
        <w:rPr>
          <w:rFonts w:ascii="Arial" w:hAnsi="Arial" w:cs="Arial"/>
          <w:sz w:val="24"/>
          <w:szCs w:val="24"/>
        </w:rPr>
        <w:t>.</w:t>
      </w:r>
      <w:r w:rsidR="006E2DD8">
        <w:rPr>
          <w:rFonts w:ascii="Arial" w:hAnsi="Arial" w:cs="Arial"/>
          <w:sz w:val="24"/>
          <w:szCs w:val="24"/>
        </w:rPr>
        <w:t xml:space="preserve"> </w:t>
      </w:r>
    </w:p>
    <w:p w14:paraId="0A1B075B" w14:textId="3C3C09B5" w:rsidR="004C1A95" w:rsidRPr="00EB7C4E" w:rsidRDefault="004C1A95"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Lata, P. and Ussahawanitchakit, P. (2015) 'Management accounting system effectiveness and goal achievement: evidence from automotive businesses in Thailand', </w:t>
      </w:r>
      <w:r w:rsidRPr="00307B00">
        <w:rPr>
          <w:rFonts w:ascii="Arial" w:hAnsi="Arial" w:cs="Arial"/>
          <w:i/>
          <w:iCs/>
          <w:sz w:val="24"/>
          <w:szCs w:val="24"/>
        </w:rPr>
        <w:t>The Business and Management Review,</w:t>
      </w:r>
      <w:r w:rsidRPr="00EB7C4E">
        <w:rPr>
          <w:rFonts w:ascii="Arial" w:hAnsi="Arial" w:cs="Arial"/>
          <w:sz w:val="24"/>
          <w:szCs w:val="24"/>
        </w:rPr>
        <w:t xml:space="preserve"> 7(1), pp. 322–334. Available at: </w:t>
      </w:r>
      <w:hyperlink r:id="rId14" w:history="1">
        <w:r w:rsidRPr="00EB7C4E">
          <w:rPr>
            <w:rStyle w:val="Hyperlink"/>
            <w:rFonts w:ascii="Arial" w:hAnsi="Arial" w:cs="Arial"/>
            <w:sz w:val="24"/>
            <w:szCs w:val="24"/>
          </w:rPr>
          <w:t>https://cberuk.com/cdn/conference_proceedings/conference_23573.pdf</w:t>
        </w:r>
      </w:hyperlink>
      <w:r w:rsidRPr="00EB7C4E">
        <w:rPr>
          <w:rFonts w:ascii="Arial" w:hAnsi="Arial" w:cs="Arial"/>
          <w:sz w:val="24"/>
          <w:szCs w:val="24"/>
        </w:rPr>
        <w:t xml:space="preserve"> (Accessed: 28 February 2026).</w:t>
      </w:r>
    </w:p>
    <w:p w14:paraId="3796F40D" w14:textId="113CCAA3" w:rsidR="00721823" w:rsidRPr="00307B00" w:rsidRDefault="00721823" w:rsidP="00307B00">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media.jaguarlandrover.com (2025) 'JLR delivers strong full year performance', 13 May. Available at:</w:t>
      </w:r>
      <w:r w:rsidR="00307B00">
        <w:rPr>
          <w:rFonts w:ascii="Arial" w:hAnsi="Arial" w:cs="Arial"/>
          <w:sz w:val="24"/>
          <w:szCs w:val="24"/>
        </w:rPr>
        <w:t xml:space="preserve"> </w:t>
      </w:r>
      <w:hyperlink r:id="rId15" w:history="1">
        <w:r w:rsidR="00307B00" w:rsidRPr="00E13508">
          <w:rPr>
            <w:rStyle w:val="Hyperlink"/>
          </w:rPr>
          <w:t>https://media.jaguarlandrover.com/news/2025/05/jlr-delivers-strong-full-year-performance</w:t>
        </w:r>
      </w:hyperlink>
      <w:r w:rsidR="00307B00">
        <w:t xml:space="preserve"> </w:t>
      </w:r>
      <w:r w:rsidRPr="00307B00">
        <w:rPr>
          <w:rFonts w:ascii="Arial" w:hAnsi="Arial" w:cs="Arial"/>
          <w:sz w:val="24"/>
          <w:szCs w:val="24"/>
        </w:rPr>
        <w:t>(Accessed: 28 February 2026).</w:t>
      </w:r>
    </w:p>
    <w:p w14:paraId="3A6B28E4" w14:textId="4B39B1C6" w:rsidR="00332956" w:rsidRPr="00332956" w:rsidRDefault="00721823" w:rsidP="00332956">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Mills, M. (2023) 'Case Study: Connecting Finance and Sustainability at Jaguar Land Rover', </w:t>
      </w:r>
      <w:r w:rsidRPr="005F4F5B">
        <w:rPr>
          <w:rFonts w:ascii="Arial" w:hAnsi="Arial" w:cs="Arial"/>
          <w:i/>
          <w:iCs/>
          <w:sz w:val="24"/>
          <w:szCs w:val="24"/>
        </w:rPr>
        <w:t>IFAC</w:t>
      </w:r>
      <w:r w:rsidRPr="00EB7C4E">
        <w:rPr>
          <w:rFonts w:ascii="Arial" w:hAnsi="Arial" w:cs="Arial"/>
          <w:sz w:val="24"/>
          <w:szCs w:val="24"/>
        </w:rPr>
        <w:t>.</w:t>
      </w:r>
      <w:r w:rsidR="005F4F5B">
        <w:rPr>
          <w:rFonts w:ascii="Arial" w:hAnsi="Arial" w:cs="Arial"/>
          <w:sz w:val="24"/>
          <w:szCs w:val="24"/>
        </w:rPr>
        <w:t xml:space="preserve"> Available at:</w:t>
      </w:r>
      <w:r w:rsidR="00332956">
        <w:rPr>
          <w:rFonts w:ascii="Arial" w:hAnsi="Arial" w:cs="Arial"/>
          <w:sz w:val="24"/>
          <w:szCs w:val="24"/>
        </w:rPr>
        <w:t xml:space="preserve"> </w:t>
      </w:r>
      <w:hyperlink r:id="rId16" w:history="1">
        <w:r w:rsidR="00332956" w:rsidRPr="00E13508">
          <w:rPr>
            <w:rStyle w:val="Hyperlink"/>
            <w:rFonts w:ascii="Arial" w:hAnsi="Arial" w:cs="Arial"/>
            <w:sz w:val="24"/>
            <w:szCs w:val="24"/>
          </w:rPr>
          <w:t>https://www.ifac.org/knowledge-gateway/discussion/case-study-connecting-finance-and-sustainability-jaguar-land-rover-jlr-automotive-plc</w:t>
        </w:r>
      </w:hyperlink>
      <w:r w:rsidR="00332956">
        <w:rPr>
          <w:rFonts w:ascii="Arial" w:hAnsi="Arial" w:cs="Arial"/>
          <w:sz w:val="24"/>
          <w:szCs w:val="24"/>
        </w:rPr>
        <w:t xml:space="preserve"> (Accessed:24 February 2026)</w:t>
      </w:r>
    </w:p>
    <w:p w14:paraId="41C54067" w14:textId="4D47CEEC" w:rsidR="00721823" w:rsidRPr="00EB7C4E"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Porporato, M.M. (2016) 'Logistics Costs </w:t>
      </w:r>
      <w:r w:rsidR="00921E13">
        <w:rPr>
          <w:rFonts w:ascii="Arial" w:hAnsi="Arial" w:cs="Arial"/>
          <w:sz w:val="24"/>
          <w:szCs w:val="24"/>
        </w:rPr>
        <w:t>Behaviour</w:t>
      </w:r>
      <w:r w:rsidRPr="00EB7C4E">
        <w:rPr>
          <w:rFonts w:ascii="Arial" w:hAnsi="Arial" w:cs="Arial"/>
          <w:sz w:val="24"/>
          <w:szCs w:val="24"/>
        </w:rPr>
        <w:t xml:space="preserve"> and Management in the Auto Industry', </w:t>
      </w:r>
      <w:r w:rsidRPr="00EB7C4E">
        <w:rPr>
          <w:rFonts w:ascii="Arial" w:hAnsi="Arial" w:cs="Arial"/>
          <w:i/>
          <w:iCs/>
          <w:sz w:val="24"/>
          <w:szCs w:val="24"/>
        </w:rPr>
        <w:t>Issues in Accounting Education</w:t>
      </w:r>
      <w:r w:rsidRPr="00EB7C4E">
        <w:rPr>
          <w:rFonts w:ascii="Arial" w:hAnsi="Arial" w:cs="Arial"/>
          <w:sz w:val="24"/>
          <w:szCs w:val="24"/>
        </w:rPr>
        <w:t>, 31(4), pp. 389-404.</w:t>
      </w:r>
      <w:r w:rsidR="005F4F5B">
        <w:rPr>
          <w:rFonts w:ascii="Arial" w:hAnsi="Arial" w:cs="Arial"/>
          <w:sz w:val="24"/>
          <w:szCs w:val="24"/>
        </w:rPr>
        <w:t xml:space="preserve"> Available at: </w:t>
      </w:r>
      <w:hyperlink r:id="rId17" w:history="1">
        <w:r w:rsidR="005F4F5B" w:rsidRPr="00E13508">
          <w:rPr>
            <w:rStyle w:val="Hyperlink"/>
            <w:rFonts w:ascii="Arial" w:hAnsi="Arial" w:cs="Arial"/>
            <w:sz w:val="24"/>
            <w:szCs w:val="24"/>
          </w:rPr>
          <w:t>DOI: https://doi.org/10.58691/man/212623</w:t>
        </w:r>
      </w:hyperlink>
      <w:r w:rsidR="005F4F5B">
        <w:rPr>
          <w:rFonts w:ascii="Arial" w:hAnsi="Arial" w:cs="Arial"/>
          <w:sz w:val="24"/>
          <w:szCs w:val="24"/>
        </w:rPr>
        <w:t xml:space="preserve"> (Accessed: 22 February 2026).</w:t>
      </w:r>
    </w:p>
    <w:p w14:paraId="474491CC" w14:textId="59576F17" w:rsidR="00721823" w:rsidRDefault="00721823" w:rsidP="00EB7C4E">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 xml:space="preserve">Purwohedi, U. (2023) 'The Management Accounting Usage in Automotive Servitized Companies: An Initial Attempt', </w:t>
      </w:r>
      <w:r w:rsidRPr="00EB7C4E">
        <w:rPr>
          <w:rFonts w:ascii="Arial" w:hAnsi="Arial" w:cs="Arial"/>
          <w:i/>
          <w:iCs/>
          <w:sz w:val="24"/>
          <w:szCs w:val="24"/>
        </w:rPr>
        <w:t>Accounting Analysis Journal</w:t>
      </w:r>
      <w:r w:rsidRPr="00EB7C4E">
        <w:rPr>
          <w:rFonts w:ascii="Arial" w:hAnsi="Arial" w:cs="Arial"/>
          <w:sz w:val="24"/>
          <w:szCs w:val="24"/>
        </w:rPr>
        <w:t>, 12(1), pp. 31-40.</w:t>
      </w:r>
      <w:r w:rsidR="005F4F5B">
        <w:rPr>
          <w:rFonts w:ascii="Arial" w:hAnsi="Arial" w:cs="Arial"/>
          <w:sz w:val="24"/>
          <w:szCs w:val="24"/>
        </w:rPr>
        <w:t xml:space="preserve"> Available at: </w:t>
      </w:r>
      <w:hyperlink r:id="rId18" w:history="1">
        <w:r w:rsidR="005F4F5B" w:rsidRPr="00E13508">
          <w:rPr>
            <w:rStyle w:val="Hyperlink"/>
            <w:rFonts w:ascii="Arial" w:hAnsi="Arial" w:cs="Arial"/>
            <w:sz w:val="24"/>
            <w:szCs w:val="24"/>
          </w:rPr>
          <w:t>https://journal.unnes.ac.id/sju/index.php/aaj/article/view/67393</w:t>
        </w:r>
      </w:hyperlink>
    </w:p>
    <w:p w14:paraId="46AEAD11" w14:textId="37572FC7" w:rsidR="005F4F5B" w:rsidRPr="00EB7C4E" w:rsidRDefault="005F4F5B" w:rsidP="005F4F5B">
      <w:pPr>
        <w:pStyle w:val="ListParagraph"/>
        <w:spacing w:after="40" w:line="240" w:lineRule="auto"/>
        <w:ind w:left="1440"/>
        <w:rPr>
          <w:rFonts w:ascii="Arial" w:hAnsi="Arial" w:cs="Arial"/>
          <w:sz w:val="24"/>
          <w:szCs w:val="24"/>
        </w:rPr>
      </w:pPr>
      <w:r>
        <w:rPr>
          <w:rFonts w:ascii="Arial" w:hAnsi="Arial" w:cs="Arial"/>
          <w:sz w:val="24"/>
          <w:szCs w:val="24"/>
        </w:rPr>
        <w:t>(Accessed: 20 February 2026).</w:t>
      </w:r>
    </w:p>
    <w:p w14:paraId="7CD715B8" w14:textId="089394C6" w:rsidR="00F86D6D" w:rsidRPr="005F40F3" w:rsidRDefault="00721823" w:rsidP="005F40F3">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lastRenderedPageBreak/>
        <w:t xml:space="preserve">Tayles, M. and </w:t>
      </w:r>
      <w:r w:rsidR="00F86D6D">
        <w:rPr>
          <w:rFonts w:ascii="Arial" w:hAnsi="Arial" w:cs="Arial"/>
          <w:sz w:val="24"/>
          <w:szCs w:val="24"/>
        </w:rPr>
        <w:t>Walley, P.</w:t>
      </w:r>
      <w:r w:rsidRPr="00EB7C4E">
        <w:rPr>
          <w:rFonts w:ascii="Arial" w:hAnsi="Arial" w:cs="Arial"/>
          <w:sz w:val="24"/>
          <w:szCs w:val="24"/>
        </w:rPr>
        <w:t xml:space="preserve"> (1997) 'Integrating manufacturing and management accounting strategy: case study insights', </w:t>
      </w:r>
      <w:r w:rsidRPr="00EB7C4E">
        <w:rPr>
          <w:rFonts w:ascii="Arial" w:hAnsi="Arial" w:cs="Arial"/>
          <w:i/>
          <w:iCs/>
          <w:sz w:val="24"/>
          <w:szCs w:val="24"/>
        </w:rPr>
        <w:t>International Journal of Production Economics</w:t>
      </w:r>
      <w:r w:rsidRPr="00EB7C4E">
        <w:rPr>
          <w:rFonts w:ascii="Arial" w:hAnsi="Arial" w:cs="Arial"/>
          <w:sz w:val="24"/>
          <w:szCs w:val="24"/>
        </w:rPr>
        <w:t>, 53(1), pp. 43-55.</w:t>
      </w:r>
      <w:r w:rsidR="00F86D6D">
        <w:rPr>
          <w:rFonts w:ascii="Arial" w:hAnsi="Arial" w:cs="Arial"/>
          <w:sz w:val="24"/>
          <w:szCs w:val="24"/>
        </w:rPr>
        <w:t xml:space="preserve"> Available at: </w:t>
      </w:r>
      <w:hyperlink r:id="rId19" w:history="1">
        <w:r w:rsidR="00F86D6D" w:rsidRPr="00E13508">
          <w:rPr>
            <w:rStyle w:val="Hyperlink"/>
            <w:rFonts w:ascii="Arial" w:hAnsi="Arial" w:cs="Arial"/>
            <w:sz w:val="24"/>
            <w:szCs w:val="24"/>
          </w:rPr>
          <w:t>https://ideas.repec.org/a/eee/proeco/v53y1997i1p43-55.html</w:t>
        </w:r>
      </w:hyperlink>
      <w:r w:rsidR="00F86D6D">
        <w:rPr>
          <w:rFonts w:ascii="Arial" w:hAnsi="Arial" w:cs="Arial"/>
          <w:sz w:val="24"/>
          <w:szCs w:val="24"/>
        </w:rPr>
        <w:t xml:space="preserve"> (Accessed: 28 February 2026).</w:t>
      </w:r>
    </w:p>
    <w:p w14:paraId="7D055B4A" w14:textId="6F4CBACD" w:rsidR="008747C0" w:rsidRPr="00332956" w:rsidRDefault="00721823" w:rsidP="00332956">
      <w:pPr>
        <w:pStyle w:val="ListParagraph"/>
        <w:numPr>
          <w:ilvl w:val="1"/>
          <w:numId w:val="3"/>
        </w:numPr>
        <w:spacing w:after="40" w:line="240" w:lineRule="auto"/>
        <w:rPr>
          <w:rFonts w:ascii="Arial" w:hAnsi="Arial" w:cs="Arial"/>
          <w:sz w:val="24"/>
          <w:szCs w:val="24"/>
        </w:rPr>
      </w:pPr>
      <w:r w:rsidRPr="00EB7C4E">
        <w:rPr>
          <w:rFonts w:ascii="Arial" w:hAnsi="Arial" w:cs="Arial"/>
          <w:sz w:val="24"/>
          <w:szCs w:val="24"/>
        </w:rPr>
        <w:t>Zimmerman, J.L. (20</w:t>
      </w:r>
      <w:r w:rsidR="003D210F">
        <w:rPr>
          <w:rFonts w:ascii="Arial" w:hAnsi="Arial" w:cs="Arial"/>
          <w:sz w:val="24"/>
          <w:szCs w:val="24"/>
        </w:rPr>
        <w:t>19</w:t>
      </w:r>
      <w:r w:rsidRPr="00EB7C4E">
        <w:rPr>
          <w:rFonts w:ascii="Arial" w:hAnsi="Arial" w:cs="Arial"/>
          <w:sz w:val="24"/>
          <w:szCs w:val="24"/>
        </w:rPr>
        <w:t xml:space="preserve">) </w:t>
      </w:r>
      <w:r w:rsidRPr="00EB7C4E">
        <w:rPr>
          <w:rFonts w:ascii="Arial" w:hAnsi="Arial" w:cs="Arial"/>
          <w:i/>
          <w:iCs/>
          <w:sz w:val="24"/>
          <w:szCs w:val="24"/>
        </w:rPr>
        <w:t>Accounting for Decision Making and Control</w:t>
      </w:r>
      <w:r w:rsidRPr="00EB7C4E">
        <w:rPr>
          <w:rFonts w:ascii="Arial" w:hAnsi="Arial" w:cs="Arial"/>
          <w:sz w:val="24"/>
          <w:szCs w:val="24"/>
        </w:rPr>
        <w:t>. 10th edn.</w:t>
      </w:r>
      <w:r w:rsidR="003D210F">
        <w:rPr>
          <w:rFonts w:ascii="Arial" w:hAnsi="Arial" w:cs="Arial"/>
          <w:sz w:val="24"/>
          <w:szCs w:val="24"/>
        </w:rPr>
        <w:t xml:space="preserve"> London:</w:t>
      </w:r>
      <w:r w:rsidRPr="00EB7C4E">
        <w:rPr>
          <w:rFonts w:ascii="Arial" w:hAnsi="Arial" w:cs="Arial"/>
          <w:sz w:val="24"/>
          <w:szCs w:val="24"/>
        </w:rPr>
        <w:t xml:space="preserve"> McGraw-Hill Education.</w:t>
      </w:r>
    </w:p>
    <w:sectPr w:rsidR="008747C0" w:rsidRPr="00332956" w:rsidSect="002D2AEC">
      <w:footerReference w:type="default" r:id="rId20"/>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5A926D" w14:textId="77777777" w:rsidR="00081BA2" w:rsidRDefault="00081BA2" w:rsidP="002F55AF">
      <w:pPr>
        <w:spacing w:after="0" w:line="240" w:lineRule="auto"/>
      </w:pPr>
      <w:r>
        <w:separator/>
      </w:r>
    </w:p>
  </w:endnote>
  <w:endnote w:type="continuationSeparator" w:id="0">
    <w:p w14:paraId="65DEA855" w14:textId="77777777" w:rsidR="00081BA2" w:rsidRDefault="00081BA2" w:rsidP="002F5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6640327"/>
      <w:docPartObj>
        <w:docPartGallery w:val="Page Numbers (Bottom of Page)"/>
        <w:docPartUnique/>
      </w:docPartObj>
    </w:sdtPr>
    <w:sdtEndPr>
      <w:rPr>
        <w:noProof/>
      </w:rPr>
    </w:sdtEndPr>
    <w:sdtContent>
      <w:p w14:paraId="16BEA7B7" w14:textId="6BA59FDB" w:rsidR="007571B7" w:rsidRDefault="007571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C285F6" w14:textId="77777777" w:rsidR="007571B7" w:rsidRDefault="00757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EC80E0" w14:textId="77777777" w:rsidR="00081BA2" w:rsidRDefault="00081BA2" w:rsidP="002F55AF">
      <w:pPr>
        <w:spacing w:after="0" w:line="240" w:lineRule="auto"/>
      </w:pPr>
      <w:r>
        <w:separator/>
      </w:r>
    </w:p>
  </w:footnote>
  <w:footnote w:type="continuationSeparator" w:id="0">
    <w:p w14:paraId="4B831479" w14:textId="77777777" w:rsidR="00081BA2" w:rsidRDefault="00081BA2" w:rsidP="002F5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268F1"/>
    <w:multiLevelType w:val="multilevel"/>
    <w:tmpl w:val="7C6EF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B632E6"/>
    <w:multiLevelType w:val="hybridMultilevel"/>
    <w:tmpl w:val="8960B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0730FD"/>
    <w:multiLevelType w:val="multilevel"/>
    <w:tmpl w:val="462A4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17959DF"/>
    <w:multiLevelType w:val="hybridMultilevel"/>
    <w:tmpl w:val="6CC2CF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677D63"/>
    <w:multiLevelType w:val="multilevel"/>
    <w:tmpl w:val="3CD88A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719001">
    <w:abstractNumId w:val="2"/>
  </w:num>
  <w:num w:numId="2" w16cid:durableId="536355959">
    <w:abstractNumId w:val="0"/>
  </w:num>
  <w:num w:numId="3" w16cid:durableId="211504906">
    <w:abstractNumId w:val="4"/>
  </w:num>
  <w:num w:numId="4" w16cid:durableId="7685863">
    <w:abstractNumId w:val="1"/>
  </w:num>
  <w:num w:numId="5" w16cid:durableId="15512673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ABA"/>
    <w:rsid w:val="00020884"/>
    <w:rsid w:val="00081BA2"/>
    <w:rsid w:val="001223F3"/>
    <w:rsid w:val="00214E79"/>
    <w:rsid w:val="00253AB3"/>
    <w:rsid w:val="00290FC4"/>
    <w:rsid w:val="002C2A77"/>
    <w:rsid w:val="002D2AEC"/>
    <w:rsid w:val="002F55AF"/>
    <w:rsid w:val="00303E28"/>
    <w:rsid w:val="00304BEA"/>
    <w:rsid w:val="00307B00"/>
    <w:rsid w:val="00332956"/>
    <w:rsid w:val="00372852"/>
    <w:rsid w:val="00387B83"/>
    <w:rsid w:val="003D210F"/>
    <w:rsid w:val="003F3091"/>
    <w:rsid w:val="003F6546"/>
    <w:rsid w:val="004C1A95"/>
    <w:rsid w:val="005F40F3"/>
    <w:rsid w:val="005F4F5B"/>
    <w:rsid w:val="006E2DD8"/>
    <w:rsid w:val="00721823"/>
    <w:rsid w:val="007571B7"/>
    <w:rsid w:val="007D5E81"/>
    <w:rsid w:val="00852BB4"/>
    <w:rsid w:val="008747C0"/>
    <w:rsid w:val="008D3449"/>
    <w:rsid w:val="00921E13"/>
    <w:rsid w:val="00AA7ABA"/>
    <w:rsid w:val="00B66FAB"/>
    <w:rsid w:val="00BA6BF2"/>
    <w:rsid w:val="00C47094"/>
    <w:rsid w:val="00DF4284"/>
    <w:rsid w:val="00DF749B"/>
    <w:rsid w:val="00EA1AFE"/>
    <w:rsid w:val="00EB7C4E"/>
    <w:rsid w:val="00EC6D29"/>
    <w:rsid w:val="00F217EF"/>
    <w:rsid w:val="00F86D6D"/>
    <w:rsid w:val="00F86ED3"/>
    <w:rsid w:val="00F92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D8FAE"/>
  <w15:chartTrackingRefBased/>
  <w15:docId w15:val="{A53091C4-73DF-42F3-9DF7-67CAF9A0F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A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A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A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A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A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A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A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A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A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A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A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A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A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A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A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A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A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ABA"/>
    <w:rPr>
      <w:rFonts w:eastAsiaTheme="majorEastAsia" w:cstheme="majorBidi"/>
      <w:color w:val="272727" w:themeColor="text1" w:themeTint="D8"/>
    </w:rPr>
  </w:style>
  <w:style w:type="paragraph" w:styleId="Title">
    <w:name w:val="Title"/>
    <w:basedOn w:val="Normal"/>
    <w:next w:val="Normal"/>
    <w:link w:val="TitleChar"/>
    <w:uiPriority w:val="10"/>
    <w:qFormat/>
    <w:rsid w:val="00AA7A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A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A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A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ABA"/>
    <w:pPr>
      <w:spacing w:before="160"/>
      <w:jc w:val="center"/>
    </w:pPr>
    <w:rPr>
      <w:i/>
      <w:iCs/>
      <w:color w:val="404040" w:themeColor="text1" w:themeTint="BF"/>
    </w:rPr>
  </w:style>
  <w:style w:type="character" w:customStyle="1" w:styleId="QuoteChar">
    <w:name w:val="Quote Char"/>
    <w:basedOn w:val="DefaultParagraphFont"/>
    <w:link w:val="Quote"/>
    <w:uiPriority w:val="29"/>
    <w:rsid w:val="00AA7ABA"/>
    <w:rPr>
      <w:i/>
      <w:iCs/>
      <w:color w:val="404040" w:themeColor="text1" w:themeTint="BF"/>
    </w:rPr>
  </w:style>
  <w:style w:type="paragraph" w:styleId="ListParagraph">
    <w:name w:val="List Paragraph"/>
    <w:basedOn w:val="Normal"/>
    <w:uiPriority w:val="34"/>
    <w:qFormat/>
    <w:rsid w:val="00AA7ABA"/>
    <w:pPr>
      <w:ind w:left="720"/>
      <w:contextualSpacing/>
    </w:pPr>
  </w:style>
  <w:style w:type="character" w:styleId="IntenseEmphasis">
    <w:name w:val="Intense Emphasis"/>
    <w:basedOn w:val="DefaultParagraphFont"/>
    <w:uiPriority w:val="21"/>
    <w:qFormat/>
    <w:rsid w:val="00AA7ABA"/>
    <w:rPr>
      <w:i/>
      <w:iCs/>
      <w:color w:val="0F4761" w:themeColor="accent1" w:themeShade="BF"/>
    </w:rPr>
  </w:style>
  <w:style w:type="paragraph" w:styleId="IntenseQuote">
    <w:name w:val="Intense Quote"/>
    <w:basedOn w:val="Normal"/>
    <w:next w:val="Normal"/>
    <w:link w:val="IntenseQuoteChar"/>
    <w:uiPriority w:val="30"/>
    <w:qFormat/>
    <w:rsid w:val="00AA7A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ABA"/>
    <w:rPr>
      <w:i/>
      <w:iCs/>
      <w:color w:val="0F4761" w:themeColor="accent1" w:themeShade="BF"/>
    </w:rPr>
  </w:style>
  <w:style w:type="character" w:styleId="IntenseReference">
    <w:name w:val="Intense Reference"/>
    <w:basedOn w:val="DefaultParagraphFont"/>
    <w:uiPriority w:val="32"/>
    <w:qFormat/>
    <w:rsid w:val="00AA7ABA"/>
    <w:rPr>
      <w:b/>
      <w:bCs/>
      <w:smallCaps/>
      <w:color w:val="0F4761" w:themeColor="accent1" w:themeShade="BF"/>
      <w:spacing w:val="5"/>
    </w:rPr>
  </w:style>
  <w:style w:type="character" w:styleId="Hyperlink">
    <w:name w:val="Hyperlink"/>
    <w:basedOn w:val="DefaultParagraphFont"/>
    <w:uiPriority w:val="99"/>
    <w:unhideWhenUsed/>
    <w:rsid w:val="00721823"/>
    <w:rPr>
      <w:color w:val="467886" w:themeColor="hyperlink"/>
      <w:u w:val="single"/>
    </w:rPr>
  </w:style>
  <w:style w:type="character" w:styleId="UnresolvedMention">
    <w:name w:val="Unresolved Mention"/>
    <w:basedOn w:val="DefaultParagraphFont"/>
    <w:uiPriority w:val="99"/>
    <w:semiHidden/>
    <w:unhideWhenUsed/>
    <w:rsid w:val="00721823"/>
    <w:rPr>
      <w:color w:val="605E5C"/>
      <w:shd w:val="clear" w:color="auto" w:fill="E1DFDD"/>
    </w:rPr>
  </w:style>
  <w:style w:type="table" w:styleId="TableGrid">
    <w:name w:val="Table Grid"/>
    <w:basedOn w:val="TableNormal"/>
    <w:uiPriority w:val="39"/>
    <w:rsid w:val="003F6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55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5AF"/>
  </w:style>
  <w:style w:type="paragraph" w:styleId="Footer">
    <w:name w:val="footer"/>
    <w:basedOn w:val="Normal"/>
    <w:link w:val="FooterChar"/>
    <w:uiPriority w:val="99"/>
    <w:unhideWhenUsed/>
    <w:rsid w:val="002F5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5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7016">
      <w:bodyDiv w:val="1"/>
      <w:marLeft w:val="0"/>
      <w:marRight w:val="0"/>
      <w:marTop w:val="0"/>
      <w:marBottom w:val="0"/>
      <w:divBdr>
        <w:top w:val="none" w:sz="0" w:space="0" w:color="auto"/>
        <w:left w:val="none" w:sz="0" w:space="0" w:color="auto"/>
        <w:bottom w:val="none" w:sz="0" w:space="0" w:color="auto"/>
        <w:right w:val="none" w:sz="0" w:space="0" w:color="auto"/>
      </w:divBdr>
    </w:div>
    <w:div w:id="73936464">
      <w:bodyDiv w:val="1"/>
      <w:marLeft w:val="0"/>
      <w:marRight w:val="0"/>
      <w:marTop w:val="0"/>
      <w:marBottom w:val="0"/>
      <w:divBdr>
        <w:top w:val="none" w:sz="0" w:space="0" w:color="auto"/>
        <w:left w:val="none" w:sz="0" w:space="0" w:color="auto"/>
        <w:bottom w:val="none" w:sz="0" w:space="0" w:color="auto"/>
        <w:right w:val="none" w:sz="0" w:space="0" w:color="auto"/>
      </w:divBdr>
    </w:div>
    <w:div w:id="154499468">
      <w:bodyDiv w:val="1"/>
      <w:marLeft w:val="0"/>
      <w:marRight w:val="0"/>
      <w:marTop w:val="0"/>
      <w:marBottom w:val="0"/>
      <w:divBdr>
        <w:top w:val="none" w:sz="0" w:space="0" w:color="auto"/>
        <w:left w:val="none" w:sz="0" w:space="0" w:color="auto"/>
        <w:bottom w:val="none" w:sz="0" w:space="0" w:color="auto"/>
        <w:right w:val="none" w:sz="0" w:space="0" w:color="auto"/>
      </w:divBdr>
    </w:div>
    <w:div w:id="178355782">
      <w:bodyDiv w:val="1"/>
      <w:marLeft w:val="0"/>
      <w:marRight w:val="0"/>
      <w:marTop w:val="0"/>
      <w:marBottom w:val="0"/>
      <w:divBdr>
        <w:top w:val="none" w:sz="0" w:space="0" w:color="auto"/>
        <w:left w:val="none" w:sz="0" w:space="0" w:color="auto"/>
        <w:bottom w:val="none" w:sz="0" w:space="0" w:color="auto"/>
        <w:right w:val="none" w:sz="0" w:space="0" w:color="auto"/>
      </w:divBdr>
    </w:div>
    <w:div w:id="222915209">
      <w:bodyDiv w:val="1"/>
      <w:marLeft w:val="0"/>
      <w:marRight w:val="0"/>
      <w:marTop w:val="0"/>
      <w:marBottom w:val="0"/>
      <w:divBdr>
        <w:top w:val="none" w:sz="0" w:space="0" w:color="auto"/>
        <w:left w:val="none" w:sz="0" w:space="0" w:color="auto"/>
        <w:bottom w:val="none" w:sz="0" w:space="0" w:color="auto"/>
        <w:right w:val="none" w:sz="0" w:space="0" w:color="auto"/>
      </w:divBdr>
    </w:div>
    <w:div w:id="226694689">
      <w:bodyDiv w:val="1"/>
      <w:marLeft w:val="0"/>
      <w:marRight w:val="0"/>
      <w:marTop w:val="0"/>
      <w:marBottom w:val="0"/>
      <w:divBdr>
        <w:top w:val="none" w:sz="0" w:space="0" w:color="auto"/>
        <w:left w:val="none" w:sz="0" w:space="0" w:color="auto"/>
        <w:bottom w:val="none" w:sz="0" w:space="0" w:color="auto"/>
        <w:right w:val="none" w:sz="0" w:space="0" w:color="auto"/>
      </w:divBdr>
    </w:div>
    <w:div w:id="323895192">
      <w:bodyDiv w:val="1"/>
      <w:marLeft w:val="0"/>
      <w:marRight w:val="0"/>
      <w:marTop w:val="0"/>
      <w:marBottom w:val="0"/>
      <w:divBdr>
        <w:top w:val="none" w:sz="0" w:space="0" w:color="auto"/>
        <w:left w:val="none" w:sz="0" w:space="0" w:color="auto"/>
        <w:bottom w:val="none" w:sz="0" w:space="0" w:color="auto"/>
        <w:right w:val="none" w:sz="0" w:space="0" w:color="auto"/>
      </w:divBdr>
    </w:div>
    <w:div w:id="338042515">
      <w:bodyDiv w:val="1"/>
      <w:marLeft w:val="0"/>
      <w:marRight w:val="0"/>
      <w:marTop w:val="0"/>
      <w:marBottom w:val="0"/>
      <w:divBdr>
        <w:top w:val="none" w:sz="0" w:space="0" w:color="auto"/>
        <w:left w:val="none" w:sz="0" w:space="0" w:color="auto"/>
        <w:bottom w:val="none" w:sz="0" w:space="0" w:color="auto"/>
        <w:right w:val="none" w:sz="0" w:space="0" w:color="auto"/>
      </w:divBdr>
    </w:div>
    <w:div w:id="377709201">
      <w:bodyDiv w:val="1"/>
      <w:marLeft w:val="0"/>
      <w:marRight w:val="0"/>
      <w:marTop w:val="0"/>
      <w:marBottom w:val="0"/>
      <w:divBdr>
        <w:top w:val="none" w:sz="0" w:space="0" w:color="auto"/>
        <w:left w:val="none" w:sz="0" w:space="0" w:color="auto"/>
        <w:bottom w:val="none" w:sz="0" w:space="0" w:color="auto"/>
        <w:right w:val="none" w:sz="0" w:space="0" w:color="auto"/>
      </w:divBdr>
    </w:div>
    <w:div w:id="377751153">
      <w:bodyDiv w:val="1"/>
      <w:marLeft w:val="0"/>
      <w:marRight w:val="0"/>
      <w:marTop w:val="0"/>
      <w:marBottom w:val="0"/>
      <w:divBdr>
        <w:top w:val="none" w:sz="0" w:space="0" w:color="auto"/>
        <w:left w:val="none" w:sz="0" w:space="0" w:color="auto"/>
        <w:bottom w:val="none" w:sz="0" w:space="0" w:color="auto"/>
        <w:right w:val="none" w:sz="0" w:space="0" w:color="auto"/>
      </w:divBdr>
    </w:div>
    <w:div w:id="392775124">
      <w:bodyDiv w:val="1"/>
      <w:marLeft w:val="0"/>
      <w:marRight w:val="0"/>
      <w:marTop w:val="0"/>
      <w:marBottom w:val="0"/>
      <w:divBdr>
        <w:top w:val="none" w:sz="0" w:space="0" w:color="auto"/>
        <w:left w:val="none" w:sz="0" w:space="0" w:color="auto"/>
        <w:bottom w:val="none" w:sz="0" w:space="0" w:color="auto"/>
        <w:right w:val="none" w:sz="0" w:space="0" w:color="auto"/>
      </w:divBdr>
    </w:div>
    <w:div w:id="400753836">
      <w:bodyDiv w:val="1"/>
      <w:marLeft w:val="0"/>
      <w:marRight w:val="0"/>
      <w:marTop w:val="0"/>
      <w:marBottom w:val="0"/>
      <w:divBdr>
        <w:top w:val="none" w:sz="0" w:space="0" w:color="auto"/>
        <w:left w:val="none" w:sz="0" w:space="0" w:color="auto"/>
        <w:bottom w:val="none" w:sz="0" w:space="0" w:color="auto"/>
        <w:right w:val="none" w:sz="0" w:space="0" w:color="auto"/>
      </w:divBdr>
      <w:divsChild>
        <w:div w:id="1992753209">
          <w:marLeft w:val="0"/>
          <w:marRight w:val="0"/>
          <w:marTop w:val="0"/>
          <w:marBottom w:val="0"/>
          <w:divBdr>
            <w:top w:val="none" w:sz="0" w:space="0" w:color="auto"/>
            <w:left w:val="none" w:sz="0" w:space="0" w:color="auto"/>
            <w:bottom w:val="none" w:sz="0" w:space="0" w:color="auto"/>
            <w:right w:val="none" w:sz="0" w:space="0" w:color="auto"/>
          </w:divBdr>
          <w:divsChild>
            <w:div w:id="1010765294">
              <w:marLeft w:val="0"/>
              <w:marRight w:val="0"/>
              <w:marTop w:val="0"/>
              <w:marBottom w:val="0"/>
              <w:divBdr>
                <w:top w:val="none" w:sz="0" w:space="0" w:color="auto"/>
                <w:left w:val="none" w:sz="0" w:space="0" w:color="auto"/>
                <w:bottom w:val="none" w:sz="0" w:space="0" w:color="auto"/>
                <w:right w:val="none" w:sz="0" w:space="0" w:color="auto"/>
              </w:divBdr>
              <w:divsChild>
                <w:div w:id="14858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445395">
          <w:marLeft w:val="0"/>
          <w:marRight w:val="0"/>
          <w:marTop w:val="0"/>
          <w:marBottom w:val="0"/>
          <w:divBdr>
            <w:top w:val="none" w:sz="0" w:space="0" w:color="auto"/>
            <w:left w:val="none" w:sz="0" w:space="0" w:color="auto"/>
            <w:bottom w:val="none" w:sz="0" w:space="0" w:color="auto"/>
            <w:right w:val="none" w:sz="0" w:space="0" w:color="auto"/>
          </w:divBdr>
          <w:divsChild>
            <w:div w:id="1684282371">
              <w:marLeft w:val="0"/>
              <w:marRight w:val="0"/>
              <w:marTop w:val="0"/>
              <w:marBottom w:val="0"/>
              <w:divBdr>
                <w:top w:val="none" w:sz="0" w:space="0" w:color="auto"/>
                <w:left w:val="none" w:sz="0" w:space="0" w:color="auto"/>
                <w:bottom w:val="none" w:sz="0" w:space="0" w:color="auto"/>
                <w:right w:val="none" w:sz="0" w:space="0" w:color="auto"/>
              </w:divBdr>
              <w:divsChild>
                <w:div w:id="11260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4778">
          <w:marLeft w:val="0"/>
          <w:marRight w:val="0"/>
          <w:marTop w:val="0"/>
          <w:marBottom w:val="0"/>
          <w:divBdr>
            <w:top w:val="none" w:sz="0" w:space="0" w:color="auto"/>
            <w:left w:val="none" w:sz="0" w:space="0" w:color="auto"/>
            <w:bottom w:val="none" w:sz="0" w:space="0" w:color="auto"/>
            <w:right w:val="none" w:sz="0" w:space="0" w:color="auto"/>
          </w:divBdr>
          <w:divsChild>
            <w:div w:id="555898829">
              <w:marLeft w:val="0"/>
              <w:marRight w:val="0"/>
              <w:marTop w:val="0"/>
              <w:marBottom w:val="0"/>
              <w:divBdr>
                <w:top w:val="none" w:sz="0" w:space="0" w:color="auto"/>
                <w:left w:val="none" w:sz="0" w:space="0" w:color="auto"/>
                <w:bottom w:val="none" w:sz="0" w:space="0" w:color="auto"/>
                <w:right w:val="none" w:sz="0" w:space="0" w:color="auto"/>
              </w:divBdr>
              <w:divsChild>
                <w:div w:id="75078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261037">
      <w:bodyDiv w:val="1"/>
      <w:marLeft w:val="0"/>
      <w:marRight w:val="0"/>
      <w:marTop w:val="0"/>
      <w:marBottom w:val="0"/>
      <w:divBdr>
        <w:top w:val="none" w:sz="0" w:space="0" w:color="auto"/>
        <w:left w:val="none" w:sz="0" w:space="0" w:color="auto"/>
        <w:bottom w:val="none" w:sz="0" w:space="0" w:color="auto"/>
        <w:right w:val="none" w:sz="0" w:space="0" w:color="auto"/>
      </w:divBdr>
    </w:div>
    <w:div w:id="578251884">
      <w:bodyDiv w:val="1"/>
      <w:marLeft w:val="0"/>
      <w:marRight w:val="0"/>
      <w:marTop w:val="0"/>
      <w:marBottom w:val="0"/>
      <w:divBdr>
        <w:top w:val="none" w:sz="0" w:space="0" w:color="auto"/>
        <w:left w:val="none" w:sz="0" w:space="0" w:color="auto"/>
        <w:bottom w:val="none" w:sz="0" w:space="0" w:color="auto"/>
        <w:right w:val="none" w:sz="0" w:space="0" w:color="auto"/>
      </w:divBdr>
    </w:div>
    <w:div w:id="631063339">
      <w:bodyDiv w:val="1"/>
      <w:marLeft w:val="0"/>
      <w:marRight w:val="0"/>
      <w:marTop w:val="0"/>
      <w:marBottom w:val="0"/>
      <w:divBdr>
        <w:top w:val="none" w:sz="0" w:space="0" w:color="auto"/>
        <w:left w:val="none" w:sz="0" w:space="0" w:color="auto"/>
        <w:bottom w:val="none" w:sz="0" w:space="0" w:color="auto"/>
        <w:right w:val="none" w:sz="0" w:space="0" w:color="auto"/>
      </w:divBdr>
    </w:div>
    <w:div w:id="691691953">
      <w:bodyDiv w:val="1"/>
      <w:marLeft w:val="0"/>
      <w:marRight w:val="0"/>
      <w:marTop w:val="0"/>
      <w:marBottom w:val="0"/>
      <w:divBdr>
        <w:top w:val="none" w:sz="0" w:space="0" w:color="auto"/>
        <w:left w:val="none" w:sz="0" w:space="0" w:color="auto"/>
        <w:bottom w:val="none" w:sz="0" w:space="0" w:color="auto"/>
        <w:right w:val="none" w:sz="0" w:space="0" w:color="auto"/>
      </w:divBdr>
    </w:div>
    <w:div w:id="694188126">
      <w:bodyDiv w:val="1"/>
      <w:marLeft w:val="0"/>
      <w:marRight w:val="0"/>
      <w:marTop w:val="0"/>
      <w:marBottom w:val="0"/>
      <w:divBdr>
        <w:top w:val="none" w:sz="0" w:space="0" w:color="auto"/>
        <w:left w:val="none" w:sz="0" w:space="0" w:color="auto"/>
        <w:bottom w:val="none" w:sz="0" w:space="0" w:color="auto"/>
        <w:right w:val="none" w:sz="0" w:space="0" w:color="auto"/>
      </w:divBdr>
    </w:div>
    <w:div w:id="748232088">
      <w:bodyDiv w:val="1"/>
      <w:marLeft w:val="0"/>
      <w:marRight w:val="0"/>
      <w:marTop w:val="0"/>
      <w:marBottom w:val="0"/>
      <w:divBdr>
        <w:top w:val="none" w:sz="0" w:space="0" w:color="auto"/>
        <w:left w:val="none" w:sz="0" w:space="0" w:color="auto"/>
        <w:bottom w:val="none" w:sz="0" w:space="0" w:color="auto"/>
        <w:right w:val="none" w:sz="0" w:space="0" w:color="auto"/>
      </w:divBdr>
      <w:divsChild>
        <w:div w:id="1344357372">
          <w:marLeft w:val="0"/>
          <w:marRight w:val="0"/>
          <w:marTop w:val="0"/>
          <w:marBottom w:val="0"/>
          <w:divBdr>
            <w:top w:val="none" w:sz="0" w:space="0" w:color="auto"/>
            <w:left w:val="none" w:sz="0" w:space="0" w:color="auto"/>
            <w:bottom w:val="none" w:sz="0" w:space="0" w:color="auto"/>
            <w:right w:val="none" w:sz="0" w:space="0" w:color="auto"/>
          </w:divBdr>
          <w:divsChild>
            <w:div w:id="1397630754">
              <w:marLeft w:val="0"/>
              <w:marRight w:val="0"/>
              <w:marTop w:val="0"/>
              <w:marBottom w:val="0"/>
              <w:divBdr>
                <w:top w:val="none" w:sz="0" w:space="0" w:color="auto"/>
                <w:left w:val="none" w:sz="0" w:space="0" w:color="auto"/>
                <w:bottom w:val="none" w:sz="0" w:space="0" w:color="auto"/>
                <w:right w:val="none" w:sz="0" w:space="0" w:color="auto"/>
              </w:divBdr>
              <w:divsChild>
                <w:div w:id="114971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90351">
          <w:marLeft w:val="0"/>
          <w:marRight w:val="0"/>
          <w:marTop w:val="0"/>
          <w:marBottom w:val="0"/>
          <w:divBdr>
            <w:top w:val="none" w:sz="0" w:space="0" w:color="auto"/>
            <w:left w:val="none" w:sz="0" w:space="0" w:color="auto"/>
            <w:bottom w:val="none" w:sz="0" w:space="0" w:color="auto"/>
            <w:right w:val="none" w:sz="0" w:space="0" w:color="auto"/>
          </w:divBdr>
          <w:divsChild>
            <w:div w:id="54672215">
              <w:marLeft w:val="0"/>
              <w:marRight w:val="0"/>
              <w:marTop w:val="0"/>
              <w:marBottom w:val="0"/>
              <w:divBdr>
                <w:top w:val="none" w:sz="0" w:space="0" w:color="auto"/>
                <w:left w:val="none" w:sz="0" w:space="0" w:color="auto"/>
                <w:bottom w:val="none" w:sz="0" w:space="0" w:color="auto"/>
                <w:right w:val="none" w:sz="0" w:space="0" w:color="auto"/>
              </w:divBdr>
              <w:divsChild>
                <w:div w:id="68559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710182">
          <w:marLeft w:val="0"/>
          <w:marRight w:val="0"/>
          <w:marTop w:val="0"/>
          <w:marBottom w:val="0"/>
          <w:divBdr>
            <w:top w:val="none" w:sz="0" w:space="0" w:color="auto"/>
            <w:left w:val="none" w:sz="0" w:space="0" w:color="auto"/>
            <w:bottom w:val="none" w:sz="0" w:space="0" w:color="auto"/>
            <w:right w:val="none" w:sz="0" w:space="0" w:color="auto"/>
          </w:divBdr>
          <w:divsChild>
            <w:div w:id="1388605572">
              <w:marLeft w:val="0"/>
              <w:marRight w:val="0"/>
              <w:marTop w:val="0"/>
              <w:marBottom w:val="0"/>
              <w:divBdr>
                <w:top w:val="none" w:sz="0" w:space="0" w:color="auto"/>
                <w:left w:val="none" w:sz="0" w:space="0" w:color="auto"/>
                <w:bottom w:val="none" w:sz="0" w:space="0" w:color="auto"/>
                <w:right w:val="none" w:sz="0" w:space="0" w:color="auto"/>
              </w:divBdr>
              <w:divsChild>
                <w:div w:id="168207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434084">
      <w:bodyDiv w:val="1"/>
      <w:marLeft w:val="0"/>
      <w:marRight w:val="0"/>
      <w:marTop w:val="0"/>
      <w:marBottom w:val="0"/>
      <w:divBdr>
        <w:top w:val="none" w:sz="0" w:space="0" w:color="auto"/>
        <w:left w:val="none" w:sz="0" w:space="0" w:color="auto"/>
        <w:bottom w:val="none" w:sz="0" w:space="0" w:color="auto"/>
        <w:right w:val="none" w:sz="0" w:space="0" w:color="auto"/>
      </w:divBdr>
    </w:div>
    <w:div w:id="885678182">
      <w:bodyDiv w:val="1"/>
      <w:marLeft w:val="0"/>
      <w:marRight w:val="0"/>
      <w:marTop w:val="0"/>
      <w:marBottom w:val="0"/>
      <w:divBdr>
        <w:top w:val="none" w:sz="0" w:space="0" w:color="auto"/>
        <w:left w:val="none" w:sz="0" w:space="0" w:color="auto"/>
        <w:bottom w:val="none" w:sz="0" w:space="0" w:color="auto"/>
        <w:right w:val="none" w:sz="0" w:space="0" w:color="auto"/>
      </w:divBdr>
    </w:div>
    <w:div w:id="1060715193">
      <w:bodyDiv w:val="1"/>
      <w:marLeft w:val="0"/>
      <w:marRight w:val="0"/>
      <w:marTop w:val="0"/>
      <w:marBottom w:val="0"/>
      <w:divBdr>
        <w:top w:val="none" w:sz="0" w:space="0" w:color="auto"/>
        <w:left w:val="none" w:sz="0" w:space="0" w:color="auto"/>
        <w:bottom w:val="none" w:sz="0" w:space="0" w:color="auto"/>
        <w:right w:val="none" w:sz="0" w:space="0" w:color="auto"/>
      </w:divBdr>
    </w:div>
    <w:div w:id="1080175867">
      <w:bodyDiv w:val="1"/>
      <w:marLeft w:val="0"/>
      <w:marRight w:val="0"/>
      <w:marTop w:val="0"/>
      <w:marBottom w:val="0"/>
      <w:divBdr>
        <w:top w:val="none" w:sz="0" w:space="0" w:color="auto"/>
        <w:left w:val="none" w:sz="0" w:space="0" w:color="auto"/>
        <w:bottom w:val="none" w:sz="0" w:space="0" w:color="auto"/>
        <w:right w:val="none" w:sz="0" w:space="0" w:color="auto"/>
      </w:divBdr>
    </w:div>
    <w:div w:id="1087579342">
      <w:bodyDiv w:val="1"/>
      <w:marLeft w:val="0"/>
      <w:marRight w:val="0"/>
      <w:marTop w:val="0"/>
      <w:marBottom w:val="0"/>
      <w:divBdr>
        <w:top w:val="none" w:sz="0" w:space="0" w:color="auto"/>
        <w:left w:val="none" w:sz="0" w:space="0" w:color="auto"/>
        <w:bottom w:val="none" w:sz="0" w:space="0" w:color="auto"/>
        <w:right w:val="none" w:sz="0" w:space="0" w:color="auto"/>
      </w:divBdr>
    </w:div>
    <w:div w:id="1089424416">
      <w:bodyDiv w:val="1"/>
      <w:marLeft w:val="0"/>
      <w:marRight w:val="0"/>
      <w:marTop w:val="0"/>
      <w:marBottom w:val="0"/>
      <w:divBdr>
        <w:top w:val="none" w:sz="0" w:space="0" w:color="auto"/>
        <w:left w:val="none" w:sz="0" w:space="0" w:color="auto"/>
        <w:bottom w:val="none" w:sz="0" w:space="0" w:color="auto"/>
        <w:right w:val="none" w:sz="0" w:space="0" w:color="auto"/>
      </w:divBdr>
    </w:div>
    <w:div w:id="1236823592">
      <w:bodyDiv w:val="1"/>
      <w:marLeft w:val="0"/>
      <w:marRight w:val="0"/>
      <w:marTop w:val="0"/>
      <w:marBottom w:val="0"/>
      <w:divBdr>
        <w:top w:val="none" w:sz="0" w:space="0" w:color="auto"/>
        <w:left w:val="none" w:sz="0" w:space="0" w:color="auto"/>
        <w:bottom w:val="none" w:sz="0" w:space="0" w:color="auto"/>
        <w:right w:val="none" w:sz="0" w:space="0" w:color="auto"/>
      </w:divBdr>
    </w:div>
    <w:div w:id="1270502124">
      <w:bodyDiv w:val="1"/>
      <w:marLeft w:val="0"/>
      <w:marRight w:val="0"/>
      <w:marTop w:val="0"/>
      <w:marBottom w:val="0"/>
      <w:divBdr>
        <w:top w:val="none" w:sz="0" w:space="0" w:color="auto"/>
        <w:left w:val="none" w:sz="0" w:space="0" w:color="auto"/>
        <w:bottom w:val="none" w:sz="0" w:space="0" w:color="auto"/>
        <w:right w:val="none" w:sz="0" w:space="0" w:color="auto"/>
      </w:divBdr>
    </w:div>
    <w:div w:id="1280188218">
      <w:bodyDiv w:val="1"/>
      <w:marLeft w:val="0"/>
      <w:marRight w:val="0"/>
      <w:marTop w:val="0"/>
      <w:marBottom w:val="0"/>
      <w:divBdr>
        <w:top w:val="none" w:sz="0" w:space="0" w:color="auto"/>
        <w:left w:val="none" w:sz="0" w:space="0" w:color="auto"/>
        <w:bottom w:val="none" w:sz="0" w:space="0" w:color="auto"/>
        <w:right w:val="none" w:sz="0" w:space="0" w:color="auto"/>
      </w:divBdr>
    </w:div>
    <w:div w:id="1337995978">
      <w:bodyDiv w:val="1"/>
      <w:marLeft w:val="0"/>
      <w:marRight w:val="0"/>
      <w:marTop w:val="0"/>
      <w:marBottom w:val="0"/>
      <w:divBdr>
        <w:top w:val="none" w:sz="0" w:space="0" w:color="auto"/>
        <w:left w:val="none" w:sz="0" w:space="0" w:color="auto"/>
        <w:bottom w:val="none" w:sz="0" w:space="0" w:color="auto"/>
        <w:right w:val="none" w:sz="0" w:space="0" w:color="auto"/>
      </w:divBdr>
    </w:div>
    <w:div w:id="1349797411">
      <w:bodyDiv w:val="1"/>
      <w:marLeft w:val="0"/>
      <w:marRight w:val="0"/>
      <w:marTop w:val="0"/>
      <w:marBottom w:val="0"/>
      <w:divBdr>
        <w:top w:val="none" w:sz="0" w:space="0" w:color="auto"/>
        <w:left w:val="none" w:sz="0" w:space="0" w:color="auto"/>
        <w:bottom w:val="none" w:sz="0" w:space="0" w:color="auto"/>
        <w:right w:val="none" w:sz="0" w:space="0" w:color="auto"/>
      </w:divBdr>
    </w:div>
    <w:div w:id="1387992739">
      <w:bodyDiv w:val="1"/>
      <w:marLeft w:val="0"/>
      <w:marRight w:val="0"/>
      <w:marTop w:val="0"/>
      <w:marBottom w:val="0"/>
      <w:divBdr>
        <w:top w:val="none" w:sz="0" w:space="0" w:color="auto"/>
        <w:left w:val="none" w:sz="0" w:space="0" w:color="auto"/>
        <w:bottom w:val="none" w:sz="0" w:space="0" w:color="auto"/>
        <w:right w:val="none" w:sz="0" w:space="0" w:color="auto"/>
      </w:divBdr>
    </w:div>
    <w:div w:id="1450205193">
      <w:bodyDiv w:val="1"/>
      <w:marLeft w:val="0"/>
      <w:marRight w:val="0"/>
      <w:marTop w:val="0"/>
      <w:marBottom w:val="0"/>
      <w:divBdr>
        <w:top w:val="none" w:sz="0" w:space="0" w:color="auto"/>
        <w:left w:val="none" w:sz="0" w:space="0" w:color="auto"/>
        <w:bottom w:val="none" w:sz="0" w:space="0" w:color="auto"/>
        <w:right w:val="none" w:sz="0" w:space="0" w:color="auto"/>
      </w:divBdr>
    </w:div>
    <w:div w:id="1519387852">
      <w:bodyDiv w:val="1"/>
      <w:marLeft w:val="0"/>
      <w:marRight w:val="0"/>
      <w:marTop w:val="0"/>
      <w:marBottom w:val="0"/>
      <w:divBdr>
        <w:top w:val="none" w:sz="0" w:space="0" w:color="auto"/>
        <w:left w:val="none" w:sz="0" w:space="0" w:color="auto"/>
        <w:bottom w:val="none" w:sz="0" w:space="0" w:color="auto"/>
        <w:right w:val="none" w:sz="0" w:space="0" w:color="auto"/>
      </w:divBdr>
    </w:div>
    <w:div w:id="1541479218">
      <w:bodyDiv w:val="1"/>
      <w:marLeft w:val="0"/>
      <w:marRight w:val="0"/>
      <w:marTop w:val="0"/>
      <w:marBottom w:val="0"/>
      <w:divBdr>
        <w:top w:val="none" w:sz="0" w:space="0" w:color="auto"/>
        <w:left w:val="none" w:sz="0" w:space="0" w:color="auto"/>
        <w:bottom w:val="none" w:sz="0" w:space="0" w:color="auto"/>
        <w:right w:val="none" w:sz="0" w:space="0" w:color="auto"/>
      </w:divBdr>
    </w:div>
    <w:div w:id="1569657799">
      <w:bodyDiv w:val="1"/>
      <w:marLeft w:val="0"/>
      <w:marRight w:val="0"/>
      <w:marTop w:val="0"/>
      <w:marBottom w:val="0"/>
      <w:divBdr>
        <w:top w:val="none" w:sz="0" w:space="0" w:color="auto"/>
        <w:left w:val="none" w:sz="0" w:space="0" w:color="auto"/>
        <w:bottom w:val="none" w:sz="0" w:space="0" w:color="auto"/>
        <w:right w:val="none" w:sz="0" w:space="0" w:color="auto"/>
      </w:divBdr>
    </w:div>
    <w:div w:id="1572230656">
      <w:bodyDiv w:val="1"/>
      <w:marLeft w:val="0"/>
      <w:marRight w:val="0"/>
      <w:marTop w:val="0"/>
      <w:marBottom w:val="0"/>
      <w:divBdr>
        <w:top w:val="none" w:sz="0" w:space="0" w:color="auto"/>
        <w:left w:val="none" w:sz="0" w:space="0" w:color="auto"/>
        <w:bottom w:val="none" w:sz="0" w:space="0" w:color="auto"/>
        <w:right w:val="none" w:sz="0" w:space="0" w:color="auto"/>
      </w:divBdr>
    </w:div>
    <w:div w:id="1580168125">
      <w:bodyDiv w:val="1"/>
      <w:marLeft w:val="0"/>
      <w:marRight w:val="0"/>
      <w:marTop w:val="0"/>
      <w:marBottom w:val="0"/>
      <w:divBdr>
        <w:top w:val="none" w:sz="0" w:space="0" w:color="auto"/>
        <w:left w:val="none" w:sz="0" w:space="0" w:color="auto"/>
        <w:bottom w:val="none" w:sz="0" w:space="0" w:color="auto"/>
        <w:right w:val="none" w:sz="0" w:space="0" w:color="auto"/>
      </w:divBdr>
    </w:div>
    <w:div w:id="1587953572">
      <w:bodyDiv w:val="1"/>
      <w:marLeft w:val="0"/>
      <w:marRight w:val="0"/>
      <w:marTop w:val="0"/>
      <w:marBottom w:val="0"/>
      <w:divBdr>
        <w:top w:val="none" w:sz="0" w:space="0" w:color="auto"/>
        <w:left w:val="none" w:sz="0" w:space="0" w:color="auto"/>
        <w:bottom w:val="none" w:sz="0" w:space="0" w:color="auto"/>
        <w:right w:val="none" w:sz="0" w:space="0" w:color="auto"/>
      </w:divBdr>
    </w:div>
    <w:div w:id="1593591131">
      <w:bodyDiv w:val="1"/>
      <w:marLeft w:val="0"/>
      <w:marRight w:val="0"/>
      <w:marTop w:val="0"/>
      <w:marBottom w:val="0"/>
      <w:divBdr>
        <w:top w:val="none" w:sz="0" w:space="0" w:color="auto"/>
        <w:left w:val="none" w:sz="0" w:space="0" w:color="auto"/>
        <w:bottom w:val="none" w:sz="0" w:space="0" w:color="auto"/>
        <w:right w:val="none" w:sz="0" w:space="0" w:color="auto"/>
      </w:divBdr>
    </w:div>
    <w:div w:id="1609969763">
      <w:bodyDiv w:val="1"/>
      <w:marLeft w:val="0"/>
      <w:marRight w:val="0"/>
      <w:marTop w:val="0"/>
      <w:marBottom w:val="0"/>
      <w:divBdr>
        <w:top w:val="none" w:sz="0" w:space="0" w:color="auto"/>
        <w:left w:val="none" w:sz="0" w:space="0" w:color="auto"/>
        <w:bottom w:val="none" w:sz="0" w:space="0" w:color="auto"/>
        <w:right w:val="none" w:sz="0" w:space="0" w:color="auto"/>
      </w:divBdr>
    </w:div>
    <w:div w:id="1642685341">
      <w:bodyDiv w:val="1"/>
      <w:marLeft w:val="0"/>
      <w:marRight w:val="0"/>
      <w:marTop w:val="0"/>
      <w:marBottom w:val="0"/>
      <w:divBdr>
        <w:top w:val="none" w:sz="0" w:space="0" w:color="auto"/>
        <w:left w:val="none" w:sz="0" w:space="0" w:color="auto"/>
        <w:bottom w:val="none" w:sz="0" w:space="0" w:color="auto"/>
        <w:right w:val="none" w:sz="0" w:space="0" w:color="auto"/>
      </w:divBdr>
    </w:div>
    <w:div w:id="1656034648">
      <w:bodyDiv w:val="1"/>
      <w:marLeft w:val="0"/>
      <w:marRight w:val="0"/>
      <w:marTop w:val="0"/>
      <w:marBottom w:val="0"/>
      <w:divBdr>
        <w:top w:val="none" w:sz="0" w:space="0" w:color="auto"/>
        <w:left w:val="none" w:sz="0" w:space="0" w:color="auto"/>
        <w:bottom w:val="none" w:sz="0" w:space="0" w:color="auto"/>
        <w:right w:val="none" w:sz="0" w:space="0" w:color="auto"/>
      </w:divBdr>
    </w:div>
    <w:div w:id="1703944360">
      <w:bodyDiv w:val="1"/>
      <w:marLeft w:val="0"/>
      <w:marRight w:val="0"/>
      <w:marTop w:val="0"/>
      <w:marBottom w:val="0"/>
      <w:divBdr>
        <w:top w:val="none" w:sz="0" w:space="0" w:color="auto"/>
        <w:left w:val="none" w:sz="0" w:space="0" w:color="auto"/>
        <w:bottom w:val="none" w:sz="0" w:space="0" w:color="auto"/>
        <w:right w:val="none" w:sz="0" w:space="0" w:color="auto"/>
      </w:divBdr>
    </w:div>
    <w:div w:id="1801411377">
      <w:bodyDiv w:val="1"/>
      <w:marLeft w:val="0"/>
      <w:marRight w:val="0"/>
      <w:marTop w:val="0"/>
      <w:marBottom w:val="0"/>
      <w:divBdr>
        <w:top w:val="none" w:sz="0" w:space="0" w:color="auto"/>
        <w:left w:val="none" w:sz="0" w:space="0" w:color="auto"/>
        <w:bottom w:val="none" w:sz="0" w:space="0" w:color="auto"/>
        <w:right w:val="none" w:sz="0" w:space="0" w:color="auto"/>
      </w:divBdr>
    </w:div>
    <w:div w:id="1801414474">
      <w:bodyDiv w:val="1"/>
      <w:marLeft w:val="0"/>
      <w:marRight w:val="0"/>
      <w:marTop w:val="0"/>
      <w:marBottom w:val="0"/>
      <w:divBdr>
        <w:top w:val="none" w:sz="0" w:space="0" w:color="auto"/>
        <w:left w:val="none" w:sz="0" w:space="0" w:color="auto"/>
        <w:bottom w:val="none" w:sz="0" w:space="0" w:color="auto"/>
        <w:right w:val="none" w:sz="0" w:space="0" w:color="auto"/>
      </w:divBdr>
    </w:div>
    <w:div w:id="1826897044">
      <w:bodyDiv w:val="1"/>
      <w:marLeft w:val="0"/>
      <w:marRight w:val="0"/>
      <w:marTop w:val="0"/>
      <w:marBottom w:val="0"/>
      <w:divBdr>
        <w:top w:val="none" w:sz="0" w:space="0" w:color="auto"/>
        <w:left w:val="none" w:sz="0" w:space="0" w:color="auto"/>
        <w:bottom w:val="none" w:sz="0" w:space="0" w:color="auto"/>
        <w:right w:val="none" w:sz="0" w:space="0" w:color="auto"/>
      </w:divBdr>
    </w:div>
    <w:div w:id="1865364840">
      <w:bodyDiv w:val="1"/>
      <w:marLeft w:val="0"/>
      <w:marRight w:val="0"/>
      <w:marTop w:val="0"/>
      <w:marBottom w:val="0"/>
      <w:divBdr>
        <w:top w:val="none" w:sz="0" w:space="0" w:color="auto"/>
        <w:left w:val="none" w:sz="0" w:space="0" w:color="auto"/>
        <w:bottom w:val="none" w:sz="0" w:space="0" w:color="auto"/>
        <w:right w:val="none" w:sz="0" w:space="0" w:color="auto"/>
      </w:divBdr>
    </w:div>
    <w:div w:id="2067875351">
      <w:bodyDiv w:val="1"/>
      <w:marLeft w:val="0"/>
      <w:marRight w:val="0"/>
      <w:marTop w:val="0"/>
      <w:marBottom w:val="0"/>
      <w:divBdr>
        <w:top w:val="none" w:sz="0" w:space="0" w:color="auto"/>
        <w:left w:val="none" w:sz="0" w:space="0" w:color="auto"/>
        <w:bottom w:val="none" w:sz="0" w:space="0" w:color="auto"/>
        <w:right w:val="none" w:sz="0" w:space="0" w:color="auto"/>
      </w:divBdr>
    </w:div>
    <w:div w:id="2104641499">
      <w:bodyDiv w:val="1"/>
      <w:marLeft w:val="0"/>
      <w:marRight w:val="0"/>
      <w:marTop w:val="0"/>
      <w:marBottom w:val="0"/>
      <w:divBdr>
        <w:top w:val="none" w:sz="0" w:space="0" w:color="auto"/>
        <w:left w:val="none" w:sz="0" w:space="0" w:color="auto"/>
        <w:bottom w:val="none" w:sz="0" w:space="0" w:color="auto"/>
        <w:right w:val="none" w:sz="0" w:space="0" w:color="auto"/>
      </w:divBdr>
    </w:div>
    <w:div w:id="212939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motiveworld.com/news-releases/jlr-delivers-strong-full-year-performance" TargetMode="External"/><Relationship Id="rId13" Type="http://schemas.openxmlformats.org/officeDocument/2006/relationships/hyperlink" Target="https://www.jlr.com/sustainability" TargetMode="External"/><Relationship Id="rId18" Type="http://schemas.openxmlformats.org/officeDocument/2006/relationships/hyperlink" Target="https://journal.unnes.ac.id/sju/index.php/aaj/article/view/6739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s://www.jlr.com/reimagine" TargetMode="External"/><Relationship Id="rId17" Type="http://schemas.openxmlformats.org/officeDocument/2006/relationships/hyperlink" Target="DOI:&#160;https://doi.org/10.58691/man/212623" TargetMode="External"/><Relationship Id="rId2" Type="http://schemas.openxmlformats.org/officeDocument/2006/relationships/styles" Target="styles.xml"/><Relationship Id="rId16" Type="http://schemas.openxmlformats.org/officeDocument/2006/relationships/hyperlink" Target="https://www.ifac.org/knowledge-gateway/discussion/case-study-connecting-finance-and-sustainability-jaguar-land-rover-jlr-automotive-plc"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lr.com/annual-report-2025" TargetMode="External"/><Relationship Id="rId5" Type="http://schemas.openxmlformats.org/officeDocument/2006/relationships/footnotes" Target="footnotes.xml"/><Relationship Id="rId15" Type="http://schemas.openxmlformats.org/officeDocument/2006/relationships/hyperlink" Target="https://media.jaguarlandrover.com/news/2025/05/jlr-delivers-strong-full-year-performance" TargetMode="External"/><Relationship Id="rId10" Type="http://schemas.openxmlformats.org/officeDocument/2006/relationships/hyperlink" Target="https://www.ifac.org/knowledge-gateway/discussion/case-study-connecting-finance-and-sustainability-jaguar-land-rover-jlr-automotive-plc" TargetMode="External"/><Relationship Id="rId19" Type="http://schemas.openxmlformats.org/officeDocument/2006/relationships/hyperlink" Target="https://ideas.repec.org/a/eee/proeco/v53y1997i1p43-55.html" TargetMode="External"/><Relationship Id="rId4" Type="http://schemas.openxmlformats.org/officeDocument/2006/relationships/webSettings" Target="webSettings.xml"/><Relationship Id="rId9" Type="http://schemas.openxmlformats.org/officeDocument/2006/relationships/hyperlink" Target="https://www.aicpa-cima.com/resources/download/management-accounting-for-embedding-net-zero-goals-in-an-automotive-company" TargetMode="External"/><Relationship Id="rId14" Type="http://schemas.openxmlformats.org/officeDocument/2006/relationships/hyperlink" Target="https://cberuk.com/cdn/conference_proceedings/conference_2357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3303</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munteanu</dc:creator>
  <cp:keywords/>
  <dc:description/>
  <cp:lastModifiedBy>daniela munteanu</cp:lastModifiedBy>
  <cp:revision>24</cp:revision>
  <dcterms:created xsi:type="dcterms:W3CDTF">2026-02-28T10:51:00Z</dcterms:created>
  <dcterms:modified xsi:type="dcterms:W3CDTF">2026-02-28T21:08:00Z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267998a3-e75d-4cd9-b21a-3cca4feccad6</vt:lpwstr>
  </property>
</Properties>
</file>