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8FFB9" w14:textId="77777777" w:rsidR="00601F34" w:rsidRDefault="00000000">
      <w:pPr>
        <w:spacing w:line="360" w:lineRule="auto"/>
        <w:jc w:val="both"/>
        <w:rPr>
          <w:sz w:val="24"/>
          <w:szCs w:val="24"/>
        </w:rPr>
      </w:pPr>
      <w:r>
        <w:rPr>
          <w:noProof/>
          <w:sz w:val="24"/>
          <w:szCs w:val="24"/>
        </w:rPr>
        <w:drawing>
          <wp:inline distT="0" distB="0" distL="0" distR="0" wp14:anchorId="3404E0EF" wp14:editId="3A360A70">
            <wp:extent cx="2529156" cy="953400"/>
            <wp:effectExtent l="0" t="0" r="0" b="0"/>
            <wp:docPr id="388027817"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lose-up of a sign&#10;&#10;Description automatically generated"/>
                    <pic:cNvPicPr preferRelativeResize="0"/>
                  </pic:nvPicPr>
                  <pic:blipFill>
                    <a:blip r:embed="rId7"/>
                    <a:srcRect/>
                    <a:stretch>
                      <a:fillRect/>
                    </a:stretch>
                  </pic:blipFill>
                  <pic:spPr>
                    <a:xfrm>
                      <a:off x="0" y="0"/>
                      <a:ext cx="2529156" cy="953400"/>
                    </a:xfrm>
                    <a:prstGeom prst="rect">
                      <a:avLst/>
                    </a:prstGeom>
                    <a:ln/>
                  </pic:spPr>
                </pic:pic>
              </a:graphicData>
            </a:graphic>
          </wp:inline>
        </w:drawing>
      </w:r>
    </w:p>
    <w:p w14:paraId="77172316" w14:textId="77777777" w:rsidR="00601F34" w:rsidRDefault="00601F34">
      <w:pPr>
        <w:spacing w:line="360" w:lineRule="auto"/>
        <w:jc w:val="both"/>
        <w:rPr>
          <w:sz w:val="24"/>
          <w:szCs w:val="24"/>
        </w:rPr>
      </w:pPr>
    </w:p>
    <w:p w14:paraId="4DA9FCC0" w14:textId="77777777" w:rsidR="00601F34" w:rsidRDefault="00601F34">
      <w:pPr>
        <w:spacing w:line="360" w:lineRule="auto"/>
        <w:jc w:val="both"/>
        <w:rPr>
          <w:sz w:val="24"/>
          <w:szCs w:val="24"/>
        </w:rPr>
      </w:pPr>
    </w:p>
    <w:p w14:paraId="0D523209" w14:textId="77777777" w:rsidR="00601F34" w:rsidRDefault="00601F34">
      <w:pPr>
        <w:spacing w:line="360" w:lineRule="auto"/>
        <w:jc w:val="both"/>
        <w:rPr>
          <w:sz w:val="24"/>
          <w:szCs w:val="24"/>
        </w:rPr>
      </w:pPr>
    </w:p>
    <w:p w14:paraId="25564668" w14:textId="77777777" w:rsidR="00601F34" w:rsidRDefault="00601F34">
      <w:pPr>
        <w:spacing w:line="360" w:lineRule="auto"/>
        <w:jc w:val="both"/>
        <w:rPr>
          <w:sz w:val="24"/>
          <w:szCs w:val="24"/>
        </w:rPr>
      </w:pPr>
    </w:p>
    <w:p w14:paraId="67EDFEFC" w14:textId="77777777" w:rsidR="00601F34" w:rsidRDefault="00000000">
      <w:pPr>
        <w:spacing w:line="360" w:lineRule="auto"/>
        <w:jc w:val="both"/>
        <w:rPr>
          <w:sz w:val="24"/>
          <w:szCs w:val="24"/>
        </w:rPr>
      </w:pPr>
      <w:r>
        <w:rPr>
          <w:sz w:val="24"/>
          <w:szCs w:val="24"/>
        </w:rPr>
        <w:t>MODULE: INTERNATIONAL FINANCIAL MANAGEMENT</w:t>
      </w:r>
    </w:p>
    <w:p w14:paraId="305BFFDC" w14:textId="77777777" w:rsidR="00601F34" w:rsidRDefault="00000000">
      <w:pPr>
        <w:spacing w:line="360" w:lineRule="auto"/>
        <w:jc w:val="both"/>
        <w:rPr>
          <w:sz w:val="24"/>
          <w:szCs w:val="24"/>
        </w:rPr>
      </w:pPr>
      <w:r>
        <w:rPr>
          <w:sz w:val="24"/>
          <w:szCs w:val="24"/>
        </w:rPr>
        <w:t>MODULE CODE: LCBB6002</w:t>
      </w:r>
    </w:p>
    <w:p w14:paraId="6B3C5B0E" w14:textId="77777777" w:rsidR="00601F34" w:rsidRDefault="00000000">
      <w:pPr>
        <w:spacing w:line="360" w:lineRule="auto"/>
        <w:jc w:val="both"/>
        <w:rPr>
          <w:sz w:val="24"/>
          <w:szCs w:val="24"/>
        </w:rPr>
      </w:pPr>
      <w:r>
        <w:rPr>
          <w:sz w:val="24"/>
          <w:szCs w:val="24"/>
        </w:rPr>
        <w:t>LECTURER: ZAINAB ATTA</w:t>
      </w:r>
    </w:p>
    <w:p w14:paraId="507577BD" w14:textId="77777777" w:rsidR="00601F34" w:rsidRDefault="00601F34">
      <w:pPr>
        <w:spacing w:line="360" w:lineRule="auto"/>
        <w:jc w:val="both"/>
        <w:rPr>
          <w:sz w:val="24"/>
          <w:szCs w:val="24"/>
        </w:rPr>
      </w:pPr>
    </w:p>
    <w:p w14:paraId="46C8E79B" w14:textId="77777777" w:rsidR="00601F34" w:rsidRDefault="00601F34">
      <w:pPr>
        <w:spacing w:line="360" w:lineRule="auto"/>
        <w:jc w:val="both"/>
        <w:rPr>
          <w:sz w:val="24"/>
          <w:szCs w:val="24"/>
        </w:rPr>
      </w:pPr>
    </w:p>
    <w:p w14:paraId="246A104F" w14:textId="77777777" w:rsidR="00601F34" w:rsidRDefault="00601F34">
      <w:pPr>
        <w:spacing w:line="360" w:lineRule="auto"/>
        <w:jc w:val="both"/>
        <w:rPr>
          <w:sz w:val="24"/>
          <w:szCs w:val="24"/>
        </w:rPr>
      </w:pPr>
    </w:p>
    <w:p w14:paraId="140068DD" w14:textId="77777777" w:rsidR="00601F34" w:rsidRDefault="00601F34">
      <w:pPr>
        <w:spacing w:line="360" w:lineRule="auto"/>
        <w:jc w:val="both"/>
        <w:rPr>
          <w:sz w:val="24"/>
          <w:szCs w:val="24"/>
        </w:rPr>
      </w:pPr>
    </w:p>
    <w:p w14:paraId="6EC3A8AB" w14:textId="77777777" w:rsidR="00601F34" w:rsidRDefault="00601F34">
      <w:pPr>
        <w:spacing w:line="360" w:lineRule="auto"/>
        <w:jc w:val="both"/>
        <w:rPr>
          <w:sz w:val="24"/>
          <w:szCs w:val="24"/>
        </w:rPr>
      </w:pPr>
    </w:p>
    <w:p w14:paraId="632AA5C6" w14:textId="77777777" w:rsidR="00601F34" w:rsidRDefault="00601F34">
      <w:pPr>
        <w:spacing w:line="360" w:lineRule="auto"/>
        <w:jc w:val="both"/>
        <w:rPr>
          <w:sz w:val="24"/>
          <w:szCs w:val="24"/>
        </w:rPr>
      </w:pPr>
    </w:p>
    <w:p w14:paraId="76268E4B" w14:textId="77777777" w:rsidR="00601F34" w:rsidRDefault="00601F34">
      <w:pPr>
        <w:spacing w:line="360" w:lineRule="auto"/>
        <w:jc w:val="both"/>
        <w:rPr>
          <w:sz w:val="24"/>
          <w:szCs w:val="24"/>
        </w:rPr>
      </w:pPr>
    </w:p>
    <w:p w14:paraId="402DCCA1" w14:textId="77777777" w:rsidR="00601F34" w:rsidRDefault="00601F34">
      <w:pPr>
        <w:spacing w:line="360" w:lineRule="auto"/>
        <w:jc w:val="both"/>
        <w:rPr>
          <w:sz w:val="24"/>
          <w:szCs w:val="24"/>
        </w:rPr>
      </w:pPr>
    </w:p>
    <w:p w14:paraId="38102038" w14:textId="77777777" w:rsidR="00601F34" w:rsidRDefault="00000000">
      <w:pPr>
        <w:spacing w:line="360" w:lineRule="auto"/>
        <w:jc w:val="both"/>
        <w:rPr>
          <w:sz w:val="24"/>
          <w:szCs w:val="24"/>
        </w:rPr>
      </w:pPr>
      <w:r>
        <w:rPr>
          <w:sz w:val="24"/>
          <w:szCs w:val="24"/>
        </w:rPr>
        <w:t>STUDENT NAME: MARGARITA MANDULOVA</w:t>
      </w:r>
    </w:p>
    <w:p w14:paraId="5DB0D51D" w14:textId="77777777" w:rsidR="00601F34" w:rsidRDefault="00000000">
      <w:pPr>
        <w:spacing w:line="360" w:lineRule="auto"/>
        <w:jc w:val="both"/>
        <w:rPr>
          <w:sz w:val="24"/>
          <w:szCs w:val="24"/>
        </w:rPr>
      </w:pPr>
      <w:r>
        <w:rPr>
          <w:sz w:val="24"/>
          <w:szCs w:val="24"/>
        </w:rPr>
        <w:t xml:space="preserve">NUMBER: 2119899 </w:t>
      </w:r>
    </w:p>
    <w:p w14:paraId="63ECB265" w14:textId="77777777" w:rsidR="00601F34" w:rsidRDefault="00000000">
      <w:pPr>
        <w:keepNext/>
        <w:keepLines/>
        <w:pBdr>
          <w:top w:val="nil"/>
          <w:left w:val="nil"/>
          <w:bottom w:val="nil"/>
          <w:right w:val="nil"/>
          <w:between w:val="nil"/>
        </w:pBdr>
        <w:spacing w:before="240" w:after="240" w:line="480" w:lineRule="auto"/>
        <w:jc w:val="both"/>
        <w:rPr>
          <w:rFonts w:ascii="Arial" w:eastAsia="Arial" w:hAnsi="Arial" w:cs="Arial"/>
          <w:b/>
          <w:color w:val="0F4761"/>
          <w:sz w:val="28"/>
          <w:szCs w:val="28"/>
        </w:rPr>
      </w:pPr>
      <w:r>
        <w:rPr>
          <w:rFonts w:ascii="Arial" w:eastAsia="Arial" w:hAnsi="Arial" w:cs="Arial"/>
          <w:b/>
          <w:color w:val="0F4761"/>
          <w:sz w:val="28"/>
          <w:szCs w:val="28"/>
        </w:rPr>
        <w:t>Table of Contents</w:t>
      </w:r>
    </w:p>
    <w:sdt>
      <w:sdtPr>
        <w:id w:val="-2111110692"/>
        <w:docPartObj>
          <w:docPartGallery w:val="Table of Contents"/>
          <w:docPartUnique/>
        </w:docPartObj>
      </w:sdtPr>
      <w:sdtContent>
        <w:p w14:paraId="0A84A602" w14:textId="77777777" w:rsidR="00601F34" w:rsidRDefault="00000000">
          <w:pPr>
            <w:pBdr>
              <w:top w:val="nil"/>
              <w:left w:val="nil"/>
              <w:bottom w:val="nil"/>
              <w:right w:val="nil"/>
              <w:between w:val="nil"/>
            </w:pBdr>
            <w:tabs>
              <w:tab w:val="right" w:leader="dot" w:pos="9062"/>
            </w:tabs>
            <w:spacing w:after="100" w:line="480" w:lineRule="auto"/>
            <w:jc w:val="both"/>
            <w:rPr>
              <w:rFonts w:ascii="Arial" w:eastAsia="Arial" w:hAnsi="Arial" w:cs="Arial"/>
              <w:color w:val="000000"/>
              <w:sz w:val="24"/>
              <w:szCs w:val="24"/>
            </w:rPr>
          </w:pPr>
          <w:r>
            <w:fldChar w:fldCharType="begin"/>
          </w:r>
          <w:r>
            <w:instrText xml:space="preserve"> TOC \h \u \z \t "Heading 1,1,Heading 2,2,Heading 3,3,"</w:instrText>
          </w:r>
          <w:r>
            <w:fldChar w:fldCharType="separate"/>
          </w:r>
          <w:hyperlink w:anchor="_heading=h.gjdgxs">
            <w:r>
              <w:rPr>
                <w:rFonts w:ascii="Arial" w:eastAsia="Arial" w:hAnsi="Arial" w:cs="Arial"/>
                <w:color w:val="000000"/>
                <w:sz w:val="24"/>
                <w:szCs w:val="24"/>
              </w:rPr>
              <w:t>Introduction</w:t>
            </w:r>
            <w:r>
              <w:rPr>
                <w:rFonts w:ascii="Arial" w:eastAsia="Arial" w:hAnsi="Arial" w:cs="Arial"/>
                <w:color w:val="000000"/>
                <w:sz w:val="24"/>
                <w:szCs w:val="24"/>
              </w:rPr>
              <w:tab/>
              <w:t>3</w:t>
            </w:r>
          </w:hyperlink>
        </w:p>
        <w:p w14:paraId="1DE161FC" w14:textId="77777777" w:rsidR="00601F34" w:rsidRDefault="00000000">
          <w:pPr>
            <w:pBdr>
              <w:top w:val="nil"/>
              <w:left w:val="nil"/>
              <w:bottom w:val="nil"/>
              <w:right w:val="nil"/>
              <w:between w:val="nil"/>
            </w:pBdr>
            <w:tabs>
              <w:tab w:val="right" w:leader="dot" w:pos="9062"/>
            </w:tabs>
            <w:spacing w:after="100" w:line="480" w:lineRule="auto"/>
            <w:jc w:val="both"/>
            <w:rPr>
              <w:rFonts w:ascii="Arial" w:eastAsia="Arial" w:hAnsi="Arial" w:cs="Arial"/>
              <w:color w:val="000000"/>
              <w:sz w:val="24"/>
              <w:szCs w:val="24"/>
            </w:rPr>
          </w:pPr>
          <w:hyperlink w:anchor="_heading=h.30j0zll">
            <w:r>
              <w:rPr>
                <w:rFonts w:ascii="Arial" w:eastAsia="Arial" w:hAnsi="Arial" w:cs="Arial"/>
                <w:color w:val="000000"/>
                <w:sz w:val="24"/>
                <w:szCs w:val="24"/>
              </w:rPr>
              <w:t>Theoretical discussion</w:t>
            </w:r>
            <w:r>
              <w:rPr>
                <w:rFonts w:ascii="Arial" w:eastAsia="Arial" w:hAnsi="Arial" w:cs="Arial"/>
                <w:color w:val="000000"/>
                <w:sz w:val="24"/>
                <w:szCs w:val="24"/>
              </w:rPr>
              <w:tab/>
              <w:t>3</w:t>
            </w:r>
          </w:hyperlink>
        </w:p>
        <w:p w14:paraId="6A78D06B" w14:textId="77777777" w:rsidR="00601F34" w:rsidRDefault="00000000">
          <w:pPr>
            <w:pBdr>
              <w:top w:val="nil"/>
              <w:left w:val="nil"/>
              <w:bottom w:val="nil"/>
              <w:right w:val="nil"/>
              <w:between w:val="nil"/>
            </w:pBdr>
            <w:tabs>
              <w:tab w:val="right" w:leader="dot" w:pos="9062"/>
            </w:tabs>
            <w:spacing w:after="100" w:line="480" w:lineRule="auto"/>
            <w:jc w:val="both"/>
            <w:rPr>
              <w:rFonts w:ascii="Arial" w:eastAsia="Arial" w:hAnsi="Arial" w:cs="Arial"/>
              <w:color w:val="000000"/>
              <w:sz w:val="24"/>
              <w:szCs w:val="24"/>
            </w:rPr>
          </w:pPr>
          <w:hyperlink w:anchor="_heading=h.1fob9te">
            <w:r>
              <w:rPr>
                <w:rFonts w:ascii="Arial" w:eastAsia="Arial" w:hAnsi="Arial" w:cs="Arial"/>
                <w:color w:val="000000"/>
                <w:sz w:val="24"/>
                <w:szCs w:val="24"/>
              </w:rPr>
              <w:t>Risk management strategies</w:t>
            </w:r>
            <w:r>
              <w:rPr>
                <w:rFonts w:ascii="Arial" w:eastAsia="Arial" w:hAnsi="Arial" w:cs="Arial"/>
                <w:color w:val="000000"/>
                <w:sz w:val="24"/>
                <w:szCs w:val="24"/>
              </w:rPr>
              <w:tab/>
              <w:t>5</w:t>
            </w:r>
          </w:hyperlink>
        </w:p>
        <w:p w14:paraId="37E08AD6" w14:textId="77777777" w:rsidR="00601F34" w:rsidRDefault="00000000">
          <w:pPr>
            <w:pBdr>
              <w:top w:val="nil"/>
              <w:left w:val="nil"/>
              <w:bottom w:val="nil"/>
              <w:right w:val="nil"/>
              <w:between w:val="nil"/>
            </w:pBdr>
            <w:tabs>
              <w:tab w:val="right" w:leader="dot" w:pos="9062"/>
            </w:tabs>
            <w:spacing w:after="100" w:line="480" w:lineRule="auto"/>
            <w:jc w:val="both"/>
            <w:rPr>
              <w:rFonts w:ascii="Arial" w:eastAsia="Arial" w:hAnsi="Arial" w:cs="Arial"/>
              <w:color w:val="000000"/>
              <w:sz w:val="24"/>
              <w:szCs w:val="24"/>
            </w:rPr>
          </w:pPr>
          <w:hyperlink w:anchor="_heading=h.3znysh7">
            <w:r>
              <w:rPr>
                <w:rFonts w:ascii="Arial" w:eastAsia="Arial" w:hAnsi="Arial" w:cs="Arial"/>
                <w:color w:val="000000"/>
                <w:sz w:val="24"/>
                <w:szCs w:val="24"/>
              </w:rPr>
              <w:t>A critical evaluation of hedging strategies</w:t>
            </w:r>
            <w:r>
              <w:rPr>
                <w:rFonts w:ascii="Arial" w:eastAsia="Arial" w:hAnsi="Arial" w:cs="Arial"/>
                <w:color w:val="000000"/>
                <w:sz w:val="24"/>
                <w:szCs w:val="24"/>
              </w:rPr>
              <w:tab/>
              <w:t>6</w:t>
            </w:r>
          </w:hyperlink>
        </w:p>
        <w:p w14:paraId="3C3B1826" w14:textId="77777777" w:rsidR="00601F34" w:rsidRDefault="00000000">
          <w:pPr>
            <w:pBdr>
              <w:top w:val="nil"/>
              <w:left w:val="nil"/>
              <w:bottom w:val="nil"/>
              <w:right w:val="nil"/>
              <w:between w:val="nil"/>
            </w:pBdr>
            <w:tabs>
              <w:tab w:val="right" w:leader="dot" w:pos="9062"/>
            </w:tabs>
            <w:spacing w:after="100" w:line="480" w:lineRule="auto"/>
            <w:jc w:val="both"/>
            <w:rPr>
              <w:rFonts w:ascii="Arial" w:eastAsia="Arial" w:hAnsi="Arial" w:cs="Arial"/>
              <w:color w:val="000000"/>
              <w:sz w:val="24"/>
              <w:szCs w:val="24"/>
            </w:rPr>
          </w:pPr>
          <w:hyperlink w:anchor="_heading=h.2et92p0">
            <w:r>
              <w:rPr>
                <w:rFonts w:ascii="Arial" w:eastAsia="Arial" w:hAnsi="Arial" w:cs="Arial"/>
                <w:color w:val="000000"/>
                <w:sz w:val="24"/>
                <w:szCs w:val="24"/>
              </w:rPr>
              <w:t>Conclusion</w:t>
            </w:r>
            <w:r>
              <w:rPr>
                <w:rFonts w:ascii="Arial" w:eastAsia="Arial" w:hAnsi="Arial" w:cs="Arial"/>
                <w:color w:val="000000"/>
                <w:sz w:val="24"/>
                <w:szCs w:val="24"/>
              </w:rPr>
              <w:tab/>
              <w:t>7</w:t>
            </w:r>
          </w:hyperlink>
        </w:p>
        <w:p w14:paraId="421A2C91" w14:textId="77777777" w:rsidR="00601F34" w:rsidRDefault="00000000">
          <w:pPr>
            <w:pBdr>
              <w:top w:val="nil"/>
              <w:left w:val="nil"/>
              <w:bottom w:val="nil"/>
              <w:right w:val="nil"/>
              <w:between w:val="nil"/>
            </w:pBdr>
            <w:tabs>
              <w:tab w:val="right" w:leader="dot" w:pos="9062"/>
            </w:tabs>
            <w:spacing w:after="100" w:line="480" w:lineRule="auto"/>
            <w:jc w:val="both"/>
            <w:rPr>
              <w:rFonts w:ascii="Arial" w:eastAsia="Arial" w:hAnsi="Arial" w:cs="Arial"/>
              <w:color w:val="000000"/>
              <w:sz w:val="24"/>
              <w:szCs w:val="24"/>
            </w:rPr>
          </w:pPr>
          <w:hyperlink w:anchor="_heading=h.tyjcwt">
            <w:r>
              <w:rPr>
                <w:rFonts w:ascii="Arial" w:eastAsia="Arial" w:hAnsi="Arial" w:cs="Arial"/>
                <w:color w:val="000000"/>
                <w:sz w:val="24"/>
                <w:szCs w:val="24"/>
              </w:rPr>
              <w:t>References</w:t>
            </w:r>
            <w:r>
              <w:rPr>
                <w:rFonts w:ascii="Arial" w:eastAsia="Arial" w:hAnsi="Arial" w:cs="Arial"/>
                <w:color w:val="000000"/>
                <w:sz w:val="24"/>
                <w:szCs w:val="24"/>
              </w:rPr>
              <w:tab/>
              <w:t>8</w:t>
            </w:r>
          </w:hyperlink>
        </w:p>
        <w:p w14:paraId="012C8A73" w14:textId="77777777" w:rsidR="00601F34" w:rsidRDefault="00000000">
          <w:pPr>
            <w:spacing w:line="480" w:lineRule="auto"/>
            <w:jc w:val="both"/>
          </w:pPr>
          <w:r>
            <w:fldChar w:fldCharType="end"/>
          </w:r>
        </w:p>
      </w:sdtContent>
    </w:sdt>
    <w:p w14:paraId="24C8141A" w14:textId="77777777" w:rsidR="00601F34" w:rsidRDefault="00601F34">
      <w:pPr>
        <w:spacing w:line="360" w:lineRule="auto"/>
        <w:jc w:val="both"/>
        <w:rPr>
          <w:sz w:val="24"/>
          <w:szCs w:val="24"/>
        </w:rPr>
      </w:pPr>
    </w:p>
    <w:p w14:paraId="2AB7F760" w14:textId="77777777" w:rsidR="00601F34" w:rsidRDefault="00601F34">
      <w:pPr>
        <w:spacing w:line="360" w:lineRule="auto"/>
        <w:jc w:val="both"/>
        <w:rPr>
          <w:sz w:val="24"/>
          <w:szCs w:val="24"/>
        </w:rPr>
      </w:pPr>
    </w:p>
    <w:p w14:paraId="6E99D941" w14:textId="77777777" w:rsidR="00601F34" w:rsidRDefault="00601F34">
      <w:pPr>
        <w:spacing w:line="360" w:lineRule="auto"/>
        <w:jc w:val="both"/>
        <w:rPr>
          <w:sz w:val="24"/>
          <w:szCs w:val="24"/>
        </w:rPr>
      </w:pPr>
    </w:p>
    <w:p w14:paraId="1F307DBA" w14:textId="77777777" w:rsidR="00601F34" w:rsidRDefault="00601F34">
      <w:pPr>
        <w:spacing w:line="360" w:lineRule="auto"/>
        <w:jc w:val="both"/>
        <w:rPr>
          <w:sz w:val="24"/>
          <w:szCs w:val="24"/>
        </w:rPr>
      </w:pPr>
    </w:p>
    <w:p w14:paraId="2254020B" w14:textId="77777777" w:rsidR="00601F34" w:rsidRDefault="00601F34">
      <w:pPr>
        <w:spacing w:line="360" w:lineRule="auto"/>
        <w:jc w:val="both"/>
        <w:rPr>
          <w:sz w:val="24"/>
          <w:szCs w:val="24"/>
        </w:rPr>
      </w:pPr>
    </w:p>
    <w:p w14:paraId="0BDF1FB0" w14:textId="77777777" w:rsidR="00601F34" w:rsidRDefault="00601F34">
      <w:pPr>
        <w:spacing w:line="360" w:lineRule="auto"/>
        <w:jc w:val="both"/>
        <w:rPr>
          <w:sz w:val="24"/>
          <w:szCs w:val="24"/>
        </w:rPr>
      </w:pPr>
    </w:p>
    <w:p w14:paraId="09CF658D" w14:textId="77777777" w:rsidR="00601F34" w:rsidRDefault="00601F34">
      <w:pPr>
        <w:spacing w:line="360" w:lineRule="auto"/>
        <w:jc w:val="both"/>
        <w:rPr>
          <w:sz w:val="24"/>
          <w:szCs w:val="24"/>
        </w:rPr>
      </w:pPr>
    </w:p>
    <w:p w14:paraId="7477980E" w14:textId="77777777" w:rsidR="00601F34" w:rsidRDefault="00601F34">
      <w:pPr>
        <w:spacing w:line="360" w:lineRule="auto"/>
        <w:jc w:val="both"/>
        <w:rPr>
          <w:sz w:val="24"/>
          <w:szCs w:val="24"/>
        </w:rPr>
      </w:pPr>
    </w:p>
    <w:p w14:paraId="2B113604" w14:textId="77777777" w:rsidR="00601F34" w:rsidRDefault="00601F34">
      <w:pPr>
        <w:spacing w:line="360" w:lineRule="auto"/>
        <w:jc w:val="both"/>
        <w:rPr>
          <w:sz w:val="24"/>
          <w:szCs w:val="24"/>
        </w:rPr>
      </w:pPr>
    </w:p>
    <w:p w14:paraId="4E5204B4" w14:textId="77777777" w:rsidR="00601F34" w:rsidRDefault="00601F34">
      <w:pPr>
        <w:spacing w:line="360" w:lineRule="auto"/>
        <w:jc w:val="both"/>
        <w:rPr>
          <w:sz w:val="24"/>
          <w:szCs w:val="24"/>
        </w:rPr>
      </w:pPr>
    </w:p>
    <w:p w14:paraId="3B8B51A5" w14:textId="77777777" w:rsidR="00601F34" w:rsidRDefault="00601F34">
      <w:pPr>
        <w:spacing w:line="360" w:lineRule="auto"/>
        <w:jc w:val="both"/>
        <w:rPr>
          <w:sz w:val="24"/>
          <w:szCs w:val="24"/>
        </w:rPr>
      </w:pPr>
    </w:p>
    <w:p w14:paraId="6AC80220" w14:textId="77777777" w:rsidR="00601F34" w:rsidRDefault="00601F34">
      <w:pPr>
        <w:spacing w:line="360" w:lineRule="auto"/>
        <w:jc w:val="both"/>
        <w:rPr>
          <w:sz w:val="24"/>
          <w:szCs w:val="24"/>
        </w:rPr>
      </w:pPr>
    </w:p>
    <w:p w14:paraId="16068801" w14:textId="77777777" w:rsidR="00601F34" w:rsidRDefault="00601F34">
      <w:pPr>
        <w:spacing w:line="360" w:lineRule="auto"/>
        <w:jc w:val="both"/>
        <w:rPr>
          <w:sz w:val="24"/>
          <w:szCs w:val="24"/>
        </w:rPr>
      </w:pPr>
    </w:p>
    <w:p w14:paraId="139C43F1" w14:textId="77777777" w:rsidR="00601F34" w:rsidRDefault="00601F34">
      <w:pPr>
        <w:spacing w:line="360" w:lineRule="auto"/>
        <w:jc w:val="both"/>
        <w:rPr>
          <w:b/>
          <w:sz w:val="28"/>
          <w:szCs w:val="28"/>
        </w:rPr>
      </w:pPr>
    </w:p>
    <w:p w14:paraId="6CE72327" w14:textId="77777777" w:rsidR="00601F34" w:rsidRDefault="00000000">
      <w:pPr>
        <w:pStyle w:val="Heading1"/>
        <w:spacing w:before="0" w:after="240"/>
        <w:rPr>
          <w:rFonts w:ascii="Arial" w:eastAsia="Arial" w:hAnsi="Arial" w:cs="Arial"/>
        </w:rPr>
      </w:pPr>
      <w:bookmarkStart w:id="0" w:name="_heading=h.gjdgxs" w:colFirst="0" w:colLast="0"/>
      <w:bookmarkEnd w:id="0"/>
      <w:r>
        <w:rPr>
          <w:rFonts w:ascii="Arial" w:eastAsia="Arial" w:hAnsi="Arial" w:cs="Arial"/>
        </w:rPr>
        <w:t xml:space="preserve">Introduction </w:t>
      </w:r>
    </w:p>
    <w:p w14:paraId="7A3C8E9E"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report considers the experience of multinational corporations and their management of exchange rate risks. The process of globalisation in the last several decades has led to the development of approximately 60,000 multinational companies </w:t>
      </w:r>
      <w:r>
        <w:rPr>
          <w:rFonts w:ascii="Arial" w:eastAsia="Arial" w:hAnsi="Arial" w:cs="Arial"/>
          <w:sz w:val="24"/>
          <w:szCs w:val="24"/>
        </w:rPr>
        <w:lastRenderedPageBreak/>
        <w:t>with a significant impact on the global economy (EMA, 2018). Moreover, the countries around the world have gradually converted from fixed or pegged exchange rate regimes to floating ones (Stone et al., 2008). Currently, approximately 45% of countries, including the largest and most advanced economies, adopt floating exchange rate regimes (Stone et al., 2008). This is a major factor for the existence of exchange rate risk faced by global companies operating in different geographic markets. As explained by Picardo (2023), currency volatility leads to transaction, translation and operating exposure. Thus, exchange rate risk can negatively affect business operations and profitability based on the experienced exchange rate fluctuations between currencies (Picardo, 2023).</w:t>
      </w:r>
    </w:p>
    <w:p w14:paraId="0038428E"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report aims to analyse the theoretical concepts explaining exchange rate fluctuations, possible hedging strategies and their respective performance in providing effective risk management of exchange rate fluctuations. </w:t>
      </w:r>
    </w:p>
    <w:p w14:paraId="095DFE82" w14:textId="77777777" w:rsidR="00601F34" w:rsidRDefault="00000000">
      <w:pPr>
        <w:pStyle w:val="Heading1"/>
        <w:spacing w:before="0" w:after="240"/>
        <w:rPr>
          <w:rFonts w:ascii="Arial" w:eastAsia="Arial" w:hAnsi="Arial" w:cs="Arial"/>
        </w:rPr>
      </w:pPr>
      <w:bookmarkStart w:id="1" w:name="_heading=h.30j0zll" w:colFirst="0" w:colLast="0"/>
      <w:bookmarkEnd w:id="1"/>
      <w:r>
        <w:rPr>
          <w:rFonts w:ascii="Arial" w:eastAsia="Arial" w:hAnsi="Arial" w:cs="Arial"/>
        </w:rPr>
        <w:t xml:space="preserve">Theoretical discussion </w:t>
      </w:r>
    </w:p>
    <w:p w14:paraId="75F96830" w14:textId="77777777" w:rsidR="00601F34" w:rsidRPr="0027305E" w:rsidRDefault="00000000">
      <w:pPr>
        <w:rPr>
          <w:rFonts w:ascii="Arial" w:hAnsi="Arial" w:cs="Arial"/>
          <w:sz w:val="24"/>
          <w:szCs w:val="24"/>
        </w:rPr>
      </w:pPr>
      <w:r w:rsidRPr="0027305E">
        <w:rPr>
          <w:rFonts w:ascii="Arial" w:hAnsi="Arial" w:cs="Arial"/>
          <w:sz w:val="24"/>
          <w:szCs w:val="24"/>
        </w:rPr>
        <w:t xml:space="preserve">There are three main types of exchange risk factors: transactional, translational and economical. </w:t>
      </w:r>
    </w:p>
    <w:p w14:paraId="7C1EF309" w14:textId="77777777" w:rsidR="00601F34" w:rsidRPr="0027305E" w:rsidRDefault="00000000">
      <w:pPr>
        <w:rPr>
          <w:rFonts w:ascii="Arial" w:hAnsi="Arial" w:cs="Arial"/>
          <w:sz w:val="24"/>
          <w:szCs w:val="24"/>
        </w:rPr>
      </w:pPr>
      <w:r w:rsidRPr="0027305E">
        <w:rPr>
          <w:rFonts w:ascii="Arial" w:hAnsi="Arial" w:cs="Arial"/>
          <w:sz w:val="24"/>
          <w:szCs w:val="24"/>
        </w:rPr>
        <w:t xml:space="preserve">1. Transaction risk, or cash flow risk in essence, is concerned with how changes in exchange rates affect transactional account exposure associated with payables (import contracts), receivables (export contracts), and dividend repatriation. Any such contract will expose the firm to a direct transaction exchange rate risk </w:t>
      </w:r>
      <w:proofErr w:type="gramStart"/>
      <w:r w:rsidRPr="0027305E">
        <w:rPr>
          <w:rFonts w:ascii="Arial" w:hAnsi="Arial" w:cs="Arial"/>
          <w:sz w:val="24"/>
          <w:szCs w:val="24"/>
        </w:rPr>
        <w:t>in the event that</w:t>
      </w:r>
      <w:proofErr w:type="gramEnd"/>
      <w:r w:rsidRPr="0027305E">
        <w:rPr>
          <w:rFonts w:ascii="Arial" w:hAnsi="Arial" w:cs="Arial"/>
          <w:sz w:val="24"/>
          <w:szCs w:val="24"/>
        </w:rPr>
        <w:t xml:space="preserve"> the currency of denomination changes. (IMF 2006)</w:t>
      </w:r>
    </w:p>
    <w:p w14:paraId="4A5E89B1" w14:textId="77777777" w:rsidR="00601F34" w:rsidRPr="0027305E" w:rsidRDefault="00000000">
      <w:pPr>
        <w:rPr>
          <w:rFonts w:ascii="Arial" w:hAnsi="Arial" w:cs="Arial"/>
          <w:sz w:val="24"/>
          <w:szCs w:val="24"/>
        </w:rPr>
      </w:pPr>
      <w:r w:rsidRPr="0027305E">
        <w:rPr>
          <w:rFonts w:ascii="Arial" w:hAnsi="Arial" w:cs="Arial"/>
          <w:sz w:val="24"/>
          <w:szCs w:val="24"/>
        </w:rPr>
        <w:t>2. Translation risk, also known as balance sheet exchange rate risk, is essentially related to exchange rate movements in the valuation of a foreign subsidiary and, consequently, in the consolidation of a foreign subsidiary onto the balance sheet of the parent firm. The exposure of net assets (assets less liabilities) to possible changes in currency rates is typically used to calculate translation risk for overseas subsidiaries. (IMF 2006)</w:t>
      </w:r>
    </w:p>
    <w:p w14:paraId="27D53B05" w14:textId="77777777" w:rsidR="00601F34" w:rsidRPr="0027305E" w:rsidRDefault="00000000">
      <w:pPr>
        <w:rPr>
          <w:rFonts w:ascii="Arial" w:hAnsi="Arial" w:cs="Arial"/>
          <w:sz w:val="24"/>
          <w:szCs w:val="24"/>
        </w:rPr>
      </w:pPr>
      <w:r w:rsidRPr="0027305E">
        <w:rPr>
          <w:rFonts w:ascii="Arial" w:hAnsi="Arial" w:cs="Arial"/>
          <w:sz w:val="24"/>
          <w:szCs w:val="24"/>
        </w:rPr>
        <w:t>3. Economic risk, which essentially represents the risk that changes in exchange rates will have on the company's present value of future operating cash flows. Economic risk essentially relates to how fluctuations in currency rates affect operating costs (cost of domestic inputs and imports) and revenues (domestic sales and exports). (IMF 2006)</w:t>
      </w:r>
    </w:p>
    <w:p w14:paraId="3A4601FD" w14:textId="1C37EAC8"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 </w:t>
      </w:r>
      <w:r w:rsidR="0027305E">
        <w:rPr>
          <w:rFonts w:ascii="Arial" w:eastAsia="Arial" w:hAnsi="Arial" w:cs="Arial"/>
          <w:sz w:val="24"/>
          <w:szCs w:val="24"/>
        </w:rPr>
        <w:t>Furthermore, f</w:t>
      </w:r>
      <w:r>
        <w:rPr>
          <w:rFonts w:ascii="Arial" w:eastAsia="Arial" w:hAnsi="Arial" w:cs="Arial"/>
          <w:sz w:val="24"/>
          <w:szCs w:val="24"/>
        </w:rPr>
        <w:t xml:space="preserve">our main theories provide an explanation of exchange rate fluctuations. The information can be used by </w:t>
      </w:r>
      <w:r w:rsidR="0027305E">
        <w:rPr>
          <w:rFonts w:ascii="Arial" w:eastAsia="Arial" w:hAnsi="Arial" w:cs="Arial"/>
          <w:sz w:val="24"/>
          <w:szCs w:val="24"/>
        </w:rPr>
        <w:t>MNC</w:t>
      </w:r>
      <w:r>
        <w:rPr>
          <w:rFonts w:ascii="Arial" w:eastAsia="Arial" w:hAnsi="Arial" w:cs="Arial"/>
          <w:sz w:val="24"/>
          <w:szCs w:val="24"/>
        </w:rPr>
        <w:t xml:space="preserve"> in understanding the main causes of exchange rate changes and their better management. </w:t>
      </w:r>
    </w:p>
    <w:p w14:paraId="2AC71237" w14:textId="77777777" w:rsidR="00601F34" w:rsidRDefault="00601F34">
      <w:pPr>
        <w:spacing w:line="360" w:lineRule="auto"/>
        <w:jc w:val="both"/>
        <w:rPr>
          <w:rFonts w:ascii="Arial" w:eastAsia="Arial" w:hAnsi="Arial" w:cs="Arial"/>
          <w:sz w:val="24"/>
          <w:szCs w:val="24"/>
        </w:rPr>
      </w:pPr>
    </w:p>
    <w:p w14:paraId="32129083" w14:textId="2836A8E4"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To begin with, the interest rate parity is the first major theoretical model considered in the discussion. The framework suggests that the difference in interest rates between two nations can determine the exchange rate changes (Teall, 2022). Hence, the differential in interest rates is used to explain the potential disparity between the spot exchange rate and the forward one (Teall, 2022). This is important, as companies can use the information to expect future exchange rate changes. </w:t>
      </w:r>
    </w:p>
    <w:p w14:paraId="0D3EC4D7"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Uncovered interest rate parity is another model, which is closely related to the previous one, but explaining in more detail the impact on exchange rates (CFI, 2024). The theory states that the disparity in nominal interest rates between two nations is equivalent to the relative fluctuations in the foreign exchange rate throughout the same time frame (Orellana and Pino, 2021). The uncovered Interest rate parity theory operates on the assumption that a country with a higher interest rate will witness a devaluation of its domestic currency compared to the foreign currency with a lower interest rate (Orellana and Pino, 2021). Thus, multinational companies must analyse interest rate changes to explain fluctuations in exchange rates.  </w:t>
      </w:r>
    </w:p>
    <w:p w14:paraId="3C121804"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international fisher effect (IFE) posits that disparities in nominal interest rates between nations can serve as a reliable indicator for anticipating fluctuations in currency exchange rates (Hatemi, 2009). Based on the IFE's propositions, nations with higher nominal interest rates tend to have greater rates of inflation. </w:t>
      </w:r>
      <w:proofErr w:type="gramStart"/>
      <w:r>
        <w:rPr>
          <w:rFonts w:ascii="Arial" w:eastAsia="Arial" w:hAnsi="Arial" w:cs="Arial"/>
          <w:sz w:val="24"/>
          <w:szCs w:val="24"/>
        </w:rPr>
        <w:t>As a consequence</w:t>
      </w:r>
      <w:proofErr w:type="gramEnd"/>
      <w:r>
        <w:rPr>
          <w:rFonts w:ascii="Arial" w:eastAsia="Arial" w:hAnsi="Arial" w:cs="Arial"/>
          <w:sz w:val="24"/>
          <w:szCs w:val="24"/>
        </w:rPr>
        <w:t xml:space="preserve">, their currency is expected to depreciate versus other currencies of countries with lower interest and inflation rates, respectively (Hatemi, 2009). Empirical support for the validity of IFE is inconclusive, and in recent times, there has been a shift towards using direct estimation of currency exchange fluctuations based on anticipated inflation (Hatemi, 2009). According to this model, multinational companies must be aware of the inflation differentials which impact exchange rates. </w:t>
      </w:r>
    </w:p>
    <w:p w14:paraId="1D3015DD"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Purchasing power parity (PPP) is a widely used macroeconomic indicator that allows for the comparison of economic productivity and living standards across different nations (Eun et al., 2021). PPP evaluates the currencies of various nations using a "basket of goods" approach (Callen, 2024). PPP refers to the exchange rate at which the currency of one country may be exchanged into another country's currency to buy the same quantities of a wide range of items. According to the PPP theory, equilibrium </w:t>
      </w:r>
      <w:r>
        <w:rPr>
          <w:rFonts w:ascii="Arial" w:eastAsia="Arial" w:hAnsi="Arial" w:cs="Arial"/>
          <w:sz w:val="24"/>
          <w:szCs w:val="24"/>
        </w:rPr>
        <w:lastRenderedPageBreak/>
        <w:t xml:space="preserve">is achieved when the exchange rate leads to the same prices of products in both countries (Eun et al., 2021). Thus, exchange rate fluctuations are explained by the market mechanisms leading to price equalisation – an important fact to be considered by multinational companies (Eun et al., 2021; Callen, 2024). </w:t>
      </w:r>
    </w:p>
    <w:p w14:paraId="58C392E7"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discussed theories provide different perspectives regarding the determinants of exchange rate fluctuations. Multinational companies must consider factors, such as interest rates changes, inflation differential, price differences and expectations. Considering the different theoretical perspectives and their mixed empirical support, the management of currency risk continues to be a challenge. The next section of the report considers the available hedging strategies in the field. </w:t>
      </w:r>
    </w:p>
    <w:p w14:paraId="61E79D07" w14:textId="0E714413" w:rsidR="00601F34" w:rsidRDefault="00000000">
      <w:pPr>
        <w:pStyle w:val="Heading1"/>
        <w:spacing w:before="0" w:after="240"/>
        <w:rPr>
          <w:rFonts w:ascii="Arial" w:eastAsia="Arial" w:hAnsi="Arial" w:cs="Arial"/>
        </w:rPr>
      </w:pPr>
      <w:bookmarkStart w:id="2" w:name="_heading=h.1fob9te" w:colFirst="0" w:colLast="0"/>
      <w:bookmarkEnd w:id="2"/>
      <w:r>
        <w:rPr>
          <w:rFonts w:ascii="Arial" w:eastAsia="Arial" w:hAnsi="Arial" w:cs="Arial"/>
        </w:rPr>
        <w:t xml:space="preserve">Risk management </w:t>
      </w:r>
      <w:r w:rsidR="0027305E">
        <w:rPr>
          <w:rFonts w:ascii="Arial" w:eastAsia="Arial" w:hAnsi="Arial" w:cs="Arial"/>
        </w:rPr>
        <w:t>strategies.</w:t>
      </w:r>
    </w:p>
    <w:p w14:paraId="0D801214"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In finance, hedging refers to a process of risk reduction which is typically done by using different financial instruments and derivatives (Scott, 2023). </w:t>
      </w:r>
    </w:p>
    <w:p w14:paraId="05423866"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In some cases, multinational companies mitigate exchange rate via natural hedging – a strategy requiring adding assets that have negative correlation (Borad, 2024). The strategy avoids the use of financial instruments; instead, companies tend to incur expenses in the same currency in which profits are generated (Borad, 2024). Since costs and revenues are denominated in the same currency, there is protection against unfavourable exchange rate fluctuations.</w:t>
      </w:r>
    </w:p>
    <w:p w14:paraId="587A5E32"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Hedging exchange rate risk is commonly done by purchasing forwards and futures contracts. Both are agreements between two parties with several insignificant differences. Futures are contracts that follow standardised terms and are publicly traded on established exchanges (Eun et al., 2021). In contrast, forwards are negotiated directly between parties and the terms of the contract are tailored to each unique circumstance (Eun et al., 2021). Given these differences, futures are more popular than forwards in terms of trading volume (</w:t>
      </w:r>
      <w:proofErr w:type="spellStart"/>
      <w:r>
        <w:rPr>
          <w:rFonts w:ascii="Arial" w:eastAsia="Arial" w:hAnsi="Arial" w:cs="Arial"/>
          <w:sz w:val="24"/>
          <w:szCs w:val="24"/>
        </w:rPr>
        <w:t>Stålstedt</w:t>
      </w:r>
      <w:proofErr w:type="spellEnd"/>
      <w:r>
        <w:rPr>
          <w:rFonts w:ascii="Arial" w:eastAsia="Arial" w:hAnsi="Arial" w:cs="Arial"/>
          <w:sz w:val="24"/>
          <w:szCs w:val="24"/>
        </w:rPr>
        <w:t xml:space="preserve">, 2006). Despite the differences, both types of contracts essentially function in the same manner. More specifically, it is important to determine a fixed price for a financial instrument, such as currency pair, commodity and others, with the requirement that the contracts must be fulfilled on a certain date in the future (Krugman et al., 2018). These are legal requirements, which must be respected, as the involved parties must complete the </w:t>
      </w:r>
      <w:r>
        <w:rPr>
          <w:rFonts w:ascii="Arial" w:eastAsia="Arial" w:hAnsi="Arial" w:cs="Arial"/>
          <w:sz w:val="24"/>
          <w:szCs w:val="24"/>
        </w:rPr>
        <w:lastRenderedPageBreak/>
        <w:t xml:space="preserve">transaction at the specified expiration date and in accordance with the negotiated/stated terms (Eun et al., 2021). Multinational companies can purchase futures or forward contracts to „lock” the current exchange rate for a period in the future (Hull, 2012). Thus, companies neutralise the risks of unfavourable exchange rate fluctuations, however, they may also miss an opportunity stemming from desirable exchange rate changes (Hull, 2012). </w:t>
      </w:r>
    </w:p>
    <w:p w14:paraId="697C8665"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Exchange rate fluctuations may also be managed by using a specific type of derivates – currency options (Keefe et al., 2019). There are many variations of currency options and strategies to be considered by multinational companies (</w:t>
      </w:r>
      <w:proofErr w:type="spellStart"/>
      <w:r>
        <w:rPr>
          <w:rFonts w:ascii="Arial" w:eastAsia="Arial" w:hAnsi="Arial" w:cs="Arial"/>
          <w:sz w:val="24"/>
          <w:szCs w:val="24"/>
        </w:rPr>
        <w:t>Stålstedt</w:t>
      </w:r>
      <w:proofErr w:type="spellEnd"/>
      <w:r>
        <w:rPr>
          <w:rFonts w:ascii="Arial" w:eastAsia="Arial" w:hAnsi="Arial" w:cs="Arial"/>
          <w:sz w:val="24"/>
          <w:szCs w:val="24"/>
        </w:rPr>
        <w:t xml:space="preserve">, 2006). In general, there are two main types of options – call and put (Keefe et al., 2019). Call options provide the right to purchase a given financial asset at a specified price and date in the future (Krugman et al., 2018). Respectively, put options provide the right to sell a financial asset at a specified type and date in the future (Krugman et al., 2018). Options only provide rights and option owners are not legally obligated to execute the purchased option (Eun et al., 2021). This is important because option owners may do nothing if exchange rate changes are in a favourable direction, thereby paying only the price of the unexercised option. And vice versa – having an option can effectively protect multinational companies from experiencing potentially negative exchange rate fluctuations. </w:t>
      </w:r>
    </w:p>
    <w:p w14:paraId="693CAF8C"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In some cases, currency swaps can also be used as a hedging technique. A currency swap, by definition, is a bilateral agreement where two parties exchange equal amounts of money in different currencies (Eun et al., 2021). The parties are engaging in a mutual lending agreement, where they will lend money to each other and repay the amounts on a certain date and at a specific exchange rate (Mitchell, 2023). The duration of swaps can vary significantly, ranging from several months to many years, depending on the specific terms of the deal (Mitchell, 2023). For example, if a global corporation requires a loan in a certain currency and anticipates a substantial appreciation of that currency in the future, a currency swap can effectively protect the company from repaying an increased amount of money due to the appreciation of the exchange rate (Mitchell, 2023). </w:t>
      </w:r>
    </w:p>
    <w:p w14:paraId="58278C69"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As discussed, there are different hedging strategies to mitigate the exchange rate risk. The following chapter discusses the main advantages and disadvantages of each approach.</w:t>
      </w:r>
    </w:p>
    <w:p w14:paraId="00429055" w14:textId="77777777" w:rsidR="00601F34" w:rsidRDefault="00000000">
      <w:pPr>
        <w:pStyle w:val="Heading1"/>
        <w:spacing w:before="0" w:after="240"/>
        <w:rPr>
          <w:rFonts w:ascii="Arial" w:eastAsia="Arial" w:hAnsi="Arial" w:cs="Arial"/>
        </w:rPr>
      </w:pPr>
      <w:bookmarkStart w:id="3" w:name="_heading=h.3znysh7" w:colFirst="0" w:colLast="0"/>
      <w:bookmarkEnd w:id="3"/>
      <w:r>
        <w:rPr>
          <w:rFonts w:ascii="Arial" w:eastAsia="Arial" w:hAnsi="Arial" w:cs="Arial"/>
        </w:rPr>
        <w:lastRenderedPageBreak/>
        <w:t>A critical evaluation of hedging strategies</w:t>
      </w:r>
    </w:p>
    <w:p w14:paraId="14A7CDD8"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discussed hedging strategies have specific advantages and disadvantages which must be addressed. In general, natural hedging is effective in mitigating exchange risks and companies do not need to pay for acquiring financial hedges (Borad, 2024). Nevertheless, the evidence shows that natural hedging requires a precise and pro-active approach to risk management which is often different to be executed accordingly (Borad, 2024). </w:t>
      </w:r>
    </w:p>
    <w:p w14:paraId="04909D75"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When financial hedges are discussed, the advantages of forwards and future stem from their simplicity and transparency which promote high understanding (Kaplan, 2020). These instruments, however, may not be available, especially when considering forward contracts (Kaplan, 2020). In addition, they eliminate the upside potential for profit if exchange rate changes are favourable given the fact that the involved parties are required to execute the exchange at an initially determined price (Kaplan, 2020). In contrast, options provide the opportunity to benefit from favourable exchange rate changes since these derivatives do not require compulsory execution (Eun et al., 2021). Despite this key advantage, options tend to be significantly costlier and more difficult to understand in comparison to futures and forward contracts (Bound, 2024). </w:t>
      </w:r>
    </w:p>
    <w:p w14:paraId="3AF54603"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Findings indicate that exchange rate risk hedging is a complex and often costly process. There is not a single solution to be applied by multinational companies. </w:t>
      </w:r>
    </w:p>
    <w:p w14:paraId="6E8BA913" w14:textId="77777777" w:rsidR="00601F34" w:rsidRDefault="00000000">
      <w:pPr>
        <w:pStyle w:val="Heading1"/>
        <w:spacing w:before="0" w:after="240"/>
        <w:rPr>
          <w:rFonts w:ascii="Arial" w:eastAsia="Arial" w:hAnsi="Arial" w:cs="Arial"/>
        </w:rPr>
      </w:pPr>
      <w:bookmarkStart w:id="4" w:name="_heading=h.2et92p0" w:colFirst="0" w:colLast="0"/>
      <w:bookmarkEnd w:id="4"/>
      <w:r>
        <w:rPr>
          <w:rFonts w:ascii="Arial" w:eastAsia="Arial" w:hAnsi="Arial" w:cs="Arial"/>
        </w:rPr>
        <w:t>Conclusion</w:t>
      </w:r>
    </w:p>
    <w:p w14:paraId="7EE234F6" w14:textId="77777777" w:rsidR="00601F34"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To sum up, the evidence shows the significance of managing exchange rate risk by multinational companies. There are different theories explaining currency fluctuations, but they fail to accurately predict price changes with a high level of certainty. Therefore, multinational companies must apply hedging techniques as protection against uncertainty and unfavourable changes in the foreign exchange markets. The selected hedging strategy must be conducted given the goals, risk tolerance, context and financial specifics of each organisation. </w:t>
      </w:r>
    </w:p>
    <w:p w14:paraId="4716B355" w14:textId="77777777" w:rsidR="00601F34" w:rsidRDefault="00601F34">
      <w:pPr>
        <w:spacing w:line="360" w:lineRule="auto"/>
        <w:jc w:val="both"/>
        <w:rPr>
          <w:rFonts w:ascii="Arial" w:eastAsia="Arial" w:hAnsi="Arial" w:cs="Arial"/>
          <w:sz w:val="24"/>
          <w:szCs w:val="24"/>
        </w:rPr>
      </w:pPr>
    </w:p>
    <w:p w14:paraId="4CEAA85B" w14:textId="77777777" w:rsidR="00601F34" w:rsidRDefault="00601F34">
      <w:pPr>
        <w:spacing w:line="360" w:lineRule="auto"/>
        <w:jc w:val="both"/>
        <w:rPr>
          <w:sz w:val="24"/>
          <w:szCs w:val="24"/>
        </w:rPr>
      </w:pPr>
    </w:p>
    <w:p w14:paraId="61499B26" w14:textId="77777777" w:rsidR="00601F34" w:rsidRDefault="00601F34">
      <w:pPr>
        <w:spacing w:line="360" w:lineRule="auto"/>
        <w:jc w:val="both"/>
        <w:rPr>
          <w:strike/>
          <w:sz w:val="24"/>
          <w:szCs w:val="24"/>
        </w:rPr>
      </w:pPr>
    </w:p>
    <w:p w14:paraId="5FD1F6D1" w14:textId="77777777" w:rsidR="00601F34" w:rsidRDefault="00601F34">
      <w:pPr>
        <w:spacing w:line="360" w:lineRule="auto"/>
        <w:jc w:val="both"/>
        <w:rPr>
          <w:strike/>
          <w:sz w:val="24"/>
          <w:szCs w:val="24"/>
        </w:rPr>
      </w:pPr>
    </w:p>
    <w:p w14:paraId="14F68CFD" w14:textId="77777777" w:rsidR="00601F34" w:rsidRDefault="00601F34">
      <w:pPr>
        <w:spacing w:line="360" w:lineRule="auto"/>
        <w:jc w:val="both"/>
        <w:rPr>
          <w:strike/>
          <w:sz w:val="24"/>
          <w:szCs w:val="24"/>
        </w:rPr>
      </w:pPr>
    </w:p>
    <w:p w14:paraId="518B9050" w14:textId="77777777" w:rsidR="00601F34" w:rsidRDefault="00601F34">
      <w:pPr>
        <w:spacing w:line="360" w:lineRule="auto"/>
        <w:jc w:val="both"/>
        <w:rPr>
          <w:strike/>
          <w:sz w:val="24"/>
          <w:szCs w:val="24"/>
        </w:rPr>
      </w:pPr>
    </w:p>
    <w:p w14:paraId="722C350F" w14:textId="77777777" w:rsidR="00601F34" w:rsidRDefault="00601F34">
      <w:pPr>
        <w:spacing w:line="360" w:lineRule="auto"/>
        <w:jc w:val="both"/>
        <w:rPr>
          <w:strike/>
          <w:sz w:val="24"/>
          <w:szCs w:val="24"/>
        </w:rPr>
      </w:pPr>
    </w:p>
    <w:p w14:paraId="24FC8526" w14:textId="77777777" w:rsidR="00601F34" w:rsidRDefault="00601F34">
      <w:pPr>
        <w:spacing w:line="360" w:lineRule="auto"/>
        <w:jc w:val="both"/>
        <w:rPr>
          <w:b/>
          <w:sz w:val="28"/>
          <w:szCs w:val="28"/>
        </w:rPr>
      </w:pPr>
    </w:p>
    <w:p w14:paraId="068CD0A9" w14:textId="77777777" w:rsidR="00601F34" w:rsidRDefault="00000000">
      <w:pPr>
        <w:pStyle w:val="Heading1"/>
        <w:spacing w:before="0" w:after="240"/>
        <w:rPr>
          <w:rFonts w:ascii="Arial" w:eastAsia="Arial" w:hAnsi="Arial" w:cs="Arial"/>
        </w:rPr>
      </w:pPr>
      <w:bookmarkStart w:id="5" w:name="_heading=h.tyjcwt" w:colFirst="0" w:colLast="0"/>
      <w:bookmarkEnd w:id="5"/>
      <w:r>
        <w:rPr>
          <w:rFonts w:ascii="Arial" w:eastAsia="Arial" w:hAnsi="Arial" w:cs="Arial"/>
        </w:rPr>
        <w:t>References</w:t>
      </w:r>
    </w:p>
    <w:p w14:paraId="632D8C4E"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Borad, S. (2024) </w:t>
      </w:r>
      <w:r>
        <w:rPr>
          <w:rFonts w:ascii="Arial" w:eastAsia="Arial" w:hAnsi="Arial" w:cs="Arial"/>
          <w:i/>
          <w:color w:val="000000"/>
          <w:sz w:val="24"/>
          <w:szCs w:val="24"/>
          <w:highlight w:val="white"/>
        </w:rPr>
        <w:t>Natural Hedging – Benefits, Disadvantages And More</w:t>
      </w:r>
      <w:r>
        <w:rPr>
          <w:rFonts w:ascii="Arial" w:eastAsia="Arial" w:hAnsi="Arial" w:cs="Arial"/>
          <w:color w:val="000000"/>
          <w:sz w:val="24"/>
          <w:szCs w:val="24"/>
          <w:highlight w:val="white"/>
        </w:rPr>
        <w:t xml:space="preserve">, [online] Available: </w:t>
      </w:r>
      <w:hyperlink r:id="rId8">
        <w:r>
          <w:rPr>
            <w:rFonts w:ascii="Arial" w:eastAsia="Arial" w:hAnsi="Arial" w:cs="Arial"/>
            <w:color w:val="467886"/>
            <w:sz w:val="24"/>
            <w:szCs w:val="24"/>
            <w:highlight w:val="white"/>
            <w:u w:val="single"/>
          </w:rPr>
          <w:t>https://efinancemanagement.com/investment-decisions/natural-hedging</w:t>
        </w:r>
      </w:hyperlink>
      <w:r>
        <w:rPr>
          <w:rFonts w:ascii="Arial" w:eastAsia="Arial" w:hAnsi="Arial" w:cs="Arial"/>
          <w:color w:val="000000"/>
          <w:sz w:val="24"/>
          <w:szCs w:val="24"/>
          <w:highlight w:val="white"/>
        </w:rPr>
        <w:t xml:space="preserve"> [Accessed: 21 March 2024]</w:t>
      </w:r>
    </w:p>
    <w:p w14:paraId="656C6CEB"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Bound (2024) </w:t>
      </w:r>
      <w:r>
        <w:rPr>
          <w:rFonts w:ascii="Arial" w:eastAsia="Arial" w:hAnsi="Arial" w:cs="Arial"/>
          <w:i/>
          <w:color w:val="000000"/>
          <w:sz w:val="24"/>
          <w:szCs w:val="24"/>
          <w:highlight w:val="white"/>
        </w:rPr>
        <w:t>Forward Trade vs Option Trade. Which One Should I Pick?</w:t>
      </w:r>
      <w:r>
        <w:rPr>
          <w:rFonts w:ascii="Arial" w:eastAsia="Arial" w:hAnsi="Arial" w:cs="Arial"/>
          <w:color w:val="000000"/>
          <w:sz w:val="24"/>
          <w:szCs w:val="24"/>
          <w:highlight w:val="white"/>
        </w:rPr>
        <w:t xml:space="preserve"> [online] Available: </w:t>
      </w:r>
      <w:hyperlink r:id="rId9">
        <w:r>
          <w:rPr>
            <w:rFonts w:ascii="Arial" w:eastAsia="Arial" w:hAnsi="Arial" w:cs="Arial"/>
            <w:color w:val="467886"/>
            <w:sz w:val="24"/>
            <w:szCs w:val="24"/>
            <w:highlight w:val="white"/>
            <w:u w:val="single"/>
          </w:rPr>
          <w:t>https://www.bound.co/blog/forward-trade-vs-option-trade-which-one-should-i-pick</w:t>
        </w:r>
      </w:hyperlink>
      <w:r>
        <w:rPr>
          <w:rFonts w:ascii="Arial" w:eastAsia="Arial" w:hAnsi="Arial" w:cs="Arial"/>
          <w:color w:val="000000"/>
          <w:sz w:val="24"/>
          <w:szCs w:val="24"/>
          <w:highlight w:val="white"/>
        </w:rPr>
        <w:t xml:space="preserve"> [Accessed: 21 March 2024]</w:t>
      </w:r>
    </w:p>
    <w:p w14:paraId="0B9B5262"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Callen, T. (2024) Purchasing Price Parity: Weights Matter, </w:t>
      </w:r>
      <w:r>
        <w:rPr>
          <w:rFonts w:ascii="Arial" w:eastAsia="Arial" w:hAnsi="Arial" w:cs="Arial"/>
          <w:i/>
          <w:color w:val="000000"/>
          <w:sz w:val="24"/>
          <w:szCs w:val="24"/>
          <w:highlight w:val="white"/>
        </w:rPr>
        <w:t>International Monetary Fund</w:t>
      </w:r>
      <w:r>
        <w:rPr>
          <w:rFonts w:ascii="Arial" w:eastAsia="Arial" w:hAnsi="Arial" w:cs="Arial"/>
          <w:color w:val="000000"/>
          <w:sz w:val="24"/>
          <w:szCs w:val="24"/>
          <w:highlight w:val="white"/>
        </w:rPr>
        <w:t xml:space="preserve">, [online] Available: </w:t>
      </w:r>
      <w:hyperlink r:id="rId10">
        <w:r>
          <w:rPr>
            <w:rFonts w:ascii="Arial" w:eastAsia="Arial" w:hAnsi="Arial" w:cs="Arial"/>
            <w:color w:val="467886"/>
            <w:sz w:val="24"/>
            <w:szCs w:val="24"/>
            <w:highlight w:val="white"/>
            <w:u w:val="single"/>
          </w:rPr>
          <w:t>https://www.imf.org/en/Publications/fandd/issues/Series/Back-to-Basics/Purchasing-Power-Parity-PPP</w:t>
        </w:r>
      </w:hyperlink>
      <w:r>
        <w:rPr>
          <w:rFonts w:ascii="Arial" w:eastAsia="Arial" w:hAnsi="Arial" w:cs="Arial"/>
          <w:color w:val="000000"/>
          <w:sz w:val="24"/>
          <w:szCs w:val="24"/>
          <w:highlight w:val="white"/>
        </w:rPr>
        <w:t xml:space="preserve"> [Accessed: 20 March 2024]</w:t>
      </w:r>
    </w:p>
    <w:p w14:paraId="60B4395D"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Chartered Financial Institute (CFI) (2024) </w:t>
      </w:r>
      <w:r>
        <w:rPr>
          <w:rFonts w:ascii="Arial" w:eastAsia="Arial" w:hAnsi="Arial" w:cs="Arial"/>
          <w:i/>
          <w:color w:val="000000"/>
          <w:sz w:val="24"/>
          <w:szCs w:val="24"/>
          <w:highlight w:val="white"/>
        </w:rPr>
        <w:t>Uncovered Interest Rate Parity (UIRP),</w:t>
      </w:r>
      <w:r>
        <w:rPr>
          <w:rFonts w:ascii="Arial" w:eastAsia="Arial" w:hAnsi="Arial" w:cs="Arial"/>
          <w:color w:val="000000"/>
          <w:sz w:val="24"/>
          <w:szCs w:val="24"/>
          <w:highlight w:val="white"/>
        </w:rPr>
        <w:t xml:space="preserve"> [online] Available: </w:t>
      </w:r>
      <w:hyperlink r:id="rId11">
        <w:r>
          <w:rPr>
            <w:rFonts w:ascii="Arial" w:eastAsia="Arial" w:hAnsi="Arial" w:cs="Arial"/>
            <w:color w:val="467886"/>
            <w:sz w:val="24"/>
            <w:szCs w:val="24"/>
            <w:highlight w:val="white"/>
            <w:u w:val="single"/>
          </w:rPr>
          <w:t>https://corporatefinanceinstitute.com/resources/career-map/sell-side/capital-markets/uncovered-interest-rate-parity-uirp/</w:t>
        </w:r>
      </w:hyperlink>
      <w:r>
        <w:rPr>
          <w:rFonts w:ascii="Arial" w:eastAsia="Arial" w:hAnsi="Arial" w:cs="Arial"/>
          <w:color w:val="000000"/>
          <w:sz w:val="24"/>
          <w:szCs w:val="24"/>
          <w:highlight w:val="white"/>
        </w:rPr>
        <w:t xml:space="preserve"> [Accessed: 20 March 2024]</w:t>
      </w:r>
    </w:p>
    <w:p w14:paraId="7D0994BA" w14:textId="77777777" w:rsidR="00601F34" w:rsidRDefault="00000000">
      <w:pPr>
        <w:spacing w:line="360" w:lineRule="auto"/>
        <w:rPr>
          <w:rFonts w:ascii="Arial" w:eastAsia="Arial" w:hAnsi="Arial" w:cs="Arial"/>
          <w:sz w:val="24"/>
          <w:szCs w:val="24"/>
        </w:rPr>
      </w:pPr>
      <w:proofErr w:type="spellStart"/>
      <w:r>
        <w:rPr>
          <w:rFonts w:ascii="Arial" w:eastAsia="Arial" w:hAnsi="Arial" w:cs="Arial"/>
          <w:sz w:val="24"/>
          <w:szCs w:val="24"/>
        </w:rPr>
        <w:t>Espace</w:t>
      </w:r>
      <w:proofErr w:type="spellEnd"/>
      <w:r>
        <w:rPr>
          <w:rFonts w:ascii="Arial" w:eastAsia="Arial" w:hAnsi="Arial" w:cs="Arial"/>
          <w:sz w:val="24"/>
          <w:szCs w:val="24"/>
        </w:rPr>
        <w:t xml:space="preserve"> Mondial Atlas (EMA) (2018) </w:t>
      </w:r>
      <w:r>
        <w:rPr>
          <w:rFonts w:ascii="Arial" w:eastAsia="Arial" w:hAnsi="Arial" w:cs="Arial"/>
          <w:i/>
          <w:sz w:val="24"/>
          <w:szCs w:val="24"/>
        </w:rPr>
        <w:t>Multinational Corporations</w:t>
      </w:r>
      <w:r>
        <w:rPr>
          <w:rFonts w:ascii="Arial" w:eastAsia="Arial" w:hAnsi="Arial" w:cs="Arial"/>
          <w:sz w:val="24"/>
          <w:szCs w:val="24"/>
        </w:rPr>
        <w:t xml:space="preserve">, [online] Available: </w:t>
      </w:r>
      <w:hyperlink r:id="rId12" w:anchor=":~:text=An%20MNC%20is%20a%20very,controlling%20more%20than%20500%2C000%20subsidiaries">
        <w:r>
          <w:rPr>
            <w:rFonts w:ascii="Arial" w:eastAsia="Arial" w:hAnsi="Arial" w:cs="Arial"/>
            <w:color w:val="467886"/>
            <w:sz w:val="24"/>
            <w:szCs w:val="24"/>
            <w:u w:val="single"/>
          </w:rPr>
          <w:t>https://espace-mondial-atlas.sciencespo.fr/en/topic-strategies-of-transnational-actors/article-3A11-EN-multinational-corporations.html#:~:text=An%20MNC%20is%20a%20very,controlling%20more%20than%20500%2C000%20subsidiaries</w:t>
        </w:r>
      </w:hyperlink>
      <w:r>
        <w:rPr>
          <w:rFonts w:ascii="Arial" w:eastAsia="Arial" w:hAnsi="Arial" w:cs="Arial"/>
          <w:sz w:val="24"/>
          <w:szCs w:val="24"/>
        </w:rPr>
        <w:t xml:space="preserve"> [Accessed: 19 March 2024]</w:t>
      </w:r>
    </w:p>
    <w:p w14:paraId="739B8BA5"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Eun, C., Resnick, B. and </w:t>
      </w:r>
      <w:proofErr w:type="spellStart"/>
      <w:r>
        <w:rPr>
          <w:rFonts w:ascii="Arial" w:eastAsia="Arial" w:hAnsi="Arial" w:cs="Arial"/>
          <w:color w:val="000000"/>
          <w:sz w:val="24"/>
          <w:szCs w:val="24"/>
          <w:highlight w:val="white"/>
        </w:rPr>
        <w:t>Chuluum</w:t>
      </w:r>
      <w:proofErr w:type="spellEnd"/>
      <w:r>
        <w:rPr>
          <w:rFonts w:ascii="Arial" w:eastAsia="Arial" w:hAnsi="Arial" w:cs="Arial"/>
          <w:color w:val="000000"/>
          <w:sz w:val="24"/>
          <w:szCs w:val="24"/>
          <w:highlight w:val="white"/>
        </w:rPr>
        <w:t xml:space="preserve">, T. (2021) </w:t>
      </w:r>
      <w:r>
        <w:rPr>
          <w:rFonts w:ascii="Arial" w:eastAsia="Arial" w:hAnsi="Arial" w:cs="Arial"/>
          <w:i/>
          <w:color w:val="000000"/>
          <w:sz w:val="24"/>
          <w:szCs w:val="24"/>
          <w:highlight w:val="white"/>
        </w:rPr>
        <w:t>International Financial Management</w:t>
      </w:r>
      <w:r>
        <w:rPr>
          <w:rFonts w:ascii="Arial" w:eastAsia="Arial" w:hAnsi="Arial" w:cs="Arial"/>
          <w:color w:val="000000"/>
          <w:sz w:val="24"/>
          <w:szCs w:val="24"/>
          <w:highlight w:val="white"/>
        </w:rPr>
        <w:t>. 9</w:t>
      </w:r>
      <w:r>
        <w:rPr>
          <w:rFonts w:ascii="Arial" w:eastAsia="Arial" w:hAnsi="Arial" w:cs="Arial"/>
          <w:color w:val="000000"/>
          <w:sz w:val="24"/>
          <w:szCs w:val="24"/>
          <w:highlight w:val="white"/>
          <w:vertAlign w:val="superscript"/>
        </w:rPr>
        <w:t>th</w:t>
      </w:r>
      <w:r>
        <w:rPr>
          <w:rFonts w:ascii="Arial" w:eastAsia="Arial" w:hAnsi="Arial" w:cs="Arial"/>
          <w:color w:val="000000"/>
          <w:sz w:val="24"/>
          <w:szCs w:val="24"/>
          <w:highlight w:val="white"/>
        </w:rPr>
        <w:t xml:space="preserve"> edition, USA: McGraw Hill</w:t>
      </w:r>
    </w:p>
    <w:p w14:paraId="31491E52"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Hatemi, A. (2009) </w:t>
      </w:r>
      <w:r>
        <w:rPr>
          <w:rFonts w:ascii="Arial" w:eastAsia="Arial" w:hAnsi="Arial" w:cs="Arial"/>
          <w:sz w:val="24"/>
          <w:szCs w:val="24"/>
          <w:highlight w:val="white"/>
        </w:rPr>
        <w:t>The International Fisher Effect: Theory and Application</w:t>
      </w:r>
      <w:r>
        <w:rPr>
          <w:rFonts w:ascii="Arial" w:eastAsia="Arial" w:hAnsi="Arial" w:cs="Arial"/>
          <w:color w:val="000000"/>
          <w:sz w:val="24"/>
          <w:szCs w:val="24"/>
          <w:highlight w:val="white"/>
        </w:rPr>
        <w:t xml:space="preserve">, </w:t>
      </w:r>
      <w:r>
        <w:rPr>
          <w:rFonts w:ascii="Arial" w:eastAsia="Arial" w:hAnsi="Arial" w:cs="Arial"/>
          <w:i/>
          <w:color w:val="000000"/>
          <w:sz w:val="24"/>
          <w:szCs w:val="24"/>
          <w:highlight w:val="white"/>
        </w:rPr>
        <w:t>Investment Management and Financial Innovations</w:t>
      </w:r>
      <w:r>
        <w:rPr>
          <w:rFonts w:ascii="Arial" w:eastAsia="Arial" w:hAnsi="Arial" w:cs="Arial"/>
          <w:color w:val="000000"/>
          <w:sz w:val="24"/>
          <w:szCs w:val="24"/>
          <w:highlight w:val="white"/>
        </w:rPr>
        <w:t xml:space="preserve">, Vol. 6(1), pp. 117-121. </w:t>
      </w:r>
    </w:p>
    <w:p w14:paraId="5D1D007C"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lastRenderedPageBreak/>
        <w:t xml:space="preserve">Hull, J. (2012) </w:t>
      </w:r>
      <w:r>
        <w:rPr>
          <w:rFonts w:ascii="Arial" w:eastAsia="Arial" w:hAnsi="Arial" w:cs="Arial"/>
          <w:i/>
          <w:color w:val="000000"/>
          <w:sz w:val="24"/>
          <w:szCs w:val="24"/>
          <w:highlight w:val="white"/>
        </w:rPr>
        <w:t>Risk Management and Financial Institutions</w:t>
      </w:r>
      <w:r>
        <w:rPr>
          <w:rFonts w:ascii="Arial" w:eastAsia="Arial" w:hAnsi="Arial" w:cs="Arial"/>
          <w:color w:val="000000"/>
          <w:sz w:val="24"/>
          <w:szCs w:val="24"/>
          <w:highlight w:val="white"/>
        </w:rPr>
        <w:t>. 3</w:t>
      </w:r>
      <w:r>
        <w:rPr>
          <w:rFonts w:ascii="Arial" w:eastAsia="Arial" w:hAnsi="Arial" w:cs="Arial"/>
          <w:color w:val="000000"/>
          <w:sz w:val="24"/>
          <w:szCs w:val="24"/>
          <w:highlight w:val="white"/>
          <w:vertAlign w:val="superscript"/>
        </w:rPr>
        <w:t>rd</w:t>
      </w:r>
      <w:r>
        <w:rPr>
          <w:rFonts w:ascii="Arial" w:eastAsia="Arial" w:hAnsi="Arial" w:cs="Arial"/>
          <w:color w:val="000000"/>
          <w:sz w:val="24"/>
          <w:szCs w:val="24"/>
          <w:highlight w:val="white"/>
        </w:rPr>
        <w:t xml:space="preserve"> edition, John Wiley and Sons, Inc.</w:t>
      </w:r>
    </w:p>
    <w:p w14:paraId="3CA886F0"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Kaplan (2020) </w:t>
      </w:r>
      <w:r>
        <w:rPr>
          <w:rFonts w:ascii="Arial" w:eastAsia="Arial" w:hAnsi="Arial" w:cs="Arial"/>
          <w:i/>
          <w:color w:val="000000"/>
          <w:sz w:val="24"/>
          <w:szCs w:val="24"/>
          <w:highlight w:val="white"/>
        </w:rPr>
        <w:t>Chapter 13: Hedging foreign exchange risk</w:t>
      </w:r>
      <w:r>
        <w:rPr>
          <w:rFonts w:ascii="Arial" w:eastAsia="Arial" w:hAnsi="Arial" w:cs="Arial"/>
          <w:color w:val="000000"/>
          <w:sz w:val="24"/>
          <w:szCs w:val="24"/>
          <w:highlight w:val="white"/>
        </w:rPr>
        <w:t xml:space="preserve">, [online] Available: </w:t>
      </w:r>
      <w:hyperlink r:id="rId13">
        <w:r>
          <w:rPr>
            <w:rFonts w:ascii="Arial" w:eastAsia="Arial" w:hAnsi="Arial" w:cs="Arial"/>
            <w:color w:val="467886"/>
            <w:sz w:val="24"/>
            <w:szCs w:val="24"/>
            <w:highlight w:val="white"/>
            <w:u w:val="single"/>
          </w:rPr>
          <w:t>https://kfknowledgebank.kaplan.co.uk/acca/chapter-13-hedging-foreign-exchange-risk</w:t>
        </w:r>
      </w:hyperlink>
      <w:r>
        <w:rPr>
          <w:rFonts w:ascii="Arial" w:eastAsia="Arial" w:hAnsi="Arial" w:cs="Arial"/>
          <w:color w:val="000000"/>
          <w:sz w:val="24"/>
          <w:szCs w:val="24"/>
          <w:highlight w:val="white"/>
        </w:rPr>
        <w:t xml:space="preserve"> [Accessed: 21 March 2024]</w:t>
      </w:r>
    </w:p>
    <w:p w14:paraId="284D82A0"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Keefe, H. and Rengifo, E. (2019) Currency Option Trading Strategies as an Alternative Tool for Central Bank Foreign Exchange Interventions, </w:t>
      </w:r>
      <w:r>
        <w:rPr>
          <w:rFonts w:ascii="Arial" w:eastAsia="Arial" w:hAnsi="Arial" w:cs="Arial"/>
          <w:i/>
          <w:color w:val="000000"/>
          <w:sz w:val="24"/>
          <w:szCs w:val="24"/>
          <w:highlight w:val="white"/>
        </w:rPr>
        <w:t>International Journal of Central Banking</w:t>
      </w:r>
      <w:r>
        <w:rPr>
          <w:rFonts w:ascii="Arial" w:eastAsia="Arial" w:hAnsi="Arial" w:cs="Arial"/>
          <w:color w:val="000000"/>
          <w:sz w:val="24"/>
          <w:szCs w:val="24"/>
          <w:highlight w:val="white"/>
        </w:rPr>
        <w:t xml:space="preserve">, Vol. 15(2), pp. 179-234. </w:t>
      </w:r>
    </w:p>
    <w:p w14:paraId="4098FB02"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Krugman, P., Obstfeld, M. and Melitz, M. (2018) </w:t>
      </w:r>
      <w:r>
        <w:rPr>
          <w:rFonts w:ascii="Arial" w:eastAsia="Arial" w:hAnsi="Arial" w:cs="Arial"/>
          <w:i/>
          <w:color w:val="000000"/>
          <w:sz w:val="24"/>
          <w:szCs w:val="24"/>
          <w:highlight w:val="white"/>
        </w:rPr>
        <w:t>International Finance: Theory and Policy</w:t>
      </w:r>
      <w:r>
        <w:rPr>
          <w:rFonts w:ascii="Arial" w:eastAsia="Arial" w:hAnsi="Arial" w:cs="Arial"/>
          <w:color w:val="000000"/>
          <w:sz w:val="24"/>
          <w:szCs w:val="24"/>
          <w:highlight w:val="white"/>
        </w:rPr>
        <w:t>. 11</w:t>
      </w:r>
      <w:r>
        <w:rPr>
          <w:rFonts w:ascii="Arial" w:eastAsia="Arial" w:hAnsi="Arial" w:cs="Arial"/>
          <w:color w:val="000000"/>
          <w:sz w:val="24"/>
          <w:szCs w:val="24"/>
          <w:highlight w:val="white"/>
          <w:vertAlign w:val="superscript"/>
        </w:rPr>
        <w:t>th</w:t>
      </w:r>
      <w:r>
        <w:rPr>
          <w:rFonts w:ascii="Arial" w:eastAsia="Arial" w:hAnsi="Arial" w:cs="Arial"/>
          <w:color w:val="000000"/>
          <w:sz w:val="24"/>
          <w:szCs w:val="24"/>
          <w:highlight w:val="white"/>
        </w:rPr>
        <w:t xml:space="preserve"> edition, Pearson </w:t>
      </w:r>
    </w:p>
    <w:p w14:paraId="47E24F1F"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Mitchell, C. (2023) </w:t>
      </w:r>
      <w:r>
        <w:rPr>
          <w:rFonts w:ascii="Arial" w:eastAsia="Arial" w:hAnsi="Arial" w:cs="Arial"/>
          <w:i/>
          <w:color w:val="000000"/>
          <w:sz w:val="24"/>
          <w:szCs w:val="24"/>
          <w:highlight w:val="white"/>
        </w:rPr>
        <w:t>How Do Currency Swaps Work?</w:t>
      </w:r>
      <w:r>
        <w:rPr>
          <w:rFonts w:ascii="Arial" w:eastAsia="Arial" w:hAnsi="Arial" w:cs="Arial"/>
          <w:color w:val="000000"/>
          <w:sz w:val="24"/>
          <w:szCs w:val="24"/>
          <w:highlight w:val="white"/>
        </w:rPr>
        <w:t xml:space="preserve"> [online] Available: </w:t>
      </w:r>
      <w:hyperlink r:id="rId14" w:anchor=":~:text=A%20currency%20swap%20is%20a,specified%20date%20and%20exchange%20rate">
        <w:r>
          <w:rPr>
            <w:rFonts w:ascii="Arial" w:eastAsia="Arial" w:hAnsi="Arial" w:cs="Arial"/>
            <w:color w:val="467886"/>
            <w:sz w:val="24"/>
            <w:szCs w:val="24"/>
            <w:highlight w:val="white"/>
            <w:u w:val="single"/>
          </w:rPr>
          <w:t>https://www.investopedia.com/ask/answers/042315/how-do-currency-swaps-work.asp#:~:text=A%20currency%20swap%20is%20a,specified%20date%20and%20exchange%20rate</w:t>
        </w:r>
      </w:hyperlink>
      <w:r>
        <w:rPr>
          <w:rFonts w:ascii="Arial" w:eastAsia="Arial" w:hAnsi="Arial" w:cs="Arial"/>
          <w:color w:val="000000"/>
          <w:sz w:val="24"/>
          <w:szCs w:val="24"/>
          <w:highlight w:val="white"/>
        </w:rPr>
        <w:t xml:space="preserve"> [Accessed: 21 March 2024]</w:t>
      </w:r>
    </w:p>
    <w:p w14:paraId="50023878" w14:textId="77777777" w:rsidR="00601F34" w:rsidRDefault="00000000">
      <w:pPr>
        <w:spacing w:line="360" w:lineRule="auto"/>
        <w:rPr>
          <w:rFonts w:ascii="Arial" w:eastAsia="Arial" w:hAnsi="Arial" w:cs="Arial"/>
          <w:sz w:val="24"/>
          <w:szCs w:val="24"/>
        </w:rPr>
      </w:pPr>
      <w:r>
        <w:rPr>
          <w:rFonts w:ascii="Arial" w:eastAsia="Arial" w:hAnsi="Arial" w:cs="Arial"/>
          <w:sz w:val="24"/>
          <w:szCs w:val="24"/>
        </w:rPr>
        <w:t xml:space="preserve">Orellana, V. and Pino, G. (2021) Uncovered interest rate parity: A gravity-panel approach, </w:t>
      </w:r>
      <w:proofErr w:type="spellStart"/>
      <w:r>
        <w:rPr>
          <w:rFonts w:ascii="Arial" w:eastAsia="Arial" w:hAnsi="Arial" w:cs="Arial"/>
          <w:i/>
          <w:sz w:val="24"/>
          <w:szCs w:val="24"/>
        </w:rPr>
        <w:t>Heliyon</w:t>
      </w:r>
      <w:proofErr w:type="spellEnd"/>
      <w:r>
        <w:rPr>
          <w:rFonts w:ascii="Arial" w:eastAsia="Arial" w:hAnsi="Arial" w:cs="Arial"/>
          <w:sz w:val="24"/>
          <w:szCs w:val="24"/>
        </w:rPr>
        <w:t xml:space="preserve">, Vol. 7(11) </w:t>
      </w:r>
      <w:hyperlink r:id="rId15">
        <w:r>
          <w:rPr>
            <w:rFonts w:ascii="Arial" w:eastAsia="Arial" w:hAnsi="Arial" w:cs="Arial"/>
            <w:color w:val="467886"/>
            <w:sz w:val="24"/>
            <w:szCs w:val="24"/>
            <w:u w:val="single"/>
          </w:rPr>
          <w:t>https://doi.org/10.1016/j.heliyon.2021.e08350</w:t>
        </w:r>
      </w:hyperlink>
      <w:r>
        <w:rPr>
          <w:rFonts w:ascii="Arial" w:eastAsia="Arial" w:hAnsi="Arial" w:cs="Arial"/>
          <w:sz w:val="24"/>
          <w:szCs w:val="24"/>
        </w:rPr>
        <w:t xml:space="preserve"> </w:t>
      </w:r>
    </w:p>
    <w:p w14:paraId="003D3621" w14:textId="77777777" w:rsidR="00601F34" w:rsidRDefault="00000000">
      <w:pPr>
        <w:spacing w:line="360" w:lineRule="auto"/>
        <w:rPr>
          <w:rFonts w:ascii="Arial" w:eastAsia="Arial" w:hAnsi="Arial" w:cs="Arial"/>
          <w:sz w:val="24"/>
          <w:szCs w:val="24"/>
        </w:rPr>
      </w:pPr>
      <w:r>
        <w:rPr>
          <w:sz w:val="24"/>
          <w:szCs w:val="24"/>
          <w:highlight w:val="white"/>
        </w:rPr>
        <w:t>Papaioannou, M (2006</w:t>
      </w:r>
      <w:proofErr w:type="gramStart"/>
      <w:r>
        <w:rPr>
          <w:sz w:val="24"/>
          <w:szCs w:val="24"/>
          <w:highlight w:val="white"/>
        </w:rPr>
        <w:t xml:space="preserve">)  </w:t>
      </w:r>
      <w:r>
        <w:rPr>
          <w:i/>
          <w:sz w:val="24"/>
          <w:szCs w:val="24"/>
          <w:highlight w:val="white"/>
        </w:rPr>
        <w:t>Exchange</w:t>
      </w:r>
      <w:proofErr w:type="gramEnd"/>
      <w:r>
        <w:rPr>
          <w:i/>
          <w:sz w:val="24"/>
          <w:szCs w:val="24"/>
          <w:highlight w:val="white"/>
        </w:rPr>
        <w:t xml:space="preserve"> Rate Risk Measurement and Management: Issues and Approaches for Firms</w:t>
      </w:r>
      <w:r>
        <w:rPr>
          <w:sz w:val="24"/>
          <w:szCs w:val="24"/>
          <w:highlight w:val="white"/>
        </w:rPr>
        <w:t>, IMF</w:t>
      </w:r>
    </w:p>
    <w:p w14:paraId="47523DFE" w14:textId="77777777" w:rsidR="00601F34" w:rsidRDefault="00000000">
      <w:pPr>
        <w:spacing w:line="360" w:lineRule="auto"/>
        <w:rPr>
          <w:rFonts w:ascii="Arial" w:eastAsia="Arial" w:hAnsi="Arial" w:cs="Arial"/>
          <w:sz w:val="24"/>
          <w:szCs w:val="24"/>
        </w:rPr>
      </w:pPr>
      <w:r>
        <w:rPr>
          <w:rFonts w:ascii="Arial" w:eastAsia="Arial" w:hAnsi="Arial" w:cs="Arial"/>
          <w:sz w:val="24"/>
          <w:szCs w:val="24"/>
        </w:rPr>
        <w:t xml:space="preserve">Picardo, E. (2023) </w:t>
      </w:r>
      <w:r>
        <w:rPr>
          <w:rFonts w:ascii="Arial" w:eastAsia="Arial" w:hAnsi="Arial" w:cs="Arial"/>
          <w:i/>
          <w:sz w:val="24"/>
          <w:szCs w:val="24"/>
        </w:rPr>
        <w:t>Exchange Rate Risk: Economic Exposure</w:t>
      </w:r>
      <w:r>
        <w:rPr>
          <w:rFonts w:ascii="Arial" w:eastAsia="Arial" w:hAnsi="Arial" w:cs="Arial"/>
          <w:sz w:val="24"/>
          <w:szCs w:val="24"/>
        </w:rPr>
        <w:t xml:space="preserve">, [online] Available: </w:t>
      </w:r>
      <w:hyperlink r:id="rId16" w:anchor=":~:text=Exchange%20rate%20risk%20refers%20to,and%20economic%20or%20operating%20exposure">
        <w:r>
          <w:rPr>
            <w:rFonts w:ascii="Arial" w:eastAsia="Arial" w:hAnsi="Arial" w:cs="Arial"/>
            <w:color w:val="467886"/>
            <w:sz w:val="24"/>
            <w:szCs w:val="24"/>
            <w:u w:val="single"/>
          </w:rPr>
          <w:t>https://www.investopedia.com/articles/forex/021114/exchange-rate-risk-economic-exposure.asp#:~:text=Exchange%20rate%20risk%20refers%20to,and%20economic%20or%20operating%20exposure</w:t>
        </w:r>
      </w:hyperlink>
      <w:r>
        <w:rPr>
          <w:rFonts w:ascii="Arial" w:eastAsia="Arial" w:hAnsi="Arial" w:cs="Arial"/>
          <w:sz w:val="24"/>
          <w:szCs w:val="24"/>
        </w:rPr>
        <w:t xml:space="preserve"> [Accessed: 20 March 2024]</w:t>
      </w:r>
    </w:p>
    <w:p w14:paraId="39212758"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Scott, G. (2023) </w:t>
      </w:r>
      <w:r>
        <w:rPr>
          <w:rFonts w:ascii="Arial" w:eastAsia="Arial" w:hAnsi="Arial" w:cs="Arial"/>
          <w:i/>
          <w:color w:val="000000"/>
          <w:sz w:val="24"/>
          <w:szCs w:val="24"/>
          <w:highlight w:val="white"/>
        </w:rPr>
        <w:t>Hedge Definition: What It Is and How It Works in Investing</w:t>
      </w:r>
      <w:r>
        <w:rPr>
          <w:rFonts w:ascii="Arial" w:eastAsia="Arial" w:hAnsi="Arial" w:cs="Arial"/>
          <w:color w:val="000000"/>
          <w:sz w:val="24"/>
          <w:szCs w:val="24"/>
          <w:highlight w:val="white"/>
        </w:rPr>
        <w:t xml:space="preserve">, [online] Available: </w:t>
      </w:r>
      <w:hyperlink r:id="rId17">
        <w:r>
          <w:rPr>
            <w:rFonts w:ascii="Arial" w:eastAsia="Arial" w:hAnsi="Arial" w:cs="Arial"/>
            <w:color w:val="467886"/>
            <w:sz w:val="24"/>
            <w:szCs w:val="24"/>
            <w:highlight w:val="white"/>
            <w:u w:val="single"/>
          </w:rPr>
          <w:t>https://www.investopedia.com/terms/h/hedge.asp</w:t>
        </w:r>
      </w:hyperlink>
      <w:r>
        <w:rPr>
          <w:rFonts w:ascii="Arial" w:eastAsia="Arial" w:hAnsi="Arial" w:cs="Arial"/>
          <w:color w:val="000000"/>
          <w:sz w:val="24"/>
          <w:szCs w:val="24"/>
          <w:highlight w:val="white"/>
        </w:rPr>
        <w:t xml:space="preserve"> [Accessed: 21 March 2024]</w:t>
      </w:r>
    </w:p>
    <w:p w14:paraId="47EF3CAD" w14:textId="77777777" w:rsidR="00601F34" w:rsidRDefault="00000000">
      <w:pPr>
        <w:spacing w:line="360" w:lineRule="auto"/>
        <w:rPr>
          <w:rFonts w:ascii="Arial" w:eastAsia="Arial" w:hAnsi="Arial" w:cs="Arial"/>
          <w:sz w:val="24"/>
          <w:szCs w:val="24"/>
        </w:rPr>
      </w:pPr>
      <w:r>
        <w:rPr>
          <w:rFonts w:ascii="Arial" w:eastAsia="Arial" w:hAnsi="Arial" w:cs="Arial"/>
          <w:sz w:val="24"/>
          <w:szCs w:val="24"/>
        </w:rPr>
        <w:t xml:space="preserve">Stone, M., Anderson, H. and </w:t>
      </w:r>
      <w:proofErr w:type="spellStart"/>
      <w:r>
        <w:rPr>
          <w:rFonts w:ascii="Arial" w:eastAsia="Arial" w:hAnsi="Arial" w:cs="Arial"/>
          <w:sz w:val="24"/>
          <w:szCs w:val="24"/>
        </w:rPr>
        <w:t>Veyrune</w:t>
      </w:r>
      <w:proofErr w:type="spellEnd"/>
      <w:r>
        <w:rPr>
          <w:rFonts w:ascii="Arial" w:eastAsia="Arial" w:hAnsi="Arial" w:cs="Arial"/>
          <w:sz w:val="24"/>
          <w:szCs w:val="24"/>
        </w:rPr>
        <w:t xml:space="preserve">, R. (2008) Exchange Rate Regimes: Fix or Float? </w:t>
      </w:r>
      <w:r>
        <w:rPr>
          <w:rFonts w:ascii="Arial" w:eastAsia="Arial" w:hAnsi="Arial" w:cs="Arial"/>
          <w:i/>
          <w:sz w:val="24"/>
          <w:szCs w:val="24"/>
        </w:rPr>
        <w:t>Finance and Development</w:t>
      </w:r>
      <w:r>
        <w:rPr>
          <w:rFonts w:ascii="Arial" w:eastAsia="Arial" w:hAnsi="Arial" w:cs="Arial"/>
          <w:sz w:val="24"/>
          <w:szCs w:val="24"/>
        </w:rPr>
        <w:t xml:space="preserve">, Vol. 45(1). </w:t>
      </w:r>
    </w:p>
    <w:p w14:paraId="3FF78D4B" w14:textId="77777777" w:rsidR="00601F34" w:rsidRDefault="00000000">
      <w:pPr>
        <w:spacing w:line="360" w:lineRule="auto"/>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Teall, J. (2022) </w:t>
      </w:r>
      <w:r>
        <w:rPr>
          <w:rFonts w:ascii="Arial" w:eastAsia="Arial" w:hAnsi="Arial" w:cs="Arial"/>
          <w:i/>
          <w:color w:val="000000"/>
          <w:sz w:val="24"/>
          <w:szCs w:val="24"/>
          <w:highlight w:val="white"/>
        </w:rPr>
        <w:t>Financial Trading and Investing</w:t>
      </w:r>
      <w:r>
        <w:rPr>
          <w:rFonts w:ascii="Arial" w:eastAsia="Arial" w:hAnsi="Arial" w:cs="Arial"/>
          <w:color w:val="000000"/>
          <w:sz w:val="24"/>
          <w:szCs w:val="24"/>
          <w:highlight w:val="white"/>
        </w:rPr>
        <w:t>. 3</w:t>
      </w:r>
      <w:r>
        <w:rPr>
          <w:rFonts w:ascii="Arial" w:eastAsia="Arial" w:hAnsi="Arial" w:cs="Arial"/>
          <w:color w:val="000000"/>
          <w:sz w:val="24"/>
          <w:szCs w:val="24"/>
          <w:highlight w:val="white"/>
          <w:vertAlign w:val="superscript"/>
        </w:rPr>
        <w:t>rd</w:t>
      </w:r>
      <w:r>
        <w:rPr>
          <w:rFonts w:ascii="Arial" w:eastAsia="Arial" w:hAnsi="Arial" w:cs="Arial"/>
          <w:color w:val="000000"/>
          <w:sz w:val="24"/>
          <w:szCs w:val="24"/>
          <w:highlight w:val="white"/>
        </w:rPr>
        <w:t xml:space="preserve"> edition, Academic Press</w:t>
      </w:r>
    </w:p>
    <w:p w14:paraId="16F444EC" w14:textId="77777777" w:rsidR="00601F34" w:rsidRDefault="00601F34">
      <w:pPr>
        <w:spacing w:line="360" w:lineRule="auto"/>
        <w:rPr>
          <w:color w:val="000000"/>
          <w:sz w:val="24"/>
          <w:szCs w:val="24"/>
          <w:highlight w:val="white"/>
        </w:rPr>
      </w:pPr>
    </w:p>
    <w:sectPr w:rsidR="00601F34">
      <w:footerReference w:type="default" r:id="rId18"/>
      <w:pgSz w:w="11906" w:h="16838"/>
      <w:pgMar w:top="1417" w:right="1417" w:bottom="1417" w:left="1417"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1E72A" w14:textId="77777777" w:rsidR="00C80F5A" w:rsidRDefault="00C80F5A">
      <w:pPr>
        <w:spacing w:after="0" w:line="240" w:lineRule="auto"/>
      </w:pPr>
      <w:r>
        <w:separator/>
      </w:r>
    </w:p>
  </w:endnote>
  <w:endnote w:type="continuationSeparator" w:id="0">
    <w:p w14:paraId="34BA4E35" w14:textId="77777777" w:rsidR="00C80F5A" w:rsidRDefault="00C80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2C6B6" w14:textId="77777777" w:rsidR="00601F34" w:rsidRDefault="00000000">
    <w:pPr>
      <w:pBdr>
        <w:top w:val="nil"/>
        <w:left w:val="nil"/>
        <w:bottom w:val="nil"/>
        <w:right w:val="nil"/>
        <w:between w:val="nil"/>
      </w:pBdr>
      <w:tabs>
        <w:tab w:val="center" w:pos="4536"/>
        <w:tab w:val="right" w:pos="9072"/>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7305E">
      <w:rPr>
        <w:noProof/>
        <w:color w:val="000000"/>
      </w:rPr>
      <w:t>1</w:t>
    </w:r>
    <w:r>
      <w:rPr>
        <w:color w:val="000000"/>
      </w:rPr>
      <w:fldChar w:fldCharType="end"/>
    </w:r>
  </w:p>
  <w:p w14:paraId="3B3E17B3" w14:textId="77777777" w:rsidR="00601F34" w:rsidRDefault="00601F34">
    <w:pPr>
      <w:pBdr>
        <w:top w:val="nil"/>
        <w:left w:val="nil"/>
        <w:bottom w:val="nil"/>
        <w:right w:val="nil"/>
        <w:between w:val="nil"/>
      </w:pBdr>
      <w:tabs>
        <w:tab w:val="center" w:pos="4536"/>
        <w:tab w:val="right" w:pos="9072"/>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37773" w14:textId="77777777" w:rsidR="00C80F5A" w:rsidRDefault="00C80F5A">
      <w:pPr>
        <w:spacing w:after="0" w:line="240" w:lineRule="auto"/>
      </w:pPr>
      <w:r>
        <w:separator/>
      </w:r>
    </w:p>
  </w:footnote>
  <w:footnote w:type="continuationSeparator" w:id="0">
    <w:p w14:paraId="40061E13" w14:textId="77777777" w:rsidR="00C80F5A" w:rsidRDefault="00C80F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1F34"/>
    <w:rsid w:val="0027305E"/>
    <w:rsid w:val="00601F34"/>
    <w:rsid w:val="00C80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8A4B1"/>
  <w15:docId w15:val="{BD639A9A-1CBE-40F1-808A-618DAFEC1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semiHidden/>
    <w:unhideWhenUsed/>
    <w:qFormat/>
    <w:rsid w:val="003B231F"/>
    <w:pPr>
      <w:keepNext/>
      <w:keepLines/>
      <w:spacing w:before="360" w:after="80" w:line="360" w:lineRule="auto"/>
      <w:jc w:val="both"/>
      <w:outlineLvl w:val="1"/>
    </w:pPr>
    <w:rPr>
      <w:rFonts w:ascii="Times New Roman" w:eastAsia="Calibri" w:hAnsi="Times New Roman" w:cs="Calibri"/>
      <w:b/>
      <w:sz w:val="24"/>
      <w:szCs w:val="36"/>
    </w:rPr>
  </w:style>
  <w:style w:type="paragraph" w:styleId="Heading3">
    <w:name w:val="heading 3"/>
    <w:basedOn w:val="Normal"/>
    <w:next w:val="Normal"/>
    <w:link w:val="Heading3Char"/>
    <w:uiPriority w:val="9"/>
    <w:semiHidden/>
    <w:unhideWhenUsed/>
    <w:qFormat/>
    <w:rsid w:val="004542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42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42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42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2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2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2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542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B231F"/>
    <w:rPr>
      <w:rFonts w:ascii="Times New Roman" w:eastAsia="Calibri" w:hAnsi="Times New Roman" w:cs="Calibri"/>
      <w:b/>
      <w:sz w:val="24"/>
      <w:szCs w:val="36"/>
      <w:lang w:val="en-GB" w:eastAsia="en-GB"/>
    </w:rPr>
  </w:style>
  <w:style w:type="character" w:customStyle="1" w:styleId="Heading1Char">
    <w:name w:val="Heading 1 Char"/>
    <w:basedOn w:val="DefaultParagraphFont"/>
    <w:link w:val="Heading1"/>
    <w:uiPriority w:val="9"/>
    <w:rsid w:val="003A3509"/>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semiHidden/>
    <w:rsid w:val="004542F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542F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542F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542F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542F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542F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542F8"/>
    <w:rPr>
      <w:rFonts w:eastAsiaTheme="majorEastAsia" w:cstheme="majorBidi"/>
      <w:color w:val="272727" w:themeColor="text1" w:themeTint="D8"/>
      <w:lang w:val="en-GB"/>
    </w:rPr>
  </w:style>
  <w:style w:type="character" w:customStyle="1" w:styleId="TitleChar">
    <w:name w:val="Title Char"/>
    <w:basedOn w:val="DefaultParagraphFont"/>
    <w:link w:val="Title"/>
    <w:uiPriority w:val="10"/>
    <w:rsid w:val="004542F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4542F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542F8"/>
    <w:pPr>
      <w:spacing w:before="160"/>
      <w:jc w:val="center"/>
    </w:pPr>
    <w:rPr>
      <w:i/>
      <w:iCs/>
      <w:color w:val="404040" w:themeColor="text1" w:themeTint="BF"/>
    </w:rPr>
  </w:style>
  <w:style w:type="character" w:customStyle="1" w:styleId="QuoteChar">
    <w:name w:val="Quote Char"/>
    <w:basedOn w:val="DefaultParagraphFont"/>
    <w:link w:val="Quote"/>
    <w:uiPriority w:val="29"/>
    <w:rsid w:val="004542F8"/>
    <w:rPr>
      <w:i/>
      <w:iCs/>
      <w:color w:val="404040" w:themeColor="text1" w:themeTint="BF"/>
      <w:lang w:val="en-GB"/>
    </w:rPr>
  </w:style>
  <w:style w:type="paragraph" w:styleId="ListParagraph">
    <w:name w:val="List Paragraph"/>
    <w:basedOn w:val="Normal"/>
    <w:uiPriority w:val="34"/>
    <w:qFormat/>
    <w:rsid w:val="004542F8"/>
    <w:pPr>
      <w:ind w:left="720"/>
      <w:contextualSpacing/>
    </w:pPr>
  </w:style>
  <w:style w:type="character" w:styleId="IntenseEmphasis">
    <w:name w:val="Intense Emphasis"/>
    <w:basedOn w:val="DefaultParagraphFont"/>
    <w:uiPriority w:val="21"/>
    <w:qFormat/>
    <w:rsid w:val="004542F8"/>
    <w:rPr>
      <w:i/>
      <w:iCs/>
      <w:color w:val="0F4761" w:themeColor="accent1" w:themeShade="BF"/>
    </w:rPr>
  </w:style>
  <w:style w:type="paragraph" w:styleId="IntenseQuote">
    <w:name w:val="Intense Quote"/>
    <w:basedOn w:val="Normal"/>
    <w:next w:val="Normal"/>
    <w:link w:val="IntenseQuoteChar"/>
    <w:uiPriority w:val="30"/>
    <w:qFormat/>
    <w:rsid w:val="004542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42F8"/>
    <w:rPr>
      <w:i/>
      <w:iCs/>
      <w:color w:val="0F4761" w:themeColor="accent1" w:themeShade="BF"/>
      <w:lang w:val="en-GB"/>
    </w:rPr>
  </w:style>
  <w:style w:type="character" w:styleId="IntenseReference">
    <w:name w:val="Intense Reference"/>
    <w:basedOn w:val="DefaultParagraphFont"/>
    <w:uiPriority w:val="32"/>
    <w:qFormat/>
    <w:rsid w:val="004542F8"/>
    <w:rPr>
      <w:b/>
      <w:bCs/>
      <w:smallCaps/>
      <w:color w:val="0F4761" w:themeColor="accent1" w:themeShade="BF"/>
      <w:spacing w:val="5"/>
    </w:rPr>
  </w:style>
  <w:style w:type="paragraph" w:styleId="Header">
    <w:name w:val="header"/>
    <w:basedOn w:val="Normal"/>
    <w:link w:val="HeaderChar"/>
    <w:uiPriority w:val="99"/>
    <w:unhideWhenUsed/>
    <w:rsid w:val="00D435FF"/>
    <w:pPr>
      <w:tabs>
        <w:tab w:val="center" w:pos="4536"/>
        <w:tab w:val="right" w:pos="9072"/>
      </w:tabs>
      <w:spacing w:after="0" w:line="240" w:lineRule="auto"/>
    </w:pPr>
  </w:style>
  <w:style w:type="character" w:customStyle="1" w:styleId="HeaderChar">
    <w:name w:val="Header Char"/>
    <w:basedOn w:val="DefaultParagraphFont"/>
    <w:link w:val="Header"/>
    <w:uiPriority w:val="99"/>
    <w:rsid w:val="00D435FF"/>
    <w:rPr>
      <w:lang w:val="en-GB"/>
    </w:rPr>
  </w:style>
  <w:style w:type="paragraph" w:styleId="Footer">
    <w:name w:val="footer"/>
    <w:basedOn w:val="Normal"/>
    <w:link w:val="FooterChar"/>
    <w:uiPriority w:val="99"/>
    <w:unhideWhenUsed/>
    <w:rsid w:val="00D435FF"/>
    <w:pPr>
      <w:tabs>
        <w:tab w:val="center" w:pos="4536"/>
        <w:tab w:val="right" w:pos="9072"/>
      </w:tabs>
      <w:spacing w:after="0" w:line="240" w:lineRule="auto"/>
    </w:pPr>
  </w:style>
  <w:style w:type="character" w:customStyle="1" w:styleId="FooterChar">
    <w:name w:val="Footer Char"/>
    <w:basedOn w:val="DefaultParagraphFont"/>
    <w:link w:val="Footer"/>
    <w:uiPriority w:val="99"/>
    <w:rsid w:val="00D435FF"/>
    <w:rPr>
      <w:lang w:val="en-GB"/>
    </w:rPr>
  </w:style>
  <w:style w:type="character" w:styleId="Hyperlink">
    <w:name w:val="Hyperlink"/>
    <w:basedOn w:val="DefaultParagraphFont"/>
    <w:uiPriority w:val="99"/>
    <w:unhideWhenUsed/>
    <w:rsid w:val="006D3F1A"/>
    <w:rPr>
      <w:color w:val="467886" w:themeColor="hyperlink"/>
      <w:u w:val="single"/>
    </w:rPr>
  </w:style>
  <w:style w:type="character" w:styleId="UnresolvedMention">
    <w:name w:val="Unresolved Mention"/>
    <w:basedOn w:val="DefaultParagraphFont"/>
    <w:uiPriority w:val="99"/>
    <w:semiHidden/>
    <w:unhideWhenUsed/>
    <w:rsid w:val="006D3F1A"/>
    <w:rPr>
      <w:color w:val="605E5C"/>
      <w:shd w:val="clear" w:color="auto" w:fill="E1DFDD"/>
    </w:rPr>
  </w:style>
  <w:style w:type="character" w:styleId="Emphasis">
    <w:name w:val="Emphasis"/>
    <w:basedOn w:val="DefaultParagraphFont"/>
    <w:uiPriority w:val="20"/>
    <w:qFormat/>
    <w:rsid w:val="0041572B"/>
    <w:rPr>
      <w:i/>
      <w:iCs/>
    </w:rPr>
  </w:style>
  <w:style w:type="paragraph" w:styleId="TOCHeading">
    <w:name w:val="TOC Heading"/>
    <w:basedOn w:val="Heading1"/>
    <w:next w:val="Normal"/>
    <w:uiPriority w:val="39"/>
    <w:unhideWhenUsed/>
    <w:qFormat/>
    <w:rsid w:val="00FA7569"/>
    <w:pPr>
      <w:spacing w:line="259" w:lineRule="auto"/>
      <w:jc w:val="left"/>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FA756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financemanagement.com/investment-decisions/natural-hedging" TargetMode="External"/><Relationship Id="rId13" Type="http://schemas.openxmlformats.org/officeDocument/2006/relationships/hyperlink" Target="https://kfknowledgebank.kaplan.co.uk/acca/chapter-13-hedging-foreign-exchange-ris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space-mondial-atlas.sciencespo.fr/en/topic-strategies-of-transnational-actors/article-3A11-EN-multinational-corporations.html" TargetMode="External"/><Relationship Id="rId17" Type="http://schemas.openxmlformats.org/officeDocument/2006/relationships/hyperlink" Target="https://www.investopedia.com/terms/h/hedge.asp" TargetMode="External"/><Relationship Id="rId2" Type="http://schemas.openxmlformats.org/officeDocument/2006/relationships/styles" Target="styles.xml"/><Relationship Id="rId16" Type="http://schemas.openxmlformats.org/officeDocument/2006/relationships/hyperlink" Target="https://www.investopedia.com/articles/forex/021114/exchange-rate-risk-economic-exposure.as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rporatefinanceinstitute.com/resources/career-map/sell-side/capital-markets/uncovered-interest-rate-parity-uirp/" TargetMode="External"/><Relationship Id="rId5" Type="http://schemas.openxmlformats.org/officeDocument/2006/relationships/footnotes" Target="footnotes.xml"/><Relationship Id="rId15" Type="http://schemas.openxmlformats.org/officeDocument/2006/relationships/hyperlink" Target="https://doi.org/10.1016/j.heliyon.2021.e08350" TargetMode="External"/><Relationship Id="rId10" Type="http://schemas.openxmlformats.org/officeDocument/2006/relationships/hyperlink" Target="https://www.imf.org/en/Publications/fandd/issues/Series/Back-to-Basics/Purchasing-Power-Parity-PPP"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ound.co/blog/forward-trade-vs-option-trade-which-one-should-i-pick" TargetMode="External"/><Relationship Id="rId14" Type="http://schemas.openxmlformats.org/officeDocument/2006/relationships/hyperlink" Target="https://www.investopedia.com/ask/answers/042315/how-do-currency-swaps-work.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9tC0dR3oHcBNFW0qr0i/q+fAd5Q==">CgMxLjAyCGguZ2pkZ3hzMgloLjMwajB6bGwyCWguMWZvYjl0ZTIJaC4zem55c2g3MgloLjJldDkycDAyCGgudHlqY3d0OAByITFOSlA2VGFyMFhQYzJRM3VSYmhzY0ZETjRQWGdlSWRxNA==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2615</Words>
  <Characters>14908</Characters>
  <Application>Microsoft Office Word</Application>
  <DocSecurity>0</DocSecurity>
  <Lines>124</Lines>
  <Paragraphs>34</Paragraphs>
  <ScaleCrop>false</ScaleCrop>
  <Company/>
  <LinksUpToDate>false</LinksUpToDate>
  <CharactersWithSpaces>17489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Margarita Mandulova</cp:lastModifiedBy>
  <cp:revision>2</cp:revision>
  <dcterms:created xsi:type="dcterms:W3CDTF">2024-03-30T08:13:00Z</dcterms:created>
  <dcterms:modified xsi:type="dcterms:W3CDTF">2024-03-30T09:16:00Z</dcterms:modified>
</cp:coreProperties>
</file>