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96103" w14:textId="50AAFA0F" w:rsidR="00123408" w:rsidRPr="00123408" w:rsidRDefault="00123408" w:rsidP="00170128">
      <w:pPr>
        <w:pStyle w:val="NormalWeb"/>
        <w:spacing w:before="240" w:after="240" w:line="480" w:lineRule="auto"/>
        <w:rPr>
          <w:b/>
          <w:bCs/>
          <w:color w:val="000000"/>
        </w:rPr>
      </w:pPr>
      <w:bookmarkStart w:id="0" w:name="_Hlk155968557"/>
      <w:r w:rsidRPr="00123408">
        <w:rPr>
          <w:b/>
          <w:bCs/>
          <w:color w:val="000000"/>
        </w:rPr>
        <w:t xml:space="preserve">Module: </w:t>
      </w:r>
      <w:r w:rsidRPr="00123408">
        <w:rPr>
          <w:b/>
        </w:rPr>
        <w:t>The Book, the Body, and the World: Renaissance Humanism, Medicine, and Exploration</w:t>
      </w:r>
      <w:r w:rsidRPr="00123408">
        <w:rPr>
          <w:b/>
          <w:bCs/>
          <w:color w:val="000000"/>
        </w:rPr>
        <w:t>– HPEN6005</w:t>
      </w:r>
    </w:p>
    <w:p w14:paraId="34DB98EA" w14:textId="77777777" w:rsidR="00123408" w:rsidRDefault="00123408" w:rsidP="00170128">
      <w:pPr>
        <w:pStyle w:val="NormalWeb"/>
        <w:spacing w:before="240" w:after="240" w:line="480" w:lineRule="auto"/>
        <w:rPr>
          <w:b/>
          <w:bCs/>
          <w:color w:val="000000"/>
        </w:rPr>
      </w:pPr>
      <w:r>
        <w:rPr>
          <w:b/>
          <w:bCs/>
          <w:color w:val="000000"/>
        </w:rPr>
        <w:t>Student: Ancar Gordon 2118591</w:t>
      </w:r>
    </w:p>
    <w:p w14:paraId="67862744" w14:textId="77777777" w:rsidR="00123408" w:rsidRDefault="00123408" w:rsidP="00170128">
      <w:pPr>
        <w:pStyle w:val="NormalWeb"/>
        <w:spacing w:before="240" w:after="240" w:line="480" w:lineRule="auto"/>
        <w:rPr>
          <w:b/>
          <w:bCs/>
          <w:color w:val="000000"/>
        </w:rPr>
      </w:pPr>
      <w:r>
        <w:rPr>
          <w:b/>
          <w:bCs/>
          <w:color w:val="000000"/>
        </w:rPr>
        <w:t>Date: 24.01.24</w:t>
      </w:r>
    </w:p>
    <w:bookmarkEnd w:id="0"/>
    <w:p w14:paraId="41066CB4" w14:textId="0AA6CFDE" w:rsidR="00190F36" w:rsidRDefault="00190F36" w:rsidP="00170128">
      <w:pPr>
        <w:tabs>
          <w:tab w:val="left" w:pos="1620"/>
          <w:tab w:val="left" w:pos="3240"/>
        </w:tabs>
        <w:spacing w:line="480" w:lineRule="auto"/>
      </w:pPr>
      <w:r w:rsidRPr="007E21B5">
        <w:t>Bibliographical Exercise</w:t>
      </w:r>
    </w:p>
    <w:p w14:paraId="7AC80881" w14:textId="77777777" w:rsidR="00FD5373" w:rsidRPr="007E21B5" w:rsidRDefault="00FD5373" w:rsidP="00170128">
      <w:pPr>
        <w:tabs>
          <w:tab w:val="left" w:pos="1620"/>
          <w:tab w:val="left" w:pos="3240"/>
        </w:tabs>
        <w:spacing w:line="480" w:lineRule="auto"/>
      </w:pPr>
    </w:p>
    <w:p w14:paraId="14A6178C" w14:textId="3D6BC401" w:rsidR="00F575BC" w:rsidRPr="007E21B5" w:rsidRDefault="00F575BC" w:rsidP="00170128">
      <w:pPr>
        <w:tabs>
          <w:tab w:val="left" w:pos="1620"/>
          <w:tab w:val="left" w:pos="3240"/>
        </w:tabs>
        <w:spacing w:line="480" w:lineRule="auto"/>
        <w:rPr>
          <w:u w:val="single"/>
          <w:lang w:val="en-GB"/>
        </w:rPr>
      </w:pPr>
      <w:r w:rsidRPr="007E21B5">
        <w:rPr>
          <w:u w:val="single"/>
        </w:rPr>
        <w:t>Part 1</w:t>
      </w:r>
    </w:p>
    <w:p w14:paraId="3EF43B25" w14:textId="77777777" w:rsidR="00190F36" w:rsidRDefault="00190F36" w:rsidP="00170128">
      <w:pPr>
        <w:tabs>
          <w:tab w:val="left" w:pos="1620"/>
          <w:tab w:val="left" w:pos="3240"/>
        </w:tabs>
        <w:spacing w:line="480" w:lineRule="auto"/>
        <w:rPr>
          <w:rFonts w:ascii="Sylfaen" w:hAnsi="Sylfaen" w:cs="Aparajita"/>
          <w:lang w:val="en-GB"/>
        </w:rPr>
      </w:pPr>
    </w:p>
    <w:p w14:paraId="5F472ED1" w14:textId="13AA55BE" w:rsidR="00442ABC" w:rsidRDefault="00F575BC" w:rsidP="00170128">
      <w:pPr>
        <w:spacing w:line="480" w:lineRule="auto"/>
        <w:rPr>
          <w:rFonts w:eastAsiaTheme="majorEastAsia"/>
          <w:lang w:val="en-GB" w:eastAsia="en-GB"/>
        </w:rPr>
      </w:pPr>
      <w:r>
        <w:rPr>
          <w:rFonts w:eastAsiaTheme="majorEastAsia"/>
          <w:lang w:val="en-GB" w:eastAsia="en-GB"/>
        </w:rPr>
        <w:t>The colophon:</w:t>
      </w:r>
    </w:p>
    <w:p w14:paraId="117720E0" w14:textId="296CC452" w:rsidR="00F575BC" w:rsidRDefault="00F575BC" w:rsidP="00170128">
      <w:pPr>
        <w:spacing w:line="480" w:lineRule="auto"/>
        <w:rPr>
          <w:rFonts w:eastAsiaTheme="majorEastAsia"/>
          <w:lang w:val="en-GB" w:eastAsia="en-GB"/>
        </w:rPr>
      </w:pPr>
      <w:r>
        <w:rPr>
          <w:rFonts w:eastAsiaTheme="majorEastAsia"/>
          <w:lang w:val="en-GB" w:eastAsia="en-GB"/>
        </w:rPr>
        <w:t xml:space="preserve">Lo. </w:t>
      </w:r>
      <w:proofErr w:type="spellStart"/>
      <w:r>
        <w:rPr>
          <w:rFonts w:eastAsiaTheme="majorEastAsia"/>
          <w:lang w:val="en-GB" w:eastAsia="en-GB"/>
        </w:rPr>
        <w:t>Boccatii</w:t>
      </w:r>
      <w:proofErr w:type="spellEnd"/>
      <w:r>
        <w:rPr>
          <w:rFonts w:eastAsiaTheme="majorEastAsia"/>
          <w:lang w:val="en-GB" w:eastAsia="en-GB"/>
        </w:rPr>
        <w:t xml:space="preserve"> </w:t>
      </w:r>
      <w:proofErr w:type="spellStart"/>
      <w:r>
        <w:rPr>
          <w:rFonts w:eastAsiaTheme="majorEastAsia"/>
          <w:lang w:val="en-GB" w:eastAsia="en-GB"/>
        </w:rPr>
        <w:t>uiri</w:t>
      </w:r>
      <w:proofErr w:type="spellEnd"/>
      <w:r>
        <w:rPr>
          <w:rFonts w:eastAsiaTheme="majorEastAsia"/>
          <w:lang w:val="en-GB" w:eastAsia="en-GB"/>
        </w:rPr>
        <w:t xml:space="preserve"> </w:t>
      </w:r>
      <w:proofErr w:type="spellStart"/>
      <w:r>
        <w:rPr>
          <w:rFonts w:eastAsiaTheme="majorEastAsia"/>
          <w:lang w:val="en-GB" w:eastAsia="en-GB"/>
        </w:rPr>
        <w:t>clariffimi</w:t>
      </w:r>
      <w:proofErr w:type="spellEnd"/>
      <w:r>
        <w:rPr>
          <w:rFonts w:eastAsiaTheme="majorEastAsia"/>
          <w:lang w:val="en-GB" w:eastAsia="en-GB"/>
        </w:rPr>
        <w:t xml:space="preserve"> de </w:t>
      </w:r>
      <w:proofErr w:type="spellStart"/>
      <w:r>
        <w:rPr>
          <w:rFonts w:eastAsiaTheme="majorEastAsia"/>
          <w:lang w:val="en-GB" w:eastAsia="en-GB"/>
        </w:rPr>
        <w:t>montibus</w:t>
      </w:r>
      <w:proofErr w:type="spellEnd"/>
      <w:r>
        <w:rPr>
          <w:rFonts w:eastAsiaTheme="majorEastAsia"/>
          <w:lang w:val="en-GB" w:eastAsia="en-GB"/>
        </w:rPr>
        <w:t xml:space="preserve">:| </w:t>
      </w:r>
      <w:proofErr w:type="spellStart"/>
      <w:r>
        <w:rPr>
          <w:rFonts w:eastAsiaTheme="majorEastAsia"/>
          <w:lang w:val="en-GB" w:eastAsia="en-GB"/>
        </w:rPr>
        <w:t>filuis</w:t>
      </w:r>
      <w:proofErr w:type="spellEnd"/>
      <w:r>
        <w:rPr>
          <w:rFonts w:eastAsiaTheme="majorEastAsia"/>
          <w:lang w:val="en-GB" w:eastAsia="en-GB"/>
        </w:rPr>
        <w:t xml:space="preserve">:|  </w:t>
      </w:r>
      <w:proofErr w:type="spellStart"/>
      <w:r>
        <w:rPr>
          <w:rFonts w:eastAsiaTheme="majorEastAsia"/>
          <w:lang w:val="en-GB" w:eastAsia="en-GB"/>
        </w:rPr>
        <w:t>fontibus</w:t>
      </w:r>
      <w:proofErr w:type="spellEnd"/>
      <w:r>
        <w:rPr>
          <w:rFonts w:eastAsiaTheme="majorEastAsia"/>
          <w:lang w:val="en-GB" w:eastAsia="en-GB"/>
        </w:rPr>
        <w:t xml:space="preserve">:| </w:t>
      </w:r>
      <w:proofErr w:type="spellStart"/>
      <w:r>
        <w:rPr>
          <w:rFonts w:eastAsiaTheme="majorEastAsia"/>
          <w:lang w:val="en-GB" w:eastAsia="en-GB"/>
        </w:rPr>
        <w:t>lacubus</w:t>
      </w:r>
      <w:proofErr w:type="spellEnd"/>
      <w:r>
        <w:rPr>
          <w:rFonts w:eastAsiaTheme="majorEastAsia"/>
          <w:lang w:val="en-GB" w:eastAsia="en-GB"/>
        </w:rPr>
        <w:t xml:space="preserve">:| </w:t>
      </w:r>
      <w:proofErr w:type="spellStart"/>
      <w:r>
        <w:rPr>
          <w:rFonts w:eastAsiaTheme="majorEastAsia"/>
          <w:lang w:val="en-GB" w:eastAsia="en-GB"/>
        </w:rPr>
        <w:t>tagnis</w:t>
      </w:r>
      <w:proofErr w:type="spellEnd"/>
      <w:r>
        <w:rPr>
          <w:rFonts w:eastAsiaTheme="majorEastAsia"/>
          <w:lang w:val="en-GB" w:eastAsia="en-GB"/>
        </w:rPr>
        <w:t xml:space="preserve"> feu </w:t>
      </w:r>
      <w:proofErr w:type="spellStart"/>
      <w:r>
        <w:rPr>
          <w:rFonts w:eastAsiaTheme="majorEastAsia"/>
          <w:lang w:val="en-GB" w:eastAsia="en-GB"/>
        </w:rPr>
        <w:t>paludibus</w:t>
      </w:r>
      <w:proofErr w:type="spellEnd"/>
      <w:r>
        <w:rPr>
          <w:rFonts w:eastAsiaTheme="majorEastAsia"/>
          <w:lang w:val="en-GB" w:eastAsia="en-GB"/>
        </w:rPr>
        <w:t xml:space="preserve">:| &amp; de </w:t>
      </w:r>
      <w:proofErr w:type="spellStart"/>
      <w:r>
        <w:rPr>
          <w:rFonts w:eastAsiaTheme="majorEastAsia"/>
          <w:lang w:val="en-GB" w:eastAsia="en-GB"/>
        </w:rPr>
        <w:t>diuerfis</w:t>
      </w:r>
      <w:proofErr w:type="spellEnd"/>
      <w:r>
        <w:rPr>
          <w:rFonts w:eastAsiaTheme="majorEastAsia"/>
          <w:lang w:val="en-GB" w:eastAsia="en-GB"/>
        </w:rPr>
        <w:t xml:space="preserve"> </w:t>
      </w:r>
      <w:proofErr w:type="spellStart"/>
      <w:r>
        <w:rPr>
          <w:rFonts w:eastAsiaTheme="majorEastAsia"/>
          <w:lang w:val="en-GB" w:eastAsia="en-GB"/>
        </w:rPr>
        <w:t>num</w:t>
      </w:r>
      <w:r w:rsidR="007D3507">
        <w:rPr>
          <w:rFonts w:eastAsiaTheme="majorEastAsia"/>
          <w:lang w:val="en-GB" w:eastAsia="en-GB"/>
        </w:rPr>
        <w:t>í</w:t>
      </w:r>
      <w:r>
        <w:rPr>
          <w:rFonts w:eastAsiaTheme="majorEastAsia"/>
          <w:lang w:val="en-GB" w:eastAsia="en-GB"/>
        </w:rPr>
        <w:t>bus</w:t>
      </w:r>
      <w:proofErr w:type="spellEnd"/>
      <w:r>
        <w:rPr>
          <w:rFonts w:eastAsiaTheme="majorEastAsia"/>
          <w:lang w:val="en-GB" w:eastAsia="en-GB"/>
        </w:rPr>
        <w:t xml:space="preserve"> </w:t>
      </w:r>
      <w:proofErr w:type="spellStart"/>
      <w:r>
        <w:rPr>
          <w:rFonts w:eastAsiaTheme="majorEastAsia"/>
          <w:lang w:val="en-GB" w:eastAsia="en-GB"/>
        </w:rPr>
        <w:t>maris</w:t>
      </w:r>
      <w:proofErr w:type="spellEnd"/>
      <w:r>
        <w:rPr>
          <w:rFonts w:eastAsiaTheme="majorEastAsia"/>
          <w:lang w:val="en-GB" w:eastAsia="en-GB"/>
        </w:rPr>
        <w:t xml:space="preserve"> </w:t>
      </w:r>
      <w:r w:rsidR="007D3507">
        <w:rPr>
          <w:rFonts w:eastAsiaTheme="majorEastAsia"/>
          <w:lang w:val="en-GB" w:eastAsia="en-GB"/>
        </w:rPr>
        <w:t xml:space="preserve">opus </w:t>
      </w:r>
      <w:proofErr w:type="spellStart"/>
      <w:r w:rsidR="007D3507">
        <w:rPr>
          <w:rFonts w:eastAsiaTheme="majorEastAsia"/>
          <w:lang w:val="en-GB" w:eastAsia="en-GB"/>
        </w:rPr>
        <w:t>diligentiflime</w:t>
      </w:r>
      <w:proofErr w:type="spellEnd"/>
      <w:r w:rsidR="007D3507">
        <w:rPr>
          <w:rFonts w:eastAsiaTheme="majorEastAsia"/>
          <w:lang w:val="en-GB" w:eastAsia="en-GB"/>
        </w:rPr>
        <w:t xml:space="preserve"> </w:t>
      </w:r>
      <w:proofErr w:type="spellStart"/>
      <w:r w:rsidR="007D3507">
        <w:rPr>
          <w:rFonts w:eastAsiaTheme="majorEastAsia"/>
          <w:lang w:val="en-GB" w:eastAsia="en-GB"/>
        </w:rPr>
        <w:t>ipreflum</w:t>
      </w:r>
      <w:proofErr w:type="spellEnd"/>
      <w:r w:rsidR="007D3507">
        <w:rPr>
          <w:rFonts w:eastAsiaTheme="majorEastAsia"/>
          <w:lang w:val="en-GB" w:eastAsia="en-GB"/>
        </w:rPr>
        <w:t xml:space="preserve"> </w:t>
      </w:r>
      <w:proofErr w:type="spellStart"/>
      <w:r w:rsidR="007D3507">
        <w:rPr>
          <w:rFonts w:eastAsiaTheme="majorEastAsia"/>
          <w:lang w:val="en-GB" w:eastAsia="en-GB"/>
        </w:rPr>
        <w:t>finit</w:t>
      </w:r>
      <w:proofErr w:type="spellEnd"/>
      <w:r w:rsidR="007D3507">
        <w:rPr>
          <w:rFonts w:eastAsiaTheme="majorEastAsia"/>
          <w:lang w:val="en-GB" w:eastAsia="en-GB"/>
        </w:rPr>
        <w:t xml:space="preserve">.| </w:t>
      </w:r>
      <w:proofErr w:type="spellStart"/>
      <w:r w:rsidR="007D3507">
        <w:rPr>
          <w:rFonts w:eastAsiaTheme="majorEastAsia"/>
          <w:lang w:val="en-GB" w:eastAsia="en-GB"/>
        </w:rPr>
        <w:t>Venetiis</w:t>
      </w:r>
      <w:proofErr w:type="spellEnd"/>
      <w:r w:rsidR="00D61758">
        <w:rPr>
          <w:rFonts w:eastAsiaTheme="majorEastAsia"/>
          <w:lang w:val="en-GB" w:eastAsia="en-GB"/>
        </w:rPr>
        <w:t xml:space="preserve">| </w:t>
      </w:r>
      <w:proofErr w:type="spellStart"/>
      <w:r w:rsidR="007D3507">
        <w:rPr>
          <w:rFonts w:eastAsiaTheme="majorEastAsia"/>
          <w:lang w:val="en-GB" w:eastAsia="en-GB"/>
        </w:rPr>
        <w:t>Idus</w:t>
      </w:r>
      <w:proofErr w:type="spellEnd"/>
      <w:r w:rsidR="007D3507">
        <w:rPr>
          <w:rFonts w:eastAsiaTheme="majorEastAsia"/>
          <w:lang w:val="en-GB" w:eastAsia="en-GB"/>
        </w:rPr>
        <w:t xml:space="preserve"> </w:t>
      </w:r>
      <w:proofErr w:type="spellStart"/>
      <w:r w:rsidR="007D3507">
        <w:rPr>
          <w:rFonts w:eastAsiaTheme="majorEastAsia"/>
          <w:lang w:val="en-GB" w:eastAsia="en-GB"/>
        </w:rPr>
        <w:t>Iañ</w:t>
      </w:r>
      <w:proofErr w:type="spellEnd"/>
      <w:r w:rsidR="007D3507">
        <w:rPr>
          <w:rFonts w:eastAsiaTheme="majorEastAsia"/>
          <w:lang w:val="en-GB" w:eastAsia="en-GB"/>
        </w:rPr>
        <w:t xml:space="preserve">.| </w:t>
      </w:r>
      <w:proofErr w:type="spellStart"/>
      <w:r w:rsidR="007D3507">
        <w:rPr>
          <w:rFonts w:eastAsiaTheme="majorEastAsia"/>
          <w:lang w:val="en-GB" w:eastAsia="en-GB"/>
        </w:rPr>
        <w:t>cccc</w:t>
      </w:r>
      <w:proofErr w:type="spellEnd"/>
      <w:r w:rsidR="007D3507">
        <w:rPr>
          <w:rFonts w:eastAsiaTheme="majorEastAsia"/>
          <w:lang w:val="en-GB" w:eastAsia="en-GB"/>
        </w:rPr>
        <w:t xml:space="preserve">. lxxiii. </w:t>
      </w:r>
    </w:p>
    <w:p w14:paraId="09ABDEAC" w14:textId="77777777" w:rsidR="00D61758" w:rsidRDefault="00D61758" w:rsidP="00170128">
      <w:pPr>
        <w:spacing w:line="480" w:lineRule="auto"/>
        <w:rPr>
          <w:rFonts w:eastAsiaTheme="majorEastAsia"/>
          <w:lang w:val="en-GB" w:eastAsia="en-GB"/>
        </w:rPr>
      </w:pPr>
    </w:p>
    <w:p w14:paraId="5C98279E" w14:textId="4BB98B71" w:rsidR="00825802" w:rsidRDefault="00825802" w:rsidP="00170128">
      <w:pPr>
        <w:spacing w:line="480" w:lineRule="auto"/>
        <w:rPr>
          <w:rFonts w:eastAsiaTheme="majorEastAsia"/>
          <w:lang w:val="en-GB" w:eastAsia="en-GB"/>
        </w:rPr>
      </w:pPr>
      <w:r>
        <w:rPr>
          <w:rFonts w:eastAsiaTheme="majorEastAsia"/>
          <w:lang w:val="en-GB" w:eastAsia="en-GB"/>
        </w:rPr>
        <w:t xml:space="preserve">The </w:t>
      </w:r>
      <w:r w:rsidR="00D61758">
        <w:rPr>
          <w:rFonts w:eastAsiaTheme="majorEastAsia"/>
          <w:lang w:val="en-GB" w:eastAsia="en-GB"/>
        </w:rPr>
        <w:t>format:</w:t>
      </w:r>
    </w:p>
    <w:p w14:paraId="094AE17B" w14:textId="348A1180" w:rsidR="00D61758" w:rsidRDefault="00D61758" w:rsidP="00170128">
      <w:pPr>
        <w:spacing w:line="480" w:lineRule="auto"/>
        <w:rPr>
          <w:lang w:val="en-GB" w:eastAsia="en-GB"/>
        </w:rPr>
      </w:pPr>
      <w:r>
        <w:rPr>
          <w:rFonts w:eastAsiaTheme="majorEastAsia"/>
          <w:lang w:val="en-GB" w:eastAsia="en-GB"/>
        </w:rPr>
        <w:t xml:space="preserve">The book </w:t>
      </w:r>
      <w:proofErr w:type="spellStart"/>
      <w:r w:rsidRPr="00B06FDF">
        <w:rPr>
          <w:lang w:val="en-GB" w:eastAsia="en-GB"/>
        </w:rPr>
        <w:t>Genealogia</w:t>
      </w:r>
      <w:proofErr w:type="spellEnd"/>
      <w:r w:rsidRPr="00B06FDF">
        <w:rPr>
          <w:lang w:val="en-GB" w:eastAsia="en-GB"/>
        </w:rPr>
        <w:t xml:space="preserve"> </w:t>
      </w:r>
      <w:proofErr w:type="spellStart"/>
      <w:r w:rsidRPr="00B06FDF">
        <w:rPr>
          <w:lang w:val="en-GB" w:eastAsia="en-GB"/>
        </w:rPr>
        <w:t>deorum</w:t>
      </w:r>
      <w:proofErr w:type="spellEnd"/>
      <w:r>
        <w:rPr>
          <w:lang w:val="en-GB" w:eastAsia="en-GB"/>
        </w:rPr>
        <w:t xml:space="preserve"> was printed in folio format.</w:t>
      </w:r>
    </w:p>
    <w:p w14:paraId="1429248F" w14:textId="77777777" w:rsidR="00D61758" w:rsidRDefault="00D61758" w:rsidP="00170128">
      <w:pPr>
        <w:spacing w:line="480" w:lineRule="auto"/>
        <w:rPr>
          <w:lang w:val="en-GB" w:eastAsia="en-GB"/>
        </w:rPr>
      </w:pPr>
    </w:p>
    <w:p w14:paraId="16813153" w14:textId="116519B5" w:rsidR="00D61758" w:rsidRDefault="00D61758" w:rsidP="00170128">
      <w:pPr>
        <w:spacing w:line="480" w:lineRule="auto"/>
        <w:rPr>
          <w:lang w:val="en-GB" w:eastAsia="en-GB"/>
        </w:rPr>
      </w:pPr>
      <w:r>
        <w:rPr>
          <w:lang w:val="en-GB" w:eastAsia="en-GB"/>
        </w:rPr>
        <w:t xml:space="preserve">The collation </w:t>
      </w:r>
      <w:r w:rsidR="004508DA">
        <w:rPr>
          <w:lang w:val="en-GB" w:eastAsia="en-GB"/>
        </w:rPr>
        <w:t>or registration:</w:t>
      </w:r>
    </w:p>
    <w:p w14:paraId="58656B93" w14:textId="54D0832E" w:rsidR="00284683" w:rsidRDefault="00284683" w:rsidP="00170128">
      <w:pPr>
        <w:spacing w:line="480" w:lineRule="auto"/>
        <w:rPr>
          <w:lang w:val="en-GB" w:eastAsia="en-GB"/>
        </w:rPr>
      </w:pPr>
      <w:r>
        <w:rPr>
          <w:lang w:val="en-GB" w:eastAsia="en-GB"/>
        </w:rPr>
        <w:t>There’s no collation or registration.</w:t>
      </w:r>
    </w:p>
    <w:p w14:paraId="334BA692" w14:textId="77777777" w:rsidR="00170128" w:rsidRDefault="00170128" w:rsidP="00170128">
      <w:pPr>
        <w:spacing w:line="480" w:lineRule="auto"/>
        <w:rPr>
          <w:lang w:val="en-GB" w:eastAsia="en-GB"/>
        </w:rPr>
      </w:pPr>
    </w:p>
    <w:p w14:paraId="0B2F8D71" w14:textId="15365AD8" w:rsidR="007E21B5" w:rsidRDefault="007E21B5" w:rsidP="00170128">
      <w:pPr>
        <w:spacing w:line="480" w:lineRule="auto"/>
        <w:rPr>
          <w:rFonts w:eastAsiaTheme="majorEastAsia"/>
          <w:lang w:val="en-GB" w:eastAsia="en-GB"/>
        </w:rPr>
      </w:pPr>
      <w:r>
        <w:rPr>
          <w:rFonts w:eastAsiaTheme="majorEastAsia"/>
          <w:lang w:val="en-GB" w:eastAsia="en-GB"/>
        </w:rPr>
        <w:t>Pagination and page numbering:</w:t>
      </w:r>
    </w:p>
    <w:p w14:paraId="51E1B358" w14:textId="1AF8749E" w:rsidR="00284683" w:rsidRDefault="00284683" w:rsidP="00170128">
      <w:pPr>
        <w:spacing w:line="480" w:lineRule="auto"/>
        <w:rPr>
          <w:rFonts w:eastAsiaTheme="majorEastAsia"/>
          <w:lang w:val="en-GB" w:eastAsia="en-GB"/>
        </w:rPr>
      </w:pPr>
      <w:r>
        <w:rPr>
          <w:rFonts w:eastAsiaTheme="majorEastAsia"/>
          <w:lang w:val="en-GB" w:eastAsia="en-GB"/>
        </w:rPr>
        <w:t>There’s no page numbering.</w:t>
      </w:r>
    </w:p>
    <w:p w14:paraId="1B543425" w14:textId="77777777" w:rsidR="007E21B5" w:rsidRDefault="007E21B5" w:rsidP="00B06FDF">
      <w:pPr>
        <w:spacing w:line="480" w:lineRule="auto"/>
        <w:rPr>
          <w:rFonts w:eastAsiaTheme="majorEastAsia"/>
          <w:lang w:val="en-GB" w:eastAsia="en-GB"/>
        </w:rPr>
      </w:pPr>
    </w:p>
    <w:p w14:paraId="245A5A9F" w14:textId="77777777" w:rsidR="00284683" w:rsidRDefault="00284683" w:rsidP="00B06FDF">
      <w:pPr>
        <w:spacing w:line="480" w:lineRule="auto"/>
        <w:rPr>
          <w:rFonts w:eastAsiaTheme="majorEastAsia"/>
          <w:lang w:val="en-GB" w:eastAsia="en-GB"/>
        </w:rPr>
      </w:pPr>
    </w:p>
    <w:p w14:paraId="50EF3513" w14:textId="77777777" w:rsidR="00FD5373" w:rsidRDefault="00FD5373" w:rsidP="00B06FDF">
      <w:pPr>
        <w:spacing w:line="480" w:lineRule="auto"/>
        <w:rPr>
          <w:rFonts w:eastAsiaTheme="majorEastAsia"/>
          <w:lang w:val="en-GB" w:eastAsia="en-GB"/>
        </w:rPr>
      </w:pPr>
    </w:p>
    <w:p w14:paraId="157655A7" w14:textId="6EFD331A" w:rsidR="007E21B5" w:rsidRPr="007E21B5" w:rsidRDefault="007E21B5" w:rsidP="00B06FDF">
      <w:pPr>
        <w:spacing w:line="480" w:lineRule="auto"/>
        <w:rPr>
          <w:rFonts w:eastAsiaTheme="majorEastAsia"/>
          <w:u w:val="single"/>
          <w:lang w:val="en-GB" w:eastAsia="en-GB"/>
        </w:rPr>
      </w:pPr>
      <w:r w:rsidRPr="007E21B5">
        <w:rPr>
          <w:rFonts w:eastAsiaTheme="majorEastAsia"/>
          <w:u w:val="single"/>
          <w:lang w:val="en-GB" w:eastAsia="en-GB"/>
        </w:rPr>
        <w:lastRenderedPageBreak/>
        <w:t>Part 2</w:t>
      </w:r>
    </w:p>
    <w:p w14:paraId="1B04A929" w14:textId="77777777" w:rsidR="00F55E7D" w:rsidRPr="00170128" w:rsidRDefault="00F55E7D" w:rsidP="00170128">
      <w:pPr>
        <w:spacing w:line="480" w:lineRule="auto"/>
        <w:ind w:firstLine="720"/>
        <w:rPr>
          <w:lang w:val="en-GB" w:eastAsia="en-GB"/>
        </w:rPr>
      </w:pPr>
      <w:bookmarkStart w:id="1" w:name="_Hlk157707921"/>
      <w:r w:rsidRPr="00170128">
        <w:rPr>
          <w:lang w:val="en-GB" w:eastAsia="en-GB"/>
        </w:rPr>
        <w:t xml:space="preserve">Giovanni Boccaccio </w:t>
      </w:r>
      <w:bookmarkEnd w:id="1"/>
      <w:r w:rsidRPr="00170128">
        <w:rPr>
          <w:lang w:val="en-GB" w:eastAsia="en-GB"/>
        </w:rPr>
        <w:t xml:space="preserve">(1313–1375) was an Italian writer, poet, and humanist of the Late Middle Ages. He is best known for his significant contributions to Italian literature, particularly his masterpiece </w:t>
      </w:r>
      <w:r w:rsidRPr="00170128">
        <w:rPr>
          <w:i/>
          <w:iCs/>
          <w:lang w:val="en-GB" w:eastAsia="en-GB"/>
        </w:rPr>
        <w:t>The Decameron</w:t>
      </w:r>
      <w:r w:rsidRPr="00170128">
        <w:rPr>
          <w:lang w:val="en-GB" w:eastAsia="en-GB"/>
        </w:rPr>
        <w:t xml:space="preserve">. Born in </w:t>
      </w:r>
      <w:proofErr w:type="spellStart"/>
      <w:r w:rsidRPr="00170128">
        <w:rPr>
          <w:lang w:val="en-GB" w:eastAsia="en-GB"/>
        </w:rPr>
        <w:t>Certaldo</w:t>
      </w:r>
      <w:proofErr w:type="spellEnd"/>
      <w:r w:rsidRPr="00170128">
        <w:rPr>
          <w:lang w:val="en-GB" w:eastAsia="en-GB"/>
        </w:rPr>
        <w:t>, Italy, Boccaccio lived during a period marked by social, political, and cultural transformations. He received an education in commerce, law, and classical studies, which greatly influenced his later literary works. Boccaccio's early career involved diplomatic and administrative duties, but his true passion lay in literature.</w:t>
      </w:r>
    </w:p>
    <w:p w14:paraId="1CDA452A" w14:textId="06998671" w:rsidR="00F55E7D" w:rsidRPr="00170128" w:rsidRDefault="00F55E7D" w:rsidP="00170128">
      <w:pPr>
        <w:spacing w:line="480" w:lineRule="auto"/>
        <w:ind w:firstLine="720"/>
        <w:rPr>
          <w:lang w:val="en-GB" w:eastAsia="en-GB"/>
        </w:rPr>
      </w:pPr>
      <w:r w:rsidRPr="00170128">
        <w:rPr>
          <w:i/>
          <w:iCs/>
          <w:lang w:val="en-GB" w:eastAsia="en-GB"/>
        </w:rPr>
        <w:t>The Decameron</w:t>
      </w:r>
      <w:r w:rsidRPr="00170128">
        <w:rPr>
          <w:lang w:val="en-GB" w:eastAsia="en-GB"/>
        </w:rPr>
        <w:t xml:space="preserve">, completed around 1353, stands as Boccaccio's most renowned work. This collection of 100 tales, framed within the context of a group of young people escaping the Black Death in Florence, reflects the diversity of human experiences, encompassing love, tragedy, wit, and satire. The stories </w:t>
      </w:r>
      <w:r w:rsidR="00AC212C" w:rsidRPr="00170128">
        <w:rPr>
          <w:lang w:val="en-GB" w:eastAsia="en-GB"/>
        </w:rPr>
        <w:t>vividly portray</w:t>
      </w:r>
      <w:r w:rsidRPr="00170128">
        <w:rPr>
          <w:lang w:val="en-GB" w:eastAsia="en-GB"/>
        </w:rPr>
        <w:t xml:space="preserve"> medieval Italian society, highlighting its complexities and contradictions.</w:t>
      </w:r>
      <w:r w:rsidRPr="00170128">
        <w:rPr>
          <w:rStyle w:val="FootnoteReference"/>
          <w:lang w:val="en-GB" w:eastAsia="en-GB"/>
        </w:rPr>
        <w:footnoteReference w:id="1"/>
      </w:r>
    </w:p>
    <w:p w14:paraId="3861F22F" w14:textId="6859312F" w:rsidR="00BB7B86" w:rsidRPr="00BB7B86" w:rsidRDefault="00F55E7D" w:rsidP="00170128">
      <w:pPr>
        <w:spacing w:line="480" w:lineRule="auto"/>
        <w:ind w:firstLine="720"/>
        <w:rPr>
          <w:color w:val="FF0000"/>
          <w:lang w:val="en-GB" w:eastAsia="en-GB"/>
        </w:rPr>
      </w:pPr>
      <w:r w:rsidRPr="00170128">
        <w:rPr>
          <w:lang w:val="en-GB" w:eastAsia="en-GB"/>
        </w:rPr>
        <w:t xml:space="preserve">In addition to </w:t>
      </w:r>
      <w:r w:rsidRPr="00170128">
        <w:rPr>
          <w:i/>
          <w:iCs/>
          <w:lang w:val="en-GB" w:eastAsia="en-GB"/>
        </w:rPr>
        <w:t>The Decameron</w:t>
      </w:r>
      <w:r w:rsidRPr="00170128">
        <w:rPr>
          <w:lang w:val="en-GB" w:eastAsia="en-GB"/>
        </w:rPr>
        <w:t>, Boccaccio wrote several other notable works, including</w:t>
      </w:r>
      <w:r w:rsidRPr="00170128">
        <w:rPr>
          <w:i/>
          <w:lang w:val="en-GB"/>
        </w:rPr>
        <w:t xml:space="preserve"> </w:t>
      </w:r>
      <w:bookmarkStart w:id="2" w:name="_Hlk157707948"/>
      <w:proofErr w:type="spellStart"/>
      <w:r w:rsidRPr="00170128">
        <w:rPr>
          <w:i/>
          <w:lang w:val="en-GB"/>
        </w:rPr>
        <w:t>Genealogia</w:t>
      </w:r>
      <w:proofErr w:type="spellEnd"/>
      <w:r w:rsidRPr="00170128">
        <w:rPr>
          <w:i/>
          <w:lang w:val="en-GB"/>
        </w:rPr>
        <w:t xml:space="preserve"> </w:t>
      </w:r>
      <w:proofErr w:type="spellStart"/>
      <w:r w:rsidRPr="00170128">
        <w:rPr>
          <w:i/>
          <w:lang w:val="en-GB"/>
        </w:rPr>
        <w:t>deorum</w:t>
      </w:r>
      <w:proofErr w:type="spellEnd"/>
      <w:r w:rsidR="00AC212C" w:rsidRPr="00170128">
        <w:rPr>
          <w:lang w:val="en-GB"/>
        </w:rPr>
        <w:t xml:space="preserve"> </w:t>
      </w:r>
      <w:bookmarkEnd w:id="2"/>
      <w:r w:rsidRPr="00170128">
        <w:t>(“On the Genealogy of the Gods of the Gentiles”)</w:t>
      </w:r>
      <w:r w:rsidR="00AC212C" w:rsidRPr="00170128">
        <w:t>,</w:t>
      </w:r>
      <w:r w:rsidRPr="00170128">
        <w:t xml:space="preserve"> </w:t>
      </w:r>
      <w:r w:rsidR="00BB7B86" w:rsidRPr="00BB7B86">
        <w:rPr>
          <w:lang w:val="en-GB" w:eastAsia="en-GB"/>
        </w:rPr>
        <w:t xml:space="preserve">a mythography or </w:t>
      </w:r>
      <w:r w:rsidR="00AC212C" w:rsidRPr="00170128">
        <w:rPr>
          <w:lang w:val="en-GB" w:eastAsia="en-GB"/>
        </w:rPr>
        <w:t>encyclopaedic</w:t>
      </w:r>
      <w:r w:rsidR="00BB7B86" w:rsidRPr="00BB7B86">
        <w:rPr>
          <w:lang w:val="en-GB" w:eastAsia="en-GB"/>
        </w:rPr>
        <w:t xml:space="preserve"> compilation that explores the intricate family relationships within the classical pantheons of Ancient Greece and Rome. These types of works were common in the ancient world, especially during the Renaissance and later periods when there was a renewed interest in classical mythology. Scholars and writers often compiled information about gods, goddesses, and other mythical figures, aiming to create comprehensive and organized accounts of the complex narratives surrounding these deities.</w:t>
      </w:r>
    </w:p>
    <w:p w14:paraId="0DF9E419" w14:textId="77777777" w:rsidR="00F55E7D" w:rsidRPr="00170128" w:rsidRDefault="00F55E7D" w:rsidP="00170128">
      <w:pPr>
        <w:spacing w:line="480" w:lineRule="auto"/>
        <w:ind w:firstLine="720"/>
        <w:rPr>
          <w:lang w:val="en-GB" w:eastAsia="en-GB"/>
        </w:rPr>
      </w:pPr>
      <w:r w:rsidRPr="00170128">
        <w:rPr>
          <w:lang w:val="en-GB" w:eastAsia="en-GB"/>
        </w:rPr>
        <w:t xml:space="preserve">Boccaccio's literary legacy extends beyond his creative works. As a humanist, he played a pivotal role in reviving classical scholarship and promoting the study of ancient </w:t>
      </w:r>
      <w:r w:rsidRPr="00170128">
        <w:rPr>
          <w:lang w:val="en-GB" w:eastAsia="en-GB"/>
        </w:rPr>
        <w:lastRenderedPageBreak/>
        <w:t>texts. His efforts helped bridge the gap between the Middle Ages and the Renaissance, influencing later humanist thinkers and contributing to the intellectual revival of the time.</w:t>
      </w:r>
    </w:p>
    <w:p w14:paraId="43958E0F" w14:textId="77777777" w:rsidR="00FF5F9F" w:rsidRPr="00170128" w:rsidRDefault="00F55E7D" w:rsidP="00170128">
      <w:pPr>
        <w:spacing w:line="480" w:lineRule="auto"/>
        <w:rPr>
          <w:lang w:val="en-GB" w:eastAsia="en-GB"/>
        </w:rPr>
      </w:pPr>
      <w:r w:rsidRPr="00170128">
        <w:rPr>
          <w:lang w:val="en-GB" w:eastAsia="en-GB"/>
        </w:rPr>
        <w:t>Giovanni Boccaccio's impact on literature and humanism endures, and his works continue to be studied and appreciated for their rich exploration of the human condition and their role in shaping Italian Renaissance culture.</w:t>
      </w:r>
    </w:p>
    <w:p w14:paraId="27F1C772" w14:textId="1C09B77D" w:rsidR="003D5D04" w:rsidRPr="003D5D04" w:rsidRDefault="003D5D04" w:rsidP="00170128">
      <w:pPr>
        <w:spacing w:line="480" w:lineRule="auto"/>
        <w:ind w:firstLine="720"/>
        <w:rPr>
          <w:lang w:val="en-GB" w:eastAsia="en-GB"/>
        </w:rPr>
      </w:pPr>
      <w:r w:rsidRPr="003D5D04">
        <w:rPr>
          <w:lang w:val="en-GB" w:eastAsia="en-GB"/>
        </w:rPr>
        <w:t xml:space="preserve">Printing in the 1400s refers to the period when the printing press was first introduced and became a revolutionary technology for the reproduction of books. Johannes Gutenberg, a German inventor, is credited with inventing the movable-type printing press around the mid-15th century, commonly dated to the 1440s. This invention allowed for the efficient and relatively quick mass production of books by arranging individual movable </w:t>
      </w:r>
      <w:r w:rsidRPr="00170128">
        <w:rPr>
          <w:lang w:val="en-GB" w:eastAsia="en-GB"/>
        </w:rPr>
        <w:t>metal-type</w:t>
      </w:r>
      <w:r w:rsidRPr="003D5D04">
        <w:rPr>
          <w:lang w:val="en-GB" w:eastAsia="en-GB"/>
        </w:rPr>
        <w:t xml:space="preserve"> characters.</w:t>
      </w:r>
      <w:r w:rsidRPr="00170128">
        <w:rPr>
          <w:lang w:val="en-GB" w:eastAsia="en-GB"/>
        </w:rPr>
        <w:t xml:space="preserve"> </w:t>
      </w:r>
      <w:r w:rsidRPr="003D5D04">
        <w:rPr>
          <w:lang w:val="en-GB" w:eastAsia="en-GB"/>
        </w:rPr>
        <w:t xml:space="preserve">The knowledge of the printing press quickly spread throughout Europe. Printers and craftsmen set up presses in various cities, leading to the establishment of printing </w:t>
      </w:r>
      <w:r w:rsidRPr="00170128">
        <w:rPr>
          <w:lang w:val="en-GB" w:eastAsia="en-GB"/>
        </w:rPr>
        <w:t>centres</w:t>
      </w:r>
      <w:r w:rsidRPr="003D5D04">
        <w:rPr>
          <w:lang w:val="en-GB" w:eastAsia="en-GB"/>
        </w:rPr>
        <w:t xml:space="preserve"> in places like Venice, Paris, and Basel.</w:t>
      </w:r>
      <w:r w:rsidRPr="00170128">
        <w:rPr>
          <w:lang w:val="en-GB" w:eastAsia="en-GB"/>
        </w:rPr>
        <w:t xml:space="preserve"> </w:t>
      </w:r>
      <w:r w:rsidRPr="003D5D04">
        <w:rPr>
          <w:lang w:val="en-GB" w:eastAsia="en-GB"/>
        </w:rPr>
        <w:t>The books printed in the first few decades after the invention of the printing press are known as incunabula. These early printed books often featured ornate typography and hand-illuminated illustrations.</w:t>
      </w:r>
      <w:r w:rsidRPr="00170128">
        <w:rPr>
          <w:lang w:val="en-GB" w:eastAsia="en-GB"/>
        </w:rPr>
        <w:t xml:space="preserve"> </w:t>
      </w:r>
      <w:r w:rsidRPr="003D5D04">
        <w:rPr>
          <w:lang w:val="en-GB" w:eastAsia="en-GB"/>
        </w:rPr>
        <w:t>Early printed books covered a range of subjects, including religious texts, classical literature, scientific works, and legal documents. The availability of printed materials contributed to the democratization of knowledge.</w:t>
      </w:r>
      <w:r w:rsidRPr="00170128">
        <w:rPr>
          <w:lang w:val="en-GB" w:eastAsia="en-GB"/>
        </w:rPr>
        <w:t xml:space="preserve"> </w:t>
      </w:r>
      <w:r w:rsidRPr="003D5D04">
        <w:rPr>
          <w:lang w:val="en-GB" w:eastAsia="en-GB"/>
        </w:rPr>
        <w:t>The printing press played a pivotal role in the Renaissance and the Reformation, fostering intellectual and cultural transformations. The increased availability of books contributed to higher literacy rates and facilitated the exchange of ideas.</w:t>
      </w:r>
    </w:p>
    <w:p w14:paraId="36D8A01A" w14:textId="3A78781D" w:rsidR="003F491D" w:rsidRPr="003F491D" w:rsidRDefault="00F55E7D" w:rsidP="00170128">
      <w:pPr>
        <w:spacing w:line="480" w:lineRule="auto"/>
        <w:ind w:firstLine="720"/>
        <w:rPr>
          <w:lang w:val="en-GB" w:eastAsia="en-GB"/>
        </w:rPr>
      </w:pPr>
      <w:r w:rsidRPr="00170128">
        <w:rPr>
          <w:lang w:val="en-GB" w:eastAsia="en-GB"/>
        </w:rPr>
        <w:t xml:space="preserve">The printers of </w:t>
      </w:r>
      <w:bookmarkStart w:id="3" w:name="_Hlk157715161"/>
      <w:r w:rsidR="00AC212C" w:rsidRPr="00170128">
        <w:rPr>
          <w:lang w:val="en-GB" w:eastAsia="en-GB"/>
        </w:rPr>
        <w:t>Giovanni Boccaccio</w:t>
      </w:r>
      <w:r w:rsidR="00AC212C" w:rsidRPr="00170128">
        <w:rPr>
          <w:lang w:val="en-GB" w:eastAsia="en-GB"/>
        </w:rPr>
        <w:t>’s</w:t>
      </w:r>
      <w:bookmarkEnd w:id="3"/>
      <w:r w:rsidR="00AC212C" w:rsidRPr="00170128">
        <w:rPr>
          <w:lang w:val="en-GB" w:eastAsia="en-GB"/>
        </w:rPr>
        <w:t xml:space="preserve"> </w:t>
      </w:r>
      <w:proofErr w:type="spellStart"/>
      <w:r w:rsidR="00AC212C" w:rsidRPr="00170128">
        <w:rPr>
          <w:i/>
          <w:lang w:val="en-GB"/>
        </w:rPr>
        <w:t>Genealogia</w:t>
      </w:r>
      <w:proofErr w:type="spellEnd"/>
      <w:r w:rsidR="00AC212C" w:rsidRPr="00170128">
        <w:rPr>
          <w:i/>
          <w:lang w:val="en-GB"/>
        </w:rPr>
        <w:t xml:space="preserve"> </w:t>
      </w:r>
      <w:proofErr w:type="spellStart"/>
      <w:r w:rsidR="00AC212C" w:rsidRPr="00170128">
        <w:rPr>
          <w:i/>
          <w:lang w:val="en-GB"/>
        </w:rPr>
        <w:t>deorum</w:t>
      </w:r>
      <w:proofErr w:type="spellEnd"/>
      <w:r w:rsidR="00AC212C" w:rsidRPr="00170128">
        <w:rPr>
          <w:lang w:val="en-GB" w:eastAsia="en-GB"/>
        </w:rPr>
        <w:t xml:space="preserve"> </w:t>
      </w:r>
      <w:r w:rsidR="001E5CE2" w:rsidRPr="00170128">
        <w:rPr>
          <w:lang w:val="en-GB" w:eastAsia="en-GB"/>
        </w:rPr>
        <w:t>were</w:t>
      </w:r>
      <w:r w:rsidR="00AC212C" w:rsidRPr="00170128">
        <w:rPr>
          <w:lang w:val="en-GB" w:eastAsia="en-GB"/>
        </w:rPr>
        <w:t xml:space="preserve"> </w:t>
      </w:r>
      <w:r w:rsidRPr="00170128">
        <w:rPr>
          <w:lang w:val="en-GB" w:eastAsia="en-GB"/>
        </w:rPr>
        <w:t>German printers,</w:t>
      </w:r>
      <w:r w:rsidRPr="00170128">
        <w:rPr>
          <w:lang w:val="en-GB" w:eastAsia="en-GB"/>
        </w:rPr>
        <w:t xml:space="preserve"> and</w:t>
      </w:r>
      <w:r w:rsidRPr="00170128">
        <w:rPr>
          <w:lang w:val="en-GB" w:eastAsia="en-GB"/>
        </w:rPr>
        <w:t xml:space="preserve"> brothers from </w:t>
      </w:r>
      <w:r w:rsidRPr="00170128">
        <w:t>Speyer </w:t>
      </w:r>
      <w:r w:rsidRPr="00170128">
        <w:rPr>
          <w:lang w:val="en-GB" w:eastAsia="en-GB"/>
        </w:rPr>
        <w:t>who arrived in Venice in 1467</w:t>
      </w:r>
      <w:r w:rsidR="001E5CE2" w:rsidRPr="00170128">
        <w:rPr>
          <w:lang w:val="en-GB" w:eastAsia="en-GB"/>
        </w:rPr>
        <w:t xml:space="preserve">; </w:t>
      </w:r>
      <w:r w:rsidR="001E5CE2" w:rsidRPr="003F491D">
        <w:rPr>
          <w:rFonts w:eastAsiaTheme="majorEastAsia"/>
          <w:lang w:val="en-GB" w:eastAsia="en-GB"/>
        </w:rPr>
        <w:t>Wendelin</w:t>
      </w:r>
      <w:r w:rsidR="001E5CE2" w:rsidRPr="00170128">
        <w:rPr>
          <w:rFonts w:eastAsiaTheme="majorEastAsia"/>
          <w:lang w:val="en-GB" w:eastAsia="en-GB"/>
        </w:rPr>
        <w:t xml:space="preserve"> and Johann</w:t>
      </w:r>
      <w:r w:rsidR="001E5CE2" w:rsidRPr="003F491D">
        <w:rPr>
          <w:rFonts w:eastAsiaTheme="majorEastAsia"/>
          <w:lang w:val="en-GB" w:eastAsia="en-GB"/>
        </w:rPr>
        <w:t xml:space="preserve"> von Speyer</w:t>
      </w:r>
      <w:r w:rsidR="001E5CE2" w:rsidRPr="00170128">
        <w:rPr>
          <w:rFonts w:eastAsiaTheme="majorEastAsia"/>
          <w:lang w:val="en-GB" w:eastAsia="en-GB"/>
        </w:rPr>
        <w:t>.</w:t>
      </w:r>
      <w:r w:rsidRPr="00170128">
        <w:rPr>
          <w:lang w:val="en-GB" w:eastAsia="en-GB"/>
        </w:rPr>
        <w:t xml:space="preserve"> </w:t>
      </w:r>
      <w:r w:rsidR="003F491D" w:rsidRPr="003F491D">
        <w:rPr>
          <w:rFonts w:eastAsiaTheme="majorEastAsia"/>
          <w:lang w:val="en-GB" w:eastAsia="en-GB"/>
        </w:rPr>
        <w:t>Johann von Speyer (1470)</w:t>
      </w:r>
      <w:r w:rsidR="003F491D" w:rsidRPr="003F491D">
        <w:rPr>
          <w:lang w:val="en-GB" w:eastAsia="en-GB"/>
        </w:rPr>
        <w:t xml:space="preserve">, also known as Johann or Johannes de Spira, was a printer in Venice during the 15th century. He is historically significant as one of the earliest printers in Europe. Johann, along with his brother Wendelin, set up one of the first printing presses in </w:t>
      </w:r>
      <w:r w:rsidR="003F491D" w:rsidRPr="003F491D">
        <w:rPr>
          <w:lang w:val="en-GB" w:eastAsia="en-GB"/>
        </w:rPr>
        <w:lastRenderedPageBreak/>
        <w:t>Venice in 1469</w:t>
      </w:r>
      <w:r w:rsidR="00B54D58" w:rsidRPr="00170128">
        <w:rPr>
          <w:lang w:val="en-GB" w:eastAsia="en-GB"/>
        </w:rPr>
        <w:t xml:space="preserve">, ‘with </w:t>
      </w:r>
      <w:r w:rsidR="00FD6E55" w:rsidRPr="00170128">
        <w:rPr>
          <w:lang w:val="en-GB" w:eastAsia="en-GB"/>
        </w:rPr>
        <w:t>a modest four editions, a conventional selection of Latin classics: two editions of Ciero, a Terence and a Pliny</w:t>
      </w:r>
      <w:r w:rsidR="003F491D" w:rsidRPr="003F491D">
        <w:rPr>
          <w:lang w:val="en-GB" w:eastAsia="en-GB"/>
        </w:rPr>
        <w:t>.</w:t>
      </w:r>
      <w:r w:rsidR="00FD6E55" w:rsidRPr="00170128">
        <w:rPr>
          <w:lang w:val="en-GB" w:eastAsia="en-GB"/>
        </w:rPr>
        <w:t>’</w:t>
      </w:r>
      <w:r w:rsidR="00FD6E55" w:rsidRPr="00170128">
        <w:rPr>
          <w:rStyle w:val="FootnoteReference"/>
          <w:lang w:val="en-GB" w:eastAsia="en-GB"/>
        </w:rPr>
        <w:footnoteReference w:id="2"/>
      </w:r>
      <w:r w:rsidR="003F491D" w:rsidRPr="003F491D">
        <w:rPr>
          <w:lang w:val="en-GB" w:eastAsia="en-GB"/>
        </w:rPr>
        <w:t xml:space="preserve"> </w:t>
      </w:r>
      <w:r w:rsidR="00FF5F9F" w:rsidRPr="00170128">
        <w:rPr>
          <w:color w:val="000000"/>
          <w:lang w:val="en-GB" w:eastAsia="en-GB"/>
        </w:rPr>
        <w:t>Their first book was an edition of Cicero's </w:t>
      </w:r>
      <w:proofErr w:type="spellStart"/>
      <w:r w:rsidR="00FF5F9F" w:rsidRPr="00170128">
        <w:rPr>
          <w:i/>
          <w:iCs/>
          <w:color w:val="000000"/>
          <w:lang w:val="en-GB" w:eastAsia="en-GB"/>
        </w:rPr>
        <w:t>Epistolae</w:t>
      </w:r>
      <w:proofErr w:type="spellEnd"/>
      <w:r w:rsidR="00FF5F9F" w:rsidRPr="00170128">
        <w:rPr>
          <w:i/>
          <w:iCs/>
          <w:color w:val="000000"/>
          <w:lang w:val="en-GB" w:eastAsia="en-GB"/>
        </w:rPr>
        <w:t xml:space="preserve"> </w:t>
      </w:r>
      <w:proofErr w:type="spellStart"/>
      <w:r w:rsidR="00FF5F9F" w:rsidRPr="00170128">
        <w:rPr>
          <w:i/>
          <w:iCs/>
          <w:color w:val="000000"/>
          <w:lang w:val="en-GB" w:eastAsia="en-GB"/>
        </w:rPr>
        <w:t>ad</w:t>
      </w:r>
      <w:proofErr w:type="spellEnd"/>
      <w:r w:rsidR="00FF5F9F" w:rsidRPr="00170128">
        <w:rPr>
          <w:i/>
          <w:iCs/>
          <w:color w:val="000000"/>
          <w:lang w:val="en-GB" w:eastAsia="en-GB"/>
        </w:rPr>
        <w:t xml:space="preserve"> </w:t>
      </w:r>
      <w:proofErr w:type="spellStart"/>
      <w:r w:rsidR="00FF5F9F" w:rsidRPr="00170128">
        <w:rPr>
          <w:i/>
          <w:iCs/>
          <w:color w:val="000000"/>
          <w:lang w:val="en-GB" w:eastAsia="en-GB"/>
        </w:rPr>
        <w:t>familiares</w:t>
      </w:r>
      <w:proofErr w:type="spellEnd"/>
      <w:r w:rsidR="00FF5F9F" w:rsidRPr="00170128">
        <w:rPr>
          <w:color w:val="000000"/>
          <w:lang w:val="en-GB" w:eastAsia="en-GB"/>
        </w:rPr>
        <w:t> (1469) printed in roman type in an edition of 300 copies.</w:t>
      </w:r>
      <w:r w:rsidR="00FF5F9F" w:rsidRPr="00170128">
        <w:rPr>
          <w:rStyle w:val="FootnoteReference"/>
          <w:color w:val="000000"/>
          <w:lang w:val="en-GB" w:eastAsia="en-GB"/>
        </w:rPr>
        <w:footnoteReference w:id="3"/>
      </w:r>
      <w:r w:rsidR="00FF5F9F" w:rsidRPr="00170128">
        <w:rPr>
          <w:color w:val="000000"/>
          <w:lang w:val="en-GB" w:eastAsia="en-GB"/>
        </w:rPr>
        <w:t xml:space="preserve"> </w:t>
      </w:r>
      <w:r w:rsidR="003F491D" w:rsidRPr="003F491D">
        <w:rPr>
          <w:lang w:val="en-GB" w:eastAsia="en-GB"/>
        </w:rPr>
        <w:t xml:space="preserve">They produced </w:t>
      </w:r>
      <w:r w:rsidR="001E5CE2" w:rsidRPr="00170128">
        <w:rPr>
          <w:lang w:val="en-GB" w:eastAsia="en-GB"/>
        </w:rPr>
        <w:t>several</w:t>
      </w:r>
      <w:r w:rsidR="003F491D" w:rsidRPr="003F491D">
        <w:rPr>
          <w:lang w:val="en-GB" w:eastAsia="en-GB"/>
        </w:rPr>
        <w:t xml:space="preserve"> notable works, including classical texts and religious manuscripts. Unfortunately, Johann von Speyer's life was cut short when he died suddenly in 1470.</w:t>
      </w:r>
      <w:r w:rsidR="00FF5F9F" w:rsidRPr="00170128">
        <w:rPr>
          <w:lang w:val="en-GB" w:eastAsia="en-GB"/>
        </w:rPr>
        <w:t xml:space="preserve"> </w:t>
      </w:r>
    </w:p>
    <w:p w14:paraId="39567178" w14:textId="6CF34962" w:rsidR="003D1B01" w:rsidRPr="003D1B01" w:rsidRDefault="003F491D" w:rsidP="00170128">
      <w:pPr>
        <w:spacing w:line="480" w:lineRule="auto"/>
        <w:ind w:firstLine="720"/>
        <w:rPr>
          <w:lang w:val="en-GB" w:eastAsia="en-GB"/>
        </w:rPr>
      </w:pPr>
      <w:bookmarkStart w:id="5" w:name="_Hlk157708735"/>
      <w:r w:rsidRPr="003F491D">
        <w:rPr>
          <w:rFonts w:eastAsiaTheme="majorEastAsia"/>
          <w:lang w:val="en-GB" w:eastAsia="en-GB"/>
        </w:rPr>
        <w:t>Wendelin von Speyer</w:t>
      </w:r>
      <w:bookmarkEnd w:id="5"/>
      <w:r w:rsidRPr="003F491D">
        <w:rPr>
          <w:lang w:val="en-GB" w:eastAsia="en-GB"/>
        </w:rPr>
        <w:t>, the brother of Johann, continued their printing business in Venice after Johann's death</w:t>
      </w:r>
      <w:r w:rsidR="00BC70D6" w:rsidRPr="00170128">
        <w:rPr>
          <w:lang w:val="en-GB" w:eastAsia="en-GB"/>
        </w:rPr>
        <w:t>.</w:t>
      </w:r>
      <w:r w:rsidRPr="003F491D">
        <w:rPr>
          <w:lang w:val="en-GB" w:eastAsia="en-GB"/>
        </w:rPr>
        <w:t xml:space="preserve"> He was active as a printer from 1470 to 147</w:t>
      </w:r>
      <w:r w:rsidR="003D1B01" w:rsidRPr="00170128">
        <w:rPr>
          <w:lang w:val="en-GB" w:eastAsia="en-GB"/>
        </w:rPr>
        <w:t>3</w:t>
      </w:r>
      <w:r w:rsidRPr="003F491D">
        <w:rPr>
          <w:lang w:val="en-GB" w:eastAsia="en-GB"/>
        </w:rPr>
        <w:t xml:space="preserve">. </w:t>
      </w:r>
      <w:r w:rsidR="003D1B01" w:rsidRPr="003D1B01">
        <w:rPr>
          <w:lang w:val="en-GB" w:eastAsia="en-GB"/>
        </w:rPr>
        <w:t>Wendelin was indeed known for his significant contributions to printing during this period. He produced notable works such as an Italian translation of the Bible in 1471, editions of Petrarch's works, and various classical texts in Latin.</w:t>
      </w:r>
      <w:r w:rsidR="003D1B01" w:rsidRPr="00170128">
        <w:rPr>
          <w:rFonts w:eastAsiaTheme="majorEastAsia"/>
          <w:lang w:val="en-GB" w:eastAsia="en-GB"/>
        </w:rPr>
        <w:t xml:space="preserve"> </w:t>
      </w:r>
      <w:r w:rsidR="003D1B01" w:rsidRPr="003D1B01">
        <w:rPr>
          <w:lang w:val="en-GB" w:eastAsia="en-GB"/>
        </w:rPr>
        <w:t>However, it</w:t>
      </w:r>
      <w:r w:rsidR="003D1B01" w:rsidRPr="00170128">
        <w:rPr>
          <w:lang w:val="en-GB" w:eastAsia="en-GB"/>
        </w:rPr>
        <w:t xml:space="preserve"> i</w:t>
      </w:r>
      <w:r w:rsidR="003D1B01" w:rsidRPr="003D1B01">
        <w:rPr>
          <w:lang w:val="en-GB" w:eastAsia="en-GB"/>
        </w:rPr>
        <w:t xml:space="preserve">s important to note that Wendelin von Speyer faced financial difficulties and ultimately encountered business challenges. </w:t>
      </w:r>
      <w:r w:rsidR="003D1B01" w:rsidRPr="00170128">
        <w:rPr>
          <w:lang w:val="en-GB" w:eastAsia="en-GB"/>
        </w:rPr>
        <w:t xml:space="preserve">The overproduction of Latin classics resulted in the collapse of the printing market in Venice around 1473, </w:t>
      </w:r>
      <w:r w:rsidR="000E4EC6" w:rsidRPr="00170128">
        <w:rPr>
          <w:lang w:val="en-GB" w:eastAsia="en-GB"/>
        </w:rPr>
        <w:t xml:space="preserve">and due to that </w:t>
      </w:r>
      <w:r w:rsidR="003D1B01" w:rsidRPr="003D1B01">
        <w:rPr>
          <w:lang w:val="en-GB" w:eastAsia="en-GB"/>
        </w:rPr>
        <w:t>crisis</w:t>
      </w:r>
      <w:r w:rsidR="000E4EC6" w:rsidRPr="00170128">
        <w:rPr>
          <w:lang w:val="en-GB" w:eastAsia="en-GB"/>
        </w:rPr>
        <w:t>, Wendelin</w:t>
      </w:r>
      <w:r w:rsidR="003D1B01" w:rsidRPr="003D1B01">
        <w:rPr>
          <w:lang w:val="en-GB" w:eastAsia="en-GB"/>
        </w:rPr>
        <w:t xml:space="preserve"> was unable to sustain his printing press. As a result, two German entrepreneurs, Johannes de Colonia and Johannes Manthen de </w:t>
      </w:r>
      <w:proofErr w:type="spellStart"/>
      <w:r w:rsidR="003D1B01" w:rsidRPr="003D1B01">
        <w:rPr>
          <w:lang w:val="en-GB" w:eastAsia="en-GB"/>
        </w:rPr>
        <w:t>Gerresheim</w:t>
      </w:r>
      <w:proofErr w:type="spellEnd"/>
      <w:r w:rsidR="003D1B01" w:rsidRPr="003D1B01">
        <w:rPr>
          <w:lang w:val="en-GB" w:eastAsia="en-GB"/>
        </w:rPr>
        <w:t>, took over Wendelin's printing materials and continued the business.</w:t>
      </w:r>
      <w:r w:rsidR="002770BB" w:rsidRPr="00170128">
        <w:rPr>
          <w:lang w:val="en-GB" w:eastAsia="en-GB"/>
        </w:rPr>
        <w:t xml:space="preserve"> </w:t>
      </w:r>
      <w:r w:rsidR="003D1B01" w:rsidRPr="003D1B01">
        <w:rPr>
          <w:lang w:val="en-GB" w:eastAsia="en-GB"/>
        </w:rPr>
        <w:t xml:space="preserve">This transition reflects the competitive and sometimes precarious nature of the early printing industry, which was still evolving during the 15th century. </w:t>
      </w:r>
    </w:p>
    <w:p w14:paraId="4B74BCEA" w14:textId="77777777" w:rsidR="003F491D" w:rsidRPr="003F491D" w:rsidRDefault="003F491D" w:rsidP="00170128">
      <w:pPr>
        <w:spacing w:line="480" w:lineRule="auto"/>
        <w:ind w:firstLine="720"/>
        <w:rPr>
          <w:lang w:val="en-GB" w:eastAsia="en-GB"/>
        </w:rPr>
      </w:pPr>
      <w:r w:rsidRPr="003F491D">
        <w:rPr>
          <w:lang w:val="en-GB" w:eastAsia="en-GB"/>
        </w:rPr>
        <w:t>Both Johann and Wendelin von Speyer played pivotal roles in the history of printing, marking a significant transition from manuscript production to the era of printed books. Their contributions helped lay the foundation for the printing revolution that would have a profound impact on the dissemination of knowledge in Europe during the Renaissance.</w:t>
      </w:r>
    </w:p>
    <w:p w14:paraId="3A8712CA" w14:textId="77777777" w:rsidR="00F4476B" w:rsidRPr="00170128" w:rsidRDefault="0048011E" w:rsidP="00170128">
      <w:pPr>
        <w:spacing w:line="480" w:lineRule="auto"/>
        <w:ind w:firstLine="720"/>
        <w:rPr>
          <w:lang w:val="en-GB" w:eastAsia="en-GB"/>
        </w:rPr>
      </w:pPr>
      <w:r w:rsidRPr="00170128">
        <w:rPr>
          <w:iCs/>
          <w:lang w:val="en-GB"/>
        </w:rPr>
        <w:t xml:space="preserve">The Incunabulum </w:t>
      </w:r>
      <w:proofErr w:type="spellStart"/>
      <w:r w:rsidR="000E4EC6" w:rsidRPr="00170128">
        <w:rPr>
          <w:i/>
          <w:lang w:val="en-GB"/>
        </w:rPr>
        <w:t>Genealogia</w:t>
      </w:r>
      <w:proofErr w:type="spellEnd"/>
      <w:r w:rsidR="000E4EC6" w:rsidRPr="00170128">
        <w:rPr>
          <w:i/>
          <w:lang w:val="en-GB"/>
        </w:rPr>
        <w:t xml:space="preserve"> </w:t>
      </w:r>
      <w:proofErr w:type="spellStart"/>
      <w:r w:rsidR="000E4EC6" w:rsidRPr="00170128">
        <w:rPr>
          <w:i/>
          <w:lang w:val="en-GB"/>
        </w:rPr>
        <w:t>deorum</w:t>
      </w:r>
      <w:proofErr w:type="spellEnd"/>
      <w:r w:rsidRPr="00170128">
        <w:rPr>
          <w:lang w:val="en-GB"/>
        </w:rPr>
        <w:t xml:space="preserve"> has several editions after </w:t>
      </w:r>
      <w:r w:rsidR="00F4476B" w:rsidRPr="00170128">
        <w:rPr>
          <w:lang w:val="en-GB"/>
        </w:rPr>
        <w:t xml:space="preserve">it was first written by </w:t>
      </w:r>
      <w:r w:rsidRPr="00170128">
        <w:rPr>
          <w:lang w:val="en-GB" w:eastAsia="en-GB"/>
        </w:rPr>
        <w:t>Giovanni Boccaccio</w:t>
      </w:r>
      <w:r w:rsidR="00F4476B" w:rsidRPr="00170128">
        <w:rPr>
          <w:lang w:val="en-GB" w:eastAsia="en-GB"/>
        </w:rPr>
        <w:t xml:space="preserve"> in 1350 - 75. </w:t>
      </w:r>
    </w:p>
    <w:p w14:paraId="7999EDEC" w14:textId="77777777" w:rsidR="00F4476B" w:rsidRPr="00170128" w:rsidRDefault="0048011E" w:rsidP="00170128">
      <w:pPr>
        <w:pStyle w:val="ListParagraph"/>
        <w:numPr>
          <w:ilvl w:val="0"/>
          <w:numId w:val="7"/>
        </w:numPr>
        <w:spacing w:line="480" w:lineRule="auto"/>
        <w:rPr>
          <w:rFonts w:ascii="Times New Roman" w:hAnsi="Times New Roman" w:cs="Times New Roman"/>
          <w:sz w:val="24"/>
          <w:szCs w:val="24"/>
          <w:lang w:eastAsia="en-GB"/>
        </w:rPr>
      </w:pPr>
      <w:r w:rsidRPr="00170128">
        <w:rPr>
          <w:rFonts w:ascii="Times New Roman" w:eastAsiaTheme="majorEastAsia" w:hAnsi="Times New Roman" w:cs="Times New Roman"/>
          <w:sz w:val="24"/>
          <w:szCs w:val="24"/>
          <w:lang w:eastAsia="en-GB"/>
        </w:rPr>
        <w:lastRenderedPageBreak/>
        <w:t>The f</w:t>
      </w:r>
      <w:r w:rsidRPr="00170128">
        <w:rPr>
          <w:rFonts w:ascii="Times New Roman" w:eastAsiaTheme="majorEastAsia" w:hAnsi="Times New Roman" w:cs="Times New Roman"/>
          <w:sz w:val="24"/>
          <w:szCs w:val="24"/>
          <w:lang w:eastAsia="en-GB"/>
        </w:rPr>
        <w:t>irst Printed Edition in Venice (1472):</w:t>
      </w:r>
      <w:r w:rsidRPr="00170128">
        <w:rPr>
          <w:rFonts w:ascii="Times New Roman" w:hAnsi="Times New Roman" w:cs="Times New Roman"/>
          <w:sz w:val="24"/>
          <w:szCs w:val="24"/>
          <w:lang w:eastAsia="en-GB"/>
        </w:rPr>
        <w:t xml:space="preserve"> The initial printed edition of Boccaccio's work, possibly </w:t>
      </w:r>
      <w:r w:rsidR="003F4523" w:rsidRPr="00170128">
        <w:rPr>
          <w:rFonts w:ascii="Times New Roman" w:hAnsi="Times New Roman" w:cs="Times New Roman"/>
          <w:sz w:val="24"/>
          <w:szCs w:val="24"/>
          <w:lang w:eastAsia="en-GB"/>
        </w:rPr>
        <w:t>“</w:t>
      </w:r>
      <w:proofErr w:type="spellStart"/>
      <w:r w:rsidRPr="00170128">
        <w:rPr>
          <w:rFonts w:ascii="Times New Roman" w:hAnsi="Times New Roman" w:cs="Times New Roman"/>
          <w:sz w:val="24"/>
          <w:szCs w:val="24"/>
          <w:lang w:eastAsia="en-GB"/>
        </w:rPr>
        <w:t>Genealogia</w:t>
      </w:r>
      <w:proofErr w:type="spellEnd"/>
      <w:r w:rsidRPr="00170128">
        <w:rPr>
          <w:rFonts w:ascii="Times New Roman" w:hAnsi="Times New Roman" w:cs="Times New Roman"/>
          <w:sz w:val="24"/>
          <w:szCs w:val="24"/>
          <w:lang w:eastAsia="en-GB"/>
        </w:rPr>
        <w:t xml:space="preserve"> </w:t>
      </w:r>
      <w:proofErr w:type="spellStart"/>
      <w:r w:rsidRPr="00170128">
        <w:rPr>
          <w:rFonts w:ascii="Times New Roman" w:hAnsi="Times New Roman" w:cs="Times New Roman"/>
          <w:sz w:val="24"/>
          <w:szCs w:val="24"/>
          <w:lang w:eastAsia="en-GB"/>
        </w:rPr>
        <w:t>Deorum</w:t>
      </w:r>
      <w:proofErr w:type="spellEnd"/>
      <w:r w:rsidRPr="00170128">
        <w:rPr>
          <w:rFonts w:ascii="Times New Roman" w:hAnsi="Times New Roman" w:cs="Times New Roman"/>
          <w:sz w:val="24"/>
          <w:szCs w:val="24"/>
          <w:lang w:eastAsia="en-GB"/>
        </w:rPr>
        <w:t xml:space="preserve"> </w:t>
      </w:r>
      <w:proofErr w:type="spellStart"/>
      <w:r w:rsidRPr="00170128">
        <w:rPr>
          <w:rFonts w:ascii="Times New Roman" w:hAnsi="Times New Roman" w:cs="Times New Roman"/>
          <w:sz w:val="24"/>
          <w:szCs w:val="24"/>
          <w:lang w:eastAsia="en-GB"/>
        </w:rPr>
        <w:t>Gentilium</w:t>
      </w:r>
      <w:proofErr w:type="spellEnd"/>
      <w:r w:rsidRPr="00170128">
        <w:rPr>
          <w:rFonts w:ascii="Times New Roman" w:hAnsi="Times New Roman" w:cs="Times New Roman"/>
          <w:sz w:val="24"/>
          <w:szCs w:val="24"/>
          <w:lang w:eastAsia="en-GB"/>
        </w:rPr>
        <w:t>,</w:t>
      </w:r>
      <w:r w:rsidR="003F4523" w:rsidRPr="00170128">
        <w:rPr>
          <w:rFonts w:ascii="Times New Roman" w:hAnsi="Times New Roman" w:cs="Times New Roman"/>
          <w:sz w:val="24"/>
          <w:szCs w:val="24"/>
          <w:lang w:eastAsia="en-GB"/>
        </w:rPr>
        <w:t>”</w:t>
      </w:r>
      <w:r w:rsidRPr="00170128">
        <w:rPr>
          <w:rFonts w:ascii="Times New Roman" w:hAnsi="Times New Roman" w:cs="Times New Roman"/>
          <w:sz w:val="24"/>
          <w:szCs w:val="24"/>
          <w:lang w:eastAsia="en-GB"/>
        </w:rPr>
        <w:t xml:space="preserve"> appeared in Venice in 1472. This edition may have included some additions to the </w:t>
      </w:r>
      <w:proofErr w:type="spellStart"/>
      <w:r w:rsidRPr="00170128">
        <w:rPr>
          <w:rFonts w:ascii="Times New Roman" w:hAnsi="Times New Roman" w:cs="Times New Roman"/>
          <w:sz w:val="24"/>
          <w:szCs w:val="24"/>
          <w:lang w:eastAsia="en-GB"/>
        </w:rPr>
        <w:t>Genealogia</w:t>
      </w:r>
      <w:proofErr w:type="spellEnd"/>
      <w:r w:rsidRPr="00170128">
        <w:rPr>
          <w:rFonts w:ascii="Times New Roman" w:hAnsi="Times New Roman" w:cs="Times New Roman"/>
          <w:sz w:val="24"/>
          <w:szCs w:val="24"/>
          <w:lang w:eastAsia="en-GB"/>
        </w:rPr>
        <w:t xml:space="preserve"> and other short works by Boccaccio.</w:t>
      </w:r>
      <w:r w:rsidR="00F4476B" w:rsidRPr="00170128">
        <w:rPr>
          <w:rFonts w:ascii="Times New Roman" w:hAnsi="Times New Roman" w:cs="Times New Roman"/>
          <w:sz w:val="24"/>
          <w:szCs w:val="24"/>
          <w:lang w:eastAsia="en-GB"/>
        </w:rPr>
        <w:t xml:space="preserve"> </w:t>
      </w:r>
    </w:p>
    <w:p w14:paraId="4FCA19DD" w14:textId="6AE8A1F4" w:rsidR="0048011E" w:rsidRPr="00170128" w:rsidRDefault="003F4523" w:rsidP="00170128">
      <w:pPr>
        <w:pStyle w:val="ListParagraph"/>
        <w:numPr>
          <w:ilvl w:val="0"/>
          <w:numId w:val="7"/>
        </w:numPr>
        <w:spacing w:line="480" w:lineRule="auto"/>
        <w:rPr>
          <w:rFonts w:ascii="Times New Roman" w:hAnsi="Times New Roman" w:cs="Times New Roman"/>
          <w:sz w:val="24"/>
          <w:szCs w:val="24"/>
          <w:lang w:eastAsia="en-GB"/>
        </w:rPr>
      </w:pPr>
      <w:r w:rsidRPr="00170128">
        <w:rPr>
          <w:rFonts w:ascii="Times New Roman" w:eastAsiaTheme="majorEastAsia" w:hAnsi="Times New Roman" w:cs="Times New Roman"/>
          <w:sz w:val="24"/>
          <w:szCs w:val="24"/>
          <w:lang w:eastAsia="en-GB"/>
        </w:rPr>
        <w:t>The f</w:t>
      </w:r>
      <w:r w:rsidR="0048011E" w:rsidRPr="00170128">
        <w:rPr>
          <w:rFonts w:ascii="Times New Roman" w:eastAsiaTheme="majorEastAsia" w:hAnsi="Times New Roman" w:cs="Times New Roman"/>
          <w:sz w:val="24"/>
          <w:szCs w:val="24"/>
          <w:lang w:eastAsia="en-GB"/>
        </w:rPr>
        <w:t>irst Book Printed in Leuven (1473):</w:t>
      </w:r>
      <w:r w:rsidR="0048011E" w:rsidRPr="00170128">
        <w:rPr>
          <w:rFonts w:ascii="Times New Roman" w:hAnsi="Times New Roman" w:cs="Times New Roman"/>
          <w:sz w:val="24"/>
          <w:szCs w:val="24"/>
          <w:lang w:eastAsia="en-GB"/>
        </w:rPr>
        <w:t xml:space="preserve"> Following the Venice edition, there was another edition in 1473, which is noted as the first book printed in Leuven.</w:t>
      </w:r>
    </w:p>
    <w:p w14:paraId="174F0EA0" w14:textId="77777777" w:rsidR="0048011E" w:rsidRPr="00170128" w:rsidRDefault="0048011E" w:rsidP="00170128">
      <w:pPr>
        <w:pStyle w:val="ListParagraph"/>
        <w:numPr>
          <w:ilvl w:val="0"/>
          <w:numId w:val="7"/>
        </w:numPr>
        <w:spacing w:line="480" w:lineRule="auto"/>
        <w:rPr>
          <w:rFonts w:ascii="Times New Roman" w:hAnsi="Times New Roman" w:cs="Times New Roman"/>
          <w:sz w:val="24"/>
          <w:szCs w:val="24"/>
          <w:lang w:eastAsia="en-GB"/>
        </w:rPr>
      </w:pPr>
      <w:r w:rsidRPr="00170128">
        <w:rPr>
          <w:rFonts w:ascii="Times New Roman" w:eastAsiaTheme="majorEastAsia" w:hAnsi="Times New Roman" w:cs="Times New Roman"/>
          <w:sz w:val="24"/>
          <w:szCs w:val="24"/>
          <w:lang w:eastAsia="en-GB"/>
        </w:rPr>
        <w:t>Additional Italian Incunabulum Editions (1497):</w:t>
      </w:r>
      <w:r w:rsidRPr="00170128">
        <w:rPr>
          <w:rFonts w:ascii="Times New Roman" w:hAnsi="Times New Roman" w:cs="Times New Roman"/>
          <w:sz w:val="24"/>
          <w:szCs w:val="24"/>
          <w:lang w:eastAsia="en-GB"/>
        </w:rPr>
        <w:t xml:space="preserve"> Four more early printed editions in Italian, referred to as incunabula (books printed before 1501), were published. This includes an edition in 1497.</w:t>
      </w:r>
    </w:p>
    <w:p w14:paraId="4EF0D3B6" w14:textId="77777777" w:rsidR="0048011E" w:rsidRPr="0048011E" w:rsidRDefault="0048011E" w:rsidP="00170128">
      <w:pPr>
        <w:spacing w:line="480" w:lineRule="auto"/>
        <w:rPr>
          <w:lang w:val="en-GB" w:eastAsia="en-GB"/>
        </w:rPr>
      </w:pPr>
      <w:r w:rsidRPr="0048011E">
        <w:rPr>
          <w:rFonts w:eastAsiaTheme="majorEastAsia"/>
          <w:lang w:val="en-GB" w:eastAsia="en-GB"/>
        </w:rPr>
        <w:t>French Translation (1498 or 1499):</w:t>
      </w:r>
      <w:r w:rsidRPr="0048011E">
        <w:rPr>
          <w:lang w:val="en-GB" w:eastAsia="en-GB"/>
        </w:rPr>
        <w:t xml:space="preserve"> A French translation of Boccaccio's work was produced in 1498 or 1499.</w:t>
      </w:r>
    </w:p>
    <w:p w14:paraId="07F6C0D1" w14:textId="4B3B366C" w:rsidR="0048011E" w:rsidRPr="0048011E" w:rsidRDefault="0048011E" w:rsidP="00170128">
      <w:pPr>
        <w:spacing w:line="480" w:lineRule="auto"/>
        <w:ind w:firstLine="720"/>
        <w:rPr>
          <w:lang w:val="en-GB" w:eastAsia="en-GB"/>
        </w:rPr>
      </w:pPr>
      <w:r w:rsidRPr="0048011E">
        <w:rPr>
          <w:lang w:val="en-GB" w:eastAsia="en-GB"/>
        </w:rPr>
        <w:t>These early printed editions were crucial in making Boccaccio's works more widely accessible</w:t>
      </w:r>
      <w:r w:rsidR="003F4523" w:rsidRPr="00170128">
        <w:rPr>
          <w:lang w:val="en-GB" w:eastAsia="en-GB"/>
        </w:rPr>
        <w:t xml:space="preserve">. </w:t>
      </w:r>
      <w:r w:rsidRPr="0048011E">
        <w:rPr>
          <w:lang w:val="en-GB" w:eastAsia="en-GB"/>
        </w:rPr>
        <w:t>The fact that his works were printed in different locations attests to the growing influence of the printing press in the late 15th century and its role in spreading literary and intellectual achievements across Europe.</w:t>
      </w:r>
    </w:p>
    <w:p w14:paraId="41916073" w14:textId="77777777" w:rsidR="0048011E" w:rsidRPr="00170128" w:rsidRDefault="0048011E" w:rsidP="00170128">
      <w:pPr>
        <w:spacing w:line="480" w:lineRule="auto"/>
        <w:rPr>
          <w:rFonts w:eastAsiaTheme="majorEastAsia"/>
          <w:lang w:val="en-GB" w:eastAsia="en-GB"/>
        </w:rPr>
      </w:pPr>
    </w:p>
    <w:p w14:paraId="39DDA66E" w14:textId="77777777" w:rsidR="00442ABC" w:rsidRPr="00170128" w:rsidRDefault="00442ABC" w:rsidP="00170128">
      <w:pPr>
        <w:spacing w:line="480" w:lineRule="auto"/>
        <w:rPr>
          <w:rFonts w:eastAsiaTheme="majorEastAsia"/>
        </w:rPr>
      </w:pPr>
    </w:p>
    <w:p w14:paraId="54716885" w14:textId="77777777" w:rsidR="00201FEE" w:rsidRPr="00170128" w:rsidRDefault="00201FEE" w:rsidP="00170128">
      <w:pPr>
        <w:spacing w:line="480" w:lineRule="auto"/>
        <w:rPr>
          <w:rFonts w:eastAsiaTheme="majorEastAsia"/>
          <w:lang w:val="en-GB" w:eastAsia="en-GB"/>
        </w:rPr>
      </w:pPr>
    </w:p>
    <w:p w14:paraId="7494C825" w14:textId="77777777" w:rsidR="00201FEE" w:rsidRPr="00170128" w:rsidRDefault="00201FEE" w:rsidP="00170128">
      <w:pPr>
        <w:spacing w:line="480" w:lineRule="auto"/>
        <w:rPr>
          <w:rFonts w:eastAsiaTheme="majorEastAsia"/>
          <w:lang w:val="en-GB" w:eastAsia="en-GB"/>
        </w:rPr>
      </w:pPr>
    </w:p>
    <w:p w14:paraId="7C860587" w14:textId="3E9A1D9D" w:rsidR="00BD3DAB" w:rsidRPr="00170128" w:rsidRDefault="00BD3DAB" w:rsidP="00170128">
      <w:pPr>
        <w:spacing w:line="480" w:lineRule="auto"/>
        <w:rPr>
          <w:lang w:val="en-GB" w:eastAsia="en-GB"/>
        </w:rPr>
      </w:pPr>
    </w:p>
    <w:p w14:paraId="0098F2A1" w14:textId="5EBA2F7C" w:rsidR="008F51DF" w:rsidRPr="00170128" w:rsidRDefault="008F51DF" w:rsidP="00170128">
      <w:pPr>
        <w:spacing w:line="480" w:lineRule="auto"/>
        <w:rPr>
          <w:rFonts w:eastAsiaTheme="majorEastAsia"/>
          <w:lang w:val="en-GB" w:eastAsia="en-GB"/>
        </w:rPr>
      </w:pPr>
    </w:p>
    <w:p w14:paraId="3508D087" w14:textId="77777777" w:rsidR="00201FEE" w:rsidRDefault="00201FEE" w:rsidP="00B06FDF">
      <w:pPr>
        <w:spacing w:line="480" w:lineRule="auto"/>
        <w:rPr>
          <w:rFonts w:eastAsiaTheme="majorEastAsia"/>
          <w:lang w:val="en-GB" w:eastAsia="en-GB"/>
        </w:rPr>
      </w:pPr>
    </w:p>
    <w:p w14:paraId="5EF1E8FB" w14:textId="77777777" w:rsidR="00170128" w:rsidRDefault="00170128" w:rsidP="00B06FDF">
      <w:pPr>
        <w:spacing w:line="480" w:lineRule="auto"/>
        <w:rPr>
          <w:rFonts w:eastAsiaTheme="majorEastAsia"/>
          <w:lang w:val="en-GB" w:eastAsia="en-GB"/>
        </w:rPr>
      </w:pPr>
    </w:p>
    <w:p w14:paraId="307BD3C1" w14:textId="77777777" w:rsidR="00201FEE" w:rsidRDefault="00201FEE" w:rsidP="00B06FDF">
      <w:pPr>
        <w:spacing w:line="480" w:lineRule="auto"/>
        <w:rPr>
          <w:rFonts w:eastAsiaTheme="majorEastAsia"/>
          <w:lang w:val="en-GB" w:eastAsia="en-GB"/>
        </w:rPr>
      </w:pPr>
    </w:p>
    <w:p w14:paraId="24F43014" w14:textId="77777777" w:rsidR="00170128" w:rsidRDefault="00170128" w:rsidP="00B06FDF">
      <w:pPr>
        <w:spacing w:line="480" w:lineRule="auto"/>
        <w:rPr>
          <w:rFonts w:eastAsiaTheme="majorEastAsia"/>
          <w:lang w:val="en-GB" w:eastAsia="en-GB"/>
        </w:rPr>
      </w:pPr>
    </w:p>
    <w:p w14:paraId="030CB373" w14:textId="77777777" w:rsidR="00284683" w:rsidRPr="0088160C" w:rsidRDefault="00284683" w:rsidP="00284683">
      <w:pPr>
        <w:spacing w:line="480" w:lineRule="auto"/>
        <w:rPr>
          <w:rFonts w:eastAsiaTheme="majorEastAsia"/>
          <w:b/>
          <w:bCs/>
          <w:lang w:val="en-GB" w:eastAsia="en-GB"/>
        </w:rPr>
      </w:pPr>
      <w:r w:rsidRPr="0088160C">
        <w:rPr>
          <w:rFonts w:eastAsiaTheme="majorEastAsia"/>
          <w:b/>
          <w:bCs/>
          <w:lang w:val="en-GB" w:eastAsia="en-GB"/>
        </w:rPr>
        <w:lastRenderedPageBreak/>
        <w:t>Reference</w:t>
      </w:r>
    </w:p>
    <w:p w14:paraId="194CE95E" w14:textId="6565BE16" w:rsidR="00284683" w:rsidRDefault="00284683" w:rsidP="00284683">
      <w:pPr>
        <w:spacing w:line="276" w:lineRule="auto"/>
        <w:rPr>
          <w:rFonts w:eastAsiaTheme="majorEastAsia"/>
          <w:color w:val="FF0000"/>
          <w:lang w:val="en-GB" w:eastAsia="en-GB"/>
        </w:rPr>
      </w:pPr>
      <w:bookmarkStart w:id="6" w:name="_Hlk157709279"/>
      <w:proofErr w:type="spellStart"/>
      <w:r>
        <w:rPr>
          <w:rFonts w:eastAsiaTheme="majorEastAsia"/>
          <w:lang w:val="en-GB" w:eastAsia="en-GB"/>
        </w:rPr>
        <w:t>Pettegree</w:t>
      </w:r>
      <w:proofErr w:type="spellEnd"/>
      <w:r>
        <w:rPr>
          <w:rFonts w:eastAsiaTheme="majorEastAsia"/>
          <w:lang w:val="en-GB" w:eastAsia="en-GB"/>
        </w:rPr>
        <w:t xml:space="preserve">, Andrew, </w:t>
      </w:r>
      <w:r w:rsidRPr="008F51DF">
        <w:rPr>
          <w:rFonts w:eastAsiaTheme="majorEastAsia"/>
          <w:i/>
          <w:iCs/>
          <w:lang w:val="en-GB" w:eastAsia="en-GB"/>
        </w:rPr>
        <w:t>The Book in the Renaissance</w:t>
      </w:r>
      <w:r>
        <w:rPr>
          <w:rFonts w:eastAsiaTheme="majorEastAsia"/>
          <w:lang w:val="en-GB" w:eastAsia="en-GB"/>
        </w:rPr>
        <w:t xml:space="preserve"> (London: Yale University Press, 2011). </w:t>
      </w:r>
      <w:bookmarkEnd w:id="6"/>
    </w:p>
    <w:p w14:paraId="6B2CA105" w14:textId="77777777" w:rsidR="00284683" w:rsidRDefault="00284683" w:rsidP="00284683">
      <w:pPr>
        <w:spacing w:line="276" w:lineRule="auto"/>
        <w:rPr>
          <w:rFonts w:eastAsiaTheme="majorEastAsia"/>
          <w:color w:val="FF0000"/>
          <w:lang w:val="en-GB" w:eastAsia="en-GB"/>
        </w:rPr>
      </w:pPr>
    </w:p>
    <w:p w14:paraId="36A18388" w14:textId="0FD5BC8C" w:rsidR="00284683" w:rsidRDefault="00284683" w:rsidP="00284683">
      <w:pPr>
        <w:rPr>
          <w:rFonts w:eastAsiaTheme="majorEastAsia"/>
          <w:color w:val="FF0000"/>
          <w:lang w:val="en-GB" w:eastAsia="en-GB"/>
        </w:rPr>
      </w:pPr>
      <w:proofErr w:type="spellStart"/>
      <w:r>
        <w:rPr>
          <w:rFonts w:eastAsiaTheme="majorEastAsia"/>
          <w:lang w:val="en-GB" w:eastAsia="en-GB"/>
        </w:rPr>
        <w:t>Gerulaitis</w:t>
      </w:r>
      <w:proofErr w:type="spellEnd"/>
      <w:r>
        <w:rPr>
          <w:rFonts w:eastAsiaTheme="majorEastAsia"/>
          <w:lang w:val="en-GB" w:eastAsia="en-GB"/>
        </w:rPr>
        <w:t xml:space="preserve">, Leonardas, V., </w:t>
      </w:r>
      <w:r w:rsidRPr="002251CC">
        <w:rPr>
          <w:rFonts w:eastAsiaTheme="majorEastAsia"/>
          <w:i/>
          <w:iCs/>
          <w:lang w:val="en-GB" w:eastAsia="en-GB"/>
        </w:rPr>
        <w:t xml:space="preserve">Printing and publishing in </w:t>
      </w:r>
      <w:r w:rsidR="0088160C">
        <w:rPr>
          <w:rFonts w:eastAsiaTheme="majorEastAsia"/>
          <w:i/>
          <w:iCs/>
          <w:lang w:val="en-GB" w:eastAsia="en-GB"/>
        </w:rPr>
        <w:t>fifteenth-century</w:t>
      </w:r>
      <w:r w:rsidRPr="002251CC">
        <w:rPr>
          <w:rFonts w:eastAsiaTheme="majorEastAsia"/>
          <w:i/>
          <w:iCs/>
          <w:lang w:val="en-GB" w:eastAsia="en-GB"/>
        </w:rPr>
        <w:t xml:space="preserve"> Venice</w:t>
      </w:r>
      <w:r>
        <w:rPr>
          <w:rFonts w:eastAsiaTheme="majorEastAsia"/>
          <w:i/>
          <w:iCs/>
          <w:lang w:val="en-GB" w:eastAsia="en-GB"/>
        </w:rPr>
        <w:t xml:space="preserve"> </w:t>
      </w:r>
      <w:r>
        <w:rPr>
          <w:rFonts w:eastAsiaTheme="majorEastAsia"/>
          <w:lang w:val="en-GB" w:eastAsia="en-GB"/>
        </w:rPr>
        <w:t>(London: Mansell Information/</w:t>
      </w:r>
      <w:r w:rsidR="0088160C">
        <w:rPr>
          <w:rFonts w:eastAsiaTheme="majorEastAsia"/>
          <w:lang w:val="en-GB" w:eastAsia="en-GB"/>
        </w:rPr>
        <w:t>Publishing</w:t>
      </w:r>
      <w:r>
        <w:rPr>
          <w:rFonts w:eastAsiaTheme="majorEastAsia"/>
          <w:lang w:val="en-GB" w:eastAsia="en-GB"/>
        </w:rPr>
        <w:t xml:space="preserve"> Ltd, 1976)</w:t>
      </w:r>
      <w:r w:rsidR="00FD5373">
        <w:rPr>
          <w:rFonts w:eastAsiaTheme="majorEastAsia"/>
          <w:lang w:val="en-GB" w:eastAsia="en-GB"/>
        </w:rPr>
        <w:t>.</w:t>
      </w:r>
    </w:p>
    <w:p w14:paraId="0849FBE8" w14:textId="77777777" w:rsidR="00284683" w:rsidRDefault="00284683" w:rsidP="00284683">
      <w:pPr>
        <w:rPr>
          <w:rFonts w:eastAsiaTheme="majorEastAsia"/>
          <w:color w:val="FF0000"/>
          <w:lang w:val="en-GB" w:eastAsia="en-GB"/>
        </w:rPr>
      </w:pPr>
    </w:p>
    <w:p w14:paraId="05C40300" w14:textId="65A7D08C" w:rsidR="00284683" w:rsidRPr="00BD3DAB" w:rsidRDefault="0088160C" w:rsidP="00284683">
      <w:pPr>
        <w:spacing w:line="360" w:lineRule="auto"/>
        <w:rPr>
          <w:rFonts w:ascii="Arial" w:hAnsi="Arial" w:cs="Arial"/>
          <w:color w:val="000000"/>
          <w:sz w:val="18"/>
          <w:szCs w:val="18"/>
          <w:lang w:val="en-GB"/>
        </w:rPr>
      </w:pPr>
      <w:r>
        <w:rPr>
          <w:rFonts w:eastAsiaTheme="majorEastAsia"/>
          <w:lang w:val="en-GB" w:eastAsia="en-GB"/>
        </w:rPr>
        <w:t xml:space="preserve">Campbell, </w:t>
      </w:r>
      <w:r w:rsidR="00284683" w:rsidRPr="00BD3DAB">
        <w:rPr>
          <w:rFonts w:eastAsiaTheme="majorEastAsia"/>
          <w:lang w:val="en-GB" w:eastAsia="en-GB"/>
        </w:rPr>
        <w:t>Gordon</w:t>
      </w:r>
      <w:bookmarkStart w:id="7" w:name="_Hlk157711060"/>
      <w:r w:rsidR="00284683">
        <w:rPr>
          <w:rFonts w:eastAsiaTheme="majorEastAsia"/>
          <w:lang w:val="en-GB" w:eastAsia="en-GB"/>
        </w:rPr>
        <w:t xml:space="preserve">, </w:t>
      </w:r>
      <w:hyperlink r:id="rId8" w:history="1">
        <w:r w:rsidR="00284683" w:rsidRPr="00BD3DAB">
          <w:rPr>
            <w:rStyle w:val="Hyperlink"/>
            <w:rFonts w:eastAsiaTheme="majorEastAsia"/>
            <w:i/>
            <w:iCs/>
            <w:color w:val="auto"/>
            <w:u w:val="none"/>
          </w:rPr>
          <w:t>The Oxford Dictionary of the Renaissance</w:t>
        </w:r>
      </w:hyperlink>
      <w:bookmarkEnd w:id="7"/>
      <w:r w:rsidR="00284683">
        <w:rPr>
          <w:rFonts w:eastAsiaTheme="majorEastAsia"/>
        </w:rPr>
        <w:t xml:space="preserve">, </w:t>
      </w:r>
      <w:r>
        <w:rPr>
          <w:rStyle w:val="Hyperlink"/>
          <w:rFonts w:eastAsiaTheme="majorEastAsia"/>
          <w:color w:val="auto"/>
          <w:u w:val="none"/>
        </w:rPr>
        <w:t>(Oxford University Press, 2003).</w:t>
      </w:r>
    </w:p>
    <w:p w14:paraId="0D103434" w14:textId="77777777" w:rsidR="00284683" w:rsidRPr="002251CC" w:rsidRDefault="00284683" w:rsidP="00284683">
      <w:pPr>
        <w:spacing w:line="276" w:lineRule="auto"/>
        <w:rPr>
          <w:rFonts w:eastAsiaTheme="majorEastAsia"/>
          <w:lang w:val="en-GB" w:eastAsia="en-GB"/>
        </w:rPr>
      </w:pPr>
    </w:p>
    <w:p w14:paraId="04DF585A" w14:textId="77777777" w:rsidR="00201FEE" w:rsidRDefault="00201FEE" w:rsidP="00B06FDF">
      <w:pPr>
        <w:spacing w:line="480" w:lineRule="auto"/>
        <w:rPr>
          <w:rFonts w:eastAsiaTheme="majorEastAsia"/>
          <w:lang w:val="en-GB" w:eastAsia="en-GB"/>
        </w:rPr>
      </w:pPr>
    </w:p>
    <w:p w14:paraId="33B50C8F" w14:textId="77777777" w:rsidR="00201FEE" w:rsidRDefault="00201FEE" w:rsidP="00B06FDF">
      <w:pPr>
        <w:spacing w:line="480" w:lineRule="auto"/>
        <w:rPr>
          <w:rFonts w:eastAsiaTheme="majorEastAsia"/>
          <w:lang w:val="en-GB" w:eastAsia="en-GB"/>
        </w:rPr>
      </w:pPr>
    </w:p>
    <w:p w14:paraId="40543A49" w14:textId="77777777" w:rsidR="00201FEE" w:rsidRDefault="00201FEE" w:rsidP="00B06FDF">
      <w:pPr>
        <w:spacing w:line="480" w:lineRule="auto"/>
        <w:rPr>
          <w:rFonts w:eastAsiaTheme="majorEastAsia"/>
          <w:lang w:val="en-GB" w:eastAsia="en-GB"/>
        </w:rPr>
      </w:pPr>
    </w:p>
    <w:p w14:paraId="701C1932" w14:textId="77777777" w:rsidR="00201FEE" w:rsidRDefault="00201FEE" w:rsidP="00B06FDF">
      <w:pPr>
        <w:spacing w:line="480" w:lineRule="auto"/>
        <w:rPr>
          <w:rFonts w:eastAsiaTheme="majorEastAsia"/>
          <w:lang w:val="en-GB" w:eastAsia="en-GB"/>
        </w:rPr>
      </w:pPr>
    </w:p>
    <w:p w14:paraId="642F642E" w14:textId="01F6B9EF" w:rsidR="003E6BF6" w:rsidRDefault="003E6BF6" w:rsidP="00B06FDF">
      <w:pPr>
        <w:tabs>
          <w:tab w:val="left" w:pos="1620"/>
          <w:tab w:val="left" w:pos="3240"/>
        </w:tabs>
        <w:spacing w:line="276" w:lineRule="auto"/>
      </w:pPr>
    </w:p>
    <w:p w14:paraId="4EE3A332" w14:textId="77777777" w:rsidR="00137CF9" w:rsidRDefault="00137CF9" w:rsidP="00B06FDF">
      <w:pPr>
        <w:tabs>
          <w:tab w:val="left" w:pos="1620"/>
          <w:tab w:val="left" w:pos="3240"/>
        </w:tabs>
        <w:spacing w:line="276" w:lineRule="auto"/>
      </w:pPr>
    </w:p>
    <w:p w14:paraId="165EAAD6" w14:textId="77777777" w:rsidR="00137CF9" w:rsidRDefault="00137CF9" w:rsidP="00B06FDF">
      <w:pPr>
        <w:tabs>
          <w:tab w:val="left" w:pos="1620"/>
          <w:tab w:val="left" w:pos="3240"/>
        </w:tabs>
        <w:spacing w:line="276" w:lineRule="auto"/>
      </w:pPr>
    </w:p>
    <w:p w14:paraId="6ACDD11B" w14:textId="77777777" w:rsidR="00137CF9" w:rsidRDefault="00137CF9" w:rsidP="00B06FDF">
      <w:pPr>
        <w:tabs>
          <w:tab w:val="left" w:pos="1620"/>
          <w:tab w:val="left" w:pos="3240"/>
        </w:tabs>
        <w:spacing w:line="276" w:lineRule="auto"/>
      </w:pPr>
    </w:p>
    <w:p w14:paraId="34A228A3" w14:textId="77777777" w:rsidR="00137CF9" w:rsidRDefault="00137CF9" w:rsidP="00B06FDF">
      <w:pPr>
        <w:tabs>
          <w:tab w:val="left" w:pos="1620"/>
          <w:tab w:val="left" w:pos="3240"/>
        </w:tabs>
        <w:spacing w:line="276" w:lineRule="auto"/>
      </w:pPr>
    </w:p>
    <w:p w14:paraId="5F374936" w14:textId="77777777" w:rsidR="00137CF9" w:rsidRDefault="00137CF9" w:rsidP="00B06FDF">
      <w:pPr>
        <w:tabs>
          <w:tab w:val="left" w:pos="1620"/>
          <w:tab w:val="left" w:pos="3240"/>
        </w:tabs>
        <w:spacing w:line="276" w:lineRule="auto"/>
      </w:pPr>
    </w:p>
    <w:p w14:paraId="1845F2BF" w14:textId="77777777" w:rsidR="00137CF9" w:rsidRDefault="00137CF9" w:rsidP="00B06FDF">
      <w:pPr>
        <w:tabs>
          <w:tab w:val="left" w:pos="1620"/>
          <w:tab w:val="left" w:pos="3240"/>
        </w:tabs>
        <w:spacing w:line="276" w:lineRule="auto"/>
      </w:pPr>
    </w:p>
    <w:p w14:paraId="5EAF1C66" w14:textId="77777777" w:rsidR="00137CF9" w:rsidRDefault="00137CF9" w:rsidP="00B06FDF">
      <w:pPr>
        <w:tabs>
          <w:tab w:val="left" w:pos="1620"/>
          <w:tab w:val="left" w:pos="3240"/>
        </w:tabs>
        <w:spacing w:line="276" w:lineRule="auto"/>
      </w:pPr>
    </w:p>
    <w:p w14:paraId="29148565" w14:textId="77777777" w:rsidR="00137CF9" w:rsidRDefault="00137CF9" w:rsidP="00B06FDF">
      <w:pPr>
        <w:tabs>
          <w:tab w:val="left" w:pos="1620"/>
          <w:tab w:val="left" w:pos="3240"/>
        </w:tabs>
        <w:spacing w:line="276" w:lineRule="auto"/>
      </w:pPr>
    </w:p>
    <w:p w14:paraId="399A5EC6" w14:textId="77777777" w:rsidR="00137CF9" w:rsidRDefault="00137CF9" w:rsidP="00B06FDF">
      <w:pPr>
        <w:tabs>
          <w:tab w:val="left" w:pos="1620"/>
          <w:tab w:val="left" w:pos="3240"/>
        </w:tabs>
        <w:spacing w:line="276" w:lineRule="auto"/>
      </w:pPr>
    </w:p>
    <w:p w14:paraId="1D842FC6" w14:textId="77777777" w:rsidR="00137CF9" w:rsidRDefault="00137CF9" w:rsidP="00B06FDF">
      <w:pPr>
        <w:tabs>
          <w:tab w:val="left" w:pos="1620"/>
          <w:tab w:val="left" w:pos="3240"/>
        </w:tabs>
        <w:spacing w:line="276" w:lineRule="auto"/>
      </w:pPr>
    </w:p>
    <w:p w14:paraId="354E7773" w14:textId="1D089C11" w:rsidR="00137CF9" w:rsidRPr="00137CF9" w:rsidRDefault="00137CF9" w:rsidP="00B06FDF">
      <w:pPr>
        <w:tabs>
          <w:tab w:val="left" w:pos="1620"/>
          <w:tab w:val="left" w:pos="3240"/>
        </w:tabs>
        <w:spacing w:line="276" w:lineRule="auto"/>
        <w:rPr>
          <w:b/>
          <w:bCs/>
        </w:rPr>
      </w:pPr>
      <w:r w:rsidRPr="00137CF9">
        <w:rPr>
          <w:b/>
          <w:bCs/>
        </w:rPr>
        <w:t>Reference</w:t>
      </w:r>
    </w:p>
    <w:p w14:paraId="3E90907C" w14:textId="77777777" w:rsidR="00137CF9" w:rsidRDefault="00137CF9" w:rsidP="00B06FDF">
      <w:pPr>
        <w:tabs>
          <w:tab w:val="left" w:pos="1620"/>
          <w:tab w:val="left" w:pos="3240"/>
        </w:tabs>
        <w:spacing w:line="276" w:lineRule="auto"/>
      </w:pPr>
    </w:p>
    <w:p w14:paraId="6B73C87A" w14:textId="35392D3F" w:rsidR="00137CF9" w:rsidRPr="00137CF9" w:rsidRDefault="00137CF9" w:rsidP="00B06FDF">
      <w:pPr>
        <w:tabs>
          <w:tab w:val="left" w:pos="1620"/>
          <w:tab w:val="left" w:pos="3240"/>
        </w:tabs>
        <w:spacing w:line="276" w:lineRule="auto"/>
      </w:pPr>
      <w:r>
        <w:t xml:space="preserve">McKerrow, Ronald B., </w:t>
      </w:r>
      <w:r>
        <w:rPr>
          <w:i/>
          <w:iCs/>
        </w:rPr>
        <w:t xml:space="preserve">Printers’ and Publishers’ Devices in England and Scotland 1485 – 1640 </w:t>
      </w:r>
      <w:r>
        <w:t>(London: The Bibliographical Society, 1949)</w:t>
      </w:r>
    </w:p>
    <w:sectPr w:rsidR="00137CF9" w:rsidRPr="00137C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893C5" w14:textId="77777777" w:rsidR="00B30573" w:rsidRDefault="00B30573" w:rsidP="00B30573">
      <w:r>
        <w:separator/>
      </w:r>
    </w:p>
  </w:endnote>
  <w:endnote w:type="continuationSeparator" w:id="0">
    <w:p w14:paraId="7B30615D" w14:textId="77777777" w:rsidR="00B30573" w:rsidRDefault="00B30573" w:rsidP="00B305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ylfaen">
    <w:panose1 w:val="010A0502050306030303"/>
    <w:charset w:val="00"/>
    <w:family w:val="roman"/>
    <w:pitch w:val="variable"/>
    <w:sig w:usb0="04000687" w:usb1="00000000" w:usb2="00000000" w:usb3="00000000" w:csb0="0000009F" w:csb1="00000000"/>
  </w:font>
  <w:font w:name="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3CC11" w14:textId="77777777" w:rsidR="00B30573" w:rsidRDefault="00B30573" w:rsidP="00B30573">
      <w:r>
        <w:separator/>
      </w:r>
    </w:p>
  </w:footnote>
  <w:footnote w:type="continuationSeparator" w:id="0">
    <w:p w14:paraId="783BCBA6" w14:textId="77777777" w:rsidR="00B30573" w:rsidRDefault="00B30573" w:rsidP="00B30573">
      <w:r>
        <w:continuationSeparator/>
      </w:r>
    </w:p>
  </w:footnote>
  <w:footnote w:id="1">
    <w:p w14:paraId="71EC0080" w14:textId="77777777" w:rsidR="00F55E7D" w:rsidRPr="00B30573" w:rsidRDefault="00F55E7D" w:rsidP="00F55E7D">
      <w:pPr>
        <w:pStyle w:val="FootnoteText"/>
        <w:rPr>
          <w:lang w:val="en-GB"/>
        </w:rPr>
      </w:pPr>
      <w:r>
        <w:rPr>
          <w:rStyle w:val="FootnoteReference"/>
        </w:rPr>
        <w:footnoteRef/>
      </w:r>
      <w:r>
        <w:t xml:space="preserve"> </w:t>
      </w:r>
      <w:r>
        <w:rPr>
          <w:lang w:val="en-GB"/>
        </w:rPr>
        <w:t xml:space="preserve">Boccaccio, Giovanni., and J. M. Rigg, </w:t>
      </w:r>
      <w:r>
        <w:rPr>
          <w:i/>
          <w:iCs/>
          <w:lang w:val="en-GB"/>
        </w:rPr>
        <w:t>The Decameron</w:t>
      </w:r>
      <w:r>
        <w:rPr>
          <w:lang w:val="en-GB"/>
        </w:rPr>
        <w:t>, 1921.</w:t>
      </w:r>
    </w:p>
  </w:footnote>
  <w:footnote w:id="2">
    <w:p w14:paraId="3094D541" w14:textId="22258398" w:rsidR="00FD6E55" w:rsidRPr="00FD6E55" w:rsidRDefault="00FD6E55">
      <w:pPr>
        <w:pStyle w:val="FootnoteText"/>
        <w:rPr>
          <w:lang w:val="en-GB"/>
        </w:rPr>
      </w:pPr>
      <w:r>
        <w:rPr>
          <w:rStyle w:val="FootnoteReference"/>
        </w:rPr>
        <w:footnoteRef/>
      </w:r>
      <w:r>
        <w:t xml:space="preserve"> </w:t>
      </w:r>
      <w:r>
        <w:rPr>
          <w:lang w:val="en-GB"/>
        </w:rPr>
        <w:t xml:space="preserve">Andrew </w:t>
      </w:r>
      <w:proofErr w:type="spellStart"/>
      <w:r>
        <w:rPr>
          <w:lang w:val="en-GB"/>
        </w:rPr>
        <w:t>Pettegree</w:t>
      </w:r>
      <w:proofErr w:type="spellEnd"/>
      <w:r>
        <w:rPr>
          <w:lang w:val="en-GB"/>
        </w:rPr>
        <w:t xml:space="preserve">, </w:t>
      </w:r>
      <w:r w:rsidRPr="008F51DF">
        <w:rPr>
          <w:rFonts w:eastAsiaTheme="majorEastAsia"/>
          <w:i/>
          <w:iCs/>
          <w:lang w:val="en-GB" w:eastAsia="en-GB"/>
        </w:rPr>
        <w:t>The Book in the Renaissance</w:t>
      </w:r>
      <w:r>
        <w:rPr>
          <w:rFonts w:eastAsiaTheme="majorEastAsia"/>
          <w:lang w:val="en-GB" w:eastAsia="en-GB"/>
        </w:rPr>
        <w:t xml:space="preserve"> (London: Yale University Press, 2011)</w:t>
      </w:r>
      <w:r>
        <w:rPr>
          <w:lang w:val="en-GB"/>
        </w:rPr>
        <w:t>, p. 50.</w:t>
      </w:r>
    </w:p>
  </w:footnote>
  <w:footnote w:id="3">
    <w:p w14:paraId="3AA4D131" w14:textId="5372A737" w:rsidR="00FF5F9F" w:rsidRPr="0088160C" w:rsidRDefault="00FF5F9F">
      <w:pPr>
        <w:pStyle w:val="FootnoteText"/>
        <w:rPr>
          <w:lang w:val="en-GB"/>
        </w:rPr>
      </w:pPr>
      <w:r>
        <w:rPr>
          <w:rStyle w:val="FootnoteReference"/>
        </w:rPr>
        <w:footnoteRef/>
      </w:r>
      <w:r>
        <w:t xml:space="preserve"> </w:t>
      </w:r>
      <w:r>
        <w:rPr>
          <w:lang w:val="en-GB"/>
        </w:rPr>
        <w:t xml:space="preserve">Gordon </w:t>
      </w:r>
      <w:r w:rsidRPr="00BD3DAB">
        <w:rPr>
          <w:rFonts w:eastAsiaTheme="majorEastAsia"/>
          <w:lang w:val="en-GB" w:eastAsia="en-GB"/>
        </w:rPr>
        <w:t>Campbell</w:t>
      </w:r>
      <w:r>
        <w:rPr>
          <w:rFonts w:eastAsiaTheme="majorEastAsia"/>
          <w:lang w:val="en-GB" w:eastAsia="en-GB"/>
        </w:rPr>
        <w:t xml:space="preserve">, </w:t>
      </w:r>
      <w:hyperlink r:id="rId1" w:history="1">
        <w:r w:rsidRPr="00BD3DAB">
          <w:rPr>
            <w:rStyle w:val="Hyperlink"/>
            <w:rFonts w:eastAsiaTheme="majorEastAsia"/>
            <w:i/>
            <w:iCs/>
            <w:color w:val="auto"/>
            <w:u w:val="none"/>
          </w:rPr>
          <w:t>The Oxford Dictionary of the Renaissance</w:t>
        </w:r>
      </w:hyperlink>
      <w:r w:rsidR="0088160C">
        <w:rPr>
          <w:rStyle w:val="Hyperlink"/>
          <w:rFonts w:eastAsiaTheme="majorEastAsia"/>
          <w:color w:val="auto"/>
          <w:u w:val="none"/>
        </w:rPr>
        <w:t xml:space="preserve">, </w:t>
      </w:r>
      <w:bookmarkStart w:id="4" w:name="_Hlk157711284"/>
      <w:r w:rsidR="0088160C">
        <w:rPr>
          <w:rStyle w:val="Hyperlink"/>
          <w:rFonts w:eastAsiaTheme="majorEastAsia"/>
          <w:color w:val="auto"/>
          <w:u w:val="none"/>
        </w:rPr>
        <w:t>(Oxford University Press, 2003).</w:t>
      </w:r>
      <w:bookmarkEnd w:id="4"/>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13FDC"/>
    <w:multiLevelType w:val="multilevel"/>
    <w:tmpl w:val="44DAD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0927DE"/>
    <w:multiLevelType w:val="multilevel"/>
    <w:tmpl w:val="40624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B2144C"/>
    <w:multiLevelType w:val="multilevel"/>
    <w:tmpl w:val="BF024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392D7C"/>
    <w:multiLevelType w:val="multilevel"/>
    <w:tmpl w:val="3C004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172797"/>
    <w:multiLevelType w:val="multilevel"/>
    <w:tmpl w:val="F482C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50C2A3C"/>
    <w:multiLevelType w:val="multilevel"/>
    <w:tmpl w:val="1AAA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CF2A95"/>
    <w:multiLevelType w:val="hybridMultilevel"/>
    <w:tmpl w:val="BF4AF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1466823">
    <w:abstractNumId w:val="2"/>
  </w:num>
  <w:num w:numId="2" w16cid:durableId="1821457615">
    <w:abstractNumId w:val="5"/>
  </w:num>
  <w:num w:numId="3" w16cid:durableId="1661080774">
    <w:abstractNumId w:val="0"/>
  </w:num>
  <w:num w:numId="4" w16cid:durableId="131095377">
    <w:abstractNumId w:val="1"/>
  </w:num>
  <w:num w:numId="5" w16cid:durableId="1828940234">
    <w:abstractNumId w:val="4"/>
  </w:num>
  <w:num w:numId="6" w16cid:durableId="1091000899">
    <w:abstractNumId w:val="3"/>
  </w:num>
  <w:num w:numId="7" w16cid:durableId="4276982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F36"/>
    <w:rsid w:val="00032F16"/>
    <w:rsid w:val="00084D87"/>
    <w:rsid w:val="000C4726"/>
    <w:rsid w:val="000E4EC6"/>
    <w:rsid w:val="00123408"/>
    <w:rsid w:val="00137CF9"/>
    <w:rsid w:val="00170128"/>
    <w:rsid w:val="00170B5D"/>
    <w:rsid w:val="00190F36"/>
    <w:rsid w:val="001E5CE2"/>
    <w:rsid w:val="00201FEE"/>
    <w:rsid w:val="002251CC"/>
    <w:rsid w:val="002770BB"/>
    <w:rsid w:val="00284683"/>
    <w:rsid w:val="003D1B01"/>
    <w:rsid w:val="003D5D04"/>
    <w:rsid w:val="003E6BF6"/>
    <w:rsid w:val="003F4523"/>
    <w:rsid w:val="003F491D"/>
    <w:rsid w:val="00442ABC"/>
    <w:rsid w:val="004508DA"/>
    <w:rsid w:val="0048011E"/>
    <w:rsid w:val="005022CC"/>
    <w:rsid w:val="006542A3"/>
    <w:rsid w:val="007D3507"/>
    <w:rsid w:val="007E21B5"/>
    <w:rsid w:val="0082049D"/>
    <w:rsid w:val="00825802"/>
    <w:rsid w:val="0088160C"/>
    <w:rsid w:val="008F51DF"/>
    <w:rsid w:val="00AC212C"/>
    <w:rsid w:val="00AD381F"/>
    <w:rsid w:val="00B06FDF"/>
    <w:rsid w:val="00B30573"/>
    <w:rsid w:val="00B54D58"/>
    <w:rsid w:val="00BB7B86"/>
    <w:rsid w:val="00BC70D6"/>
    <w:rsid w:val="00BD3DAB"/>
    <w:rsid w:val="00D43DE5"/>
    <w:rsid w:val="00D53F41"/>
    <w:rsid w:val="00D61758"/>
    <w:rsid w:val="00E10DCC"/>
    <w:rsid w:val="00E8072F"/>
    <w:rsid w:val="00F4476B"/>
    <w:rsid w:val="00F55E7D"/>
    <w:rsid w:val="00F575BC"/>
    <w:rsid w:val="00FD5373"/>
    <w:rsid w:val="00FD6E55"/>
    <w:rsid w:val="00FF5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32D3D6"/>
  <w15:chartTrackingRefBased/>
  <w15:docId w15:val="{C38B2BBC-1EF7-4C8D-B96B-71B26C701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F36"/>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190F36"/>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190F36"/>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190F36"/>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190F36"/>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lang w:val="en-GB"/>
    </w:rPr>
  </w:style>
  <w:style w:type="paragraph" w:styleId="Heading5">
    <w:name w:val="heading 5"/>
    <w:basedOn w:val="Normal"/>
    <w:next w:val="Normal"/>
    <w:link w:val="Heading5Char"/>
    <w:uiPriority w:val="9"/>
    <w:semiHidden/>
    <w:unhideWhenUsed/>
    <w:qFormat/>
    <w:rsid w:val="00190F36"/>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lang w:val="en-GB"/>
    </w:rPr>
  </w:style>
  <w:style w:type="paragraph" w:styleId="Heading6">
    <w:name w:val="heading 6"/>
    <w:basedOn w:val="Normal"/>
    <w:next w:val="Normal"/>
    <w:link w:val="Heading6Char"/>
    <w:uiPriority w:val="9"/>
    <w:semiHidden/>
    <w:unhideWhenUsed/>
    <w:qFormat/>
    <w:rsid w:val="00190F36"/>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val="en-GB"/>
    </w:rPr>
  </w:style>
  <w:style w:type="paragraph" w:styleId="Heading7">
    <w:name w:val="heading 7"/>
    <w:basedOn w:val="Normal"/>
    <w:next w:val="Normal"/>
    <w:link w:val="Heading7Char"/>
    <w:uiPriority w:val="9"/>
    <w:semiHidden/>
    <w:unhideWhenUsed/>
    <w:qFormat/>
    <w:rsid w:val="00190F36"/>
    <w:pPr>
      <w:keepNext/>
      <w:keepLines/>
      <w:spacing w:before="40" w:line="259" w:lineRule="auto"/>
      <w:outlineLvl w:val="6"/>
    </w:pPr>
    <w:rPr>
      <w:rFonts w:asciiTheme="minorHAnsi" w:eastAsiaTheme="majorEastAsia" w:hAnsiTheme="minorHAnsi" w:cstheme="majorBidi"/>
      <w:color w:val="595959" w:themeColor="text1" w:themeTint="A6"/>
      <w:sz w:val="22"/>
      <w:szCs w:val="22"/>
      <w:lang w:val="en-GB"/>
    </w:rPr>
  </w:style>
  <w:style w:type="paragraph" w:styleId="Heading8">
    <w:name w:val="heading 8"/>
    <w:basedOn w:val="Normal"/>
    <w:next w:val="Normal"/>
    <w:link w:val="Heading8Char"/>
    <w:uiPriority w:val="9"/>
    <w:semiHidden/>
    <w:unhideWhenUsed/>
    <w:qFormat/>
    <w:rsid w:val="00190F36"/>
    <w:pPr>
      <w:keepNext/>
      <w:keepLines/>
      <w:spacing w:line="259" w:lineRule="auto"/>
      <w:outlineLvl w:val="7"/>
    </w:pPr>
    <w:rPr>
      <w:rFonts w:asciiTheme="minorHAnsi" w:eastAsiaTheme="majorEastAsia" w:hAnsiTheme="minorHAnsi" w:cstheme="majorBidi"/>
      <w:i/>
      <w:iCs/>
      <w:color w:val="272727" w:themeColor="text1" w:themeTint="D8"/>
      <w:sz w:val="22"/>
      <w:szCs w:val="22"/>
      <w:lang w:val="en-GB"/>
    </w:rPr>
  </w:style>
  <w:style w:type="paragraph" w:styleId="Heading9">
    <w:name w:val="heading 9"/>
    <w:basedOn w:val="Normal"/>
    <w:next w:val="Normal"/>
    <w:link w:val="Heading9Char"/>
    <w:uiPriority w:val="9"/>
    <w:semiHidden/>
    <w:unhideWhenUsed/>
    <w:qFormat/>
    <w:rsid w:val="00190F36"/>
    <w:pPr>
      <w:keepNext/>
      <w:keepLines/>
      <w:spacing w:line="259" w:lineRule="auto"/>
      <w:outlineLvl w:val="8"/>
    </w:pPr>
    <w:rPr>
      <w:rFonts w:asciiTheme="minorHAnsi" w:eastAsiaTheme="majorEastAsia" w:hAnsiTheme="minorHAnsi" w:cstheme="majorBidi"/>
      <w:color w:val="272727" w:themeColor="text1" w:themeTint="D8"/>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F36"/>
    <w:rPr>
      <w:rFonts w:eastAsiaTheme="majorEastAsia" w:cstheme="majorBidi"/>
      <w:color w:val="272727" w:themeColor="text1" w:themeTint="D8"/>
    </w:rPr>
  </w:style>
  <w:style w:type="paragraph" w:styleId="Title">
    <w:name w:val="Title"/>
    <w:basedOn w:val="Normal"/>
    <w:next w:val="Normal"/>
    <w:link w:val="TitleChar"/>
    <w:uiPriority w:val="10"/>
    <w:qFormat/>
    <w:rsid w:val="00190F36"/>
    <w:pPr>
      <w:spacing w:after="80"/>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190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F36"/>
    <w:pPr>
      <w:numPr>
        <w:ilvl w:val="1"/>
      </w:numPr>
      <w:spacing w:after="160" w:line="259" w:lineRule="auto"/>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190F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F36"/>
    <w:pPr>
      <w:spacing w:before="160" w:after="160" w:line="259" w:lineRule="auto"/>
      <w:jc w:val="center"/>
    </w:pPr>
    <w:rPr>
      <w:rFonts w:asciiTheme="minorHAnsi" w:eastAsiaTheme="minorHAnsi" w:hAnsiTheme="minorHAnsi" w:cstheme="minorBidi"/>
      <w:i/>
      <w:iCs/>
      <w:color w:val="404040" w:themeColor="text1" w:themeTint="BF"/>
      <w:sz w:val="22"/>
      <w:szCs w:val="22"/>
      <w:lang w:val="en-GB"/>
    </w:rPr>
  </w:style>
  <w:style w:type="character" w:customStyle="1" w:styleId="QuoteChar">
    <w:name w:val="Quote Char"/>
    <w:basedOn w:val="DefaultParagraphFont"/>
    <w:link w:val="Quote"/>
    <w:uiPriority w:val="29"/>
    <w:rsid w:val="00190F36"/>
    <w:rPr>
      <w:i/>
      <w:iCs/>
      <w:color w:val="404040" w:themeColor="text1" w:themeTint="BF"/>
    </w:rPr>
  </w:style>
  <w:style w:type="paragraph" w:styleId="ListParagraph">
    <w:name w:val="List Paragraph"/>
    <w:basedOn w:val="Normal"/>
    <w:uiPriority w:val="34"/>
    <w:qFormat/>
    <w:rsid w:val="00190F36"/>
    <w:pPr>
      <w:spacing w:after="160" w:line="259" w:lineRule="auto"/>
      <w:ind w:left="720"/>
      <w:contextualSpacing/>
    </w:pPr>
    <w:rPr>
      <w:rFonts w:asciiTheme="minorHAnsi" w:eastAsiaTheme="minorHAnsi" w:hAnsiTheme="minorHAnsi" w:cstheme="minorBidi"/>
      <w:sz w:val="22"/>
      <w:szCs w:val="22"/>
      <w:lang w:val="en-GB"/>
    </w:rPr>
  </w:style>
  <w:style w:type="character" w:styleId="IntenseEmphasis">
    <w:name w:val="Intense Emphasis"/>
    <w:basedOn w:val="DefaultParagraphFont"/>
    <w:uiPriority w:val="21"/>
    <w:qFormat/>
    <w:rsid w:val="00190F36"/>
    <w:rPr>
      <w:i/>
      <w:iCs/>
      <w:color w:val="0F4761" w:themeColor="accent1" w:themeShade="BF"/>
    </w:rPr>
  </w:style>
  <w:style w:type="paragraph" w:styleId="IntenseQuote">
    <w:name w:val="Intense Quote"/>
    <w:basedOn w:val="Normal"/>
    <w:next w:val="Normal"/>
    <w:link w:val="IntenseQuoteChar"/>
    <w:uiPriority w:val="30"/>
    <w:qFormat/>
    <w:rsid w:val="00190F3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val="en-GB"/>
    </w:rPr>
  </w:style>
  <w:style w:type="character" w:customStyle="1" w:styleId="IntenseQuoteChar">
    <w:name w:val="Intense Quote Char"/>
    <w:basedOn w:val="DefaultParagraphFont"/>
    <w:link w:val="IntenseQuote"/>
    <w:uiPriority w:val="30"/>
    <w:rsid w:val="00190F36"/>
    <w:rPr>
      <w:i/>
      <w:iCs/>
      <w:color w:val="0F4761" w:themeColor="accent1" w:themeShade="BF"/>
    </w:rPr>
  </w:style>
  <w:style w:type="character" w:styleId="IntenseReference">
    <w:name w:val="Intense Reference"/>
    <w:basedOn w:val="DefaultParagraphFont"/>
    <w:uiPriority w:val="32"/>
    <w:qFormat/>
    <w:rsid w:val="00190F36"/>
    <w:rPr>
      <w:b/>
      <w:bCs/>
      <w:smallCaps/>
      <w:color w:val="0F4761" w:themeColor="accent1" w:themeShade="BF"/>
      <w:spacing w:val="5"/>
    </w:rPr>
  </w:style>
  <w:style w:type="paragraph" w:styleId="NormalWeb">
    <w:name w:val="Normal (Web)"/>
    <w:basedOn w:val="Normal"/>
    <w:rsid w:val="00123408"/>
    <w:pPr>
      <w:autoSpaceDN w:val="0"/>
      <w:spacing w:before="100" w:after="100"/>
    </w:pPr>
    <w:rPr>
      <w:lang w:val="en-GB" w:eastAsia="en-GB"/>
    </w:rPr>
  </w:style>
  <w:style w:type="paragraph" w:styleId="FootnoteText">
    <w:name w:val="footnote text"/>
    <w:basedOn w:val="Normal"/>
    <w:link w:val="FootnoteTextChar"/>
    <w:uiPriority w:val="99"/>
    <w:semiHidden/>
    <w:unhideWhenUsed/>
    <w:rsid w:val="00B30573"/>
    <w:rPr>
      <w:sz w:val="20"/>
      <w:szCs w:val="20"/>
    </w:rPr>
  </w:style>
  <w:style w:type="character" w:customStyle="1" w:styleId="FootnoteTextChar">
    <w:name w:val="Footnote Text Char"/>
    <w:basedOn w:val="DefaultParagraphFont"/>
    <w:link w:val="FootnoteText"/>
    <w:uiPriority w:val="99"/>
    <w:semiHidden/>
    <w:rsid w:val="00B30573"/>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B30573"/>
    <w:rPr>
      <w:vertAlign w:val="superscript"/>
    </w:rPr>
  </w:style>
  <w:style w:type="character" w:styleId="Hyperlink">
    <w:name w:val="Hyperlink"/>
    <w:basedOn w:val="DefaultParagraphFont"/>
    <w:uiPriority w:val="99"/>
    <w:unhideWhenUsed/>
    <w:rsid w:val="00BD3DAB"/>
    <w:rPr>
      <w:color w:val="0000FF"/>
      <w:u w:val="single"/>
    </w:rPr>
  </w:style>
  <w:style w:type="character" w:customStyle="1" w:styleId="titlepart">
    <w:name w:val="titlepart"/>
    <w:basedOn w:val="DefaultParagraphFont"/>
    <w:rsid w:val="00BD3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680339">
      <w:bodyDiv w:val="1"/>
      <w:marLeft w:val="0"/>
      <w:marRight w:val="0"/>
      <w:marTop w:val="0"/>
      <w:marBottom w:val="0"/>
      <w:divBdr>
        <w:top w:val="none" w:sz="0" w:space="0" w:color="auto"/>
        <w:left w:val="none" w:sz="0" w:space="0" w:color="auto"/>
        <w:bottom w:val="none" w:sz="0" w:space="0" w:color="auto"/>
        <w:right w:val="none" w:sz="0" w:space="0" w:color="auto"/>
      </w:divBdr>
    </w:div>
    <w:div w:id="187186319">
      <w:bodyDiv w:val="1"/>
      <w:marLeft w:val="0"/>
      <w:marRight w:val="0"/>
      <w:marTop w:val="0"/>
      <w:marBottom w:val="0"/>
      <w:divBdr>
        <w:top w:val="none" w:sz="0" w:space="0" w:color="auto"/>
        <w:left w:val="none" w:sz="0" w:space="0" w:color="auto"/>
        <w:bottom w:val="none" w:sz="0" w:space="0" w:color="auto"/>
        <w:right w:val="none" w:sz="0" w:space="0" w:color="auto"/>
      </w:divBdr>
    </w:div>
    <w:div w:id="311829911">
      <w:bodyDiv w:val="1"/>
      <w:marLeft w:val="0"/>
      <w:marRight w:val="0"/>
      <w:marTop w:val="0"/>
      <w:marBottom w:val="0"/>
      <w:divBdr>
        <w:top w:val="none" w:sz="0" w:space="0" w:color="auto"/>
        <w:left w:val="none" w:sz="0" w:space="0" w:color="auto"/>
        <w:bottom w:val="none" w:sz="0" w:space="0" w:color="auto"/>
        <w:right w:val="none" w:sz="0" w:space="0" w:color="auto"/>
      </w:divBdr>
      <w:divsChild>
        <w:div w:id="967004606">
          <w:marLeft w:val="0"/>
          <w:marRight w:val="0"/>
          <w:marTop w:val="225"/>
          <w:marBottom w:val="225"/>
          <w:divBdr>
            <w:top w:val="none" w:sz="0" w:space="0" w:color="auto"/>
            <w:left w:val="none" w:sz="0" w:space="0" w:color="auto"/>
            <w:bottom w:val="none" w:sz="0" w:space="0" w:color="auto"/>
            <w:right w:val="none" w:sz="0" w:space="0" w:color="auto"/>
          </w:divBdr>
        </w:div>
      </w:divsChild>
    </w:div>
    <w:div w:id="611783580">
      <w:bodyDiv w:val="1"/>
      <w:marLeft w:val="0"/>
      <w:marRight w:val="0"/>
      <w:marTop w:val="0"/>
      <w:marBottom w:val="0"/>
      <w:divBdr>
        <w:top w:val="none" w:sz="0" w:space="0" w:color="auto"/>
        <w:left w:val="none" w:sz="0" w:space="0" w:color="auto"/>
        <w:bottom w:val="none" w:sz="0" w:space="0" w:color="auto"/>
        <w:right w:val="none" w:sz="0" w:space="0" w:color="auto"/>
      </w:divBdr>
    </w:div>
    <w:div w:id="622271023">
      <w:bodyDiv w:val="1"/>
      <w:marLeft w:val="0"/>
      <w:marRight w:val="0"/>
      <w:marTop w:val="0"/>
      <w:marBottom w:val="0"/>
      <w:divBdr>
        <w:top w:val="none" w:sz="0" w:space="0" w:color="auto"/>
        <w:left w:val="none" w:sz="0" w:space="0" w:color="auto"/>
        <w:bottom w:val="none" w:sz="0" w:space="0" w:color="auto"/>
        <w:right w:val="none" w:sz="0" w:space="0" w:color="auto"/>
      </w:divBdr>
    </w:div>
    <w:div w:id="635718685">
      <w:bodyDiv w:val="1"/>
      <w:marLeft w:val="0"/>
      <w:marRight w:val="0"/>
      <w:marTop w:val="0"/>
      <w:marBottom w:val="0"/>
      <w:divBdr>
        <w:top w:val="none" w:sz="0" w:space="0" w:color="auto"/>
        <w:left w:val="none" w:sz="0" w:space="0" w:color="auto"/>
        <w:bottom w:val="none" w:sz="0" w:space="0" w:color="auto"/>
        <w:right w:val="none" w:sz="0" w:space="0" w:color="auto"/>
      </w:divBdr>
    </w:div>
    <w:div w:id="784737791">
      <w:bodyDiv w:val="1"/>
      <w:marLeft w:val="0"/>
      <w:marRight w:val="0"/>
      <w:marTop w:val="0"/>
      <w:marBottom w:val="0"/>
      <w:divBdr>
        <w:top w:val="none" w:sz="0" w:space="0" w:color="auto"/>
        <w:left w:val="none" w:sz="0" w:space="0" w:color="auto"/>
        <w:bottom w:val="none" w:sz="0" w:space="0" w:color="auto"/>
        <w:right w:val="none" w:sz="0" w:space="0" w:color="auto"/>
      </w:divBdr>
    </w:div>
    <w:div w:id="975452320">
      <w:bodyDiv w:val="1"/>
      <w:marLeft w:val="0"/>
      <w:marRight w:val="0"/>
      <w:marTop w:val="0"/>
      <w:marBottom w:val="0"/>
      <w:divBdr>
        <w:top w:val="none" w:sz="0" w:space="0" w:color="auto"/>
        <w:left w:val="none" w:sz="0" w:space="0" w:color="auto"/>
        <w:bottom w:val="none" w:sz="0" w:space="0" w:color="auto"/>
        <w:right w:val="none" w:sz="0" w:space="0" w:color="auto"/>
      </w:divBdr>
      <w:divsChild>
        <w:div w:id="1276668249">
          <w:marLeft w:val="0"/>
          <w:marRight w:val="300"/>
          <w:marTop w:val="0"/>
          <w:marBottom w:val="0"/>
          <w:divBdr>
            <w:top w:val="none" w:sz="0" w:space="0" w:color="auto"/>
            <w:left w:val="none" w:sz="0" w:space="0" w:color="auto"/>
            <w:bottom w:val="none" w:sz="0" w:space="0" w:color="auto"/>
            <w:right w:val="none" w:sz="0" w:space="0" w:color="auto"/>
          </w:divBdr>
          <w:divsChild>
            <w:div w:id="1190140104">
              <w:marLeft w:val="0"/>
              <w:marRight w:val="0"/>
              <w:marTop w:val="0"/>
              <w:marBottom w:val="300"/>
              <w:divBdr>
                <w:top w:val="none" w:sz="0" w:space="0" w:color="auto"/>
                <w:left w:val="none" w:sz="0" w:space="0" w:color="auto"/>
                <w:bottom w:val="none" w:sz="0" w:space="0" w:color="auto"/>
                <w:right w:val="none" w:sz="0" w:space="0" w:color="auto"/>
              </w:divBdr>
            </w:div>
          </w:divsChild>
        </w:div>
        <w:div w:id="1679230618">
          <w:marLeft w:val="0"/>
          <w:marRight w:val="0"/>
          <w:marTop w:val="0"/>
          <w:marBottom w:val="0"/>
          <w:divBdr>
            <w:top w:val="none" w:sz="0" w:space="0" w:color="auto"/>
            <w:left w:val="none" w:sz="0" w:space="0" w:color="auto"/>
            <w:bottom w:val="none" w:sz="0" w:space="0" w:color="auto"/>
            <w:right w:val="none" w:sz="0" w:space="0" w:color="auto"/>
          </w:divBdr>
          <w:divsChild>
            <w:div w:id="83468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334761">
      <w:bodyDiv w:val="1"/>
      <w:marLeft w:val="0"/>
      <w:marRight w:val="0"/>
      <w:marTop w:val="0"/>
      <w:marBottom w:val="0"/>
      <w:divBdr>
        <w:top w:val="none" w:sz="0" w:space="0" w:color="auto"/>
        <w:left w:val="none" w:sz="0" w:space="0" w:color="auto"/>
        <w:bottom w:val="none" w:sz="0" w:space="0" w:color="auto"/>
        <w:right w:val="none" w:sz="0" w:space="0" w:color="auto"/>
      </w:divBdr>
    </w:div>
    <w:div w:id="1450514563">
      <w:bodyDiv w:val="1"/>
      <w:marLeft w:val="0"/>
      <w:marRight w:val="0"/>
      <w:marTop w:val="0"/>
      <w:marBottom w:val="0"/>
      <w:divBdr>
        <w:top w:val="none" w:sz="0" w:space="0" w:color="auto"/>
        <w:left w:val="none" w:sz="0" w:space="0" w:color="auto"/>
        <w:bottom w:val="none" w:sz="0" w:space="0" w:color="auto"/>
        <w:right w:val="none" w:sz="0" w:space="0" w:color="auto"/>
      </w:divBdr>
    </w:div>
    <w:div w:id="158410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reference-com.ezproxy.uwtsd.ac.uk/view/10.1093/acref/9780198601753.001.0001/acref-978019860175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oxfordreference-com.ezproxy.uwtsd.ac.uk/view/10.1093/acref/9780198601753.001.0001/acref-97801986017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403FE-D46B-42FF-B70C-80E239A95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1180</Words>
  <Characters>6849</Characters>
  <Application>Microsoft Office Word</Application>
  <DocSecurity>0</DocSecurity>
  <Lines>147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17</cp:revision>
  <dcterms:created xsi:type="dcterms:W3CDTF">2024-01-24T15:55:00Z</dcterms:created>
  <dcterms:modified xsi:type="dcterms:W3CDTF">2024-02-01T22:36:00Z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1f0b1344-432f-4562-8435-b4869ea1a63c</vt:lpwstr>
  </property>
</Properties>
</file>