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ECAAC" w14:textId="59228382" w:rsidR="00E2601A" w:rsidRDefault="00407C7A" w:rsidP="00407C7A">
      <w:pPr>
        <w:jc w:val="center"/>
        <w:rPr>
          <w:b/>
          <w:bCs/>
        </w:rPr>
      </w:pPr>
      <w:r w:rsidRPr="00407C7A">
        <w:rPr>
          <w:b/>
          <w:bCs/>
        </w:rPr>
        <w:t xml:space="preserve">To what extent did trade </w:t>
      </w:r>
      <w:r w:rsidR="007A34E9">
        <w:rPr>
          <w:b/>
          <w:bCs/>
        </w:rPr>
        <w:t>demonstrate an</w:t>
      </w:r>
      <w:r w:rsidRPr="00407C7A">
        <w:rPr>
          <w:b/>
          <w:bCs/>
        </w:rPr>
        <w:t xml:space="preserve"> improve</w:t>
      </w:r>
      <w:r w:rsidR="007A34E9">
        <w:rPr>
          <w:b/>
          <w:bCs/>
        </w:rPr>
        <w:t>ment in</w:t>
      </w:r>
      <w:r w:rsidRPr="00407C7A">
        <w:rPr>
          <w:b/>
          <w:bCs/>
        </w:rPr>
        <w:t xml:space="preserve"> relations between the </w:t>
      </w:r>
      <w:r w:rsidR="0078425D">
        <w:rPr>
          <w:b/>
          <w:bCs/>
        </w:rPr>
        <w:t>Ptolem</w:t>
      </w:r>
      <w:r w:rsidR="007A34E9">
        <w:rPr>
          <w:b/>
          <w:bCs/>
        </w:rPr>
        <w:t>aic</w:t>
      </w:r>
      <w:r w:rsidR="00CE6CDE">
        <w:rPr>
          <w:b/>
          <w:bCs/>
        </w:rPr>
        <w:t xml:space="preserve"> and </w:t>
      </w:r>
      <w:r w:rsidRPr="00407C7A">
        <w:rPr>
          <w:b/>
          <w:bCs/>
        </w:rPr>
        <w:t>Roman Empire</w:t>
      </w:r>
      <w:r w:rsidR="007A34E9">
        <w:rPr>
          <w:b/>
          <w:bCs/>
        </w:rPr>
        <w:t>s</w:t>
      </w:r>
      <w:r w:rsidRPr="00407C7A">
        <w:rPr>
          <w:b/>
          <w:bCs/>
        </w:rPr>
        <w:t xml:space="preserve"> and the indigenous peoples of Easter</w:t>
      </w:r>
      <w:r w:rsidR="008F140E">
        <w:rPr>
          <w:b/>
          <w:bCs/>
        </w:rPr>
        <w:t>n</w:t>
      </w:r>
      <w:r w:rsidRPr="00407C7A">
        <w:rPr>
          <w:b/>
          <w:bCs/>
        </w:rPr>
        <w:t xml:space="preserve"> Egypt</w:t>
      </w:r>
    </w:p>
    <w:p w14:paraId="100B3C6B" w14:textId="1A198700" w:rsidR="00407C7A" w:rsidRDefault="00407C7A" w:rsidP="00407C7A">
      <w:pPr>
        <w:jc w:val="center"/>
        <w:rPr>
          <w:b/>
          <w:bCs/>
        </w:rPr>
      </w:pPr>
    </w:p>
    <w:p w14:paraId="605CD255" w14:textId="5019966B" w:rsidR="00407C7A" w:rsidRPr="00F75E49" w:rsidRDefault="00407C7A" w:rsidP="00407C7A">
      <w:r w:rsidRPr="00F75E49">
        <w:t>The Roman Empire is remembered as the empire that nearly conquered the world</w:t>
      </w:r>
      <w:bookmarkStart w:id="0" w:name="_GoBack"/>
      <w:bookmarkEnd w:id="0"/>
      <w:r w:rsidRPr="00F75E49">
        <w:t>, at least the world as the classical people knew it. Stretching from Britain to Egypt</w:t>
      </w:r>
      <w:r w:rsidR="00B9795B">
        <w:t>,</w:t>
      </w:r>
      <w:r w:rsidRPr="00F75E49">
        <w:t xml:space="preserve"> it dominated the coastal areas of the Mediterranean Sea, but the expansion of the Empire was not met without resistance.</w:t>
      </w:r>
      <w:r w:rsidR="00AE3D4A">
        <w:t xml:space="preserve"> The Easte</w:t>
      </w:r>
      <w:r w:rsidR="008F140E">
        <w:t xml:space="preserve">rn Desert region </w:t>
      </w:r>
      <w:r w:rsidR="00D513B2">
        <w:t xml:space="preserve">was a frontier of the empire that was </w:t>
      </w:r>
      <w:r w:rsidR="00063296">
        <w:t>dangerous to traverse</w:t>
      </w:r>
      <w:r w:rsidR="00CF162E">
        <w:t>, yet for the Romans it was a vital trade route to the East.</w:t>
      </w:r>
      <w:r w:rsidRPr="00F75E49">
        <w:t xml:space="preserve"> The purpose of this essay is to discuss the extent that trade</w:t>
      </w:r>
      <w:r w:rsidR="0035559D">
        <w:t xml:space="preserve"> demonstrated</w:t>
      </w:r>
      <w:r w:rsidRPr="00F75E49">
        <w:t xml:space="preserve"> improved relations between the </w:t>
      </w:r>
      <w:r w:rsidR="00B04D7C">
        <w:t xml:space="preserve">Ptolemaic and Roman </w:t>
      </w:r>
      <w:r w:rsidRPr="00F75E49">
        <w:t>Empire</w:t>
      </w:r>
      <w:r w:rsidR="00B04D7C">
        <w:t>s</w:t>
      </w:r>
      <w:r w:rsidRPr="00F75E49">
        <w:t xml:space="preserve"> and indigenous peoples of Eastern Egypt, to do this, it will focus on four key concepts; military intention of </w:t>
      </w:r>
      <w:r w:rsidR="002A4844">
        <w:t xml:space="preserve">the </w:t>
      </w:r>
      <w:r w:rsidR="00625E2F">
        <w:t xml:space="preserve">Ptolemies and of </w:t>
      </w:r>
      <w:r w:rsidRPr="00F75E49">
        <w:t>Rome,</w:t>
      </w:r>
      <w:r w:rsidR="00625E2F">
        <w:t xml:space="preserve"> the concept of</w:t>
      </w:r>
      <w:r w:rsidRPr="00F75E49">
        <w:t xml:space="preserve"> invasion</w:t>
      </w:r>
      <w:r w:rsidR="00625E2F">
        <w:t xml:space="preserve"> and </w:t>
      </w:r>
      <w:r w:rsidRPr="00F75E49">
        <w:t xml:space="preserve">protection of territory, </w:t>
      </w:r>
      <w:r w:rsidR="00F75E49" w:rsidRPr="00F75E49">
        <w:t xml:space="preserve">potential </w:t>
      </w:r>
      <w:r w:rsidRPr="00F75E49">
        <w:t>communication barriers and</w:t>
      </w:r>
      <w:r w:rsidR="00F77EB5">
        <w:t xml:space="preserve"> the desire to obtain</w:t>
      </w:r>
      <w:r w:rsidRPr="00F75E49">
        <w:t xml:space="preserve"> natural resources. By identifying these causes of conflict in turn, this paper will explore specific instances of conflict as well as how they were resolved before determining if the relationship between the Empire and the indigenous population was </w:t>
      </w:r>
      <w:r w:rsidR="00207F21" w:rsidRPr="00F75E49">
        <w:t>improved</w:t>
      </w:r>
      <w:r w:rsidRPr="00F75E49">
        <w:t xml:space="preserve"> as a result. </w:t>
      </w:r>
    </w:p>
    <w:p w14:paraId="30A3E3D5" w14:textId="26224DD8" w:rsidR="00EE004C" w:rsidRDefault="00EE004C" w:rsidP="00EE004C">
      <w:r w:rsidRPr="00A92D92">
        <w:t xml:space="preserve">Before this paper breaks down these causes of conflict, is it important to determine the position of the </w:t>
      </w:r>
      <w:r w:rsidR="00931DC4">
        <w:t xml:space="preserve">Ptolemaic and </w:t>
      </w:r>
      <w:r w:rsidRPr="00A92D92">
        <w:t>Roman Empire</w:t>
      </w:r>
      <w:r w:rsidR="00931DC4">
        <w:t>s</w:t>
      </w:r>
      <w:r w:rsidRPr="00A92D92">
        <w:t xml:space="preserve"> in this period as well as identify who the indigenous people were that we will be referring to. The eastern desert while not a desert in the sense of sand dunes was a grim location, the Greco-Roman people would have experienced a difficult desiccated climate, in combination with lack of rain fall turning into flash floods it made for a challenging environment.</w:t>
      </w:r>
      <w:r>
        <w:rPr>
          <w:rStyle w:val="FootnoteReference"/>
        </w:rPr>
        <w:footnoteReference w:id="1"/>
      </w:r>
      <w:r w:rsidRPr="00A92D92">
        <w:t xml:space="preserve"> Expeditions begun prior to the pharaonic period  and continued through to the Roman empire but those who wished to occupy the area or move through it faced a challenge, for the modern audience, there are few first person accounts from those who made the desert their home. Leaving the modern scholar dependant on Greco-Roman literary sources, bias when discussing the indigenous people of the area is problematic at best.</w:t>
      </w:r>
      <w:r>
        <w:rPr>
          <w:rStyle w:val="FootnoteReference"/>
        </w:rPr>
        <w:footnoteReference w:id="2"/>
      </w:r>
      <w:r w:rsidRPr="00A92D92">
        <w:t xml:space="preserve"> There is a habit in Greek literature to call all non-Greeks ‘</w:t>
      </w:r>
      <w:r w:rsidRPr="00CC574C">
        <w:t>βαρβ</w:t>
      </w:r>
      <w:proofErr w:type="spellStart"/>
      <w:r w:rsidRPr="00CC574C">
        <w:t>άρων</w:t>
      </w:r>
      <w:proofErr w:type="spellEnd"/>
      <w:r w:rsidRPr="00A92D92">
        <w:t>’ or barbarians, meant potentially as a derogatory term, the description of the other peoples of the area are potentially reductive or embellished.</w:t>
      </w:r>
      <w:r>
        <w:rPr>
          <w:rStyle w:val="FootnoteReference"/>
        </w:rPr>
        <w:footnoteReference w:id="3"/>
      </w:r>
      <w:r w:rsidRPr="00A92D92">
        <w:t xml:space="preserve"> So, the descriptions of the indigenous peoples must be considered heavily influenced by the view of the author however, that does not mean that all the information i</w:t>
      </w:r>
      <w:r w:rsidR="00F151DF">
        <w:t>s completely</w:t>
      </w:r>
      <w:r w:rsidRPr="00A92D92">
        <w:t xml:space="preserve"> inaccurate. There is potential validity in the description of their eating habits</w:t>
      </w:r>
      <w:r w:rsidR="00F151DF">
        <w:t xml:space="preserve"> for example</w:t>
      </w:r>
      <w:r w:rsidRPr="00A92D92">
        <w:t xml:space="preserve">, the </w:t>
      </w:r>
      <w:r>
        <w:t>‘</w:t>
      </w:r>
      <w:proofErr w:type="spellStart"/>
      <w:r>
        <w:t>Elephantophagoi</w:t>
      </w:r>
      <w:proofErr w:type="spellEnd"/>
      <w:r>
        <w:t xml:space="preserve">’ or </w:t>
      </w:r>
      <w:r w:rsidRPr="00A92D92">
        <w:t>elephant</w:t>
      </w:r>
      <w:r>
        <w:t>-</w:t>
      </w:r>
      <w:r w:rsidRPr="00A92D92">
        <w:t xml:space="preserve">eaters for </w:t>
      </w:r>
      <w:r w:rsidR="00D30AE3" w:rsidRPr="00A92D92">
        <w:t>instance</w:t>
      </w:r>
      <w:r>
        <w:rPr>
          <w:rStyle w:val="FootnoteReference"/>
        </w:rPr>
        <w:footnoteReference w:id="4"/>
      </w:r>
      <w:r w:rsidR="005A359F">
        <w:t>.</w:t>
      </w:r>
      <w:r w:rsidRPr="00A92D92">
        <w:t xml:space="preserve"> </w:t>
      </w:r>
      <w:r>
        <w:t>H</w:t>
      </w:r>
      <w:r w:rsidRPr="00A92D92">
        <w:t>owever</w:t>
      </w:r>
      <w:r>
        <w:t>,</w:t>
      </w:r>
      <w:r w:rsidRPr="00A92D92">
        <w:t xml:space="preserve"> as Pliny describes the Blemmyes, it is reasonably safe to assume they did not have faces in their chests</w:t>
      </w:r>
      <w:r>
        <w:rPr>
          <w:rStyle w:val="FootnoteReference"/>
        </w:rPr>
        <w:footnoteReference w:id="5"/>
      </w:r>
      <w:r w:rsidRPr="00A92D92">
        <w:t xml:space="preserve">. In terms of the intrusive peoples of the area, they will tend to be settled in specific locations, </w:t>
      </w:r>
      <w:r w:rsidR="007A05DD">
        <w:t>camps</w:t>
      </w:r>
      <w:r w:rsidRPr="00A92D92">
        <w:t xml:space="preserve"> and mines, forts and ports. More of which will be discussed later however</w:t>
      </w:r>
      <w:r>
        <w:t>,</w:t>
      </w:r>
      <w:r w:rsidRPr="00A92D92">
        <w:t xml:space="preserve"> it is likely </w:t>
      </w:r>
      <w:r w:rsidR="00CC60A2">
        <w:t>this paper</w:t>
      </w:r>
      <w:r w:rsidRPr="00A92D92">
        <w:t xml:space="preserve"> will be able to discuss the settled intrusive peoples more thoroughly as</w:t>
      </w:r>
      <w:r w:rsidR="00CC60A2">
        <w:t xml:space="preserve"> a result of </w:t>
      </w:r>
      <w:r w:rsidRPr="00A92D92">
        <w:t>hav</w:t>
      </w:r>
      <w:r w:rsidR="00CC60A2">
        <w:t>ing</w:t>
      </w:r>
      <w:r w:rsidRPr="00A92D92">
        <w:t xml:space="preserve"> archaeological evidence to support </w:t>
      </w:r>
      <w:r w:rsidR="00CC60A2">
        <w:t>its</w:t>
      </w:r>
      <w:r w:rsidRPr="00A92D92">
        <w:t xml:space="preserve"> conclusions, when discussing the nomadic peoples this becomes more complicated, due to a nomadic life style most of the material evidence would be scattered and potentially made from more perishable materials instead of being </w:t>
      </w:r>
      <w:r w:rsidR="007C350A" w:rsidRPr="00A92D92">
        <w:t>gathered</w:t>
      </w:r>
      <w:r w:rsidRPr="00A92D92">
        <w:t xml:space="preserve"> from one specific location, such as a port or particular fort settlement</w:t>
      </w:r>
      <w:r>
        <w:rPr>
          <w:rStyle w:val="FootnoteReference"/>
        </w:rPr>
        <w:footnoteReference w:id="6"/>
      </w:r>
      <w:r w:rsidR="008C5FA9">
        <w:t>.</w:t>
      </w:r>
      <w:r>
        <w:t xml:space="preserve"> Some of the most commonly known information about them is that they raid, rob, and extort travellers in the Eastern </w:t>
      </w:r>
      <w:r>
        <w:lastRenderedPageBreak/>
        <w:t>Desert, but this is probably because the Roman sources want us to think of them in a negative light.</w:t>
      </w:r>
      <w:r>
        <w:rPr>
          <w:rStyle w:val="FootnoteReference"/>
        </w:rPr>
        <w:footnoteReference w:id="7"/>
      </w:r>
      <w:r w:rsidRPr="00A92D92">
        <w:t xml:space="preserve"> For the purpose of this essay it is also important to note that trade routes pre-existed within the eastern desert before Roman arrival, specifically in regards to the Indian ocean, the people of India and Africa would have traded amongst themselves, the Egyptians and the people further East who were unknown to the Greco-Roman authors, so while this essay will discuss the extent trade improved the relations of the</w:t>
      </w:r>
      <w:r w:rsidR="00E84349">
        <w:t xml:space="preserve"> Ptolemies</w:t>
      </w:r>
      <w:r w:rsidR="00BF11D0">
        <w:t>,</w:t>
      </w:r>
      <w:r w:rsidRPr="00A92D92">
        <w:t xml:space="preserve"> Romans and the indigenous people of the East, it will not argue that it formed the first trade relations</w:t>
      </w:r>
      <w:r>
        <w:rPr>
          <w:rStyle w:val="FootnoteReference"/>
        </w:rPr>
        <w:footnoteReference w:id="8"/>
      </w:r>
      <w:r w:rsidR="00BF11D0">
        <w:t>.</w:t>
      </w:r>
      <w:r w:rsidRPr="00A92D92">
        <w:t xml:space="preserve"> Rather that if anything, the Romans attempted to insert themselves into the trade sphere by monopolising the tradeable materials.</w:t>
      </w:r>
      <w:r>
        <w:rPr>
          <w:rStyle w:val="FootnoteReference"/>
        </w:rPr>
        <w:footnoteReference w:id="9"/>
      </w:r>
    </w:p>
    <w:p w14:paraId="1CD5AED7" w14:textId="77777777" w:rsidR="008B032A" w:rsidRPr="00775216" w:rsidRDefault="005A728C" w:rsidP="00F9582B">
      <w:r w:rsidRPr="00775216">
        <w:t xml:space="preserve">The first section of this paper will focus on </w:t>
      </w:r>
      <w:r w:rsidR="00540A75" w:rsidRPr="00775216">
        <w:t xml:space="preserve">whether Roman expansion into Egypt was based </w:t>
      </w:r>
      <w:r w:rsidR="006D0CF8" w:rsidRPr="00775216">
        <w:t xml:space="preserve">a desire for resources or whether the location held </w:t>
      </w:r>
      <w:r w:rsidRPr="00775216">
        <w:t>military</w:t>
      </w:r>
      <w:r w:rsidR="006D0CF8" w:rsidRPr="00775216">
        <w:t xml:space="preserve"> value to </w:t>
      </w:r>
      <w:r w:rsidRPr="00775216">
        <w:t xml:space="preserve">the Roman Empire. By focusing on a specific set of questions; was the Eastern desert strategic? Was it </w:t>
      </w:r>
      <w:r w:rsidR="00261312" w:rsidRPr="00775216">
        <w:t>born from pride that the leaders of the Empir</w:t>
      </w:r>
      <w:r w:rsidR="00C552D7" w:rsidRPr="00775216">
        <w:t xml:space="preserve">e wished to control the Eastern desert or was it </w:t>
      </w:r>
      <w:r w:rsidR="007E048F" w:rsidRPr="00775216">
        <w:t xml:space="preserve">important geographically? </w:t>
      </w:r>
      <w:r w:rsidR="008B032A" w:rsidRPr="00775216">
        <w:t xml:space="preserve">And did the natural resources of the land outweigh a lack of military worth? </w:t>
      </w:r>
    </w:p>
    <w:p w14:paraId="3AEEF6AC" w14:textId="614ADBC0" w:rsidR="00166B07" w:rsidRPr="00775216" w:rsidRDefault="00716137" w:rsidP="00F9582B">
      <w:r w:rsidRPr="00775216">
        <w:t>Preliminarily, this paper would argue it</w:t>
      </w:r>
      <w:r w:rsidR="00BD432F" w:rsidRPr="00775216">
        <w:t xml:space="preserve"> i</w:t>
      </w:r>
      <w:r w:rsidRPr="00775216">
        <w:t>s</w:t>
      </w:r>
      <w:r w:rsidR="00BD432F" w:rsidRPr="00775216">
        <w:t>,</w:t>
      </w:r>
      <w:r w:rsidRPr="00775216">
        <w:t xml:space="preserve"> </w:t>
      </w:r>
      <w:r w:rsidR="00BD432F" w:rsidRPr="00775216">
        <w:t>to</w:t>
      </w:r>
      <w:r w:rsidRPr="00775216">
        <w:t xml:space="preserve"> an extent, </w:t>
      </w:r>
      <w:r w:rsidR="00927819" w:rsidRPr="00775216">
        <w:t>yes to all the above</w:t>
      </w:r>
      <w:r w:rsidRPr="00775216">
        <w:t xml:space="preserve">. </w:t>
      </w:r>
      <w:r w:rsidR="00896BBC" w:rsidRPr="00775216">
        <w:t xml:space="preserve">The location of the port of Berenike would enable expansion of trade, while this is not technically a military application in times of conflict the Ptolemies would </w:t>
      </w:r>
      <w:r w:rsidR="00D201C7" w:rsidRPr="00775216">
        <w:t>have a fortified port at the mouth of the Nile</w:t>
      </w:r>
      <w:r w:rsidR="005F0066" w:rsidRPr="00775216">
        <w:t xml:space="preserve">, while the Nile itself would provide a direct route of transportation across the continent. </w:t>
      </w:r>
      <w:r w:rsidRPr="00775216">
        <w:t xml:space="preserve">The rulers of the classical world </w:t>
      </w:r>
      <w:r w:rsidR="00BD432F" w:rsidRPr="00775216">
        <w:t>had a habit of comparing themselves to their predecessors</w:t>
      </w:r>
      <w:r w:rsidR="00B03912" w:rsidRPr="00775216">
        <w:t>, examples include Augustus and Caesar, Augustus and the mythical figure of Aeneas</w:t>
      </w:r>
      <w:r w:rsidR="002D7B31" w:rsidRPr="00775216">
        <w:t xml:space="preserve">, important men drawing comparison to Greek heroes </w:t>
      </w:r>
      <w:r w:rsidR="00185F8E" w:rsidRPr="00775216">
        <w:t xml:space="preserve">suggesting a certain amount of pride is involved. They wanted to be the leader who went that one mile further, </w:t>
      </w:r>
      <w:r w:rsidR="008A1BB9" w:rsidRPr="00775216">
        <w:t>expanded the empire that little bit more. Comparisons to Alexander the Great is clear in the periods following his dea</w:t>
      </w:r>
      <w:r w:rsidR="0033274E" w:rsidRPr="00775216">
        <w:t>th</w:t>
      </w:r>
      <w:r w:rsidR="008A1BB9" w:rsidRPr="00775216">
        <w:t xml:space="preserve"> in Babylon after the successors had finished dividing the world amongst them.</w:t>
      </w:r>
      <w:r w:rsidR="00C12DD9" w:rsidRPr="00775216">
        <w:t xml:space="preserve"> </w:t>
      </w:r>
      <w:r w:rsidR="00166B07" w:rsidRPr="00775216">
        <w:t xml:space="preserve">There is a question of whether the Eastern desert held any strategic advantage for the Roman Empire, </w:t>
      </w:r>
      <w:r w:rsidR="00222BD9" w:rsidRPr="00775216">
        <w:t>Strabo discusses how the occupation of key areas maintained direct access to the Red sea and the Naval fleet based there</w:t>
      </w:r>
      <w:r w:rsidR="00222BD9" w:rsidRPr="00775216">
        <w:rPr>
          <w:rStyle w:val="FootnoteReference"/>
        </w:rPr>
        <w:footnoteReference w:id="10"/>
      </w:r>
      <w:r w:rsidR="00222BD9" w:rsidRPr="00775216">
        <w:t xml:space="preserve"> as well as maintaining a direct route to Rome for embassies from Arabia and India</w:t>
      </w:r>
      <w:r w:rsidR="00222BD9" w:rsidRPr="00775216">
        <w:rPr>
          <w:rStyle w:val="FootnoteReference"/>
        </w:rPr>
        <w:footnoteReference w:id="11"/>
      </w:r>
      <w:r w:rsidR="00222BD9" w:rsidRPr="00775216">
        <w:t>.</w:t>
      </w:r>
      <w:r w:rsidR="005F6E49" w:rsidRPr="00775216">
        <w:t xml:space="preserve"> </w:t>
      </w:r>
      <w:r w:rsidR="00C12BCB" w:rsidRPr="00775216">
        <w:t xml:space="preserve"> With a reduction in conflict with the indigenous populations which will be explored further shortly, </w:t>
      </w:r>
      <w:r w:rsidR="00E65782" w:rsidRPr="00775216">
        <w:t>the abundance of natural resou</w:t>
      </w:r>
      <w:r w:rsidR="00EA77B4" w:rsidRPr="00775216">
        <w:t xml:space="preserve">rces </w:t>
      </w:r>
      <w:r w:rsidR="00DA5DB2" w:rsidRPr="00775216">
        <w:t xml:space="preserve">would provide to Ptolemaic empire with a large influx of wealth in both Gold and ivory. </w:t>
      </w:r>
      <w:r w:rsidR="00333228">
        <w:t xml:space="preserve">So, what was the militaristic intent of the Ptolemies and Roman Empire? </w:t>
      </w:r>
      <w:r w:rsidR="007806FA">
        <w:t>Potentially very little, at the heart of the issue Egypt was a wealthy land with ties to Alexander the Great</w:t>
      </w:r>
      <w:r w:rsidR="00107ACD">
        <w:t xml:space="preserve">, leading his successor Ptolemy to build his own empire. </w:t>
      </w:r>
      <w:r w:rsidR="00884EBA">
        <w:t xml:space="preserve">Entering Egypt with the intent to </w:t>
      </w:r>
      <w:r w:rsidR="00EF79AB">
        <w:t xml:space="preserve">drain its natural resources would potentially cause less conflict than entering Egypt with the sole intention of capturing and killing its population to claim the territory, contrary in fact, Ptolemy appears to have </w:t>
      </w:r>
      <w:r w:rsidR="004728D1">
        <w:t xml:space="preserve">accepted the people of Egypt into his empire, relocating Greek settlers to small mining frontiers and placing soldiers in the </w:t>
      </w:r>
      <w:r w:rsidR="00FC3F8B">
        <w:t xml:space="preserve">fortlets to protect their cargo, showing little interest in the indigenous population. </w:t>
      </w:r>
    </w:p>
    <w:p w14:paraId="3A682A8B" w14:textId="39D1FBF9" w:rsidR="00F9582B" w:rsidRPr="00DF3D61" w:rsidRDefault="00972008" w:rsidP="00F9582B">
      <w:r w:rsidRPr="00DF3D61">
        <w:t>The second section of this paper will discuss the idea of invasion and protection of territory.</w:t>
      </w:r>
      <w:r w:rsidR="007A5AD2" w:rsidRPr="00DF3D61">
        <w:t xml:space="preserve"> At the initial point of expansion there is evidence of conflict between the invading Roman empire and the indigenous peoples, however after a period of occupation, </w:t>
      </w:r>
      <w:r w:rsidR="007C61E5" w:rsidRPr="00DF3D61">
        <w:t>the Roman empire would then be protecting their occupied territory chiefly from nomadic tribes.</w:t>
      </w:r>
      <w:r w:rsidR="00DF15B5" w:rsidRPr="00DF3D61">
        <w:t xml:space="preserve"> It is important to note that intrusive action is not necessarily military, traders, sailors and travellers can be considered intrusive due to not being native to the area, furthermore, many of these intrusive groups make up the part of the </w:t>
      </w:r>
      <w:r w:rsidR="00DF15B5" w:rsidRPr="00DF3D61">
        <w:lastRenderedPageBreak/>
        <w:t>population that moved to the desert</w:t>
      </w:r>
      <w:r w:rsidR="00ED327D" w:rsidRPr="00DF3D61">
        <w:t xml:space="preserve"> to live. </w:t>
      </w:r>
      <w:r w:rsidR="00F9582B" w:rsidRPr="00DF3D61">
        <w:t>Archaeological evidence show Fortlets, home to fifteen to thirty</w:t>
      </w:r>
      <w:r w:rsidR="00266320" w:rsidRPr="00DF3D61">
        <w:t xml:space="preserve"> soldiers with additional men, women and children</w:t>
      </w:r>
      <w:r w:rsidR="00F9582B" w:rsidRPr="00DF3D61">
        <w:t>, had been erected along a specific route through the Easter desert, primarily following the Nile due to the river functioning as a direct mode of transport for both people and goods. A further important distinction is that conflict didn’t just arise between the Romans and the indigenous peoples, there is evidence that the indigenous people would fight amongst themselves periodically, whether it was over pasture rights</w:t>
      </w:r>
      <w:r w:rsidR="00165B9A" w:rsidRPr="00DF3D61">
        <w:rPr>
          <w:rStyle w:val="FootnoteReference"/>
        </w:rPr>
        <w:footnoteReference w:id="12"/>
      </w:r>
      <w:r w:rsidR="00F9582B" w:rsidRPr="00DF3D61">
        <w:t xml:space="preserve"> or because nomadic tribes were moving through the territory of a settled tribe. </w:t>
      </w:r>
    </w:p>
    <w:p w14:paraId="2925B4AC" w14:textId="1CBB87AA" w:rsidR="00C2435F" w:rsidRPr="00DF3D61" w:rsidRDefault="00F9582B" w:rsidP="00F9582B">
      <w:r w:rsidRPr="00DF3D61">
        <w:t xml:space="preserve">This section will now discuss specific instances of conflict available from the evidence </w:t>
      </w:r>
      <w:r w:rsidRPr="00DF3D61">
        <w:t>regarding</w:t>
      </w:r>
      <w:r w:rsidRPr="00DF3D61">
        <w:t xml:space="preserve"> inva</w:t>
      </w:r>
      <w:r w:rsidR="00DE5DC8" w:rsidRPr="00DF3D61">
        <w:t>sion of</w:t>
      </w:r>
      <w:r w:rsidRPr="00DF3D61">
        <w:t xml:space="preserve"> the territory of another group.</w:t>
      </w:r>
      <w:r w:rsidRPr="00DF3D61">
        <w:t xml:space="preserve"> Evidence suggests various groups of people were settled across the area</w:t>
      </w:r>
      <w:r w:rsidRPr="00DF3D61">
        <w:rPr>
          <w:rStyle w:val="FootnoteReference"/>
        </w:rPr>
        <w:footnoteReference w:id="13"/>
      </w:r>
      <w:r w:rsidR="001D14B8" w:rsidRPr="00DF3D61">
        <w:t xml:space="preserve"> many of which had distinct identifying features, from the </w:t>
      </w:r>
      <w:r w:rsidR="00E75F65" w:rsidRPr="00DF3D61">
        <w:t>Fish Eaters (</w:t>
      </w:r>
      <w:proofErr w:type="spellStart"/>
      <w:r w:rsidR="00E75F65" w:rsidRPr="00DF3D61">
        <w:rPr>
          <w:i/>
          <w:iCs/>
        </w:rPr>
        <w:t>Ichthyophagoi</w:t>
      </w:r>
      <w:proofErr w:type="spellEnd"/>
      <w:r w:rsidR="00E75F65" w:rsidRPr="00DF3D61">
        <w:rPr>
          <w:i/>
          <w:iCs/>
        </w:rPr>
        <w:t>)</w:t>
      </w:r>
      <w:r w:rsidR="00E06AE3" w:rsidRPr="00DF3D61">
        <w:t xml:space="preserve"> and</w:t>
      </w:r>
      <w:r w:rsidR="00E75F65" w:rsidRPr="00DF3D61">
        <w:t xml:space="preserve"> the Wild Animal-eaters (</w:t>
      </w:r>
      <w:proofErr w:type="spellStart"/>
      <w:r w:rsidR="00E75F65" w:rsidRPr="00DF3D61">
        <w:rPr>
          <w:i/>
          <w:iCs/>
        </w:rPr>
        <w:t>Agriophagoi</w:t>
      </w:r>
      <w:proofErr w:type="spellEnd"/>
      <w:r w:rsidR="00E75F65" w:rsidRPr="00DF3D61">
        <w:t>)</w:t>
      </w:r>
      <w:r w:rsidR="007E4FAD" w:rsidRPr="00DF3D61">
        <w:t xml:space="preserve"> to the vegetable-based diets of </w:t>
      </w:r>
      <w:r w:rsidR="00EB06C7" w:rsidRPr="00DF3D61">
        <w:t>the Shoot-eaters (</w:t>
      </w:r>
      <w:proofErr w:type="spellStart"/>
      <w:r w:rsidR="00EB06C7" w:rsidRPr="00DF3D61">
        <w:rPr>
          <w:i/>
          <w:iCs/>
        </w:rPr>
        <w:t>Moschophagoi</w:t>
      </w:r>
      <w:proofErr w:type="spellEnd"/>
      <w:r w:rsidR="00EB06C7" w:rsidRPr="00DF3D61">
        <w:t>)</w:t>
      </w:r>
      <w:r w:rsidR="007E4FAD" w:rsidRPr="00DF3D61">
        <w:t xml:space="preserve"> and</w:t>
      </w:r>
      <w:r w:rsidR="006B55A8" w:rsidRPr="00DF3D61">
        <w:t xml:space="preserve"> the Root eaters (</w:t>
      </w:r>
      <w:proofErr w:type="spellStart"/>
      <w:r w:rsidR="006B55A8" w:rsidRPr="00DF3D61">
        <w:rPr>
          <w:i/>
          <w:iCs/>
        </w:rPr>
        <w:t>Rhizophagoi</w:t>
      </w:r>
      <w:proofErr w:type="spellEnd"/>
      <w:r w:rsidR="006B55A8" w:rsidRPr="00DF3D61">
        <w:t>)</w:t>
      </w:r>
      <w:r w:rsidR="007E4FAD" w:rsidRPr="00DF3D61">
        <w:rPr>
          <w:rStyle w:val="FootnoteReference"/>
        </w:rPr>
        <w:footnoteReference w:id="14"/>
      </w:r>
      <w:r w:rsidR="00F34507" w:rsidRPr="00DF3D61">
        <w:t xml:space="preserve">. </w:t>
      </w:r>
      <w:r w:rsidR="00083852" w:rsidRPr="00DF3D61">
        <w:t>As well as th</w:t>
      </w:r>
      <w:r w:rsidR="00E06AE3" w:rsidRPr="00DF3D61">
        <w:t xml:space="preserve">ese groups there is an umbrella term </w:t>
      </w:r>
      <w:r w:rsidR="00C2435F" w:rsidRPr="00DF3D61">
        <w:t>Tr</w:t>
      </w:r>
      <w:r w:rsidR="00C2435F" w:rsidRPr="00DF3D61">
        <w:t>ogodytes</w:t>
      </w:r>
      <w:r w:rsidR="00C2435F" w:rsidRPr="00DF3D61">
        <w:t>, within which is further sub</w:t>
      </w:r>
      <w:r w:rsidR="00CF1DA2" w:rsidRPr="00DF3D61">
        <w:t>-</w:t>
      </w:r>
      <w:r w:rsidR="00C2435F" w:rsidRPr="00DF3D61">
        <w:t>groups;</w:t>
      </w:r>
      <w:r w:rsidR="00C2435F" w:rsidRPr="00DF3D61">
        <w:t xml:space="preserve"> </w:t>
      </w:r>
      <w:proofErr w:type="spellStart"/>
      <w:r w:rsidR="00C2435F" w:rsidRPr="00DF3D61">
        <w:t>Abylloi</w:t>
      </w:r>
      <w:proofErr w:type="spellEnd"/>
      <w:r w:rsidR="00C2435F" w:rsidRPr="00DF3D61">
        <w:t xml:space="preserve"> and </w:t>
      </w:r>
      <w:proofErr w:type="spellStart"/>
      <w:r w:rsidR="00C2435F" w:rsidRPr="00DF3D61">
        <w:t>Bolgioi</w:t>
      </w:r>
      <w:proofErr w:type="spellEnd"/>
      <w:r w:rsidR="00C2435F" w:rsidRPr="00DF3D61">
        <w:rPr>
          <w:rStyle w:val="FootnoteReference"/>
        </w:rPr>
        <w:footnoteReference w:id="15"/>
      </w:r>
      <w:r w:rsidR="00CF1DA2" w:rsidRPr="00DF3D61">
        <w:t>. It is also reasonable to assume that other groups were encountered in the area and record of them has not survived to a period of modern study, however the differences between these groups can be so much more than just their diets, this highlights the issue previously discussed about the broad term ‘barbaroi’</w:t>
      </w:r>
      <w:r w:rsidR="00FE4D36" w:rsidRPr="00DF3D61">
        <w:rPr>
          <w:rStyle w:val="FootnoteReference"/>
        </w:rPr>
        <w:footnoteReference w:id="16"/>
      </w:r>
      <w:r w:rsidR="00CF1DA2" w:rsidRPr="00DF3D61">
        <w:t xml:space="preserve">, </w:t>
      </w:r>
      <w:r w:rsidR="00C2684E" w:rsidRPr="00DF3D61">
        <w:t xml:space="preserve">there is </w:t>
      </w:r>
      <w:r w:rsidR="00421A4F" w:rsidRPr="00DF3D61">
        <w:t xml:space="preserve">instances that the term is used in a derogatory manner however, in these cases it simply seems reductive to the peoples they are discussing by grouping them together </w:t>
      </w:r>
      <w:r w:rsidR="00FE4D36" w:rsidRPr="00DF3D61">
        <w:t>even though they have their own individual cultures.</w:t>
      </w:r>
      <w:r w:rsidR="002F7F55" w:rsidRPr="00DF3D61">
        <w:t xml:space="preserve"> </w:t>
      </w:r>
      <w:r w:rsidR="00F21E20" w:rsidRPr="00DF3D61">
        <w:t>That,</w:t>
      </w:r>
      <w:r w:rsidR="002F7F55" w:rsidRPr="00DF3D61">
        <w:t xml:space="preserve"> however, does not diminish the threat the ‘barbaroi’ posed to sailors, traders or settlers</w:t>
      </w:r>
      <w:r w:rsidR="002F7F55" w:rsidRPr="00DF3D61">
        <w:rPr>
          <w:rStyle w:val="FootnoteReference"/>
        </w:rPr>
        <w:footnoteReference w:id="17"/>
      </w:r>
      <w:r w:rsidR="002F7F55" w:rsidRPr="00DF3D61">
        <w:t>.</w:t>
      </w:r>
    </w:p>
    <w:p w14:paraId="61504A37" w14:textId="5D42E44A" w:rsidR="009B6DA5" w:rsidRPr="00DF3D61" w:rsidRDefault="009B6DA5" w:rsidP="00F9582B">
      <w:r w:rsidRPr="00DF3D61">
        <w:t>Strabo discusses the diminished threat of the ‘barbaroi’</w:t>
      </w:r>
      <w:r w:rsidRPr="00DF3D61">
        <w:rPr>
          <w:rStyle w:val="FootnoteReference"/>
        </w:rPr>
        <w:footnoteReference w:id="18"/>
      </w:r>
      <w:r w:rsidRPr="00DF3D61">
        <w:t xml:space="preserve"> </w:t>
      </w:r>
      <w:r w:rsidR="00BD1069" w:rsidRPr="00DF3D61">
        <w:t xml:space="preserve">towards the third century but </w:t>
      </w:r>
      <w:r w:rsidR="00132532" w:rsidRPr="00DF3D61">
        <w:t xml:space="preserve">the </w:t>
      </w:r>
      <w:r w:rsidR="00BD1069" w:rsidRPr="00DF3D61">
        <w:t xml:space="preserve">previous </w:t>
      </w:r>
      <w:r w:rsidR="00132532" w:rsidRPr="00DF3D61">
        <w:t xml:space="preserve">threat of the nomads is shown through </w:t>
      </w:r>
      <w:r w:rsidR="003A2D47" w:rsidRPr="00DF3D61">
        <w:t xml:space="preserve">archaeological evidence, </w:t>
      </w:r>
      <w:r w:rsidR="00BC3098" w:rsidRPr="00DF3D61">
        <w:t>messengers travelling between fortlets were often killed</w:t>
      </w:r>
      <w:r w:rsidR="00BC3098" w:rsidRPr="00DF3D61">
        <w:rPr>
          <w:rStyle w:val="FootnoteReference"/>
        </w:rPr>
        <w:footnoteReference w:id="19"/>
      </w:r>
      <w:r w:rsidR="00BC3098" w:rsidRPr="00DF3D61">
        <w:t>, when sent with a group there is evidence that they too were killed</w:t>
      </w:r>
      <w:r w:rsidR="00E052A9" w:rsidRPr="00DF3D61">
        <w:rPr>
          <w:rStyle w:val="FootnoteReference"/>
        </w:rPr>
        <w:footnoteReference w:id="20"/>
      </w:r>
      <w:r w:rsidR="00BC3098" w:rsidRPr="00DF3D61">
        <w:t>.</w:t>
      </w:r>
      <w:r w:rsidR="00DD480E" w:rsidRPr="00DF3D61">
        <w:t xml:space="preserve"> However, the actions of the nomads and settled tribes were not limited to lone messengers </w:t>
      </w:r>
      <w:r w:rsidR="00BD1069" w:rsidRPr="00DF3D61">
        <w:t>travelling between fortlets</w:t>
      </w:r>
      <w:r w:rsidR="00BD1069" w:rsidRPr="00DF3D61">
        <w:rPr>
          <w:rStyle w:val="FootnoteReference"/>
        </w:rPr>
        <w:footnoteReference w:id="21"/>
      </w:r>
      <w:r w:rsidR="00BD1069" w:rsidRPr="00DF3D61">
        <w:t xml:space="preserve">. Whether they attacked to defend themselves, or </w:t>
      </w:r>
      <w:r w:rsidR="00CE436B" w:rsidRPr="00DF3D61">
        <w:t>to</w:t>
      </w:r>
      <w:r w:rsidR="00BD1069" w:rsidRPr="00DF3D61">
        <w:t xml:space="preserve"> claim supplies from the Romans, </w:t>
      </w:r>
      <w:r w:rsidR="00CE436B" w:rsidRPr="00DF3D61">
        <w:t xml:space="preserve">it is vital to </w:t>
      </w:r>
      <w:r w:rsidR="00232D54" w:rsidRPr="00DF3D61">
        <w:t xml:space="preserve">denote the idea that the Romans were never the aggressors. </w:t>
      </w:r>
      <w:r w:rsidR="00874A27" w:rsidRPr="00DF3D61">
        <w:t>Cuvigny discusses a report from Roman soldiers that had killed sixty</w:t>
      </w:r>
      <w:r w:rsidR="00121EB1" w:rsidRPr="00DF3D61">
        <w:t>-</w:t>
      </w:r>
      <w:r w:rsidR="00874A27" w:rsidRPr="00DF3D61">
        <w:t xml:space="preserve">one barbaroi, </w:t>
      </w:r>
      <w:r w:rsidR="00C44761" w:rsidRPr="00DF3D61">
        <w:t>along with a warning to be prepared for retaliation</w:t>
      </w:r>
      <w:r w:rsidR="00C44761" w:rsidRPr="00DF3D61">
        <w:rPr>
          <w:rStyle w:val="FootnoteReference"/>
        </w:rPr>
        <w:footnoteReference w:id="22"/>
      </w:r>
      <w:r w:rsidR="00C44761" w:rsidRPr="00DF3D61">
        <w:t xml:space="preserve"> as well as literary evidence discussing conflict against Ethiopians and Trogodytes</w:t>
      </w:r>
      <w:r w:rsidR="00C44761" w:rsidRPr="00DF3D61">
        <w:rPr>
          <w:rStyle w:val="FootnoteReference"/>
        </w:rPr>
        <w:footnoteReference w:id="23"/>
      </w:r>
      <w:r w:rsidR="00477322" w:rsidRPr="00DF3D61">
        <w:t>.</w:t>
      </w:r>
    </w:p>
    <w:p w14:paraId="552F74A0" w14:textId="3167C8E3" w:rsidR="001A7F61" w:rsidRPr="00DF3D61" w:rsidRDefault="00821CBD" w:rsidP="00F9582B">
      <w:r w:rsidRPr="00DF3D61">
        <w:t xml:space="preserve">Conflict of this nature was primarily resolved by fortifying strongholds down the Nile bank, </w:t>
      </w:r>
      <w:r w:rsidR="00036FD6" w:rsidRPr="00DF3D61">
        <w:t xml:space="preserve">the port at </w:t>
      </w:r>
      <w:r w:rsidRPr="00DF3D61">
        <w:t xml:space="preserve">Berenike is a prime example of this. </w:t>
      </w:r>
      <w:r w:rsidR="00C16CD3" w:rsidRPr="00DF3D61">
        <w:t>Work on the fortification style of these strongpoints suggest walls, some of which still preserved several meters high</w:t>
      </w:r>
      <w:r w:rsidR="003B3A28" w:rsidRPr="00DF3D61">
        <w:rPr>
          <w:rStyle w:val="FootnoteReference"/>
        </w:rPr>
        <w:footnoteReference w:id="24"/>
      </w:r>
      <w:r w:rsidR="00F77352" w:rsidRPr="00DF3D61">
        <w:t xml:space="preserve"> These fortifications were filled with soldiers </w:t>
      </w:r>
      <w:r w:rsidR="001C5DEE" w:rsidRPr="00DF3D61">
        <w:t>who “acted as a deterrent</w:t>
      </w:r>
      <w:r w:rsidR="0021531D" w:rsidRPr="00DF3D61">
        <w:t xml:space="preserve"> to those who would disrupt the traffic”</w:t>
      </w:r>
      <w:r w:rsidR="0021531D" w:rsidRPr="00DF3D61">
        <w:rPr>
          <w:rStyle w:val="FootnoteReference"/>
        </w:rPr>
        <w:footnoteReference w:id="25"/>
      </w:r>
      <w:r w:rsidR="0021531D" w:rsidRPr="00DF3D61">
        <w:t xml:space="preserve"> of the Berenike-</w:t>
      </w:r>
      <w:proofErr w:type="spellStart"/>
      <w:r w:rsidR="0021531D" w:rsidRPr="00DF3D61">
        <w:lastRenderedPageBreak/>
        <w:t>Apollonopolis</w:t>
      </w:r>
      <w:proofErr w:type="spellEnd"/>
      <w:r w:rsidR="0021531D" w:rsidRPr="00DF3D61">
        <w:t xml:space="preserve"> Magna road. </w:t>
      </w:r>
      <w:r w:rsidR="008E149B" w:rsidRPr="00DF3D61">
        <w:t xml:space="preserve">This deterrence would have decreased the frequency of raids, as well as protected the Roman interests in the area, lessening the number of barbaroi killed by the Roman soldiers. As previously mentioned, Strabo had discussed the threat of the barbaroi was significantly lessened. This would result in an opportunity for </w:t>
      </w:r>
      <w:r w:rsidR="006915C0" w:rsidRPr="00DF3D61">
        <w:t xml:space="preserve">cooperation, with evidence to suggest the Romans and Barbaroi </w:t>
      </w:r>
      <w:r w:rsidR="00DD0A9C" w:rsidRPr="00DF3D61">
        <w:t>shared supplies</w:t>
      </w:r>
      <w:r w:rsidR="005A2A27" w:rsidRPr="00DF3D61">
        <w:rPr>
          <w:rStyle w:val="FootnoteReference"/>
        </w:rPr>
        <w:footnoteReference w:id="26"/>
      </w:r>
      <w:r w:rsidR="00DD0A9C" w:rsidRPr="00DF3D61">
        <w:t xml:space="preserve">, this cooperation would significantly reduce the need for conflict if the primary motivation was as a result of </w:t>
      </w:r>
      <w:r w:rsidR="005A2A27" w:rsidRPr="00DF3D61">
        <w:t>dire circumstances in a harsh environment. The relationship between the Romans and the barbaroi as a result of this would be difficult to determine, although the evidence suggests trade between them and the various groups around the area</w:t>
      </w:r>
      <w:r w:rsidR="005A2A27" w:rsidRPr="00DF3D61">
        <w:rPr>
          <w:rStyle w:val="FootnoteReference"/>
        </w:rPr>
        <w:footnoteReference w:id="27"/>
      </w:r>
      <w:r w:rsidR="005A2A27" w:rsidRPr="00DF3D61">
        <w:t xml:space="preserve"> would increase cooperation</w:t>
      </w:r>
      <w:r w:rsidR="00F032F0" w:rsidRPr="00DF3D61">
        <w:t xml:space="preserve"> the question can be phrased differently, for example was some trade considered payment for services or </w:t>
      </w:r>
      <w:r w:rsidR="00294039" w:rsidRPr="00DF3D61">
        <w:t>a type of tribute or bribe to prevent attacks?</w:t>
      </w:r>
      <w:r w:rsidR="00073052" w:rsidRPr="00DF3D61">
        <w:t xml:space="preserve"> I</w:t>
      </w:r>
      <w:r w:rsidR="00054647" w:rsidRPr="00DF3D61">
        <w:t>t is important to remember the barbaroi are not one people, the term is applied to a complex series of sub</w:t>
      </w:r>
      <w:r w:rsidR="00073052" w:rsidRPr="00DF3D61">
        <w:t>-</w:t>
      </w:r>
      <w:r w:rsidR="00054647" w:rsidRPr="00DF3D61">
        <w:t xml:space="preserve">groups who all possess individual identities </w:t>
      </w:r>
      <w:r w:rsidR="00F032F0" w:rsidRPr="00DF3D61">
        <w:t>which would result in a varying level of cooperation or hostile action.</w:t>
      </w:r>
    </w:p>
    <w:p w14:paraId="2B8B434A" w14:textId="5DADCBBF" w:rsidR="007C61E5" w:rsidRPr="004A2D0D" w:rsidRDefault="007C61E5" w:rsidP="00407C7A">
      <w:r w:rsidRPr="004A2D0D">
        <w:t xml:space="preserve">The third section of this paper will determine how communication barriers would cause conflict. It is not unreasonable to assume that at the </w:t>
      </w:r>
      <w:r w:rsidR="00D63B20" w:rsidRPr="004A2D0D">
        <w:t>beginning</w:t>
      </w:r>
      <w:r w:rsidRPr="004A2D0D">
        <w:t xml:space="preserve"> of Roman occupation, the number of people that spoke a common language would be significantly lower. As time passed</w:t>
      </w:r>
      <w:r w:rsidR="00CF222A" w:rsidRPr="004A2D0D">
        <w:t xml:space="preserve"> and frontier populations blended the culture of the Romans and the Egyptians it is also reasonable to assume that the issue of communication was lessened as a result of a common language making it easier for different settlements to communicate and form a dependency on each other for supplies to survive the difficult conditions of the Eastern desert.</w:t>
      </w:r>
      <w:r w:rsidR="005672FE" w:rsidRPr="004A2D0D">
        <w:t xml:space="preserve"> However,</w:t>
      </w:r>
      <w:r w:rsidR="00CF222A" w:rsidRPr="004A2D0D">
        <w:t xml:space="preserve"> </w:t>
      </w:r>
      <w:r w:rsidR="00C779ED" w:rsidRPr="004A2D0D">
        <w:t xml:space="preserve">Egypt in the Ptolemaic period presents a unique situation in terms of language, while the Greek </w:t>
      </w:r>
      <w:r w:rsidR="00F12F03" w:rsidRPr="004A2D0D">
        <w:t xml:space="preserve">speaking population had increased, </w:t>
      </w:r>
      <w:r w:rsidR="00C35EAF" w:rsidRPr="004A2D0D">
        <w:t xml:space="preserve">with the descendants of mercenaries who served under Alexander the Great, </w:t>
      </w:r>
      <w:r w:rsidR="002E1913" w:rsidRPr="004A2D0D">
        <w:t xml:space="preserve">descendants of Traders and </w:t>
      </w:r>
      <w:r w:rsidR="00097191" w:rsidRPr="004A2D0D">
        <w:t xml:space="preserve">several generations of Greek first language settlers in the Delta, </w:t>
      </w:r>
      <w:r w:rsidR="008179B8" w:rsidRPr="004A2D0D">
        <w:t xml:space="preserve">it did not decline the </w:t>
      </w:r>
      <w:r w:rsidR="00344155" w:rsidRPr="004A2D0D">
        <w:t xml:space="preserve">Egyptian speaking population, instead, a unique </w:t>
      </w:r>
      <w:r w:rsidR="00351AB9" w:rsidRPr="004A2D0D">
        <w:t xml:space="preserve">country existed with two fully developed cultures existing side by side. </w:t>
      </w:r>
    </w:p>
    <w:p w14:paraId="21424791" w14:textId="69BF9DAB" w:rsidR="00B76413" w:rsidRPr="004A2D0D" w:rsidRDefault="00EF3420" w:rsidP="00407C7A">
      <w:r w:rsidRPr="004A2D0D">
        <w:t xml:space="preserve">The work of </w:t>
      </w:r>
      <w:proofErr w:type="spellStart"/>
      <w:r w:rsidR="00B740F5" w:rsidRPr="004A2D0D">
        <w:t>Baldi</w:t>
      </w:r>
      <w:proofErr w:type="spellEnd"/>
      <w:r w:rsidR="00B740F5" w:rsidRPr="004A2D0D">
        <w:t xml:space="preserve"> suggests that instead of existing side by side as two separate entities, the cultures and language of the Greeks and Egyptians instead created a true classical bilingualism, </w:t>
      </w:r>
      <w:r w:rsidR="00F074F7" w:rsidRPr="004A2D0D">
        <w:t xml:space="preserve">with the Greek language becoming ‘dominant’ in administration </w:t>
      </w:r>
      <w:r w:rsidR="000A6996" w:rsidRPr="004A2D0D">
        <w:t xml:space="preserve">while all Egyptian cultural and religious </w:t>
      </w:r>
      <w:r w:rsidR="007A71A3" w:rsidRPr="004A2D0D">
        <w:t>documents were kept in their native language</w:t>
      </w:r>
      <w:r w:rsidR="007A71A3" w:rsidRPr="004A2D0D">
        <w:rPr>
          <w:rStyle w:val="FootnoteReference"/>
        </w:rPr>
        <w:footnoteReference w:id="28"/>
      </w:r>
      <w:r w:rsidR="007A71A3" w:rsidRPr="004A2D0D">
        <w:t>.</w:t>
      </w:r>
      <w:r w:rsidR="00C808D4" w:rsidRPr="004A2D0D">
        <w:t xml:space="preserve"> </w:t>
      </w:r>
      <w:r w:rsidR="00262378" w:rsidRPr="004A2D0D">
        <w:t>He notes that</w:t>
      </w:r>
      <w:r w:rsidR="004C3572" w:rsidRPr="004A2D0D">
        <w:t xml:space="preserve"> the people in Egypt could be bound by Greek or Egyptian law and the language that the law was written impacted this, </w:t>
      </w:r>
      <w:r w:rsidR="008B265F" w:rsidRPr="004A2D0D">
        <w:t>however, all people in Egypt were held to royal law</w:t>
      </w:r>
      <w:r w:rsidR="008B265F" w:rsidRPr="004A2D0D">
        <w:rPr>
          <w:rStyle w:val="FootnoteReference"/>
        </w:rPr>
        <w:footnoteReference w:id="29"/>
      </w:r>
      <w:r w:rsidR="008B265F" w:rsidRPr="004A2D0D">
        <w:t xml:space="preserve">. </w:t>
      </w:r>
      <w:r w:rsidR="00537E7E" w:rsidRPr="004A2D0D">
        <w:t>This suggests that the development of language in the Ptolemaic period would mostly have resolved any language barriers between the Greek speaking world and the Egyptian speaking eastern desert</w:t>
      </w:r>
      <w:r w:rsidR="00C979C6" w:rsidRPr="004A2D0D">
        <w:t xml:space="preserve">, increasing the ability to trade with each other due to recognisable languages as well as increase the ease that a traveller could pass through the </w:t>
      </w:r>
      <w:r w:rsidR="004A2D0D" w:rsidRPr="004A2D0D">
        <w:t>area as they would be able to communicate with a higher percentage of the people around them, it would also decrease the amount of conflicts that would end in violence as the ability to talk to the other side of the disagreement would provide clarity on the issues.</w:t>
      </w:r>
    </w:p>
    <w:p w14:paraId="4AAB3C6B" w14:textId="77777777" w:rsidR="00D833AB" w:rsidRPr="00260397" w:rsidRDefault="00D833AB" w:rsidP="00D833AB">
      <w:r w:rsidRPr="00260397">
        <w:t>The final section of this paper will discuss the desire to control the natural resources of the desert, from animals native to the region to precious materials such as gold and gemstones. Desire to have access to or control these resources present a large justification for conflict as it represents a level of greed and envy of whoever controls the material.</w:t>
      </w:r>
    </w:p>
    <w:p w14:paraId="2639A8B8" w14:textId="77777777" w:rsidR="00D833AB" w:rsidRPr="00F55E32" w:rsidRDefault="00D833AB" w:rsidP="00D833AB">
      <w:r w:rsidRPr="00FC3F8B">
        <w:lastRenderedPageBreak/>
        <w:t>When using the term natural resources, it will also discuss native animal life, for the purpose of this paper, it will focus on Elephants as it presents interesting interactions between the Romans and a tribe known as or the ‘elephant-eaters’. While the native people would hunt the elephants as a source of food, the Greco-Romans desired them for a different purpose. Since the time of Hannibal, employing elephants into his army</w:t>
      </w:r>
      <w:r w:rsidRPr="00FC3F8B">
        <w:rPr>
          <w:rStyle w:val="FootnoteReference"/>
        </w:rPr>
        <w:footnoteReference w:id="30"/>
      </w:r>
      <w:r w:rsidRPr="00FC3F8B">
        <w:t>, it can be seen as a both a status symbol to have been able to acquire them as well as the fact that many of the enemies of the Empire may not have seen them before, causing mass panic amongst the enemy soldiers. Either way, the sources provide evidence for elephants being hunted by the Ptolemies</w:t>
      </w:r>
      <w:r w:rsidRPr="00FC3F8B">
        <w:rPr>
          <w:rStyle w:val="FootnoteReference"/>
        </w:rPr>
        <w:footnoteReference w:id="31"/>
      </w:r>
      <w:r w:rsidRPr="00FC3F8B">
        <w:t xml:space="preserve"> and Burstein discusses how the first to organise elephant hunting was Ptolemy</w:t>
      </w:r>
      <w:r w:rsidRPr="00FC3F8B">
        <w:rPr>
          <w:rStyle w:val="FootnoteReference"/>
        </w:rPr>
        <w:footnoteReference w:id="32"/>
      </w:r>
      <w:r w:rsidRPr="00FC3F8B">
        <w:t>. The way in which the elephants were hunted is documented well in the sources and the difficulties they faced are well highlighted</w:t>
      </w:r>
      <w:r w:rsidRPr="00F55E32">
        <w:t>. Primarily, it was an issue of supplies, the elephant hunters would often near starve while attempting to locate the elephants due to the lack of fertile land to live off of while away from population centres suggesting the hunting camps could not support themselves</w:t>
      </w:r>
      <w:r w:rsidRPr="00F55E32">
        <w:rPr>
          <w:rStyle w:val="FootnoteReference"/>
        </w:rPr>
        <w:footnoteReference w:id="33"/>
      </w:r>
      <w:r w:rsidRPr="00F55E32">
        <w:t>, the second issue they have is taming them. Elephant hunting groups have been recorded driving wild elephants into a trap by luring them in with tamed females</w:t>
      </w:r>
      <w:r w:rsidRPr="00F55E32">
        <w:rPr>
          <w:rStyle w:val="FootnoteReference"/>
        </w:rPr>
        <w:footnoteReference w:id="34"/>
      </w:r>
      <w:r w:rsidRPr="00F55E32">
        <w:t xml:space="preserve"> other examples have shown elephants to be herded down a walled track and trapped, then once they have begun to starve, ride in a fully fed tamed male for them all to fall in line with</w:t>
      </w:r>
      <w:r w:rsidRPr="00F55E32">
        <w:rPr>
          <w:rStyle w:val="FootnoteReference"/>
        </w:rPr>
        <w:footnoteReference w:id="35"/>
      </w:r>
      <w:r w:rsidRPr="00F55E32">
        <w:t xml:space="preserve"> as can be seen from just these two examples, the capture and taming of these elephants was not humane, however, once they were tamed the hunters faced another issue; transportation. </w:t>
      </w:r>
    </w:p>
    <w:p w14:paraId="0D0A5823" w14:textId="77777777" w:rsidR="00D833AB" w:rsidRDefault="00D833AB" w:rsidP="00D833AB">
      <w:r w:rsidRPr="00F55E32">
        <w:t>Special boats were designed and constructed in order to bear the weight of an elephant, but much like all stages of this enterprise, it carried its own risks. Casson notes the boats did not have oars and was required to sail in shallow water</w:t>
      </w:r>
      <w:r w:rsidRPr="00F55E32">
        <w:rPr>
          <w:rStyle w:val="FootnoteReference"/>
        </w:rPr>
        <w:footnoteReference w:id="36"/>
      </w:r>
      <w:r w:rsidRPr="00F55E32">
        <w:t>, Casson estimates the journey would take approximately a week</w:t>
      </w:r>
      <w:r w:rsidRPr="00F55E32">
        <w:rPr>
          <w:rStyle w:val="FootnoteReference"/>
        </w:rPr>
        <w:footnoteReference w:id="37"/>
      </w:r>
      <w:r w:rsidRPr="00F55E32">
        <w:t xml:space="preserve"> depending upon where they started on the coast and Diodorus provides us a reference to sailing at night</w:t>
      </w:r>
      <w:r w:rsidRPr="00F55E32">
        <w:rPr>
          <w:rStyle w:val="FootnoteReference"/>
        </w:rPr>
        <w:footnoteReference w:id="38"/>
      </w:r>
      <w:r w:rsidRPr="00F55E32">
        <w:t>. The risk of the job, however, is great. Burstein presents evidence from Agatharcides that suggests the boats were at the mercy of the water, being pushed onto rocks, sandbars and becoming stuck there. Supposedly the men, according to this account, maintained hope until supplies began to run out and they fell victim to a variety of illnesses</w:t>
      </w:r>
      <w:r w:rsidRPr="00F55E32">
        <w:rPr>
          <w:rStyle w:val="FootnoteReference"/>
        </w:rPr>
        <w:footnoteReference w:id="39"/>
      </w:r>
      <w:r>
        <w:t xml:space="preserve"> concluding that they would all perish without rescue from injury, starvation or by taking their own life by blade or throwing themselves into the sea</w:t>
      </w:r>
      <w:r>
        <w:rPr>
          <w:rStyle w:val="FootnoteReference"/>
        </w:rPr>
        <w:footnoteReference w:id="40"/>
      </w:r>
      <w:r>
        <w:t>. The elephant hunting grounds were based down the coast, the exhaustion of which would mean having to venture inland, the downsides of this would be the lack of supplies and in the event of an accident then they would be that much harder to find, it would also increase the journey time on the return trip once they had captured the elephant. Pliny discusses the greed for Ivory to have “exhausted all those in our part of the world”</w:t>
      </w:r>
      <w:r>
        <w:rPr>
          <w:rStyle w:val="FootnoteReference"/>
        </w:rPr>
        <w:footnoteReference w:id="41"/>
      </w:r>
      <w:r>
        <w:t xml:space="preserve"> suggesting that these elephants were hunted to frequently from these places they simply could not repopulate, or animal instinct had driven them away from the danger posed by the hunting parties. </w:t>
      </w:r>
    </w:p>
    <w:p w14:paraId="60E40084" w14:textId="77777777" w:rsidR="00D833AB" w:rsidRDefault="00D833AB" w:rsidP="00D833AB">
      <w:r>
        <w:t xml:space="preserve">As a result, the need to hunt elephants began to decline. It seems the inability of the smaller elephants they were capturing could not withstand fights with the larger Seleucid Indian elephants </w:t>
      </w:r>
      <w:r>
        <w:lastRenderedPageBreak/>
        <w:t>at the battle of Raphia</w:t>
      </w:r>
      <w:r>
        <w:rPr>
          <w:rStyle w:val="FootnoteReference"/>
        </w:rPr>
        <w:footnoteReference w:id="42"/>
      </w:r>
      <w:r>
        <w:t xml:space="preserve"> may have impacted it however Sidebotham suggested that they may simply have developed a breeding programme that meant they no longer needed to hunt wild elephants, although Fraser disagrees, arguing that instead hunting was more regulated than ever</w:t>
      </w:r>
      <w:r>
        <w:rPr>
          <w:rStyle w:val="FootnoteReference"/>
        </w:rPr>
        <w:footnoteReference w:id="43"/>
      </w:r>
      <w:r>
        <w:t>. Polybius, however, does mention Antiochus III and Ptolemy IV utilising elephants in war. Antiochus had two on his side of the Syrian expedition while Ptolemy had seventy-three</w:t>
      </w:r>
      <w:r>
        <w:rPr>
          <w:rStyle w:val="FootnoteReference"/>
        </w:rPr>
        <w:footnoteReference w:id="44"/>
      </w:r>
      <w:r>
        <w:t>. Polybius notes that the elephants of Antiochus were of the Indian variety whereas Ptolemy’s were smaller, African elephants</w:t>
      </w:r>
      <w:r>
        <w:rPr>
          <w:rStyle w:val="FootnoteReference"/>
        </w:rPr>
        <w:footnoteReference w:id="45"/>
      </w:r>
      <w:r>
        <w:t xml:space="preserve"> who would refuse to fight when encountering the larger Indian elephants as a result of the larger elephants trumpeting and scent</w:t>
      </w:r>
      <w:r>
        <w:rPr>
          <w:rStyle w:val="FootnoteReference"/>
        </w:rPr>
        <w:footnoteReference w:id="46"/>
      </w:r>
      <w:r>
        <w:t xml:space="preserve">. This battle suggests another reason for the decline in hunting of the elephants to be simply, it was too much effort. By the time the hunters had located the elephants, it was trapped, starved and tamed and then transported to where the Ptolemies needed it to be, factoring in any elephant carriers and personnel that had to be paid for and potentially lost, for the elephants to refuse to fight would make the enterprise somewhat worthless. This enterprise does however show instances of cooperation between the Ptolemies and the indigenous peoples who were hunting the elephants in the first place, suggesting that at some point a mutually beneficial arrangement was made. It is unclear </w:t>
      </w:r>
      <w:proofErr w:type="gramStart"/>
      <w:r>
        <w:t>whether or not</w:t>
      </w:r>
      <w:proofErr w:type="gramEnd"/>
      <w:r>
        <w:t xml:space="preserve"> these types of arrangements were made with these people and the Romans, as the Romans had less interest in these animals, and therefore they would not have been a major concern.</w:t>
      </w:r>
    </w:p>
    <w:p w14:paraId="3A33DDC4" w14:textId="5E17741E" w:rsidR="00D833AB" w:rsidRPr="000A16FA" w:rsidRDefault="00D833AB" w:rsidP="00D833AB">
      <w:r>
        <w:t xml:space="preserve">Trade of precious materials and development of quarries suggest an interesting fluctuation in the relations of the Romans and the indigenous people, in this case, specifically the Blemmyes. To tackle this idea concisely, it is best to discuss each of the materials in turn. Firstly, Gold. Gold mining was plentiful in the Eastern </w:t>
      </w:r>
      <w:r w:rsidRPr="00C931DF">
        <w:t>Egyptian desert</w:t>
      </w:r>
      <w:r w:rsidRPr="00C931DF">
        <w:rPr>
          <w:rStyle w:val="FootnoteReference"/>
        </w:rPr>
        <w:footnoteReference w:id="47"/>
      </w:r>
      <w:r w:rsidRPr="00C931DF">
        <w:t>. Klemm discusses how the Blemmy</w:t>
      </w:r>
      <w:r>
        <w:t>e</w:t>
      </w:r>
      <w:r w:rsidRPr="00C931DF">
        <w:t>s presented such a threat to the Romans, they were forced to abandon Gold mines in the south of Egypt</w:t>
      </w:r>
      <w:r w:rsidRPr="00C931DF">
        <w:rPr>
          <w:rStyle w:val="FootnoteReference"/>
        </w:rPr>
        <w:footnoteReference w:id="48"/>
      </w:r>
      <w:r w:rsidRPr="00C931DF">
        <w:t>, retreating their border 300km north under Diocletian</w:t>
      </w:r>
      <w:r>
        <w:rPr>
          <w:rStyle w:val="FootnoteReference"/>
        </w:rPr>
        <w:footnoteReference w:id="49"/>
      </w:r>
      <w:r w:rsidRPr="00C931DF">
        <w:t xml:space="preserve">, it is likely this was due to the Blemmyes increasing harassment and seeming as if they had lost control of the entire southern desert all together so </w:t>
      </w:r>
      <w:r>
        <w:t>were consolidating their strength in the North</w:t>
      </w:r>
      <w:r w:rsidR="00C56831">
        <w:t xml:space="preserve">. </w:t>
      </w:r>
      <w:r w:rsidR="00FA170D">
        <w:t xml:space="preserve">There is evidence suggesting that Blemmyes or </w:t>
      </w:r>
      <w:proofErr w:type="spellStart"/>
      <w:r w:rsidR="00FA170D">
        <w:t>Trogolodytes</w:t>
      </w:r>
      <w:proofErr w:type="spellEnd"/>
      <w:r w:rsidR="00FA170D">
        <w:t xml:space="preserve"> were buried in Berenike</w:t>
      </w:r>
      <w:r w:rsidR="00FA170D">
        <w:rPr>
          <w:rStyle w:val="FootnoteReference"/>
        </w:rPr>
        <w:footnoteReference w:id="50"/>
      </w:r>
      <w:r w:rsidR="00FA170D">
        <w:t>. There is even archaeological evidence that some of these peoples may have lived in Berenike, which means that the relations between the Romans and these peoples must have improved despite the Romans eventually having to retreat</w:t>
      </w:r>
      <w:r w:rsidR="00FA170D">
        <w:rPr>
          <w:rStyle w:val="FootnoteReference"/>
        </w:rPr>
        <w:footnoteReference w:id="51"/>
      </w:r>
      <w:r w:rsidR="00FA170D">
        <w:t>. While this has baffled scholars, it is a rare insight into the cooperation between the Romans and these nomadic peoples</w:t>
      </w:r>
      <w:r w:rsidR="00FA170D">
        <w:rPr>
          <w:rStyle w:val="FootnoteReference"/>
        </w:rPr>
        <w:footnoteReference w:id="52"/>
      </w:r>
      <w:r>
        <w:t>. Klemm believes that the Blemmyes were a steadily increasing threat and this probably caused this defensive move to the north. They were reported to have even managed to go as far as to raid the Nile valley, suggesting that the instability of the region from their repeated attacks crippled the Roman mining efforts</w:t>
      </w:r>
      <w:r>
        <w:rPr>
          <w:rStyle w:val="FootnoteReference"/>
        </w:rPr>
        <w:footnoteReference w:id="53"/>
      </w:r>
      <w:r>
        <w:t xml:space="preserve"> as well as having disrupted the mining efforts in Meroe earlier in 230BC</w:t>
      </w:r>
      <w:r>
        <w:rPr>
          <w:rStyle w:val="FootnoteReference"/>
        </w:rPr>
        <w:footnoteReference w:id="54"/>
      </w:r>
      <w:r>
        <w:t xml:space="preserve">. The work of Meyer suggests that the move North was also supported by the existence of </w:t>
      </w:r>
      <w:r>
        <w:lastRenderedPageBreak/>
        <w:t xml:space="preserve">Bir Umm </w:t>
      </w:r>
      <w:proofErr w:type="spellStart"/>
      <w:r>
        <w:t>Fawakhir</w:t>
      </w:r>
      <w:proofErr w:type="spellEnd"/>
      <w:r>
        <w:t>, which was one of the major Gold mines in the area</w:t>
      </w:r>
      <w:r>
        <w:rPr>
          <w:rStyle w:val="FootnoteReference"/>
        </w:rPr>
        <w:footnoteReference w:id="55"/>
      </w:r>
      <w:r>
        <w:t xml:space="preserve"> and is curiously, a large site with little to no defensive structures, indicating it was safe from attack. This suggests that the southern desert was the target of a majority, if not all of the Blemmyes attacks at that time due to the position of the mine in the central Eastern desert</w:t>
      </w:r>
      <w:r>
        <w:rPr>
          <w:rStyle w:val="FootnoteReference"/>
        </w:rPr>
        <w:footnoteReference w:id="56"/>
      </w:r>
      <w:r>
        <w:t xml:space="preserve"> however the intervisible towers stationed along the route could have functioned as a deterrent especially that far into the centre of the desert when reinforcements could have arrived quickly</w:t>
      </w:r>
      <w:r>
        <w:rPr>
          <w:rStyle w:val="FootnoteReference"/>
        </w:rPr>
        <w:footnoteReference w:id="57"/>
      </w:r>
      <w:r>
        <w:t>. The attacks on gold mines suggest a still tenuous relationship between the indigenous people and the Ptolemaic/Roman empires. The benefit of the Roman style of defences, was that they were easy to construct from the surrounding environment, and the Romans were able to maintain these routes as effectively as possible with little need for upkeep</w:t>
      </w:r>
      <w:r>
        <w:rPr>
          <w:rStyle w:val="FootnoteReference"/>
        </w:rPr>
        <w:footnoteReference w:id="58"/>
      </w:r>
      <w:r>
        <w:t>.</w:t>
      </w:r>
    </w:p>
    <w:p w14:paraId="1B7AEBAA" w14:textId="15F3F209" w:rsidR="00D833AB" w:rsidRDefault="00D833AB" w:rsidP="00D833AB">
      <w:r w:rsidRPr="00D14D83">
        <w:t>With regards to the trade routes, Berenike became more important to the Romans during the 7</w:t>
      </w:r>
      <w:r w:rsidRPr="00D14D83">
        <w:rPr>
          <w:vertAlign w:val="superscript"/>
        </w:rPr>
        <w:t>th</w:t>
      </w:r>
      <w:r w:rsidRPr="00D14D83">
        <w:t xml:space="preserve"> century CE possible due to the Blemmyes making travel below this region more difficult and dangerous</w:t>
      </w:r>
      <w:r w:rsidRPr="00D14D83">
        <w:rPr>
          <w:rStyle w:val="FootnoteReference"/>
        </w:rPr>
        <w:footnoteReference w:id="59"/>
      </w:r>
      <w:r w:rsidRPr="00D14D83">
        <w:t xml:space="preserve"> resulting in the arrangement of a security detail to accompany the caravans would have been organised with priority, and many may have organised these security services well in advance of the journey</w:t>
      </w:r>
      <w:r w:rsidRPr="00D14D83">
        <w:rPr>
          <w:rStyle w:val="FootnoteReference"/>
        </w:rPr>
        <w:footnoteReference w:id="60"/>
      </w:r>
      <w:r w:rsidRPr="00D14D83">
        <w:t xml:space="preserve">. </w:t>
      </w:r>
      <w:r>
        <w:t>The road in this region from Berenike was probably believed to be the most important to the Roman Empire as this road in particular had a high volume of forts and defences on it, but this could indicate that it was actually one of the most frequently travelled/attacked.</w:t>
      </w:r>
      <w:r>
        <w:rPr>
          <w:rStyle w:val="FootnoteReference"/>
        </w:rPr>
        <w:footnoteReference w:id="61"/>
      </w:r>
      <w:r>
        <w:t xml:space="preserve"> It is possible to see the decline in this trade route in the work of Pliny, whose list of forts does not match with the later sources, showing that gradually this road was more and more unprotected.</w:t>
      </w:r>
      <w:r>
        <w:rPr>
          <w:rStyle w:val="FootnoteReference"/>
        </w:rPr>
        <w:footnoteReference w:id="62"/>
      </w:r>
      <w:r>
        <w:t xml:space="preserve"> This undoubtedly damaged relations between the nomadic peoples and the Romans, as the Romans would have perceived the increase in banditry along this road a sign of nomadic aggression, even if the bandits were not from the region.</w:t>
      </w:r>
      <w:r>
        <w:rPr>
          <w:rStyle w:val="FootnoteReference"/>
        </w:rPr>
        <w:footnoteReference w:id="63"/>
      </w:r>
      <w:r>
        <w:t xml:space="preserve"> However, the Roman’s possibly bolstered their meagre defences with diplomacy, using trade goods to buy off the potential raiding nomads.</w:t>
      </w:r>
      <w:r>
        <w:rPr>
          <w:rStyle w:val="FootnoteReference"/>
        </w:rPr>
        <w:footnoteReference w:id="64"/>
      </w:r>
      <w:r>
        <w:t xml:space="preserve"> Sidebotham believes the decline of Berenike in the fourth century CE may have a result of the decline of international trade, lessening the importance of the trade routes in Egypt, allowing the Blemmyes the opportunity to harass them</w:t>
      </w:r>
      <w:r>
        <w:rPr>
          <w:rStyle w:val="FootnoteReference"/>
        </w:rPr>
        <w:footnoteReference w:id="65"/>
      </w:r>
      <w:r>
        <w:t>, resulting in Traders seeking desert guides and protectors while the Blemmyes power in the area h</w:t>
      </w:r>
      <w:r w:rsidRPr="00B42751">
        <w:t>ad increased</w:t>
      </w:r>
      <w:r w:rsidRPr="00B42751">
        <w:rPr>
          <w:rStyle w:val="FootnoteReference"/>
        </w:rPr>
        <w:footnoteReference w:id="66"/>
      </w:r>
      <w:r w:rsidRPr="00B42751">
        <w:t xml:space="preserve">. With </w:t>
      </w:r>
      <w:proofErr w:type="spellStart"/>
      <w:r w:rsidRPr="00B42751">
        <w:t>Olympiodorus</w:t>
      </w:r>
      <w:proofErr w:type="spellEnd"/>
      <w:r w:rsidRPr="00B42751">
        <w:t xml:space="preserve"> attests that the Blemmyes had gained control of the Mons </w:t>
      </w:r>
      <w:proofErr w:type="spellStart"/>
      <w:r w:rsidRPr="00B42751">
        <w:t>Smaragdus</w:t>
      </w:r>
      <w:proofErr w:type="spellEnd"/>
      <w:r w:rsidRPr="00B42751">
        <w:t xml:space="preserve"> emerald mines in the south, and the region around Berenike in the </w:t>
      </w:r>
      <w:r>
        <w:t>fifth</w:t>
      </w:r>
      <w:r w:rsidRPr="00B42751">
        <w:t xml:space="preserve"> century</w:t>
      </w:r>
      <w:r w:rsidRPr="00B42751">
        <w:rPr>
          <w:rStyle w:val="FootnoteReference"/>
        </w:rPr>
        <w:footnoteReference w:id="67"/>
      </w:r>
      <w:r>
        <w:t>.</w:t>
      </w:r>
    </w:p>
    <w:p w14:paraId="55AFA290" w14:textId="2DE43264" w:rsidR="00D833AB" w:rsidRDefault="00D833AB" w:rsidP="00D833AB">
      <w:r w:rsidRPr="00D14D83">
        <w:t>Nomadic threats after Diocletian were in decline as a result of a state effort to safeguard the trade and transport routes</w:t>
      </w:r>
      <w:r w:rsidRPr="00D14D83">
        <w:rPr>
          <w:rStyle w:val="FootnoteReference"/>
        </w:rPr>
        <w:footnoteReference w:id="68"/>
      </w:r>
      <w:r w:rsidRPr="00D14D83">
        <w:t xml:space="preserve"> with less experienced military units stationed in the more remote regions, and in the third century CE formed a concentration of soldiers on the desert edges, as the Blemmyes and other nomadic groups were evidently concerning the romans</w:t>
      </w:r>
      <w:r w:rsidRPr="00D14D83">
        <w:rPr>
          <w:rStyle w:val="FootnoteReference"/>
        </w:rPr>
        <w:footnoteReference w:id="69"/>
      </w:r>
      <w:r w:rsidRPr="00D14D83">
        <w:t xml:space="preserve"> with Bagnall suggesting there </w:t>
      </w:r>
      <w:r w:rsidRPr="00D14D83">
        <w:lastRenderedPageBreak/>
        <w:t>were around twenty thousand Roman soldiers based in the Egyptian desert in the fourth century</w:t>
      </w:r>
      <w:r w:rsidRPr="00D14D83">
        <w:rPr>
          <w:rStyle w:val="FootnoteReference"/>
        </w:rPr>
        <w:footnoteReference w:id="70"/>
      </w:r>
      <w:r w:rsidRPr="00D14D83">
        <w:t>.</w:t>
      </w:r>
      <w:r>
        <w:t xml:space="preserve"> These soldiers would have been required to keep the peace, and act as a deterrent against the Blemmyes and other nomadic groups.</w:t>
      </w:r>
      <w:r>
        <w:rPr>
          <w:rStyle w:val="FootnoteReference"/>
        </w:rPr>
        <w:footnoteReference w:id="71"/>
      </w:r>
      <w:r>
        <w:t xml:space="preserve"> Due to the spread-out nature of the forts and roads, cavalry was required to quickly assist with any dangers in the nearby area.</w:t>
      </w:r>
      <w:r>
        <w:rPr>
          <w:rStyle w:val="FootnoteReference"/>
        </w:rPr>
        <w:footnoteReference w:id="72"/>
      </w:r>
      <w:r>
        <w:t xml:space="preserve"> These cavalry would become more and more useful as nomadic people gained more and more access to camels allowing them to raid more and more quickly.</w:t>
      </w:r>
      <w:r>
        <w:rPr>
          <w:rStyle w:val="FootnoteReference"/>
        </w:rPr>
        <w:footnoteReference w:id="73"/>
      </w:r>
      <w:r>
        <w:t xml:space="preserve"> Bagnall mentions ‘</w:t>
      </w:r>
      <w:proofErr w:type="spellStart"/>
      <w:r w:rsidRPr="006F5A1C">
        <w:rPr>
          <w:i/>
          <w:iCs/>
        </w:rPr>
        <w:t>cataphractarii</w:t>
      </w:r>
      <w:proofErr w:type="spellEnd"/>
      <w:r>
        <w:t xml:space="preserve">’ stationed in </w:t>
      </w:r>
      <w:proofErr w:type="spellStart"/>
      <w:r>
        <w:t>Arsinoe</w:t>
      </w:r>
      <w:proofErr w:type="spellEnd"/>
      <w:r>
        <w:t>, but most units were inexperienced and weak, which shows that while the nomadic peoples posed a threat, it was only significant due to a lack of Roman military interest.</w:t>
      </w:r>
      <w:r>
        <w:rPr>
          <w:rStyle w:val="FootnoteReference"/>
        </w:rPr>
        <w:footnoteReference w:id="74"/>
      </w:r>
      <w:r>
        <w:t xml:space="preserve"> Cobb is probably correct in saying that these  garrisoned soldiers had other jobs other than simply defending against raiders, as they would have to guard against smuggling and manage supplies.</w:t>
      </w:r>
      <w:r>
        <w:rPr>
          <w:rStyle w:val="FootnoteReference"/>
        </w:rPr>
        <w:footnoteReference w:id="75"/>
      </w:r>
    </w:p>
    <w:p w14:paraId="266DFA1A" w14:textId="4D236866" w:rsidR="0029530C" w:rsidRPr="00D14D83" w:rsidRDefault="0029530C" w:rsidP="00D833AB">
      <w:r>
        <w:t xml:space="preserve">In conclusion, </w:t>
      </w:r>
      <w:r w:rsidR="001C24E9">
        <w:t xml:space="preserve">life in the Eastern desert was unique, while a desolate place with </w:t>
      </w:r>
      <w:r w:rsidR="00EE1E47">
        <w:t>challenging living conditions it also possessed a vast wealth in its natural resources. The peoples of the land w</w:t>
      </w:r>
      <w:r w:rsidR="00A21DC7">
        <w:t>hile hostile, especially</w:t>
      </w:r>
      <w:r w:rsidR="00261CC3">
        <w:t xml:space="preserve"> at the beginning of the occupation</w:t>
      </w:r>
      <w:r w:rsidR="001758E1">
        <w:t xml:space="preserve">, became a part of a bilingual </w:t>
      </w:r>
      <w:r w:rsidR="008F65AE">
        <w:t xml:space="preserve">system of equality. </w:t>
      </w:r>
      <w:r w:rsidR="00FE58A7">
        <w:t>In relation to the militaristic intention of the Ptolemaic and Roman empires this essay has concluded that they cared far more the value of the natural resources than a strategic placement, however Berenike in its prime before the decline of international trade can be considered a part of th</w:t>
      </w:r>
      <w:r w:rsidR="00E0195D">
        <w:t xml:space="preserve">e issue. </w:t>
      </w:r>
      <w:r w:rsidR="00074750">
        <w:t xml:space="preserve">The </w:t>
      </w:r>
      <w:r w:rsidR="00BD5E48">
        <w:t xml:space="preserve">concept of invasion </w:t>
      </w:r>
      <w:r w:rsidR="00001FE4">
        <w:t xml:space="preserve">and protection of territory has suggested that </w:t>
      </w:r>
      <w:r w:rsidR="00005AFF">
        <w:t xml:space="preserve">conflict surrounding </w:t>
      </w:r>
      <w:r w:rsidR="00001FE4">
        <w:t xml:space="preserve">Ptolemaic and Roman occupation of Egypt </w:t>
      </w:r>
      <w:r w:rsidR="00005AFF">
        <w:t>was based far more on resources</w:t>
      </w:r>
      <w:r w:rsidR="00C752B3">
        <w:t xml:space="preserve">, potential early communication barriers potentially </w:t>
      </w:r>
      <w:r w:rsidR="00D761A0">
        <w:t xml:space="preserve">made this more of an issue and the </w:t>
      </w:r>
      <w:r w:rsidR="00A65664">
        <w:t>novelty of the natural resources available in Egypt in comparison to the main lands of Greece suggest that relations improved when both sides, invasive and native, found a way to utilise their resources together.</w:t>
      </w:r>
    </w:p>
    <w:p w14:paraId="04CC0B04" w14:textId="6EDE3D17" w:rsidR="00646E7E" w:rsidRDefault="00646E7E" w:rsidP="00D833AB"/>
    <w:p w14:paraId="5EDA9078" w14:textId="01E521D7" w:rsidR="00617D08" w:rsidRDefault="00617D08" w:rsidP="00D833AB"/>
    <w:p w14:paraId="4E4FEB34" w14:textId="6AFF0946" w:rsidR="00617D08" w:rsidRDefault="00617D08" w:rsidP="00D833AB"/>
    <w:p w14:paraId="5513BC0A" w14:textId="71219DFA" w:rsidR="00617D08" w:rsidRDefault="00617D08" w:rsidP="00D833AB"/>
    <w:p w14:paraId="31B67190" w14:textId="3F2F70F6" w:rsidR="00617D08" w:rsidRDefault="00617D08" w:rsidP="00D833AB"/>
    <w:p w14:paraId="1A0D6A6E" w14:textId="0FB8C85E" w:rsidR="00617D08" w:rsidRDefault="00617D08" w:rsidP="00D833AB"/>
    <w:p w14:paraId="3EEB7FC9" w14:textId="6B92205A" w:rsidR="00617D08" w:rsidRDefault="00617D08" w:rsidP="00D833AB"/>
    <w:p w14:paraId="5FF010D5" w14:textId="17C2AA33" w:rsidR="00617D08" w:rsidRDefault="00617D08" w:rsidP="00D833AB"/>
    <w:p w14:paraId="220832CE" w14:textId="2F91DF3B" w:rsidR="00617D08" w:rsidRDefault="00617D08" w:rsidP="00D833AB"/>
    <w:p w14:paraId="0A2D9E79" w14:textId="132538BD" w:rsidR="00617D08" w:rsidRDefault="00617D08" w:rsidP="00D833AB"/>
    <w:p w14:paraId="15FE67A8" w14:textId="7D00D8B8" w:rsidR="00617D08" w:rsidRDefault="00617D08" w:rsidP="00D833AB"/>
    <w:p w14:paraId="24871217" w14:textId="77777777" w:rsidR="0009251D" w:rsidRDefault="0009251D" w:rsidP="00D833AB"/>
    <w:p w14:paraId="0DC69434" w14:textId="77777777" w:rsidR="0009251D" w:rsidRPr="001016D4" w:rsidRDefault="0009251D" w:rsidP="0009251D">
      <w:pPr>
        <w:rPr>
          <w:rFonts w:cstheme="minorHAnsi"/>
          <w:b/>
          <w:bCs/>
          <w:sz w:val="24"/>
          <w:szCs w:val="24"/>
          <w:u w:val="single"/>
        </w:rPr>
      </w:pPr>
      <w:r w:rsidRPr="001016D4">
        <w:rPr>
          <w:rFonts w:cstheme="minorHAnsi"/>
          <w:b/>
          <w:bCs/>
          <w:sz w:val="24"/>
          <w:szCs w:val="24"/>
          <w:u w:val="single"/>
        </w:rPr>
        <w:lastRenderedPageBreak/>
        <w:t>Bibliography</w:t>
      </w:r>
    </w:p>
    <w:p w14:paraId="16304F68" w14:textId="77777777" w:rsidR="0009251D" w:rsidRPr="001016D4" w:rsidRDefault="0009251D" w:rsidP="0009251D">
      <w:pPr>
        <w:rPr>
          <w:rFonts w:cstheme="minorHAnsi"/>
          <w:b/>
          <w:bCs/>
          <w:sz w:val="24"/>
          <w:szCs w:val="24"/>
        </w:rPr>
      </w:pPr>
      <w:r w:rsidRPr="001016D4">
        <w:rPr>
          <w:rFonts w:cstheme="minorHAnsi"/>
          <w:b/>
          <w:bCs/>
          <w:sz w:val="24"/>
          <w:szCs w:val="24"/>
        </w:rPr>
        <w:t>Ancient Sources</w:t>
      </w:r>
    </w:p>
    <w:p w14:paraId="56630B51" w14:textId="77777777" w:rsidR="0009251D" w:rsidRPr="001016D4" w:rsidRDefault="0009251D" w:rsidP="0009251D">
      <w:pPr>
        <w:rPr>
          <w:sz w:val="24"/>
          <w:szCs w:val="24"/>
        </w:rPr>
      </w:pPr>
      <w:r w:rsidRPr="001016D4">
        <w:rPr>
          <w:sz w:val="24"/>
          <w:szCs w:val="24"/>
        </w:rPr>
        <w:t xml:space="preserve">Agatharchides, </w:t>
      </w:r>
      <w:r w:rsidRPr="001016D4">
        <w:rPr>
          <w:i/>
          <w:iCs/>
          <w:sz w:val="24"/>
          <w:szCs w:val="24"/>
        </w:rPr>
        <w:t xml:space="preserve">On the </w:t>
      </w:r>
      <w:proofErr w:type="spellStart"/>
      <w:r w:rsidRPr="001016D4">
        <w:rPr>
          <w:i/>
          <w:iCs/>
          <w:sz w:val="24"/>
          <w:szCs w:val="24"/>
        </w:rPr>
        <w:t>Erythraean</w:t>
      </w:r>
      <w:proofErr w:type="spellEnd"/>
      <w:r w:rsidRPr="001016D4">
        <w:rPr>
          <w:i/>
          <w:iCs/>
          <w:sz w:val="24"/>
          <w:szCs w:val="24"/>
        </w:rPr>
        <w:t xml:space="preserve"> Sea.</w:t>
      </w:r>
      <w:r w:rsidRPr="001016D4">
        <w:rPr>
          <w:sz w:val="24"/>
          <w:szCs w:val="24"/>
        </w:rPr>
        <w:t xml:space="preserve"> S.M. Burstein (trans.). 1989. Cambridge: Cambridge University Press.</w:t>
      </w:r>
    </w:p>
    <w:p w14:paraId="30B607A8" w14:textId="77777777" w:rsidR="0009251D" w:rsidRPr="001016D4" w:rsidRDefault="0009251D" w:rsidP="0009251D">
      <w:pPr>
        <w:rPr>
          <w:sz w:val="24"/>
          <w:szCs w:val="24"/>
        </w:rPr>
      </w:pPr>
      <w:proofErr w:type="spellStart"/>
      <w:r w:rsidRPr="001016D4">
        <w:rPr>
          <w:sz w:val="24"/>
          <w:szCs w:val="24"/>
        </w:rPr>
        <w:t>Arrian</w:t>
      </w:r>
      <w:proofErr w:type="spellEnd"/>
      <w:r w:rsidRPr="001016D4">
        <w:rPr>
          <w:sz w:val="24"/>
          <w:szCs w:val="24"/>
        </w:rPr>
        <w:t xml:space="preserve">, </w:t>
      </w:r>
      <w:proofErr w:type="spellStart"/>
      <w:r w:rsidRPr="001016D4">
        <w:rPr>
          <w:i/>
          <w:iCs/>
          <w:sz w:val="24"/>
          <w:szCs w:val="24"/>
        </w:rPr>
        <w:t>Periplous</w:t>
      </w:r>
      <w:proofErr w:type="spellEnd"/>
      <w:r w:rsidRPr="001016D4">
        <w:rPr>
          <w:i/>
          <w:iCs/>
          <w:sz w:val="24"/>
          <w:szCs w:val="24"/>
        </w:rPr>
        <w:t xml:space="preserve"> on the </w:t>
      </w:r>
      <w:proofErr w:type="spellStart"/>
      <w:r w:rsidRPr="001016D4">
        <w:rPr>
          <w:i/>
          <w:iCs/>
          <w:sz w:val="24"/>
          <w:szCs w:val="24"/>
        </w:rPr>
        <w:t>Erythraean</w:t>
      </w:r>
      <w:proofErr w:type="spellEnd"/>
      <w:r w:rsidRPr="001016D4">
        <w:rPr>
          <w:i/>
          <w:iCs/>
          <w:sz w:val="24"/>
          <w:szCs w:val="24"/>
        </w:rPr>
        <w:t xml:space="preserve"> Sea.</w:t>
      </w:r>
      <w:r w:rsidRPr="001016D4">
        <w:rPr>
          <w:sz w:val="24"/>
          <w:szCs w:val="24"/>
        </w:rPr>
        <w:t xml:space="preserve"> W.H. </w:t>
      </w:r>
      <w:proofErr w:type="spellStart"/>
      <w:r w:rsidRPr="001016D4">
        <w:rPr>
          <w:sz w:val="24"/>
          <w:szCs w:val="24"/>
        </w:rPr>
        <w:t>Schoff</w:t>
      </w:r>
      <w:proofErr w:type="spellEnd"/>
      <w:r w:rsidRPr="001016D4">
        <w:rPr>
          <w:sz w:val="24"/>
          <w:szCs w:val="24"/>
        </w:rPr>
        <w:t xml:space="preserve"> (trans.). 1912. New York: Longmans Green.</w:t>
      </w:r>
    </w:p>
    <w:p w14:paraId="52507AB7" w14:textId="77777777" w:rsidR="0009251D" w:rsidRPr="001016D4" w:rsidRDefault="0009251D" w:rsidP="0009251D">
      <w:pPr>
        <w:rPr>
          <w:sz w:val="24"/>
          <w:szCs w:val="24"/>
        </w:rPr>
      </w:pPr>
      <w:r w:rsidRPr="001016D4">
        <w:rPr>
          <w:sz w:val="24"/>
          <w:szCs w:val="24"/>
        </w:rPr>
        <w:t xml:space="preserve">Diodorus Siculus, </w:t>
      </w:r>
      <w:r w:rsidRPr="001016D4">
        <w:rPr>
          <w:i/>
          <w:iCs/>
          <w:sz w:val="24"/>
          <w:szCs w:val="24"/>
        </w:rPr>
        <w:t xml:space="preserve">Bibliotheca </w:t>
      </w:r>
      <w:proofErr w:type="spellStart"/>
      <w:r w:rsidRPr="001016D4">
        <w:rPr>
          <w:i/>
          <w:iCs/>
          <w:sz w:val="24"/>
          <w:szCs w:val="24"/>
        </w:rPr>
        <w:t>Historica</w:t>
      </w:r>
      <w:proofErr w:type="spellEnd"/>
      <w:r w:rsidRPr="001016D4">
        <w:rPr>
          <w:i/>
          <w:iCs/>
          <w:sz w:val="24"/>
          <w:szCs w:val="24"/>
        </w:rPr>
        <w:t xml:space="preserve">. </w:t>
      </w:r>
      <w:r w:rsidRPr="001016D4">
        <w:rPr>
          <w:sz w:val="24"/>
          <w:szCs w:val="24"/>
        </w:rPr>
        <w:t>C.H. Oldfather (trans.). 1935. Cambridge: Harvard University Press.</w:t>
      </w:r>
    </w:p>
    <w:p w14:paraId="7480B1A4" w14:textId="77777777" w:rsidR="0009251D" w:rsidRPr="001016D4" w:rsidRDefault="0009251D" w:rsidP="0009251D">
      <w:pPr>
        <w:rPr>
          <w:sz w:val="24"/>
          <w:szCs w:val="24"/>
        </w:rPr>
      </w:pPr>
      <w:r w:rsidRPr="001016D4">
        <w:rPr>
          <w:sz w:val="24"/>
          <w:szCs w:val="24"/>
        </w:rPr>
        <w:t xml:space="preserve">Pliny the Elder, </w:t>
      </w:r>
      <w:r w:rsidRPr="001016D4">
        <w:rPr>
          <w:i/>
          <w:iCs/>
          <w:sz w:val="24"/>
          <w:szCs w:val="24"/>
        </w:rPr>
        <w:t xml:space="preserve">Natural Histories. </w:t>
      </w:r>
      <w:r w:rsidRPr="001016D4">
        <w:rPr>
          <w:sz w:val="24"/>
          <w:szCs w:val="24"/>
        </w:rPr>
        <w:t>J. Bostock (trans.). 1855. London: Taylor and Francis.</w:t>
      </w:r>
    </w:p>
    <w:p w14:paraId="082BE7C1" w14:textId="77777777" w:rsidR="0009251D" w:rsidRPr="001016D4" w:rsidRDefault="0009251D" w:rsidP="0009251D">
      <w:pPr>
        <w:rPr>
          <w:sz w:val="24"/>
          <w:szCs w:val="24"/>
        </w:rPr>
      </w:pPr>
      <w:r w:rsidRPr="001016D4">
        <w:rPr>
          <w:sz w:val="24"/>
          <w:szCs w:val="24"/>
        </w:rPr>
        <w:t xml:space="preserve">Polybius, </w:t>
      </w:r>
      <w:r w:rsidRPr="001016D4">
        <w:rPr>
          <w:i/>
          <w:iCs/>
          <w:sz w:val="24"/>
          <w:szCs w:val="24"/>
        </w:rPr>
        <w:t>The Histories.</w:t>
      </w:r>
      <w:r w:rsidRPr="001016D4">
        <w:rPr>
          <w:sz w:val="24"/>
          <w:szCs w:val="24"/>
        </w:rPr>
        <w:t xml:space="preserve"> E.S. Shuckburgh (trans.). 2002. Cambridge: In </w:t>
      </w:r>
      <w:proofErr w:type="spellStart"/>
      <w:r w:rsidRPr="001016D4">
        <w:rPr>
          <w:sz w:val="24"/>
          <w:szCs w:val="24"/>
        </w:rPr>
        <w:t>parantheses</w:t>
      </w:r>
      <w:proofErr w:type="spellEnd"/>
      <w:r w:rsidRPr="001016D4">
        <w:rPr>
          <w:sz w:val="24"/>
          <w:szCs w:val="24"/>
        </w:rPr>
        <w:t xml:space="preserve"> Publications.</w:t>
      </w:r>
    </w:p>
    <w:p w14:paraId="17667E4E" w14:textId="77777777" w:rsidR="0009251D" w:rsidRPr="001016D4" w:rsidRDefault="0009251D" w:rsidP="0009251D">
      <w:pPr>
        <w:rPr>
          <w:sz w:val="24"/>
          <w:szCs w:val="24"/>
        </w:rPr>
      </w:pPr>
      <w:r w:rsidRPr="001016D4">
        <w:rPr>
          <w:sz w:val="24"/>
          <w:szCs w:val="24"/>
        </w:rPr>
        <w:t xml:space="preserve">Strabo, </w:t>
      </w:r>
      <w:r w:rsidRPr="001016D4">
        <w:rPr>
          <w:i/>
          <w:iCs/>
          <w:sz w:val="24"/>
          <w:szCs w:val="24"/>
        </w:rPr>
        <w:t>Geography</w:t>
      </w:r>
      <w:r w:rsidRPr="001016D4">
        <w:rPr>
          <w:sz w:val="24"/>
          <w:szCs w:val="24"/>
        </w:rPr>
        <w:t xml:space="preserve">. H.L. Jones (trans.). 1924. London: William Heinemann Ltd. </w:t>
      </w:r>
    </w:p>
    <w:p w14:paraId="520829BC" w14:textId="77777777" w:rsidR="0009251D" w:rsidRPr="001016D4" w:rsidRDefault="0009251D" w:rsidP="0009251D">
      <w:pPr>
        <w:rPr>
          <w:rFonts w:cstheme="minorHAnsi"/>
          <w:b/>
          <w:bCs/>
          <w:sz w:val="24"/>
          <w:szCs w:val="24"/>
        </w:rPr>
      </w:pPr>
    </w:p>
    <w:p w14:paraId="1E36025E" w14:textId="77777777" w:rsidR="0009251D" w:rsidRPr="001016D4" w:rsidRDefault="0009251D" w:rsidP="0009251D">
      <w:pPr>
        <w:rPr>
          <w:rFonts w:cstheme="minorHAnsi"/>
          <w:b/>
          <w:bCs/>
          <w:sz w:val="24"/>
          <w:szCs w:val="24"/>
        </w:rPr>
      </w:pPr>
      <w:r w:rsidRPr="001016D4">
        <w:rPr>
          <w:rFonts w:cstheme="minorHAnsi"/>
          <w:b/>
          <w:bCs/>
          <w:sz w:val="24"/>
          <w:szCs w:val="24"/>
        </w:rPr>
        <w:t>Modern Scholarship</w:t>
      </w:r>
    </w:p>
    <w:p w14:paraId="1905874C" w14:textId="77777777" w:rsidR="0009251D" w:rsidRPr="001016D4" w:rsidRDefault="0009251D" w:rsidP="0009251D">
      <w:pPr>
        <w:rPr>
          <w:rFonts w:cstheme="minorHAnsi"/>
          <w:sz w:val="24"/>
          <w:szCs w:val="24"/>
        </w:rPr>
      </w:pPr>
      <w:r w:rsidRPr="001016D4">
        <w:rPr>
          <w:rFonts w:cstheme="minorHAnsi"/>
          <w:sz w:val="24"/>
          <w:szCs w:val="24"/>
        </w:rPr>
        <w:t>Adams, C. 2007. Land Transport in Roman Egypt: A Study of Economics and Administration in a Roman Province. Oxford: Oxford University Press.</w:t>
      </w:r>
    </w:p>
    <w:p w14:paraId="04243C77" w14:textId="77777777" w:rsidR="0009251D" w:rsidRPr="001016D4" w:rsidRDefault="0009251D" w:rsidP="0009251D">
      <w:pPr>
        <w:rPr>
          <w:rFonts w:cstheme="minorHAnsi"/>
          <w:sz w:val="24"/>
          <w:szCs w:val="24"/>
        </w:rPr>
      </w:pPr>
      <w:r w:rsidRPr="001016D4">
        <w:rPr>
          <w:rFonts w:cstheme="minorHAnsi"/>
          <w:sz w:val="24"/>
          <w:szCs w:val="24"/>
        </w:rPr>
        <w:t>Bagnall, R.S. 1993. Egypt in Late Antiquity. Princeton: Princeton University Press.</w:t>
      </w:r>
    </w:p>
    <w:p w14:paraId="7D304A23" w14:textId="77777777" w:rsidR="0009251D" w:rsidRPr="001016D4" w:rsidRDefault="0009251D" w:rsidP="0009251D">
      <w:pPr>
        <w:rPr>
          <w:rFonts w:cstheme="minorHAnsi"/>
          <w:sz w:val="24"/>
          <w:szCs w:val="24"/>
        </w:rPr>
      </w:pPr>
      <w:r w:rsidRPr="001016D4">
        <w:rPr>
          <w:rFonts w:cstheme="minorHAnsi"/>
          <w:sz w:val="24"/>
          <w:szCs w:val="24"/>
        </w:rPr>
        <w:t xml:space="preserve">Bagnall, R.S., Helms, C., and </w:t>
      </w:r>
      <w:proofErr w:type="spellStart"/>
      <w:r w:rsidRPr="001016D4">
        <w:rPr>
          <w:rFonts w:cstheme="minorHAnsi"/>
          <w:sz w:val="24"/>
          <w:szCs w:val="24"/>
        </w:rPr>
        <w:t>Verhoogt</w:t>
      </w:r>
      <w:proofErr w:type="spellEnd"/>
      <w:r w:rsidRPr="001016D4">
        <w:rPr>
          <w:rFonts w:cstheme="minorHAnsi"/>
          <w:sz w:val="24"/>
          <w:szCs w:val="24"/>
        </w:rPr>
        <w:t xml:space="preserve">, A. 2000. Documents from Berenike Volume I Greek </w:t>
      </w:r>
      <w:proofErr w:type="spellStart"/>
      <w:r w:rsidRPr="001016D4">
        <w:rPr>
          <w:rFonts w:cstheme="minorHAnsi"/>
          <w:sz w:val="24"/>
          <w:szCs w:val="24"/>
        </w:rPr>
        <w:t>Ostraka</w:t>
      </w:r>
      <w:proofErr w:type="spellEnd"/>
      <w:r w:rsidRPr="001016D4">
        <w:rPr>
          <w:rFonts w:cstheme="minorHAnsi"/>
          <w:sz w:val="24"/>
          <w:szCs w:val="24"/>
        </w:rPr>
        <w:t xml:space="preserve"> from the 1996-1998 Seasons. </w:t>
      </w:r>
      <w:proofErr w:type="spellStart"/>
      <w:r w:rsidRPr="001016D4">
        <w:rPr>
          <w:rFonts w:cstheme="minorHAnsi"/>
          <w:sz w:val="24"/>
          <w:szCs w:val="24"/>
        </w:rPr>
        <w:t>Bruxelles</w:t>
      </w:r>
      <w:proofErr w:type="spellEnd"/>
      <w:r w:rsidRPr="001016D4">
        <w:rPr>
          <w:rFonts w:cstheme="minorHAnsi"/>
          <w:sz w:val="24"/>
          <w:szCs w:val="24"/>
        </w:rPr>
        <w:t xml:space="preserve">: </w:t>
      </w:r>
      <w:proofErr w:type="spellStart"/>
      <w:r w:rsidRPr="001016D4">
        <w:rPr>
          <w:rFonts w:cstheme="minorHAnsi"/>
          <w:sz w:val="24"/>
          <w:szCs w:val="24"/>
        </w:rPr>
        <w:t>Fondation</w:t>
      </w:r>
      <w:proofErr w:type="spellEnd"/>
      <w:r w:rsidRPr="001016D4">
        <w:rPr>
          <w:rFonts w:cstheme="minorHAnsi"/>
          <w:sz w:val="24"/>
          <w:szCs w:val="24"/>
        </w:rPr>
        <w:t xml:space="preserve"> </w:t>
      </w:r>
      <w:proofErr w:type="spellStart"/>
      <w:r w:rsidRPr="001016D4">
        <w:rPr>
          <w:rFonts w:cstheme="minorHAnsi"/>
          <w:sz w:val="24"/>
          <w:szCs w:val="24"/>
        </w:rPr>
        <w:t>Égyptologique</w:t>
      </w:r>
      <w:proofErr w:type="spellEnd"/>
      <w:r w:rsidRPr="001016D4">
        <w:rPr>
          <w:rFonts w:cstheme="minorHAnsi"/>
          <w:sz w:val="24"/>
          <w:szCs w:val="24"/>
        </w:rPr>
        <w:t xml:space="preserve"> Reine </w:t>
      </w:r>
      <w:proofErr w:type="spellStart"/>
      <w:r w:rsidRPr="001016D4">
        <w:rPr>
          <w:rFonts w:cstheme="minorHAnsi"/>
          <w:sz w:val="24"/>
          <w:szCs w:val="24"/>
        </w:rPr>
        <w:t>Élisabeth</w:t>
      </w:r>
      <w:proofErr w:type="spellEnd"/>
      <w:r w:rsidRPr="001016D4">
        <w:rPr>
          <w:rFonts w:cstheme="minorHAnsi"/>
          <w:sz w:val="24"/>
          <w:szCs w:val="24"/>
        </w:rPr>
        <w:t>.</w:t>
      </w:r>
    </w:p>
    <w:p w14:paraId="409927A9" w14:textId="77777777" w:rsidR="0009251D" w:rsidRDefault="0009251D" w:rsidP="0009251D">
      <w:pPr>
        <w:rPr>
          <w:rFonts w:cstheme="minorHAnsi"/>
          <w:sz w:val="24"/>
          <w:szCs w:val="24"/>
        </w:rPr>
      </w:pPr>
      <w:proofErr w:type="spellStart"/>
      <w:r w:rsidRPr="00926715">
        <w:rPr>
          <w:rFonts w:cstheme="minorHAnsi"/>
          <w:sz w:val="24"/>
          <w:szCs w:val="24"/>
        </w:rPr>
        <w:t>Baldi</w:t>
      </w:r>
      <w:proofErr w:type="spellEnd"/>
      <w:r w:rsidRPr="00926715">
        <w:rPr>
          <w:rFonts w:cstheme="minorHAnsi"/>
          <w:sz w:val="24"/>
          <w:szCs w:val="24"/>
        </w:rPr>
        <w:t>, P</w:t>
      </w:r>
      <w:r>
        <w:rPr>
          <w:rFonts w:cstheme="minorHAnsi"/>
          <w:sz w:val="24"/>
          <w:szCs w:val="24"/>
        </w:rPr>
        <w:t>. 2004.</w:t>
      </w:r>
      <w:r w:rsidRPr="00926715">
        <w:rPr>
          <w:rFonts w:cstheme="minorHAnsi"/>
          <w:sz w:val="24"/>
          <w:szCs w:val="24"/>
        </w:rPr>
        <w:t xml:space="preserve"> “Bilingualism in Ancient Society: Language </w:t>
      </w:r>
      <w:r w:rsidRPr="00C63C3C">
        <w:rPr>
          <w:rFonts w:ascii="Calibri body" w:hAnsi="Calibri body" w:cstheme="minorHAnsi"/>
          <w:sz w:val="24"/>
          <w:szCs w:val="24"/>
        </w:rPr>
        <w:t xml:space="preserve">Contact and the Written Word.” </w:t>
      </w:r>
      <w:r w:rsidRPr="00C63C3C">
        <w:rPr>
          <w:rFonts w:ascii="Calibri body" w:hAnsi="Calibri body" w:cstheme="minorHAnsi"/>
          <w:i/>
          <w:iCs/>
          <w:sz w:val="24"/>
          <w:szCs w:val="24"/>
        </w:rPr>
        <w:t>American Journal of Philology</w:t>
      </w:r>
      <w:r w:rsidRPr="00C63C3C">
        <w:rPr>
          <w:rFonts w:ascii="Calibri body" w:hAnsi="Calibri body" w:cstheme="minorHAnsi"/>
          <w:sz w:val="24"/>
          <w:szCs w:val="24"/>
        </w:rPr>
        <w:t xml:space="preserve">. 125. 2.  The Johns Hopkins University Press. </w:t>
      </w:r>
      <w:r w:rsidRPr="00C63C3C">
        <w:rPr>
          <w:rFonts w:ascii="Calibri body" w:hAnsi="Calibri body"/>
          <w:color w:val="0A0A0A"/>
          <w:sz w:val="24"/>
          <w:szCs w:val="24"/>
          <w:shd w:val="clear" w:color="auto" w:fill="FFFFFF"/>
        </w:rPr>
        <w:t>pp. 279-283</w:t>
      </w:r>
    </w:p>
    <w:p w14:paraId="4E935D7A" w14:textId="77777777" w:rsidR="0009251D" w:rsidRPr="001016D4" w:rsidRDefault="0009251D" w:rsidP="0009251D">
      <w:pPr>
        <w:rPr>
          <w:rFonts w:cstheme="minorHAnsi"/>
          <w:sz w:val="24"/>
          <w:szCs w:val="24"/>
        </w:rPr>
      </w:pPr>
      <w:r w:rsidRPr="001016D4">
        <w:rPr>
          <w:rFonts w:cstheme="minorHAnsi"/>
          <w:sz w:val="24"/>
          <w:szCs w:val="24"/>
        </w:rPr>
        <w:t>Casson, L. 1993. ‘Ptolemy II and the Hunting of African Elephants’, TAPA 123: 247-260.</w:t>
      </w:r>
    </w:p>
    <w:p w14:paraId="0675FE6B" w14:textId="77777777" w:rsidR="0009251D" w:rsidRPr="001016D4" w:rsidRDefault="0009251D" w:rsidP="0009251D">
      <w:pPr>
        <w:rPr>
          <w:sz w:val="24"/>
          <w:szCs w:val="24"/>
        </w:rPr>
      </w:pPr>
      <w:r w:rsidRPr="001016D4">
        <w:rPr>
          <w:sz w:val="24"/>
          <w:szCs w:val="24"/>
        </w:rPr>
        <w:t xml:space="preserve">Cobb, M. 2015. ‘The Chronology of Roman Trade in the Indian Ocean from Augustus to Early Third Century CE.’, </w:t>
      </w:r>
      <w:r w:rsidRPr="001016D4">
        <w:rPr>
          <w:i/>
          <w:iCs/>
          <w:sz w:val="24"/>
          <w:szCs w:val="24"/>
        </w:rPr>
        <w:t>Journal of the economic and social history of the Orient.</w:t>
      </w:r>
      <w:r w:rsidRPr="001016D4">
        <w:rPr>
          <w:sz w:val="24"/>
          <w:szCs w:val="24"/>
        </w:rPr>
        <w:t xml:space="preserve"> 58. 362-418.</w:t>
      </w:r>
    </w:p>
    <w:p w14:paraId="77AE1454" w14:textId="77777777" w:rsidR="0009251D" w:rsidRPr="001016D4" w:rsidRDefault="0009251D" w:rsidP="0009251D">
      <w:pPr>
        <w:rPr>
          <w:rFonts w:cstheme="minorHAnsi"/>
          <w:sz w:val="24"/>
          <w:szCs w:val="24"/>
        </w:rPr>
      </w:pPr>
      <w:r w:rsidRPr="001016D4">
        <w:rPr>
          <w:rFonts w:cstheme="minorHAnsi"/>
          <w:sz w:val="24"/>
          <w:szCs w:val="24"/>
        </w:rPr>
        <w:t>Cobb, M. 2018. Rome and the Indian Ocean Trade from Augustus to the Early Third Century CE. Leiden: Brill.</w:t>
      </w:r>
    </w:p>
    <w:p w14:paraId="6C4EC2F7" w14:textId="77777777" w:rsidR="0009251D" w:rsidRPr="001016D4" w:rsidRDefault="0009251D" w:rsidP="0009251D">
      <w:pPr>
        <w:rPr>
          <w:rFonts w:cstheme="minorHAnsi"/>
          <w:sz w:val="24"/>
          <w:szCs w:val="24"/>
        </w:rPr>
      </w:pPr>
      <w:r w:rsidRPr="001016D4">
        <w:rPr>
          <w:rFonts w:cstheme="minorHAnsi"/>
          <w:sz w:val="24"/>
          <w:szCs w:val="24"/>
        </w:rPr>
        <w:t xml:space="preserve">Cuvigny, H. 2014. ‘Papyrological Evidence on ‘Barbarians’ in the Egyptian Eastern Desert’. </w:t>
      </w:r>
      <w:r w:rsidRPr="001016D4">
        <w:rPr>
          <w:rFonts w:cstheme="minorHAnsi"/>
          <w:i/>
          <w:iCs/>
          <w:sz w:val="24"/>
          <w:szCs w:val="24"/>
        </w:rPr>
        <w:t>Inside and out: Interactions between Rome and the people on the Arabian and Egyptian frontiers in Late Antiquity</w:t>
      </w:r>
      <w:r w:rsidRPr="001016D4">
        <w:rPr>
          <w:rFonts w:cstheme="minorHAnsi"/>
          <w:sz w:val="24"/>
          <w:szCs w:val="24"/>
        </w:rPr>
        <w:t>. Leuven: 165-98.</w:t>
      </w:r>
    </w:p>
    <w:p w14:paraId="249A5FAA" w14:textId="77777777" w:rsidR="0009251D" w:rsidRPr="001016D4" w:rsidRDefault="0009251D" w:rsidP="0009251D">
      <w:pPr>
        <w:rPr>
          <w:rFonts w:cstheme="minorHAnsi"/>
          <w:sz w:val="24"/>
          <w:szCs w:val="24"/>
        </w:rPr>
      </w:pPr>
      <w:proofErr w:type="spellStart"/>
      <w:r w:rsidRPr="001016D4">
        <w:rPr>
          <w:rFonts w:cstheme="minorHAnsi"/>
          <w:sz w:val="24"/>
          <w:szCs w:val="24"/>
        </w:rPr>
        <w:t>Faucher</w:t>
      </w:r>
      <w:proofErr w:type="spellEnd"/>
      <w:r w:rsidRPr="001016D4">
        <w:rPr>
          <w:rFonts w:cstheme="minorHAnsi"/>
          <w:sz w:val="24"/>
          <w:szCs w:val="24"/>
        </w:rPr>
        <w:t>, T., and Redon, B. 2015. ‘Gold mining in Early Ptolemaic Egypt’, The Journal of Egyptian Archaeology. 46. 17-19.</w:t>
      </w:r>
    </w:p>
    <w:p w14:paraId="5154BFD1" w14:textId="77777777" w:rsidR="0009251D" w:rsidRPr="001016D4" w:rsidRDefault="0009251D" w:rsidP="0009251D">
      <w:pPr>
        <w:rPr>
          <w:rFonts w:cstheme="minorHAnsi"/>
          <w:sz w:val="24"/>
          <w:szCs w:val="24"/>
        </w:rPr>
      </w:pPr>
      <w:r w:rsidRPr="001016D4">
        <w:rPr>
          <w:rFonts w:cstheme="minorHAnsi"/>
          <w:sz w:val="24"/>
          <w:szCs w:val="24"/>
        </w:rPr>
        <w:t>Klemm, R., and Klemm, D.D. 2013. Gold and Gold Mining in Ancient Egypt and Nubia: Geoarchaeology of the Ancient Gold Mining Sites in the Egyptian and Sudanese Eastern Deserts. Berlin: Springer.</w:t>
      </w:r>
    </w:p>
    <w:p w14:paraId="3B4FA492" w14:textId="77777777" w:rsidR="0009251D" w:rsidRPr="001016D4" w:rsidRDefault="0009251D" w:rsidP="0009251D">
      <w:pPr>
        <w:rPr>
          <w:rFonts w:cstheme="minorHAnsi"/>
          <w:sz w:val="24"/>
          <w:szCs w:val="24"/>
        </w:rPr>
      </w:pPr>
      <w:r w:rsidRPr="001016D4">
        <w:rPr>
          <w:rFonts w:cstheme="minorHAnsi"/>
          <w:sz w:val="24"/>
          <w:szCs w:val="24"/>
        </w:rPr>
        <w:lastRenderedPageBreak/>
        <w:t xml:space="preserve">Meredith, D. 1952. ‘The Roman Remains in the Eastern Desert of Egypt’, The Journal of Egyptian Archaeology. 38. 94-111. </w:t>
      </w:r>
    </w:p>
    <w:p w14:paraId="7969413D" w14:textId="77777777" w:rsidR="0009251D" w:rsidRPr="007301D7" w:rsidRDefault="0009251D" w:rsidP="0009251D">
      <w:pPr>
        <w:rPr>
          <w:rFonts w:cstheme="minorHAnsi"/>
          <w:sz w:val="24"/>
          <w:szCs w:val="24"/>
        </w:rPr>
      </w:pPr>
      <w:r w:rsidRPr="001016D4">
        <w:rPr>
          <w:rFonts w:cstheme="minorHAnsi"/>
          <w:sz w:val="24"/>
          <w:szCs w:val="24"/>
        </w:rPr>
        <w:t xml:space="preserve">Meyer, C., Earl, B., Omar, M., and Smither, R.K. 2003. ‘Ancient Gold Extraction at Bir Umm </w:t>
      </w:r>
      <w:proofErr w:type="spellStart"/>
      <w:r w:rsidRPr="007301D7">
        <w:rPr>
          <w:rFonts w:cstheme="minorHAnsi"/>
          <w:sz w:val="24"/>
          <w:szCs w:val="24"/>
        </w:rPr>
        <w:t>Fawakhir</w:t>
      </w:r>
      <w:proofErr w:type="spellEnd"/>
      <w:r w:rsidRPr="007301D7">
        <w:rPr>
          <w:rFonts w:cstheme="minorHAnsi"/>
          <w:sz w:val="24"/>
          <w:szCs w:val="24"/>
        </w:rPr>
        <w:t xml:space="preserve">’, Journal of the American Research </w:t>
      </w:r>
      <w:proofErr w:type="spellStart"/>
      <w:r w:rsidRPr="007301D7">
        <w:rPr>
          <w:rFonts w:cstheme="minorHAnsi"/>
          <w:sz w:val="24"/>
          <w:szCs w:val="24"/>
        </w:rPr>
        <w:t>Center</w:t>
      </w:r>
      <w:proofErr w:type="spellEnd"/>
      <w:r w:rsidRPr="007301D7">
        <w:rPr>
          <w:rFonts w:cstheme="minorHAnsi"/>
          <w:sz w:val="24"/>
          <w:szCs w:val="24"/>
        </w:rPr>
        <w:t xml:space="preserve"> in Egypt. 40. 13-53.</w:t>
      </w:r>
    </w:p>
    <w:p w14:paraId="55F8B6F2" w14:textId="77777777" w:rsidR="0009251D" w:rsidRPr="007301D7" w:rsidRDefault="0009251D" w:rsidP="0009251D">
      <w:pPr>
        <w:rPr>
          <w:rFonts w:cstheme="minorHAnsi"/>
          <w:sz w:val="24"/>
          <w:szCs w:val="24"/>
        </w:rPr>
      </w:pPr>
      <w:r w:rsidRPr="007301D7">
        <w:rPr>
          <w:rFonts w:cstheme="minorHAnsi"/>
          <w:sz w:val="24"/>
          <w:szCs w:val="24"/>
        </w:rPr>
        <w:t>Paprocki, M. 2019. Roads in the Deserts of Roman Egypt. Oxford: Oxbow Books.</w:t>
      </w:r>
    </w:p>
    <w:p w14:paraId="418F506F" w14:textId="77777777" w:rsidR="0009251D" w:rsidRPr="007301D7" w:rsidRDefault="0009251D" w:rsidP="0009251D">
      <w:pPr>
        <w:rPr>
          <w:rFonts w:cstheme="minorHAnsi"/>
          <w:sz w:val="24"/>
          <w:szCs w:val="24"/>
        </w:rPr>
      </w:pPr>
      <w:r w:rsidRPr="007301D7">
        <w:rPr>
          <w:rFonts w:cstheme="minorHAnsi"/>
          <w:sz w:val="24"/>
          <w:szCs w:val="24"/>
        </w:rPr>
        <w:t xml:space="preserve">Sidebotham, S.E. </w:t>
      </w:r>
      <w:proofErr w:type="spellStart"/>
      <w:r w:rsidRPr="007301D7">
        <w:rPr>
          <w:rFonts w:cstheme="minorHAnsi"/>
          <w:sz w:val="24"/>
          <w:szCs w:val="24"/>
        </w:rPr>
        <w:t>Hense</w:t>
      </w:r>
      <w:proofErr w:type="spellEnd"/>
      <w:r w:rsidRPr="007301D7">
        <w:rPr>
          <w:rFonts w:cstheme="minorHAnsi"/>
          <w:sz w:val="24"/>
          <w:szCs w:val="24"/>
        </w:rPr>
        <w:t xml:space="preserve">, M. and </w:t>
      </w:r>
      <w:proofErr w:type="spellStart"/>
      <w:r w:rsidRPr="007301D7">
        <w:rPr>
          <w:rFonts w:cstheme="minorHAnsi"/>
          <w:sz w:val="24"/>
          <w:szCs w:val="24"/>
        </w:rPr>
        <w:t>Nouwent</w:t>
      </w:r>
      <w:proofErr w:type="spellEnd"/>
      <w:r w:rsidRPr="007301D7">
        <w:rPr>
          <w:rFonts w:cstheme="minorHAnsi"/>
          <w:sz w:val="24"/>
          <w:szCs w:val="24"/>
        </w:rPr>
        <w:t xml:space="preserve">, H.M. 2008. </w:t>
      </w:r>
      <w:r w:rsidRPr="007301D7">
        <w:rPr>
          <w:rFonts w:cstheme="minorHAnsi"/>
          <w:i/>
          <w:iCs/>
          <w:sz w:val="24"/>
          <w:szCs w:val="24"/>
        </w:rPr>
        <w:t xml:space="preserve">The Red Land: The Illustrated Archaeology of </w:t>
      </w:r>
      <w:proofErr w:type="spellStart"/>
      <w:r w:rsidRPr="007301D7">
        <w:rPr>
          <w:rFonts w:cstheme="minorHAnsi"/>
          <w:i/>
          <w:iCs/>
          <w:sz w:val="24"/>
          <w:szCs w:val="24"/>
        </w:rPr>
        <w:t>Egypts</w:t>
      </w:r>
      <w:proofErr w:type="spellEnd"/>
      <w:r w:rsidRPr="007301D7">
        <w:rPr>
          <w:rFonts w:cstheme="minorHAnsi"/>
          <w:i/>
          <w:iCs/>
          <w:sz w:val="24"/>
          <w:szCs w:val="24"/>
        </w:rPr>
        <w:t xml:space="preserve"> Eastern Desert.</w:t>
      </w:r>
      <w:r w:rsidRPr="007301D7">
        <w:rPr>
          <w:rFonts w:cstheme="minorHAnsi"/>
          <w:sz w:val="24"/>
          <w:szCs w:val="24"/>
        </w:rPr>
        <w:t xml:space="preserve"> Cairo: The American University of Cairo Press.</w:t>
      </w:r>
    </w:p>
    <w:p w14:paraId="320D8918" w14:textId="77777777" w:rsidR="0009251D" w:rsidRPr="007301D7" w:rsidRDefault="0009251D" w:rsidP="0009251D">
      <w:pPr>
        <w:rPr>
          <w:rFonts w:cstheme="minorHAnsi"/>
          <w:sz w:val="24"/>
          <w:szCs w:val="24"/>
        </w:rPr>
      </w:pPr>
      <w:r w:rsidRPr="007301D7">
        <w:rPr>
          <w:rFonts w:cstheme="minorHAnsi"/>
          <w:sz w:val="24"/>
          <w:szCs w:val="24"/>
        </w:rPr>
        <w:t>Sidebotham, S.E. 2011. Berenike and the Ancient Maritime Spice Route. Berkeley: University of California Press.</w:t>
      </w:r>
    </w:p>
    <w:p w14:paraId="4C511E3B" w14:textId="77777777" w:rsidR="0009251D" w:rsidRPr="007301D7" w:rsidRDefault="0009251D" w:rsidP="0009251D">
      <w:pPr>
        <w:rPr>
          <w:sz w:val="24"/>
          <w:szCs w:val="24"/>
        </w:rPr>
      </w:pPr>
      <w:r w:rsidRPr="007301D7">
        <w:rPr>
          <w:sz w:val="24"/>
          <w:szCs w:val="24"/>
        </w:rPr>
        <w:t xml:space="preserve">Sidebotham, 2014. ‘Religion and Burial at the Ptolemaic-Roman Red Sea Emporium of Berenike, Egypt’, </w:t>
      </w:r>
      <w:r w:rsidRPr="007301D7">
        <w:rPr>
          <w:i/>
          <w:iCs/>
          <w:sz w:val="24"/>
          <w:szCs w:val="24"/>
        </w:rPr>
        <w:t>African Archaeological Review.</w:t>
      </w:r>
      <w:r w:rsidRPr="007301D7">
        <w:rPr>
          <w:sz w:val="24"/>
          <w:szCs w:val="24"/>
        </w:rPr>
        <w:t xml:space="preserve"> 31, 4. 599-635.</w:t>
      </w:r>
    </w:p>
    <w:p w14:paraId="5F01A655" w14:textId="77777777" w:rsidR="0009251D" w:rsidRPr="001016D4" w:rsidRDefault="0009251D" w:rsidP="0009251D">
      <w:pPr>
        <w:rPr>
          <w:rFonts w:cstheme="minorHAnsi"/>
          <w:sz w:val="24"/>
          <w:szCs w:val="24"/>
        </w:rPr>
      </w:pPr>
    </w:p>
    <w:p w14:paraId="0617D579" w14:textId="77777777" w:rsidR="00617D08" w:rsidRPr="00F55E32" w:rsidRDefault="00617D08" w:rsidP="00D833AB"/>
    <w:sectPr w:rsidR="00617D08" w:rsidRPr="00F55E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E2E24" w14:textId="77777777" w:rsidR="0070437A" w:rsidRDefault="0070437A" w:rsidP="00F9582B">
      <w:pPr>
        <w:spacing w:after="0" w:line="240" w:lineRule="auto"/>
      </w:pPr>
      <w:r>
        <w:separator/>
      </w:r>
    </w:p>
  </w:endnote>
  <w:endnote w:type="continuationSeparator" w:id="0">
    <w:p w14:paraId="07BAAF4E" w14:textId="77777777" w:rsidR="0070437A" w:rsidRDefault="0070437A" w:rsidP="00F95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body">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95143" w14:textId="77777777" w:rsidR="0070437A" w:rsidRDefault="0070437A" w:rsidP="00F9582B">
      <w:pPr>
        <w:spacing w:after="0" w:line="240" w:lineRule="auto"/>
      </w:pPr>
      <w:r>
        <w:separator/>
      </w:r>
    </w:p>
  </w:footnote>
  <w:footnote w:type="continuationSeparator" w:id="0">
    <w:p w14:paraId="4438B27F" w14:textId="77777777" w:rsidR="0070437A" w:rsidRDefault="0070437A" w:rsidP="00F9582B">
      <w:pPr>
        <w:spacing w:after="0" w:line="240" w:lineRule="auto"/>
      </w:pPr>
      <w:r>
        <w:continuationSeparator/>
      </w:r>
    </w:p>
  </w:footnote>
  <w:footnote w:id="1">
    <w:p w14:paraId="1A68315B" w14:textId="77777777" w:rsidR="00EE004C" w:rsidRDefault="00EE004C" w:rsidP="00EE004C">
      <w:pPr>
        <w:pStyle w:val="FootnoteText"/>
      </w:pPr>
      <w:r>
        <w:rPr>
          <w:rStyle w:val="FootnoteReference"/>
        </w:rPr>
        <w:footnoteRef/>
      </w:r>
      <w:r>
        <w:t xml:space="preserve"> Sidebotham, </w:t>
      </w:r>
      <w:proofErr w:type="spellStart"/>
      <w:r>
        <w:t>Hense</w:t>
      </w:r>
      <w:proofErr w:type="spellEnd"/>
      <w:r>
        <w:t xml:space="preserve">, and </w:t>
      </w:r>
      <w:proofErr w:type="spellStart"/>
      <w:r>
        <w:t>Nouwens</w:t>
      </w:r>
      <w:proofErr w:type="spellEnd"/>
      <w:r>
        <w:t xml:space="preserve"> 2008: 21-23</w:t>
      </w:r>
    </w:p>
  </w:footnote>
  <w:footnote w:id="2">
    <w:p w14:paraId="2A3A34C5" w14:textId="77777777" w:rsidR="00EE004C" w:rsidRDefault="00EE004C" w:rsidP="00EE004C">
      <w:pPr>
        <w:pStyle w:val="FootnoteText"/>
      </w:pPr>
      <w:r>
        <w:rPr>
          <w:rStyle w:val="FootnoteReference"/>
        </w:rPr>
        <w:footnoteRef/>
      </w:r>
      <w:r>
        <w:t xml:space="preserve"> Sidebotham, </w:t>
      </w:r>
      <w:proofErr w:type="spellStart"/>
      <w:r>
        <w:t>Hense</w:t>
      </w:r>
      <w:proofErr w:type="spellEnd"/>
      <w:r>
        <w:t xml:space="preserve">, and </w:t>
      </w:r>
      <w:proofErr w:type="spellStart"/>
      <w:r>
        <w:t>Nouwens</w:t>
      </w:r>
      <w:proofErr w:type="spellEnd"/>
      <w:r>
        <w:t xml:space="preserve"> 2008: 29-33</w:t>
      </w:r>
    </w:p>
  </w:footnote>
  <w:footnote w:id="3">
    <w:p w14:paraId="160732B3" w14:textId="77777777" w:rsidR="00EE004C" w:rsidRDefault="00EE004C" w:rsidP="00EE004C">
      <w:pPr>
        <w:pStyle w:val="FootnoteText"/>
      </w:pPr>
      <w:r>
        <w:rPr>
          <w:rStyle w:val="FootnoteReference"/>
        </w:rPr>
        <w:footnoteRef/>
      </w:r>
      <w:r>
        <w:t xml:space="preserve"> </w:t>
      </w:r>
      <w:proofErr w:type="spellStart"/>
      <w:r>
        <w:t>Diod</w:t>
      </w:r>
      <w:proofErr w:type="spellEnd"/>
      <w:r>
        <w:t>. 11.3.1</w:t>
      </w:r>
    </w:p>
  </w:footnote>
  <w:footnote w:id="4">
    <w:p w14:paraId="2D30BB4B" w14:textId="77777777" w:rsidR="00EE004C" w:rsidRPr="00CC574C" w:rsidRDefault="00EE004C" w:rsidP="00EE004C">
      <w:pPr>
        <w:pStyle w:val="FootnoteText"/>
      </w:pPr>
      <w:r>
        <w:rPr>
          <w:rStyle w:val="FootnoteReference"/>
        </w:rPr>
        <w:footnoteRef/>
      </w:r>
      <w:r>
        <w:t xml:space="preserve"> Arr. </w:t>
      </w:r>
      <w:r>
        <w:rPr>
          <w:i/>
          <w:iCs/>
        </w:rPr>
        <w:t>P.M.E.</w:t>
      </w:r>
      <w:r>
        <w:t xml:space="preserve"> 54</w:t>
      </w:r>
    </w:p>
  </w:footnote>
  <w:footnote w:id="5">
    <w:p w14:paraId="418E03EA" w14:textId="77777777" w:rsidR="00EE004C" w:rsidRDefault="00EE004C" w:rsidP="00EE004C">
      <w:pPr>
        <w:pStyle w:val="FootnoteText"/>
      </w:pPr>
      <w:r>
        <w:rPr>
          <w:rStyle w:val="FootnoteReference"/>
        </w:rPr>
        <w:footnoteRef/>
      </w:r>
      <w:r>
        <w:t xml:space="preserve"> </w:t>
      </w:r>
      <w:proofErr w:type="spellStart"/>
      <w:r>
        <w:t>Plin</w:t>
      </w:r>
      <w:proofErr w:type="spellEnd"/>
      <w:r>
        <w:t>.</w:t>
      </w:r>
      <w:r>
        <w:rPr>
          <w:i/>
          <w:iCs/>
        </w:rPr>
        <w:t xml:space="preserve"> N.H.</w:t>
      </w:r>
      <w:r>
        <w:t xml:space="preserve">  5.8</w:t>
      </w:r>
    </w:p>
  </w:footnote>
  <w:footnote w:id="6">
    <w:p w14:paraId="0038EF6B" w14:textId="77777777" w:rsidR="00EE004C" w:rsidRDefault="00EE004C" w:rsidP="00EE004C">
      <w:pPr>
        <w:pStyle w:val="FootnoteText"/>
      </w:pPr>
      <w:r>
        <w:rPr>
          <w:rStyle w:val="FootnoteReference"/>
        </w:rPr>
        <w:footnoteRef/>
      </w:r>
      <w:r>
        <w:t xml:space="preserve"> Sidebotham, </w:t>
      </w:r>
      <w:proofErr w:type="spellStart"/>
      <w:r>
        <w:t>Hense</w:t>
      </w:r>
      <w:proofErr w:type="spellEnd"/>
      <w:r>
        <w:t xml:space="preserve">, and </w:t>
      </w:r>
      <w:proofErr w:type="spellStart"/>
      <w:r>
        <w:t>Nouwens</w:t>
      </w:r>
      <w:proofErr w:type="spellEnd"/>
      <w:r>
        <w:t xml:space="preserve"> 2008: 29-33</w:t>
      </w:r>
    </w:p>
  </w:footnote>
  <w:footnote w:id="7">
    <w:p w14:paraId="23459352" w14:textId="77777777" w:rsidR="00EE004C" w:rsidRDefault="00EE004C" w:rsidP="00EE004C">
      <w:pPr>
        <w:pStyle w:val="FootnoteText"/>
      </w:pPr>
      <w:r>
        <w:rPr>
          <w:rStyle w:val="FootnoteReference"/>
        </w:rPr>
        <w:footnoteRef/>
      </w:r>
      <w:r>
        <w:t xml:space="preserve"> Sidebotham 2011: 3</w:t>
      </w:r>
    </w:p>
  </w:footnote>
  <w:footnote w:id="8">
    <w:p w14:paraId="3F317427" w14:textId="77777777" w:rsidR="00EE004C" w:rsidRDefault="00EE004C" w:rsidP="00EE004C">
      <w:pPr>
        <w:pStyle w:val="FootnoteText"/>
      </w:pPr>
      <w:r>
        <w:rPr>
          <w:rStyle w:val="FootnoteReference"/>
        </w:rPr>
        <w:footnoteRef/>
      </w:r>
      <w:r>
        <w:t xml:space="preserve"> Sidebotham 2011: 1-16</w:t>
      </w:r>
    </w:p>
  </w:footnote>
  <w:footnote w:id="9">
    <w:p w14:paraId="6741C958" w14:textId="77777777" w:rsidR="00EE004C" w:rsidRDefault="00EE004C" w:rsidP="00EE004C">
      <w:pPr>
        <w:pStyle w:val="FootnoteText"/>
      </w:pPr>
      <w:r>
        <w:rPr>
          <w:rStyle w:val="FootnoteReference"/>
        </w:rPr>
        <w:footnoteRef/>
      </w:r>
      <w:r>
        <w:t xml:space="preserve"> Cobb 2015: 362-379; Sidebotham 2011: 1-16</w:t>
      </w:r>
    </w:p>
  </w:footnote>
  <w:footnote w:id="10">
    <w:p w14:paraId="14DB8533" w14:textId="0D353E97" w:rsidR="00222BD9" w:rsidRPr="00EF0CC7" w:rsidRDefault="00222BD9">
      <w:pPr>
        <w:pStyle w:val="FootnoteText"/>
      </w:pPr>
      <w:r w:rsidRPr="00EF0CC7">
        <w:rPr>
          <w:rStyle w:val="FootnoteReference"/>
        </w:rPr>
        <w:footnoteRef/>
      </w:r>
      <w:r w:rsidRPr="00EF0CC7">
        <w:t xml:space="preserve"> </w:t>
      </w:r>
      <w:r w:rsidRPr="00EF0CC7">
        <w:t>Strabo 16.4.23</w:t>
      </w:r>
    </w:p>
  </w:footnote>
  <w:footnote w:id="11">
    <w:p w14:paraId="66372BC1" w14:textId="45E7D89D" w:rsidR="00222BD9" w:rsidRPr="00EF0CC7" w:rsidRDefault="00222BD9">
      <w:pPr>
        <w:pStyle w:val="FootnoteText"/>
      </w:pPr>
      <w:r w:rsidRPr="00EF0CC7">
        <w:rPr>
          <w:rStyle w:val="FootnoteReference"/>
        </w:rPr>
        <w:footnoteRef/>
      </w:r>
      <w:r w:rsidRPr="00EF0CC7">
        <w:t xml:space="preserve"> </w:t>
      </w:r>
      <w:r w:rsidRPr="00EF0CC7">
        <w:t xml:space="preserve">Periplus 23; </w:t>
      </w:r>
      <w:proofErr w:type="spellStart"/>
      <w:r w:rsidRPr="00EF0CC7">
        <w:t>Itinerarium</w:t>
      </w:r>
      <w:proofErr w:type="spellEnd"/>
      <w:r w:rsidRPr="00EF0CC7">
        <w:t xml:space="preserve"> </w:t>
      </w:r>
      <w:proofErr w:type="spellStart"/>
      <w:r w:rsidRPr="00EF0CC7">
        <w:t>Egeriae</w:t>
      </w:r>
      <w:proofErr w:type="spellEnd"/>
      <w:r w:rsidRPr="00EF0CC7">
        <w:t xml:space="preserve"> 6.4.7.</w:t>
      </w:r>
    </w:p>
  </w:footnote>
  <w:footnote w:id="12">
    <w:p w14:paraId="65EA3E15" w14:textId="2D9D9707" w:rsidR="00165B9A" w:rsidRPr="00EF0CC7" w:rsidRDefault="00165B9A">
      <w:pPr>
        <w:pStyle w:val="FootnoteText"/>
      </w:pPr>
      <w:r w:rsidRPr="00EF0CC7">
        <w:rPr>
          <w:rStyle w:val="FootnoteReference"/>
        </w:rPr>
        <w:footnoteRef/>
      </w:r>
      <w:r w:rsidRPr="00EF0CC7">
        <w:t xml:space="preserve"> </w:t>
      </w:r>
      <w:proofErr w:type="spellStart"/>
      <w:r w:rsidRPr="00EF0CC7">
        <w:t>Agatharkhides</w:t>
      </w:r>
      <w:proofErr w:type="spellEnd"/>
      <w:r w:rsidRPr="00EF0CC7">
        <w:t xml:space="preserve"> frag. 62-64</w:t>
      </w:r>
    </w:p>
  </w:footnote>
  <w:footnote w:id="13">
    <w:p w14:paraId="4821E182" w14:textId="7C760C77" w:rsidR="00F9582B" w:rsidRPr="00EF0CC7" w:rsidRDefault="00F9582B">
      <w:pPr>
        <w:pStyle w:val="FootnoteText"/>
      </w:pPr>
      <w:r w:rsidRPr="00EF0CC7">
        <w:rPr>
          <w:rStyle w:val="FootnoteReference"/>
        </w:rPr>
        <w:footnoteRef/>
      </w:r>
      <w:r w:rsidRPr="00EF0CC7">
        <w:t xml:space="preserve"> </w:t>
      </w:r>
      <w:r w:rsidRPr="00EF0CC7">
        <w:t>Strabo 16.4.4-5</w:t>
      </w:r>
      <w:r w:rsidR="00674E10" w:rsidRPr="00EF0CC7">
        <w:t xml:space="preserve">; </w:t>
      </w:r>
      <w:r w:rsidR="00674E10" w:rsidRPr="00EF0CC7">
        <w:t>17.1.25-30; Periplus 2-12; Pliny NH 6.33.163-64</w:t>
      </w:r>
    </w:p>
  </w:footnote>
  <w:footnote w:id="14">
    <w:p w14:paraId="061B4DA3" w14:textId="6C434AEC" w:rsidR="007E4FAD" w:rsidRPr="00EF0CC7" w:rsidRDefault="007E4FAD">
      <w:pPr>
        <w:pStyle w:val="FootnoteText"/>
      </w:pPr>
      <w:r w:rsidRPr="00EF0CC7">
        <w:rPr>
          <w:rStyle w:val="FootnoteReference"/>
        </w:rPr>
        <w:footnoteRef/>
      </w:r>
      <w:r w:rsidRPr="00EF0CC7">
        <w:t xml:space="preserve"> </w:t>
      </w:r>
      <w:r w:rsidRPr="00EF0CC7">
        <w:t xml:space="preserve">Periplus 2; </w:t>
      </w:r>
      <w:proofErr w:type="spellStart"/>
      <w:r w:rsidRPr="00EF0CC7">
        <w:t>Agatharkhides</w:t>
      </w:r>
      <w:proofErr w:type="spellEnd"/>
      <w:r w:rsidRPr="00EF0CC7">
        <w:t xml:space="preserve"> Frag. 5.30-49</w:t>
      </w:r>
    </w:p>
  </w:footnote>
  <w:footnote w:id="15">
    <w:p w14:paraId="4CEFFAFF" w14:textId="274EED52" w:rsidR="00C2435F" w:rsidRPr="00EF0CC7" w:rsidRDefault="00C2435F">
      <w:pPr>
        <w:pStyle w:val="FootnoteText"/>
      </w:pPr>
      <w:r w:rsidRPr="00EF0CC7">
        <w:rPr>
          <w:rStyle w:val="FootnoteReference"/>
        </w:rPr>
        <w:footnoteRef/>
      </w:r>
      <w:r w:rsidRPr="00EF0CC7">
        <w:t xml:space="preserve"> </w:t>
      </w:r>
      <w:proofErr w:type="spellStart"/>
      <w:r w:rsidRPr="00EF0CC7">
        <w:t>Apollodorus</w:t>
      </w:r>
      <w:proofErr w:type="spellEnd"/>
      <w:r w:rsidRPr="00EF0CC7">
        <w:t xml:space="preserve"> </w:t>
      </w:r>
      <w:proofErr w:type="spellStart"/>
      <w:r w:rsidRPr="00EF0CC7">
        <w:t>Periegesis</w:t>
      </w:r>
      <w:proofErr w:type="spellEnd"/>
      <w:r w:rsidRPr="00EF0CC7">
        <w:t xml:space="preserve"> Frag. 106; Diodorus Siculus 1.37.8</w:t>
      </w:r>
    </w:p>
  </w:footnote>
  <w:footnote w:id="16">
    <w:p w14:paraId="2D5E121E" w14:textId="21CDF3E2" w:rsidR="00FE4D36" w:rsidRPr="00EF0CC7" w:rsidRDefault="00FE4D36">
      <w:pPr>
        <w:pStyle w:val="FootnoteText"/>
      </w:pPr>
      <w:r w:rsidRPr="00EF0CC7">
        <w:rPr>
          <w:rStyle w:val="FootnoteReference"/>
        </w:rPr>
        <w:footnoteRef/>
      </w:r>
      <w:r w:rsidRPr="00EF0CC7">
        <w:t xml:space="preserve"> </w:t>
      </w:r>
      <w:r w:rsidRPr="00EF0CC7">
        <w:t xml:space="preserve">Periplus; </w:t>
      </w:r>
      <w:proofErr w:type="spellStart"/>
      <w:r w:rsidRPr="00EF0CC7">
        <w:t>ostraka</w:t>
      </w:r>
      <w:proofErr w:type="spellEnd"/>
      <w:r w:rsidRPr="00EF0CC7">
        <w:t xml:space="preserve"> from </w:t>
      </w:r>
      <w:proofErr w:type="spellStart"/>
      <w:r w:rsidRPr="00EF0CC7">
        <w:t>Krokodilo</w:t>
      </w:r>
      <w:proofErr w:type="spellEnd"/>
      <w:r w:rsidRPr="00EF0CC7">
        <w:t xml:space="preserve">, </w:t>
      </w:r>
      <w:proofErr w:type="spellStart"/>
      <w:r w:rsidRPr="00EF0CC7">
        <w:t>Didymoi</w:t>
      </w:r>
      <w:proofErr w:type="spellEnd"/>
      <w:r w:rsidRPr="00EF0CC7">
        <w:t xml:space="preserve">, </w:t>
      </w:r>
      <w:proofErr w:type="spellStart"/>
      <w:r w:rsidRPr="00EF0CC7">
        <w:t>Xeron</w:t>
      </w:r>
      <w:proofErr w:type="spellEnd"/>
      <w:r w:rsidRPr="00EF0CC7">
        <w:t xml:space="preserve">, and Dios; </w:t>
      </w:r>
      <w:proofErr w:type="spellStart"/>
      <w:proofErr w:type="gramStart"/>
      <w:r w:rsidRPr="00EF0CC7">
        <w:t>P.CtYBR</w:t>
      </w:r>
      <w:proofErr w:type="spellEnd"/>
      <w:proofErr w:type="gramEnd"/>
      <w:r w:rsidRPr="00EF0CC7">
        <w:t xml:space="preserve"> inv. 624 – ZPE 171 (2009)</w:t>
      </w:r>
    </w:p>
  </w:footnote>
  <w:footnote w:id="17">
    <w:p w14:paraId="04DD9EA7" w14:textId="354EA9D2" w:rsidR="002F7F55" w:rsidRPr="00EF0CC7" w:rsidRDefault="002F7F55">
      <w:pPr>
        <w:pStyle w:val="FootnoteText"/>
      </w:pPr>
      <w:r w:rsidRPr="00EF0CC7">
        <w:rPr>
          <w:rStyle w:val="FootnoteReference"/>
        </w:rPr>
        <w:footnoteRef/>
      </w:r>
      <w:r w:rsidRPr="00EF0CC7">
        <w:t xml:space="preserve"> </w:t>
      </w:r>
      <w:r w:rsidRPr="00EF0CC7">
        <w:t>Periplus 4</w:t>
      </w:r>
    </w:p>
  </w:footnote>
  <w:footnote w:id="18">
    <w:p w14:paraId="0EF0208A" w14:textId="6B7205EC" w:rsidR="009B6DA5" w:rsidRPr="00EF0CC7" w:rsidRDefault="009B6DA5">
      <w:pPr>
        <w:pStyle w:val="FootnoteText"/>
      </w:pPr>
      <w:r w:rsidRPr="00EF0CC7">
        <w:rPr>
          <w:rStyle w:val="FootnoteReference"/>
        </w:rPr>
        <w:footnoteRef/>
      </w:r>
      <w:r w:rsidRPr="00EF0CC7">
        <w:t xml:space="preserve"> </w:t>
      </w:r>
      <w:r w:rsidRPr="00EF0CC7">
        <w:t>Strabo 17.1.53</w:t>
      </w:r>
    </w:p>
  </w:footnote>
  <w:footnote w:id="19">
    <w:p w14:paraId="01421751" w14:textId="77D92D80" w:rsidR="00BC3098" w:rsidRPr="00EF0CC7" w:rsidRDefault="00BC3098">
      <w:pPr>
        <w:pStyle w:val="FootnoteText"/>
      </w:pPr>
      <w:r w:rsidRPr="00EF0CC7">
        <w:rPr>
          <w:rStyle w:val="FootnoteReference"/>
        </w:rPr>
        <w:footnoteRef/>
      </w:r>
      <w:r w:rsidRPr="00EF0CC7">
        <w:t xml:space="preserve"> </w:t>
      </w:r>
      <w:r w:rsidR="00E052A9" w:rsidRPr="00EF0CC7">
        <w:t xml:space="preserve">O. </w:t>
      </w:r>
      <w:proofErr w:type="spellStart"/>
      <w:r w:rsidR="00E052A9" w:rsidRPr="00EF0CC7">
        <w:t>Krok</w:t>
      </w:r>
      <w:proofErr w:type="spellEnd"/>
      <w:r w:rsidR="00E052A9" w:rsidRPr="00EF0CC7">
        <w:t xml:space="preserve">. 60 </w:t>
      </w:r>
    </w:p>
  </w:footnote>
  <w:footnote w:id="20">
    <w:p w14:paraId="40B9A91D" w14:textId="3D594AC2" w:rsidR="00E052A9" w:rsidRPr="00EF0CC7" w:rsidRDefault="00E052A9">
      <w:pPr>
        <w:pStyle w:val="FootnoteText"/>
      </w:pPr>
      <w:r w:rsidRPr="00EF0CC7">
        <w:rPr>
          <w:rStyle w:val="FootnoteReference"/>
        </w:rPr>
        <w:footnoteRef/>
      </w:r>
      <w:r w:rsidRPr="00EF0CC7">
        <w:t xml:space="preserve"> </w:t>
      </w:r>
      <w:r w:rsidRPr="00EF0CC7">
        <w:t>O. Did. 44</w:t>
      </w:r>
    </w:p>
  </w:footnote>
  <w:footnote w:id="21">
    <w:p w14:paraId="6125BAA5" w14:textId="0215DCC1" w:rsidR="00BD1069" w:rsidRPr="00EF0CC7" w:rsidRDefault="00BD1069">
      <w:pPr>
        <w:pStyle w:val="FootnoteText"/>
      </w:pPr>
      <w:r w:rsidRPr="00EF0CC7">
        <w:rPr>
          <w:rStyle w:val="FootnoteReference"/>
        </w:rPr>
        <w:footnoteRef/>
      </w:r>
      <w:r w:rsidRPr="00EF0CC7">
        <w:t xml:space="preserve"> </w:t>
      </w:r>
      <w:r w:rsidRPr="00EF0CC7">
        <w:t xml:space="preserve">O. </w:t>
      </w:r>
      <w:proofErr w:type="spellStart"/>
      <w:r w:rsidRPr="00EF0CC7">
        <w:t>Krok</w:t>
      </w:r>
      <w:proofErr w:type="spellEnd"/>
      <w:r w:rsidRPr="00EF0CC7">
        <w:t>. 51</w:t>
      </w:r>
      <w:r w:rsidRPr="00EF0CC7">
        <w:t xml:space="preserve">; </w:t>
      </w:r>
      <w:r w:rsidRPr="00EF0CC7">
        <w:t xml:space="preserve">O. </w:t>
      </w:r>
      <w:proofErr w:type="spellStart"/>
      <w:r w:rsidRPr="00EF0CC7">
        <w:t>Krok</w:t>
      </w:r>
      <w:proofErr w:type="spellEnd"/>
      <w:r w:rsidRPr="00EF0CC7">
        <w:t>. 87</w:t>
      </w:r>
    </w:p>
  </w:footnote>
  <w:footnote w:id="22">
    <w:p w14:paraId="50691473" w14:textId="294274A1" w:rsidR="00C44761" w:rsidRPr="00EF0CC7" w:rsidRDefault="00C44761">
      <w:pPr>
        <w:pStyle w:val="FootnoteText"/>
      </w:pPr>
      <w:r w:rsidRPr="00EF0CC7">
        <w:rPr>
          <w:rStyle w:val="FootnoteReference"/>
        </w:rPr>
        <w:footnoteRef/>
      </w:r>
      <w:r w:rsidRPr="00EF0CC7">
        <w:t xml:space="preserve"> </w:t>
      </w:r>
      <w:r w:rsidRPr="00EF0CC7">
        <w:t>Cuvigny</w:t>
      </w:r>
      <w:r w:rsidRPr="00EF0CC7">
        <w:t>,</w:t>
      </w:r>
      <w:r w:rsidRPr="00EF0CC7">
        <w:t xml:space="preserve"> 2005</w:t>
      </w:r>
    </w:p>
  </w:footnote>
  <w:footnote w:id="23">
    <w:p w14:paraId="49FA4670" w14:textId="155C3ADC" w:rsidR="00C44761" w:rsidRPr="00EF0CC7" w:rsidRDefault="00C44761">
      <w:pPr>
        <w:pStyle w:val="FootnoteText"/>
      </w:pPr>
      <w:r w:rsidRPr="00EF0CC7">
        <w:rPr>
          <w:rStyle w:val="FootnoteReference"/>
        </w:rPr>
        <w:footnoteRef/>
      </w:r>
      <w:r w:rsidRPr="00EF0CC7">
        <w:t xml:space="preserve"> Turner, 1950. </w:t>
      </w:r>
      <w:r w:rsidRPr="00EF0CC7">
        <w:t>Papyrus 40</w:t>
      </w:r>
    </w:p>
  </w:footnote>
  <w:footnote w:id="24">
    <w:p w14:paraId="0288FCFA" w14:textId="1140D9DB" w:rsidR="003B3A28" w:rsidRPr="00EF0CC7" w:rsidRDefault="003B3A28">
      <w:pPr>
        <w:pStyle w:val="FootnoteText"/>
      </w:pPr>
      <w:r w:rsidRPr="00EF0CC7">
        <w:rPr>
          <w:rStyle w:val="FootnoteReference"/>
        </w:rPr>
        <w:footnoteRef/>
      </w:r>
      <w:r w:rsidRPr="00EF0CC7">
        <w:t xml:space="preserve"> </w:t>
      </w:r>
      <w:r w:rsidR="00B229F6" w:rsidRPr="00EF0CC7">
        <w:t xml:space="preserve">Sidebotham, </w:t>
      </w:r>
      <w:proofErr w:type="spellStart"/>
      <w:r w:rsidR="00B229F6" w:rsidRPr="00EF0CC7">
        <w:t>Hense</w:t>
      </w:r>
      <w:proofErr w:type="spellEnd"/>
      <w:r w:rsidR="00B229F6" w:rsidRPr="00EF0CC7">
        <w:t xml:space="preserve">, </w:t>
      </w:r>
      <w:proofErr w:type="spellStart"/>
      <w:r w:rsidR="00B229F6" w:rsidRPr="00EF0CC7">
        <w:t>Nouwens</w:t>
      </w:r>
      <w:proofErr w:type="spellEnd"/>
      <w:r w:rsidR="00B229F6" w:rsidRPr="00EF0CC7">
        <w:t xml:space="preserve">, </w:t>
      </w:r>
      <w:r w:rsidR="006A23EC" w:rsidRPr="00EF0CC7">
        <w:t>2008. 33</w:t>
      </w:r>
      <w:r w:rsidR="00F77352" w:rsidRPr="00EF0CC7">
        <w:t>3.</w:t>
      </w:r>
    </w:p>
  </w:footnote>
  <w:footnote w:id="25">
    <w:p w14:paraId="0BE501D4" w14:textId="6DFD5FBC" w:rsidR="0021531D" w:rsidRPr="00EF0CC7" w:rsidRDefault="0021531D">
      <w:pPr>
        <w:pStyle w:val="FootnoteText"/>
      </w:pPr>
      <w:r w:rsidRPr="00EF0CC7">
        <w:rPr>
          <w:rStyle w:val="FootnoteReference"/>
        </w:rPr>
        <w:footnoteRef/>
      </w:r>
      <w:r w:rsidRPr="00EF0CC7">
        <w:t xml:space="preserve"> Sidebotham, </w:t>
      </w:r>
      <w:proofErr w:type="spellStart"/>
      <w:r w:rsidRPr="00EF0CC7">
        <w:t>Hense</w:t>
      </w:r>
      <w:proofErr w:type="spellEnd"/>
      <w:r w:rsidRPr="00EF0CC7">
        <w:t xml:space="preserve">, </w:t>
      </w:r>
      <w:proofErr w:type="spellStart"/>
      <w:r w:rsidRPr="00EF0CC7">
        <w:t>Nouwens</w:t>
      </w:r>
      <w:proofErr w:type="spellEnd"/>
      <w:r w:rsidRPr="00EF0CC7">
        <w:t>, 2008. 332.</w:t>
      </w:r>
    </w:p>
  </w:footnote>
  <w:footnote w:id="26">
    <w:p w14:paraId="492AE07D" w14:textId="1FA97D4A" w:rsidR="005A2A27" w:rsidRPr="00EF0CC7" w:rsidRDefault="005A2A27">
      <w:pPr>
        <w:pStyle w:val="FootnoteText"/>
      </w:pPr>
      <w:r w:rsidRPr="00EF0CC7">
        <w:rPr>
          <w:rStyle w:val="FootnoteReference"/>
        </w:rPr>
        <w:footnoteRef/>
      </w:r>
      <w:r w:rsidRPr="00EF0CC7">
        <w:t xml:space="preserve"> </w:t>
      </w:r>
      <w:r w:rsidRPr="00EF0CC7">
        <w:t>O. Did. 41, 42, 43, 46</w:t>
      </w:r>
    </w:p>
  </w:footnote>
  <w:footnote w:id="27">
    <w:p w14:paraId="3D9C87E6" w14:textId="1D31CC23" w:rsidR="005A2A27" w:rsidRPr="00EF0CC7" w:rsidRDefault="005A2A27">
      <w:pPr>
        <w:pStyle w:val="FootnoteText"/>
      </w:pPr>
      <w:r w:rsidRPr="00EF0CC7">
        <w:rPr>
          <w:rStyle w:val="FootnoteReference"/>
        </w:rPr>
        <w:footnoteRef/>
      </w:r>
      <w:r w:rsidRPr="00EF0CC7">
        <w:t xml:space="preserve"> </w:t>
      </w:r>
      <w:r w:rsidRPr="00EF0CC7">
        <w:t>O. Xer. Inv. 465</w:t>
      </w:r>
    </w:p>
  </w:footnote>
  <w:footnote w:id="28">
    <w:p w14:paraId="0C548544" w14:textId="3257632F" w:rsidR="007A71A3" w:rsidRDefault="007A71A3">
      <w:pPr>
        <w:pStyle w:val="FootnoteText"/>
      </w:pPr>
      <w:r>
        <w:rPr>
          <w:rStyle w:val="FootnoteReference"/>
        </w:rPr>
        <w:footnoteRef/>
      </w:r>
      <w:r>
        <w:t xml:space="preserve"> </w:t>
      </w:r>
      <w:proofErr w:type="spellStart"/>
      <w:r>
        <w:t>Baldi</w:t>
      </w:r>
      <w:proofErr w:type="spellEnd"/>
      <w:r>
        <w:t xml:space="preserve">, </w:t>
      </w:r>
      <w:r w:rsidR="00CE011D">
        <w:t xml:space="preserve">2004. </w:t>
      </w:r>
    </w:p>
  </w:footnote>
  <w:footnote w:id="29">
    <w:p w14:paraId="1F453B16" w14:textId="580BB449" w:rsidR="008B265F" w:rsidRDefault="008B265F">
      <w:pPr>
        <w:pStyle w:val="FootnoteText"/>
      </w:pPr>
      <w:r>
        <w:rPr>
          <w:rStyle w:val="FootnoteReference"/>
        </w:rPr>
        <w:footnoteRef/>
      </w:r>
      <w:r>
        <w:t xml:space="preserve"> </w:t>
      </w:r>
      <w:proofErr w:type="spellStart"/>
      <w:r>
        <w:t>Baldi</w:t>
      </w:r>
      <w:proofErr w:type="spellEnd"/>
      <w:r>
        <w:t>, 2004.</w:t>
      </w:r>
    </w:p>
  </w:footnote>
  <w:footnote w:id="30">
    <w:p w14:paraId="61ED3766" w14:textId="77777777" w:rsidR="00D833AB" w:rsidRPr="00EF0CC7" w:rsidRDefault="00D833AB" w:rsidP="00D833AB">
      <w:pPr>
        <w:pStyle w:val="FootnoteText"/>
      </w:pPr>
      <w:r w:rsidRPr="00EF0CC7">
        <w:rPr>
          <w:rStyle w:val="FootnoteReference"/>
        </w:rPr>
        <w:footnoteRef/>
      </w:r>
      <w:r w:rsidRPr="00EF0CC7">
        <w:t xml:space="preserve"> Rana, 2009. 91-111.</w:t>
      </w:r>
    </w:p>
  </w:footnote>
  <w:footnote w:id="31">
    <w:p w14:paraId="64733532" w14:textId="77777777" w:rsidR="00D833AB" w:rsidRPr="00EF0CC7" w:rsidRDefault="00D833AB" w:rsidP="00D833AB">
      <w:pPr>
        <w:pStyle w:val="FootnoteText"/>
      </w:pPr>
      <w:r w:rsidRPr="00EF0CC7">
        <w:rPr>
          <w:rStyle w:val="FootnoteReference"/>
        </w:rPr>
        <w:footnoteRef/>
      </w:r>
      <w:r w:rsidRPr="00EF0CC7">
        <w:t xml:space="preserve"> </w:t>
      </w:r>
      <w:r>
        <w:t xml:space="preserve">Sidebotham, </w:t>
      </w:r>
      <w:proofErr w:type="spellStart"/>
      <w:r>
        <w:t>Hense</w:t>
      </w:r>
      <w:proofErr w:type="spellEnd"/>
      <w:r>
        <w:t xml:space="preserve">, and </w:t>
      </w:r>
      <w:proofErr w:type="spellStart"/>
      <w:r>
        <w:t>Nouwens</w:t>
      </w:r>
      <w:proofErr w:type="spellEnd"/>
      <w:r>
        <w:t>, 2008: 184</w:t>
      </w:r>
    </w:p>
  </w:footnote>
  <w:footnote w:id="32">
    <w:p w14:paraId="32CCA3A5" w14:textId="77777777" w:rsidR="00D833AB" w:rsidRPr="00EF0CC7" w:rsidRDefault="00D833AB" w:rsidP="00D833AB">
      <w:pPr>
        <w:pStyle w:val="FootnoteText"/>
      </w:pPr>
      <w:r w:rsidRPr="00EF0CC7">
        <w:rPr>
          <w:rStyle w:val="FootnoteReference"/>
        </w:rPr>
        <w:footnoteRef/>
      </w:r>
      <w:r w:rsidRPr="00EF0CC7">
        <w:t xml:space="preserve"> Burstein, 1989; Agatharchides, 1.1; </w:t>
      </w:r>
      <w:proofErr w:type="spellStart"/>
      <w:r w:rsidRPr="00EF0CC7">
        <w:t>Photius</w:t>
      </w:r>
      <w:proofErr w:type="spellEnd"/>
      <w:r w:rsidRPr="00EF0CC7">
        <w:t>, Cod.250.1.441b.</w:t>
      </w:r>
    </w:p>
  </w:footnote>
  <w:footnote w:id="33">
    <w:p w14:paraId="6FAEBAAB" w14:textId="77777777" w:rsidR="00D833AB" w:rsidRPr="00EF0CC7" w:rsidRDefault="00D833AB" w:rsidP="00D833AB">
      <w:pPr>
        <w:pStyle w:val="FootnoteText"/>
      </w:pPr>
      <w:r w:rsidRPr="00EF0CC7">
        <w:rPr>
          <w:rStyle w:val="FootnoteReference"/>
        </w:rPr>
        <w:footnoteRef/>
      </w:r>
      <w:r w:rsidRPr="00EF0CC7">
        <w:t xml:space="preserve"> W.Chr.452; BL I 375, vii 160</w:t>
      </w:r>
    </w:p>
  </w:footnote>
  <w:footnote w:id="34">
    <w:p w14:paraId="1D3C2823" w14:textId="77777777" w:rsidR="00D833AB" w:rsidRPr="00EF0CC7" w:rsidRDefault="00D833AB" w:rsidP="00D833AB">
      <w:pPr>
        <w:pStyle w:val="FootnoteText"/>
      </w:pPr>
      <w:r w:rsidRPr="00EF0CC7">
        <w:rPr>
          <w:rStyle w:val="FootnoteReference"/>
        </w:rPr>
        <w:footnoteRef/>
      </w:r>
      <w:r w:rsidRPr="00EF0CC7">
        <w:t xml:space="preserve"> </w:t>
      </w:r>
      <w:proofErr w:type="gramStart"/>
      <w:r w:rsidRPr="00EF0CC7">
        <w:t>Arrian,</w:t>
      </w:r>
      <w:r w:rsidRPr="00EF0CC7">
        <w:rPr>
          <w:i/>
          <w:iCs/>
        </w:rPr>
        <w:t>Indica</w:t>
      </w:r>
      <w:proofErr w:type="gramEnd"/>
      <w:r w:rsidRPr="00EF0CC7">
        <w:t>.13.14; Brunt, 1983.</w:t>
      </w:r>
    </w:p>
  </w:footnote>
  <w:footnote w:id="35">
    <w:p w14:paraId="27DC7D7D" w14:textId="77777777" w:rsidR="00D833AB" w:rsidRPr="00EF0CC7" w:rsidRDefault="00D833AB" w:rsidP="00D833AB">
      <w:pPr>
        <w:pStyle w:val="FootnoteText"/>
      </w:pPr>
      <w:r w:rsidRPr="00EF0CC7">
        <w:rPr>
          <w:rStyle w:val="FootnoteReference"/>
        </w:rPr>
        <w:footnoteRef/>
      </w:r>
      <w:r w:rsidRPr="00EF0CC7">
        <w:t xml:space="preserve"> Pliny, NH.8.8.25</w:t>
      </w:r>
    </w:p>
  </w:footnote>
  <w:footnote w:id="36">
    <w:p w14:paraId="50C6F5C8" w14:textId="77777777" w:rsidR="00D833AB" w:rsidRPr="00EF0CC7" w:rsidRDefault="00D833AB" w:rsidP="00D833AB">
      <w:pPr>
        <w:pStyle w:val="FootnoteText"/>
      </w:pPr>
      <w:r w:rsidRPr="00EF0CC7">
        <w:rPr>
          <w:rStyle w:val="FootnoteReference"/>
        </w:rPr>
        <w:footnoteRef/>
      </w:r>
      <w:r w:rsidRPr="00EF0CC7">
        <w:t xml:space="preserve"> Diod.3.40.3</w:t>
      </w:r>
    </w:p>
  </w:footnote>
  <w:footnote w:id="37">
    <w:p w14:paraId="7BCFDD88" w14:textId="77777777" w:rsidR="00D833AB" w:rsidRPr="00EF0CC7" w:rsidRDefault="00D833AB" w:rsidP="00D833AB">
      <w:pPr>
        <w:pStyle w:val="FootnoteText"/>
      </w:pPr>
      <w:r w:rsidRPr="00EF0CC7">
        <w:rPr>
          <w:rStyle w:val="FootnoteReference"/>
        </w:rPr>
        <w:footnoteRef/>
      </w:r>
      <w:r w:rsidRPr="00EF0CC7">
        <w:t xml:space="preserve"> Casson, 1993.</w:t>
      </w:r>
    </w:p>
  </w:footnote>
  <w:footnote w:id="38">
    <w:p w14:paraId="7072AF7A" w14:textId="77777777" w:rsidR="00D833AB" w:rsidRPr="00EF0CC7" w:rsidRDefault="00D833AB" w:rsidP="00D833AB">
      <w:pPr>
        <w:pStyle w:val="FootnoteText"/>
      </w:pPr>
      <w:r w:rsidRPr="00EF0CC7">
        <w:rPr>
          <w:rStyle w:val="FootnoteReference"/>
        </w:rPr>
        <w:footnoteRef/>
      </w:r>
      <w:r w:rsidRPr="00EF0CC7">
        <w:t xml:space="preserve"> Diod.3.40.5</w:t>
      </w:r>
    </w:p>
  </w:footnote>
  <w:footnote w:id="39">
    <w:p w14:paraId="7AC2CBEF" w14:textId="77777777" w:rsidR="00D833AB" w:rsidRPr="00EF0CC7" w:rsidRDefault="00D833AB" w:rsidP="00D833AB">
      <w:pPr>
        <w:pStyle w:val="FootnoteText"/>
      </w:pPr>
      <w:r w:rsidRPr="00EF0CC7">
        <w:rPr>
          <w:rStyle w:val="FootnoteReference"/>
        </w:rPr>
        <w:footnoteRef/>
      </w:r>
      <w:r w:rsidRPr="00EF0CC7">
        <w:t xml:space="preserve"> Agatharcides, 85a. Burstein, 1989</w:t>
      </w:r>
    </w:p>
  </w:footnote>
  <w:footnote w:id="40">
    <w:p w14:paraId="1E169054" w14:textId="77777777" w:rsidR="00D833AB" w:rsidRPr="00EF0CC7" w:rsidRDefault="00D833AB" w:rsidP="00D833AB">
      <w:pPr>
        <w:pStyle w:val="FootnoteText"/>
      </w:pPr>
      <w:r w:rsidRPr="00EF0CC7">
        <w:rPr>
          <w:rStyle w:val="FootnoteReference"/>
        </w:rPr>
        <w:footnoteRef/>
      </w:r>
      <w:r w:rsidRPr="00EF0CC7">
        <w:t xml:space="preserve"> Agatharcides, 85a. Burstein, 1989</w:t>
      </w:r>
    </w:p>
  </w:footnote>
  <w:footnote w:id="41">
    <w:p w14:paraId="62ABADC5" w14:textId="77777777" w:rsidR="00D833AB" w:rsidRPr="00EF0CC7" w:rsidRDefault="00D833AB" w:rsidP="00D833AB">
      <w:pPr>
        <w:pStyle w:val="FootnoteText"/>
      </w:pPr>
      <w:r w:rsidRPr="00EF0CC7">
        <w:rPr>
          <w:rStyle w:val="FootnoteReference"/>
        </w:rPr>
        <w:footnoteRef/>
      </w:r>
      <w:r w:rsidRPr="00EF0CC7">
        <w:t xml:space="preserve"> Pliny, NH.8.4.7</w:t>
      </w:r>
    </w:p>
  </w:footnote>
  <w:footnote w:id="42">
    <w:p w14:paraId="6F3654CD" w14:textId="77777777" w:rsidR="00D833AB" w:rsidRPr="00EF0CC7" w:rsidRDefault="00D833AB" w:rsidP="00D833AB">
      <w:pPr>
        <w:pStyle w:val="FootnoteText"/>
      </w:pPr>
      <w:r w:rsidRPr="00EF0CC7">
        <w:rPr>
          <w:rStyle w:val="FootnoteReference"/>
        </w:rPr>
        <w:footnoteRef/>
      </w:r>
      <w:r w:rsidRPr="00EF0CC7">
        <w:t xml:space="preserve"> Burstein, 1989.</w:t>
      </w:r>
    </w:p>
  </w:footnote>
  <w:footnote w:id="43">
    <w:p w14:paraId="12602E71" w14:textId="77777777" w:rsidR="00D833AB" w:rsidRPr="00EF0CC7" w:rsidRDefault="00D833AB" w:rsidP="00D833AB">
      <w:pPr>
        <w:pStyle w:val="FootnoteText"/>
      </w:pPr>
      <w:r w:rsidRPr="00EF0CC7">
        <w:rPr>
          <w:rStyle w:val="FootnoteReference"/>
        </w:rPr>
        <w:footnoteRef/>
      </w:r>
      <w:r w:rsidRPr="00EF0CC7">
        <w:t xml:space="preserve"> Fraser, 1972.</w:t>
      </w:r>
    </w:p>
  </w:footnote>
  <w:footnote w:id="44">
    <w:p w14:paraId="0EE2632B" w14:textId="77777777" w:rsidR="00D833AB" w:rsidRPr="00EF0CC7" w:rsidRDefault="00D833AB" w:rsidP="00D833AB">
      <w:pPr>
        <w:pStyle w:val="FootnoteText"/>
      </w:pPr>
      <w:r w:rsidRPr="00EF0CC7">
        <w:rPr>
          <w:rStyle w:val="FootnoteReference"/>
        </w:rPr>
        <w:footnoteRef/>
      </w:r>
      <w:r w:rsidRPr="00EF0CC7">
        <w:t xml:space="preserve"> Polybius, 5.79.1-2</w:t>
      </w:r>
    </w:p>
  </w:footnote>
  <w:footnote w:id="45">
    <w:p w14:paraId="1E03325A" w14:textId="77777777" w:rsidR="00D833AB" w:rsidRPr="00EF0CC7" w:rsidRDefault="00D833AB" w:rsidP="00D833AB">
      <w:pPr>
        <w:pStyle w:val="FootnoteText"/>
      </w:pPr>
      <w:r w:rsidRPr="00EF0CC7">
        <w:rPr>
          <w:rStyle w:val="FootnoteReference"/>
        </w:rPr>
        <w:footnoteRef/>
      </w:r>
      <w:r w:rsidRPr="00EF0CC7">
        <w:t xml:space="preserve"> Polybius, 5.82.7-8, 13</w:t>
      </w:r>
    </w:p>
  </w:footnote>
  <w:footnote w:id="46">
    <w:p w14:paraId="7BAF7657" w14:textId="77777777" w:rsidR="00D833AB" w:rsidRPr="00EF0CC7" w:rsidRDefault="00D833AB" w:rsidP="00D833AB">
      <w:pPr>
        <w:pStyle w:val="FootnoteText"/>
      </w:pPr>
      <w:r w:rsidRPr="00EF0CC7">
        <w:rPr>
          <w:rStyle w:val="FootnoteReference"/>
        </w:rPr>
        <w:footnoteRef/>
      </w:r>
      <w:r w:rsidRPr="00EF0CC7">
        <w:t xml:space="preserve"> Polybius, 5.84.5-7</w:t>
      </w:r>
    </w:p>
  </w:footnote>
  <w:footnote w:id="47">
    <w:p w14:paraId="155BEB08" w14:textId="77777777" w:rsidR="00D833AB" w:rsidRPr="00EF0CC7" w:rsidRDefault="00D833AB" w:rsidP="00D833AB">
      <w:pPr>
        <w:pStyle w:val="FootnoteText"/>
      </w:pPr>
      <w:r w:rsidRPr="00EF0CC7">
        <w:rPr>
          <w:rStyle w:val="FootnoteReference"/>
        </w:rPr>
        <w:footnoteRef/>
      </w:r>
      <w:r w:rsidRPr="00EF0CC7">
        <w:t xml:space="preserve"> </w:t>
      </w:r>
      <w:proofErr w:type="spellStart"/>
      <w:r w:rsidRPr="00EF0CC7">
        <w:t>Faucher</w:t>
      </w:r>
      <w:proofErr w:type="spellEnd"/>
      <w:r w:rsidRPr="00EF0CC7">
        <w:t xml:space="preserve"> and Redon, 2015. 17.</w:t>
      </w:r>
    </w:p>
  </w:footnote>
  <w:footnote w:id="48">
    <w:p w14:paraId="02545C77" w14:textId="77777777" w:rsidR="00D833AB" w:rsidRPr="00EF0CC7" w:rsidRDefault="00D833AB" w:rsidP="00D833AB">
      <w:pPr>
        <w:pStyle w:val="FootnoteText"/>
      </w:pPr>
      <w:r w:rsidRPr="00EF0CC7">
        <w:rPr>
          <w:rStyle w:val="FootnoteReference"/>
        </w:rPr>
        <w:footnoteRef/>
      </w:r>
      <w:r w:rsidRPr="00EF0CC7">
        <w:t xml:space="preserve"> Klemm and Klemm, 2013. 616.</w:t>
      </w:r>
    </w:p>
  </w:footnote>
  <w:footnote w:id="49">
    <w:p w14:paraId="796BEA70" w14:textId="77777777" w:rsidR="00D833AB" w:rsidRPr="00EF0CC7" w:rsidRDefault="00D833AB" w:rsidP="00D833AB">
      <w:pPr>
        <w:pStyle w:val="FootnoteText"/>
      </w:pPr>
      <w:r w:rsidRPr="00EF0CC7">
        <w:rPr>
          <w:rStyle w:val="FootnoteReference"/>
        </w:rPr>
        <w:footnoteRef/>
      </w:r>
      <w:r w:rsidRPr="00EF0CC7">
        <w:t xml:space="preserve"> Sidebotham, 2011. 267.</w:t>
      </w:r>
    </w:p>
  </w:footnote>
  <w:footnote w:id="50">
    <w:p w14:paraId="39465B8B" w14:textId="77777777" w:rsidR="00FA170D" w:rsidRDefault="00FA170D" w:rsidP="00FA170D">
      <w:pPr>
        <w:pStyle w:val="FootnoteText"/>
      </w:pPr>
      <w:r>
        <w:rPr>
          <w:rStyle w:val="FootnoteReference"/>
        </w:rPr>
        <w:footnoteRef/>
      </w:r>
      <w:r>
        <w:t xml:space="preserve"> Sidebotham 2014: 624</w:t>
      </w:r>
    </w:p>
  </w:footnote>
  <w:footnote w:id="51">
    <w:p w14:paraId="5B32AA9A" w14:textId="77777777" w:rsidR="00FA170D" w:rsidRDefault="00FA170D" w:rsidP="00FA170D">
      <w:pPr>
        <w:pStyle w:val="FootnoteText"/>
      </w:pPr>
      <w:r>
        <w:rPr>
          <w:rStyle w:val="FootnoteReference"/>
        </w:rPr>
        <w:footnoteRef/>
      </w:r>
      <w:r>
        <w:t xml:space="preserve"> Sidebotham 2014: 624-625</w:t>
      </w:r>
    </w:p>
  </w:footnote>
  <w:footnote w:id="52">
    <w:p w14:paraId="41C7BE3F" w14:textId="77777777" w:rsidR="00FA170D" w:rsidRDefault="00FA170D" w:rsidP="00FA170D">
      <w:pPr>
        <w:pStyle w:val="FootnoteText"/>
      </w:pPr>
      <w:r>
        <w:rPr>
          <w:rStyle w:val="FootnoteReference"/>
        </w:rPr>
        <w:footnoteRef/>
      </w:r>
      <w:r>
        <w:t xml:space="preserve"> Sidebotham 2014: 630</w:t>
      </w:r>
    </w:p>
  </w:footnote>
  <w:footnote w:id="53">
    <w:p w14:paraId="3C0DC725" w14:textId="77777777" w:rsidR="00D833AB" w:rsidRPr="00EF0CC7" w:rsidRDefault="00D833AB" w:rsidP="00D833AB">
      <w:pPr>
        <w:pStyle w:val="FootnoteText"/>
      </w:pPr>
      <w:r w:rsidRPr="00EF0CC7">
        <w:rPr>
          <w:rStyle w:val="FootnoteReference"/>
        </w:rPr>
        <w:footnoteRef/>
      </w:r>
      <w:r w:rsidRPr="00EF0CC7">
        <w:t xml:space="preserve"> Klemm and Klemm, 2013. 615-616.</w:t>
      </w:r>
    </w:p>
  </w:footnote>
  <w:footnote w:id="54">
    <w:p w14:paraId="779DBBF7" w14:textId="77777777" w:rsidR="00D833AB" w:rsidRPr="00EF0CC7" w:rsidRDefault="00D833AB" w:rsidP="00D833AB">
      <w:pPr>
        <w:pStyle w:val="FootnoteText"/>
      </w:pPr>
      <w:r w:rsidRPr="00EF0CC7">
        <w:rPr>
          <w:rStyle w:val="FootnoteReference"/>
        </w:rPr>
        <w:footnoteRef/>
      </w:r>
      <w:r w:rsidRPr="00EF0CC7">
        <w:t xml:space="preserve"> Klemm and Klemm, 2013. 15.</w:t>
      </w:r>
    </w:p>
  </w:footnote>
  <w:footnote w:id="55">
    <w:p w14:paraId="7940F7A6" w14:textId="77777777" w:rsidR="00D833AB" w:rsidRPr="00EF0CC7" w:rsidRDefault="00D833AB" w:rsidP="00D833AB">
      <w:pPr>
        <w:pStyle w:val="FootnoteText"/>
      </w:pPr>
      <w:r w:rsidRPr="00EF0CC7">
        <w:rPr>
          <w:rStyle w:val="FootnoteReference"/>
        </w:rPr>
        <w:footnoteRef/>
      </w:r>
      <w:r w:rsidRPr="00EF0CC7">
        <w:t xml:space="preserve"> Meyer, Omar and Smither, 2003. 13.</w:t>
      </w:r>
    </w:p>
  </w:footnote>
  <w:footnote w:id="56">
    <w:p w14:paraId="4C69A47F" w14:textId="77777777" w:rsidR="00D833AB" w:rsidRPr="00BF298F" w:rsidRDefault="00D833AB" w:rsidP="00D833AB">
      <w:pPr>
        <w:pStyle w:val="FootnoteText"/>
      </w:pPr>
      <w:r w:rsidRPr="00BF298F">
        <w:rPr>
          <w:rStyle w:val="FootnoteReference"/>
        </w:rPr>
        <w:footnoteRef/>
      </w:r>
      <w:r w:rsidRPr="00BF298F">
        <w:t xml:space="preserve"> Meyer, Omar and Smither, 2003. 13.</w:t>
      </w:r>
    </w:p>
  </w:footnote>
  <w:footnote w:id="57">
    <w:p w14:paraId="0BD88C75" w14:textId="77777777" w:rsidR="00D833AB" w:rsidRPr="00BF298F" w:rsidRDefault="00D833AB" w:rsidP="00D833AB">
      <w:pPr>
        <w:pStyle w:val="FootnoteText"/>
      </w:pPr>
      <w:r w:rsidRPr="00BF298F">
        <w:rPr>
          <w:rStyle w:val="FootnoteReference"/>
        </w:rPr>
        <w:footnoteRef/>
      </w:r>
      <w:r w:rsidRPr="00BF298F">
        <w:t xml:space="preserve"> Meyer, Omar and Smither, 2003. 49.</w:t>
      </w:r>
    </w:p>
  </w:footnote>
  <w:footnote w:id="58">
    <w:p w14:paraId="0D9122B3" w14:textId="77777777" w:rsidR="00D833AB" w:rsidRPr="00BF298F" w:rsidRDefault="00D833AB" w:rsidP="00D833AB">
      <w:pPr>
        <w:pStyle w:val="FootnoteText"/>
      </w:pPr>
      <w:r w:rsidRPr="00BF298F">
        <w:rPr>
          <w:rStyle w:val="FootnoteReference"/>
        </w:rPr>
        <w:footnoteRef/>
      </w:r>
      <w:r w:rsidRPr="00BF298F">
        <w:t xml:space="preserve"> Sidebotham, </w:t>
      </w:r>
      <w:proofErr w:type="spellStart"/>
      <w:r w:rsidRPr="00BF298F">
        <w:t>Hense</w:t>
      </w:r>
      <w:proofErr w:type="spellEnd"/>
      <w:r w:rsidRPr="00BF298F">
        <w:t xml:space="preserve">, and </w:t>
      </w:r>
      <w:proofErr w:type="spellStart"/>
      <w:r w:rsidRPr="00BF298F">
        <w:t>Nouwens</w:t>
      </w:r>
      <w:proofErr w:type="spellEnd"/>
      <w:r w:rsidRPr="00BF298F">
        <w:t>, 2008: 370-372.</w:t>
      </w:r>
    </w:p>
  </w:footnote>
  <w:footnote w:id="59">
    <w:p w14:paraId="13ECD75D" w14:textId="77777777" w:rsidR="00D833AB" w:rsidRPr="00BF298F" w:rsidRDefault="00D833AB" w:rsidP="00D833AB">
      <w:pPr>
        <w:pStyle w:val="FootnoteText"/>
      </w:pPr>
      <w:r w:rsidRPr="00BF298F">
        <w:rPr>
          <w:rStyle w:val="FootnoteReference"/>
        </w:rPr>
        <w:footnoteRef/>
      </w:r>
      <w:r w:rsidRPr="00BF298F">
        <w:t xml:space="preserve"> Cobb, 2018. 134-135.</w:t>
      </w:r>
    </w:p>
  </w:footnote>
  <w:footnote w:id="60">
    <w:p w14:paraId="000ED651" w14:textId="77777777" w:rsidR="00D833AB" w:rsidRPr="00BF298F" w:rsidRDefault="00D833AB" w:rsidP="00D833AB">
      <w:pPr>
        <w:pStyle w:val="FootnoteText"/>
      </w:pPr>
      <w:r w:rsidRPr="00BF298F">
        <w:rPr>
          <w:rStyle w:val="FootnoteReference"/>
        </w:rPr>
        <w:footnoteRef/>
      </w:r>
      <w:r w:rsidRPr="00BF298F">
        <w:t xml:space="preserve"> Cobb, 2018. 141.</w:t>
      </w:r>
    </w:p>
  </w:footnote>
  <w:footnote w:id="61">
    <w:p w14:paraId="5440987F" w14:textId="77777777" w:rsidR="00D833AB" w:rsidRDefault="00D833AB" w:rsidP="00D833AB">
      <w:pPr>
        <w:pStyle w:val="FootnoteText"/>
      </w:pPr>
      <w:r>
        <w:rPr>
          <w:rStyle w:val="FootnoteReference"/>
        </w:rPr>
        <w:footnoteRef/>
      </w:r>
      <w:r>
        <w:t xml:space="preserve"> Sidebotham, </w:t>
      </w:r>
      <w:proofErr w:type="spellStart"/>
      <w:r>
        <w:t>Hense</w:t>
      </w:r>
      <w:proofErr w:type="spellEnd"/>
      <w:r>
        <w:t xml:space="preserve">, and </w:t>
      </w:r>
      <w:proofErr w:type="spellStart"/>
      <w:r>
        <w:t>Nouwens</w:t>
      </w:r>
      <w:proofErr w:type="spellEnd"/>
      <w:r>
        <w:t>, 2008: 372-373.</w:t>
      </w:r>
    </w:p>
  </w:footnote>
  <w:footnote w:id="62">
    <w:p w14:paraId="4D272D62" w14:textId="77777777" w:rsidR="00D833AB" w:rsidRDefault="00D833AB" w:rsidP="00D833AB">
      <w:pPr>
        <w:pStyle w:val="FootnoteText"/>
      </w:pPr>
      <w:r>
        <w:rPr>
          <w:rStyle w:val="FootnoteReference"/>
        </w:rPr>
        <w:footnoteRef/>
      </w:r>
      <w:r>
        <w:t xml:space="preserve"> Sidebotham, </w:t>
      </w:r>
      <w:proofErr w:type="spellStart"/>
      <w:r>
        <w:t>Hense</w:t>
      </w:r>
      <w:proofErr w:type="spellEnd"/>
      <w:r>
        <w:t xml:space="preserve">, and </w:t>
      </w:r>
      <w:proofErr w:type="spellStart"/>
      <w:r>
        <w:t>Nouwens</w:t>
      </w:r>
      <w:proofErr w:type="spellEnd"/>
      <w:r>
        <w:t>, 2008: 372-373.</w:t>
      </w:r>
    </w:p>
  </w:footnote>
  <w:footnote w:id="63">
    <w:p w14:paraId="7304E9A2" w14:textId="77777777" w:rsidR="00D833AB" w:rsidRDefault="00D833AB" w:rsidP="00D833AB">
      <w:pPr>
        <w:pStyle w:val="FootnoteText"/>
      </w:pPr>
      <w:r>
        <w:rPr>
          <w:rStyle w:val="FootnoteReference"/>
        </w:rPr>
        <w:footnoteRef/>
      </w:r>
      <w:r>
        <w:t xml:space="preserve"> Sidebotham, </w:t>
      </w:r>
      <w:proofErr w:type="spellStart"/>
      <w:r>
        <w:t>Hense</w:t>
      </w:r>
      <w:proofErr w:type="spellEnd"/>
      <w:r>
        <w:t xml:space="preserve">, and </w:t>
      </w:r>
      <w:proofErr w:type="spellStart"/>
      <w:r>
        <w:t>Nouwens</w:t>
      </w:r>
      <w:proofErr w:type="spellEnd"/>
      <w:r>
        <w:t>, 2008: 373.</w:t>
      </w:r>
    </w:p>
  </w:footnote>
  <w:footnote w:id="64">
    <w:p w14:paraId="1E83CE4F" w14:textId="77777777" w:rsidR="00D833AB" w:rsidRDefault="00D833AB" w:rsidP="00D833AB">
      <w:pPr>
        <w:pStyle w:val="FootnoteText"/>
      </w:pPr>
      <w:r>
        <w:rPr>
          <w:rStyle w:val="FootnoteReference"/>
        </w:rPr>
        <w:footnoteRef/>
      </w:r>
      <w:r>
        <w:t xml:space="preserve"> Cobb 2015: 372-377</w:t>
      </w:r>
    </w:p>
  </w:footnote>
  <w:footnote w:id="65">
    <w:p w14:paraId="418E7A40" w14:textId="77777777" w:rsidR="00D833AB" w:rsidRPr="00BF298F" w:rsidRDefault="00D833AB" w:rsidP="00D833AB">
      <w:pPr>
        <w:pStyle w:val="FootnoteText"/>
      </w:pPr>
      <w:r w:rsidRPr="00BF298F">
        <w:rPr>
          <w:rStyle w:val="FootnoteReference"/>
        </w:rPr>
        <w:footnoteRef/>
      </w:r>
      <w:r w:rsidRPr="00BF298F">
        <w:t xml:space="preserve"> Sidebotham, 2011. 63.</w:t>
      </w:r>
    </w:p>
  </w:footnote>
  <w:footnote w:id="66">
    <w:p w14:paraId="11F4C304" w14:textId="77777777" w:rsidR="00D833AB" w:rsidRPr="00BF298F" w:rsidRDefault="00D833AB" w:rsidP="00D833AB">
      <w:pPr>
        <w:pStyle w:val="FootnoteText"/>
      </w:pPr>
      <w:r w:rsidRPr="00BF298F">
        <w:rPr>
          <w:rStyle w:val="FootnoteReference"/>
        </w:rPr>
        <w:footnoteRef/>
      </w:r>
      <w:r w:rsidRPr="00BF298F">
        <w:t xml:space="preserve"> Sidebotham, 2011. 280.</w:t>
      </w:r>
    </w:p>
  </w:footnote>
  <w:footnote w:id="67">
    <w:p w14:paraId="75EA3B27" w14:textId="77777777" w:rsidR="00D833AB" w:rsidRPr="00BF298F" w:rsidRDefault="00D833AB" w:rsidP="00D833AB">
      <w:pPr>
        <w:pStyle w:val="FootnoteText"/>
      </w:pPr>
      <w:r w:rsidRPr="00BF298F">
        <w:rPr>
          <w:rStyle w:val="FootnoteReference"/>
        </w:rPr>
        <w:footnoteRef/>
      </w:r>
      <w:r w:rsidRPr="00BF298F">
        <w:t xml:space="preserve"> Sidebotham, 2011. 280.</w:t>
      </w:r>
    </w:p>
  </w:footnote>
  <w:footnote w:id="68">
    <w:p w14:paraId="35EC4B0B" w14:textId="77777777" w:rsidR="00D833AB" w:rsidRPr="00BF298F" w:rsidRDefault="00D833AB" w:rsidP="00D833AB">
      <w:pPr>
        <w:pStyle w:val="FootnoteText"/>
      </w:pPr>
      <w:r w:rsidRPr="00BF298F">
        <w:rPr>
          <w:rStyle w:val="FootnoteReference"/>
        </w:rPr>
        <w:footnoteRef/>
      </w:r>
      <w:r w:rsidRPr="00BF298F">
        <w:t xml:space="preserve"> Bagnall, 1993. 174.</w:t>
      </w:r>
    </w:p>
  </w:footnote>
  <w:footnote w:id="69">
    <w:p w14:paraId="4507B2D9" w14:textId="77777777" w:rsidR="00D833AB" w:rsidRPr="00BF298F" w:rsidRDefault="00D833AB" w:rsidP="00D833AB">
      <w:pPr>
        <w:pStyle w:val="FootnoteText"/>
      </w:pPr>
      <w:r w:rsidRPr="00BF298F">
        <w:rPr>
          <w:rStyle w:val="FootnoteReference"/>
        </w:rPr>
        <w:footnoteRef/>
      </w:r>
      <w:r w:rsidRPr="00BF298F">
        <w:t xml:space="preserve"> Bagnall, 1993. 174</w:t>
      </w:r>
      <w:r>
        <w:t>.</w:t>
      </w:r>
    </w:p>
  </w:footnote>
  <w:footnote w:id="70">
    <w:p w14:paraId="5364FE1B" w14:textId="77777777" w:rsidR="00D833AB" w:rsidRDefault="00D833AB" w:rsidP="00D833AB">
      <w:pPr>
        <w:pStyle w:val="FootnoteText"/>
      </w:pPr>
      <w:r w:rsidRPr="00BF298F">
        <w:rPr>
          <w:rStyle w:val="FootnoteReference"/>
        </w:rPr>
        <w:footnoteRef/>
      </w:r>
      <w:r w:rsidRPr="00BF298F">
        <w:t xml:space="preserve"> Bagnall, 199</w:t>
      </w:r>
      <w:r>
        <w:t>3: 174.</w:t>
      </w:r>
    </w:p>
  </w:footnote>
  <w:footnote w:id="71">
    <w:p w14:paraId="64753264" w14:textId="77777777" w:rsidR="00D833AB" w:rsidRDefault="00D833AB" w:rsidP="00D833AB">
      <w:pPr>
        <w:pStyle w:val="FootnoteText"/>
      </w:pPr>
      <w:r>
        <w:rPr>
          <w:rStyle w:val="FootnoteReference"/>
        </w:rPr>
        <w:footnoteRef/>
      </w:r>
      <w:r>
        <w:t xml:space="preserve"> </w:t>
      </w:r>
      <w:r w:rsidRPr="00BF298F">
        <w:t>Bagnall, 199</w:t>
      </w:r>
      <w:r>
        <w:t>3: 174.</w:t>
      </w:r>
    </w:p>
  </w:footnote>
  <w:footnote w:id="72">
    <w:p w14:paraId="7F1B0555" w14:textId="77777777" w:rsidR="00D833AB" w:rsidRDefault="00D833AB" w:rsidP="00D833AB">
      <w:pPr>
        <w:pStyle w:val="FootnoteText"/>
      </w:pPr>
      <w:r>
        <w:rPr>
          <w:rStyle w:val="FootnoteReference"/>
        </w:rPr>
        <w:footnoteRef/>
      </w:r>
      <w:r>
        <w:t xml:space="preserve"> Cobb 2015: 377</w:t>
      </w:r>
    </w:p>
  </w:footnote>
  <w:footnote w:id="73">
    <w:p w14:paraId="4AA89A5E" w14:textId="77777777" w:rsidR="00D833AB" w:rsidRDefault="00D833AB" w:rsidP="00D833AB">
      <w:pPr>
        <w:pStyle w:val="FootnoteText"/>
      </w:pPr>
      <w:r>
        <w:rPr>
          <w:rStyle w:val="FootnoteReference"/>
        </w:rPr>
        <w:footnoteRef/>
      </w:r>
      <w:r>
        <w:t xml:space="preserve"> Cobb 2015: 378</w:t>
      </w:r>
    </w:p>
  </w:footnote>
  <w:footnote w:id="74">
    <w:p w14:paraId="4136F82B" w14:textId="77777777" w:rsidR="00D833AB" w:rsidRDefault="00D833AB" w:rsidP="00D833AB">
      <w:pPr>
        <w:pStyle w:val="FootnoteText"/>
      </w:pPr>
      <w:r>
        <w:rPr>
          <w:rStyle w:val="FootnoteReference"/>
        </w:rPr>
        <w:footnoteRef/>
      </w:r>
      <w:r>
        <w:t xml:space="preserve"> Bagnall 1993: 176-177</w:t>
      </w:r>
    </w:p>
  </w:footnote>
  <w:footnote w:id="75">
    <w:p w14:paraId="74DB524C" w14:textId="77777777" w:rsidR="00D833AB" w:rsidRDefault="00D833AB" w:rsidP="00D833AB">
      <w:pPr>
        <w:pStyle w:val="FootnoteText"/>
      </w:pPr>
      <w:r>
        <w:rPr>
          <w:rStyle w:val="FootnoteReference"/>
        </w:rPr>
        <w:footnoteRef/>
      </w:r>
      <w:r>
        <w:t xml:space="preserve"> Cobb 2015: 377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1E707A"/>
    <w:multiLevelType w:val="hybridMultilevel"/>
    <w:tmpl w:val="AD8C8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D33940"/>
    <w:multiLevelType w:val="hybridMultilevel"/>
    <w:tmpl w:val="F3D4C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E1203C"/>
    <w:multiLevelType w:val="hybridMultilevel"/>
    <w:tmpl w:val="B3486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C7A"/>
    <w:rsid w:val="00001FE4"/>
    <w:rsid w:val="00005AFF"/>
    <w:rsid w:val="000131E4"/>
    <w:rsid w:val="00017553"/>
    <w:rsid w:val="0002412D"/>
    <w:rsid w:val="00036FD6"/>
    <w:rsid w:val="00040297"/>
    <w:rsid w:val="000460D9"/>
    <w:rsid w:val="00054647"/>
    <w:rsid w:val="000603C9"/>
    <w:rsid w:val="000607B8"/>
    <w:rsid w:val="00063296"/>
    <w:rsid w:val="00063432"/>
    <w:rsid w:val="00073052"/>
    <w:rsid w:val="00074750"/>
    <w:rsid w:val="00082F75"/>
    <w:rsid w:val="00083852"/>
    <w:rsid w:val="0009251D"/>
    <w:rsid w:val="00097191"/>
    <w:rsid w:val="000A16FA"/>
    <w:rsid w:val="000A6996"/>
    <w:rsid w:val="000D322E"/>
    <w:rsid w:val="000D5A84"/>
    <w:rsid w:val="00100024"/>
    <w:rsid w:val="00107ACD"/>
    <w:rsid w:val="001151DE"/>
    <w:rsid w:val="00121EB1"/>
    <w:rsid w:val="00132532"/>
    <w:rsid w:val="0013293C"/>
    <w:rsid w:val="00165B9A"/>
    <w:rsid w:val="00166B07"/>
    <w:rsid w:val="001758E1"/>
    <w:rsid w:val="00176267"/>
    <w:rsid w:val="00181701"/>
    <w:rsid w:val="00185F8E"/>
    <w:rsid w:val="001939AC"/>
    <w:rsid w:val="001A7F61"/>
    <w:rsid w:val="001C24E9"/>
    <w:rsid w:val="001C5DEE"/>
    <w:rsid w:val="001D14B8"/>
    <w:rsid w:val="001E102F"/>
    <w:rsid w:val="0020442B"/>
    <w:rsid w:val="00207F21"/>
    <w:rsid w:val="00214380"/>
    <w:rsid w:val="0021531D"/>
    <w:rsid w:val="00217F9D"/>
    <w:rsid w:val="00220F49"/>
    <w:rsid w:val="00222BD9"/>
    <w:rsid w:val="00232D54"/>
    <w:rsid w:val="002347C1"/>
    <w:rsid w:val="002356AA"/>
    <w:rsid w:val="00245667"/>
    <w:rsid w:val="00251BF2"/>
    <w:rsid w:val="00254598"/>
    <w:rsid w:val="00254BDA"/>
    <w:rsid w:val="00254E28"/>
    <w:rsid w:val="00260397"/>
    <w:rsid w:val="00261312"/>
    <w:rsid w:val="00261CC3"/>
    <w:rsid w:val="00262378"/>
    <w:rsid w:val="00266320"/>
    <w:rsid w:val="00293077"/>
    <w:rsid w:val="00294039"/>
    <w:rsid w:val="0029530C"/>
    <w:rsid w:val="002A4844"/>
    <w:rsid w:val="002D1D85"/>
    <w:rsid w:val="002D7B31"/>
    <w:rsid w:val="002E1521"/>
    <w:rsid w:val="002E1913"/>
    <w:rsid w:val="002F6DD8"/>
    <w:rsid w:val="002F7F55"/>
    <w:rsid w:val="0030284B"/>
    <w:rsid w:val="0033274E"/>
    <w:rsid w:val="00333228"/>
    <w:rsid w:val="00344155"/>
    <w:rsid w:val="00351AB9"/>
    <w:rsid w:val="00354EEE"/>
    <w:rsid w:val="0035559D"/>
    <w:rsid w:val="00377679"/>
    <w:rsid w:val="00390BB2"/>
    <w:rsid w:val="003A2D47"/>
    <w:rsid w:val="003B3A28"/>
    <w:rsid w:val="003B4206"/>
    <w:rsid w:val="003C4001"/>
    <w:rsid w:val="003C4633"/>
    <w:rsid w:val="003E1A37"/>
    <w:rsid w:val="003F2980"/>
    <w:rsid w:val="003F499D"/>
    <w:rsid w:val="003F5911"/>
    <w:rsid w:val="00401B6F"/>
    <w:rsid w:val="00407C7A"/>
    <w:rsid w:val="00421A4F"/>
    <w:rsid w:val="00431E7A"/>
    <w:rsid w:val="004342EA"/>
    <w:rsid w:val="00437CBE"/>
    <w:rsid w:val="00453691"/>
    <w:rsid w:val="00461495"/>
    <w:rsid w:val="004728D1"/>
    <w:rsid w:val="00477049"/>
    <w:rsid w:val="00477322"/>
    <w:rsid w:val="0049105A"/>
    <w:rsid w:val="004A2D0D"/>
    <w:rsid w:val="004B1F8E"/>
    <w:rsid w:val="004C3572"/>
    <w:rsid w:val="0053006B"/>
    <w:rsid w:val="00535CF4"/>
    <w:rsid w:val="00537E7E"/>
    <w:rsid w:val="00540A75"/>
    <w:rsid w:val="005453D0"/>
    <w:rsid w:val="0055270D"/>
    <w:rsid w:val="00562D57"/>
    <w:rsid w:val="005651EC"/>
    <w:rsid w:val="005672FE"/>
    <w:rsid w:val="00571100"/>
    <w:rsid w:val="00596583"/>
    <w:rsid w:val="005A2A27"/>
    <w:rsid w:val="005A359F"/>
    <w:rsid w:val="005A728C"/>
    <w:rsid w:val="005B5057"/>
    <w:rsid w:val="005B711B"/>
    <w:rsid w:val="005D4A58"/>
    <w:rsid w:val="005F0066"/>
    <w:rsid w:val="005F6E49"/>
    <w:rsid w:val="00610D54"/>
    <w:rsid w:val="00617D08"/>
    <w:rsid w:val="00625E2F"/>
    <w:rsid w:val="00640008"/>
    <w:rsid w:val="00646E7E"/>
    <w:rsid w:val="00647C51"/>
    <w:rsid w:val="00674E10"/>
    <w:rsid w:val="006841D9"/>
    <w:rsid w:val="00687F5B"/>
    <w:rsid w:val="006915C0"/>
    <w:rsid w:val="00691C7A"/>
    <w:rsid w:val="00694C92"/>
    <w:rsid w:val="006A23EC"/>
    <w:rsid w:val="006A3535"/>
    <w:rsid w:val="006B55A8"/>
    <w:rsid w:val="006B6523"/>
    <w:rsid w:val="006C02C8"/>
    <w:rsid w:val="006D0CF8"/>
    <w:rsid w:val="006F197E"/>
    <w:rsid w:val="006F24F6"/>
    <w:rsid w:val="006F4E5A"/>
    <w:rsid w:val="006F7949"/>
    <w:rsid w:val="00704117"/>
    <w:rsid w:val="0070437A"/>
    <w:rsid w:val="00713489"/>
    <w:rsid w:val="00716137"/>
    <w:rsid w:val="00725383"/>
    <w:rsid w:val="00746AB8"/>
    <w:rsid w:val="007604B4"/>
    <w:rsid w:val="00762C27"/>
    <w:rsid w:val="00772FD6"/>
    <w:rsid w:val="00773C3D"/>
    <w:rsid w:val="00775216"/>
    <w:rsid w:val="007806FA"/>
    <w:rsid w:val="0078425D"/>
    <w:rsid w:val="00793C61"/>
    <w:rsid w:val="00797379"/>
    <w:rsid w:val="007A05DD"/>
    <w:rsid w:val="007A34E9"/>
    <w:rsid w:val="007A5AD2"/>
    <w:rsid w:val="007A71A3"/>
    <w:rsid w:val="007B5774"/>
    <w:rsid w:val="007C3261"/>
    <w:rsid w:val="007C350A"/>
    <w:rsid w:val="007C61E5"/>
    <w:rsid w:val="007D7B85"/>
    <w:rsid w:val="007E048F"/>
    <w:rsid w:val="007E4FAD"/>
    <w:rsid w:val="007F0A72"/>
    <w:rsid w:val="008179B8"/>
    <w:rsid w:val="00821CBD"/>
    <w:rsid w:val="00830DEF"/>
    <w:rsid w:val="0083236C"/>
    <w:rsid w:val="00874A27"/>
    <w:rsid w:val="00884EBA"/>
    <w:rsid w:val="0088512E"/>
    <w:rsid w:val="00892530"/>
    <w:rsid w:val="00896BBC"/>
    <w:rsid w:val="008A1BB9"/>
    <w:rsid w:val="008B032A"/>
    <w:rsid w:val="008B265F"/>
    <w:rsid w:val="008C5FA9"/>
    <w:rsid w:val="008C605C"/>
    <w:rsid w:val="008D4A94"/>
    <w:rsid w:val="008E149B"/>
    <w:rsid w:val="008E3313"/>
    <w:rsid w:val="008E4F3F"/>
    <w:rsid w:val="008F140E"/>
    <w:rsid w:val="008F65AE"/>
    <w:rsid w:val="00915207"/>
    <w:rsid w:val="00915395"/>
    <w:rsid w:val="00925093"/>
    <w:rsid w:val="00927819"/>
    <w:rsid w:val="00931DC4"/>
    <w:rsid w:val="00942091"/>
    <w:rsid w:val="0094522F"/>
    <w:rsid w:val="00957757"/>
    <w:rsid w:val="00971CD1"/>
    <w:rsid w:val="00972008"/>
    <w:rsid w:val="0097465C"/>
    <w:rsid w:val="0097536B"/>
    <w:rsid w:val="0098096C"/>
    <w:rsid w:val="009834F4"/>
    <w:rsid w:val="00984466"/>
    <w:rsid w:val="00985ADF"/>
    <w:rsid w:val="00997F27"/>
    <w:rsid w:val="009B6DA5"/>
    <w:rsid w:val="009C1068"/>
    <w:rsid w:val="009C5CC3"/>
    <w:rsid w:val="009D161B"/>
    <w:rsid w:val="009E22A7"/>
    <w:rsid w:val="009F4813"/>
    <w:rsid w:val="00A21DC7"/>
    <w:rsid w:val="00A35735"/>
    <w:rsid w:val="00A56543"/>
    <w:rsid w:val="00A62568"/>
    <w:rsid w:val="00A65664"/>
    <w:rsid w:val="00A705DB"/>
    <w:rsid w:val="00A86B4B"/>
    <w:rsid w:val="00AC40C3"/>
    <w:rsid w:val="00AE3D4A"/>
    <w:rsid w:val="00AE55DD"/>
    <w:rsid w:val="00B00A2B"/>
    <w:rsid w:val="00B03912"/>
    <w:rsid w:val="00B04D7C"/>
    <w:rsid w:val="00B229F6"/>
    <w:rsid w:val="00B3498B"/>
    <w:rsid w:val="00B42751"/>
    <w:rsid w:val="00B47657"/>
    <w:rsid w:val="00B5235D"/>
    <w:rsid w:val="00B5558E"/>
    <w:rsid w:val="00B60064"/>
    <w:rsid w:val="00B740F5"/>
    <w:rsid w:val="00B752FB"/>
    <w:rsid w:val="00B76413"/>
    <w:rsid w:val="00B87163"/>
    <w:rsid w:val="00B91EF3"/>
    <w:rsid w:val="00B9795B"/>
    <w:rsid w:val="00BA3185"/>
    <w:rsid w:val="00BC3098"/>
    <w:rsid w:val="00BC3C0F"/>
    <w:rsid w:val="00BD1069"/>
    <w:rsid w:val="00BD432F"/>
    <w:rsid w:val="00BD493A"/>
    <w:rsid w:val="00BD5E48"/>
    <w:rsid w:val="00BF11D0"/>
    <w:rsid w:val="00BF2376"/>
    <w:rsid w:val="00BF4ABD"/>
    <w:rsid w:val="00BF7CA8"/>
    <w:rsid w:val="00C101C3"/>
    <w:rsid w:val="00C12BCB"/>
    <w:rsid w:val="00C12DD9"/>
    <w:rsid w:val="00C1338B"/>
    <w:rsid w:val="00C16CD3"/>
    <w:rsid w:val="00C2435F"/>
    <w:rsid w:val="00C2440C"/>
    <w:rsid w:val="00C2684E"/>
    <w:rsid w:val="00C3018A"/>
    <w:rsid w:val="00C35EAF"/>
    <w:rsid w:val="00C44761"/>
    <w:rsid w:val="00C552D7"/>
    <w:rsid w:val="00C56831"/>
    <w:rsid w:val="00C752B3"/>
    <w:rsid w:val="00C779ED"/>
    <w:rsid w:val="00C801CA"/>
    <w:rsid w:val="00C808D4"/>
    <w:rsid w:val="00C81536"/>
    <w:rsid w:val="00C8323E"/>
    <w:rsid w:val="00C840DE"/>
    <w:rsid w:val="00C931DF"/>
    <w:rsid w:val="00C979C6"/>
    <w:rsid w:val="00CA3B6C"/>
    <w:rsid w:val="00CC0567"/>
    <w:rsid w:val="00CC20E7"/>
    <w:rsid w:val="00CC60A2"/>
    <w:rsid w:val="00CE011D"/>
    <w:rsid w:val="00CE25FC"/>
    <w:rsid w:val="00CE436B"/>
    <w:rsid w:val="00CE6CDE"/>
    <w:rsid w:val="00CF04B4"/>
    <w:rsid w:val="00CF162E"/>
    <w:rsid w:val="00CF1DA2"/>
    <w:rsid w:val="00CF222A"/>
    <w:rsid w:val="00D07165"/>
    <w:rsid w:val="00D14D83"/>
    <w:rsid w:val="00D201C7"/>
    <w:rsid w:val="00D30AE3"/>
    <w:rsid w:val="00D513B2"/>
    <w:rsid w:val="00D63B20"/>
    <w:rsid w:val="00D7034E"/>
    <w:rsid w:val="00D761A0"/>
    <w:rsid w:val="00D833AB"/>
    <w:rsid w:val="00D94C78"/>
    <w:rsid w:val="00DA5DB2"/>
    <w:rsid w:val="00DB0D40"/>
    <w:rsid w:val="00DB3F83"/>
    <w:rsid w:val="00DC2436"/>
    <w:rsid w:val="00DD0A9C"/>
    <w:rsid w:val="00DD480E"/>
    <w:rsid w:val="00DE5DC8"/>
    <w:rsid w:val="00DF15B5"/>
    <w:rsid w:val="00DF3D61"/>
    <w:rsid w:val="00E0195D"/>
    <w:rsid w:val="00E033E1"/>
    <w:rsid w:val="00E04723"/>
    <w:rsid w:val="00E052A9"/>
    <w:rsid w:val="00E06AE3"/>
    <w:rsid w:val="00E13DB1"/>
    <w:rsid w:val="00E216A3"/>
    <w:rsid w:val="00E65782"/>
    <w:rsid w:val="00E75F65"/>
    <w:rsid w:val="00E84349"/>
    <w:rsid w:val="00E84655"/>
    <w:rsid w:val="00EA77B4"/>
    <w:rsid w:val="00EB06C7"/>
    <w:rsid w:val="00EC1B10"/>
    <w:rsid w:val="00ED228B"/>
    <w:rsid w:val="00ED327D"/>
    <w:rsid w:val="00EE004C"/>
    <w:rsid w:val="00EE1E47"/>
    <w:rsid w:val="00EE6122"/>
    <w:rsid w:val="00EF0CC7"/>
    <w:rsid w:val="00EF3420"/>
    <w:rsid w:val="00EF5677"/>
    <w:rsid w:val="00EF79AB"/>
    <w:rsid w:val="00F0026E"/>
    <w:rsid w:val="00F024FB"/>
    <w:rsid w:val="00F02664"/>
    <w:rsid w:val="00F032F0"/>
    <w:rsid w:val="00F074F7"/>
    <w:rsid w:val="00F12F03"/>
    <w:rsid w:val="00F151DF"/>
    <w:rsid w:val="00F21E20"/>
    <w:rsid w:val="00F24FE8"/>
    <w:rsid w:val="00F34507"/>
    <w:rsid w:val="00F349D2"/>
    <w:rsid w:val="00F55E32"/>
    <w:rsid w:val="00F57541"/>
    <w:rsid w:val="00F653D1"/>
    <w:rsid w:val="00F75E49"/>
    <w:rsid w:val="00F77352"/>
    <w:rsid w:val="00F77EB5"/>
    <w:rsid w:val="00F87997"/>
    <w:rsid w:val="00F94C4D"/>
    <w:rsid w:val="00F9582B"/>
    <w:rsid w:val="00FA170D"/>
    <w:rsid w:val="00FA5D28"/>
    <w:rsid w:val="00FB1A4E"/>
    <w:rsid w:val="00FC3F8B"/>
    <w:rsid w:val="00FC743A"/>
    <w:rsid w:val="00FD22C7"/>
    <w:rsid w:val="00FE4D36"/>
    <w:rsid w:val="00FE58A7"/>
    <w:rsid w:val="00FF4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6EA3D"/>
  <w15:chartTrackingRefBased/>
  <w15:docId w15:val="{185E4DED-A608-46BD-B8EB-041A584AD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958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582B"/>
    <w:rPr>
      <w:sz w:val="20"/>
      <w:szCs w:val="20"/>
    </w:rPr>
  </w:style>
  <w:style w:type="character" w:styleId="FootnoteReference">
    <w:name w:val="footnote reference"/>
    <w:basedOn w:val="DefaultParagraphFont"/>
    <w:uiPriority w:val="99"/>
    <w:semiHidden/>
    <w:unhideWhenUsed/>
    <w:rsid w:val="00F9582B"/>
    <w:rPr>
      <w:vertAlign w:val="superscript"/>
    </w:rPr>
  </w:style>
  <w:style w:type="paragraph" w:styleId="ListParagraph">
    <w:name w:val="List Paragraph"/>
    <w:basedOn w:val="Normal"/>
    <w:uiPriority w:val="34"/>
    <w:qFormat/>
    <w:rsid w:val="00646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516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10</Pages>
  <Words>4788</Words>
  <Characters>24232</Characters>
  <Application>Microsoft Office Word</Application>
  <DocSecurity>0</DocSecurity>
  <Lines>310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dc:creator>
  <cp:keywords/>
  <dc:description/>
  <cp:lastModifiedBy>tamara bowie</cp:lastModifiedBy>
  <cp:revision>359</cp:revision>
  <dcterms:created xsi:type="dcterms:W3CDTF">2020-01-24T14:48:00Z</dcterms:created>
  <dcterms:modified xsi:type="dcterms:W3CDTF">2020-01-24T23:30:00Z</dcterms:modified>
</cp:coreProperties>
</file>