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53223" w14:textId="77777777" w:rsidR="00FD2F91" w:rsidRDefault="00492DCB">
      <w:pPr>
        <w:jc w:val="center"/>
        <w:rPr>
          <w:b/>
          <w:sz w:val="28"/>
          <w:szCs w:val="28"/>
        </w:rPr>
      </w:pPr>
      <w:bookmarkStart w:id="0" w:name="_heading=h.gjdgxs" w:colFirst="0" w:colLast="0"/>
      <w:bookmarkEnd w:id="0"/>
      <w:r>
        <w:rPr>
          <w:noProof/>
          <w:lang w:val="en-US"/>
        </w:rPr>
        <w:drawing>
          <wp:inline distT="0" distB="0" distL="0" distR="0" wp14:anchorId="13E48DB1" wp14:editId="421C7519">
            <wp:extent cx="3032760" cy="111252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32760" cy="1112520"/>
                    </a:xfrm>
                    <a:prstGeom prst="rect">
                      <a:avLst/>
                    </a:prstGeom>
                    <a:ln/>
                  </pic:spPr>
                </pic:pic>
              </a:graphicData>
            </a:graphic>
          </wp:inline>
        </w:drawing>
      </w:r>
    </w:p>
    <w:p w14:paraId="02E123C3" w14:textId="77777777" w:rsidR="00FD2F91" w:rsidRDefault="00FD2F91">
      <w:pPr>
        <w:jc w:val="center"/>
        <w:rPr>
          <w:b/>
          <w:sz w:val="28"/>
          <w:szCs w:val="28"/>
        </w:rPr>
      </w:pPr>
    </w:p>
    <w:p w14:paraId="1225A86A" w14:textId="77777777" w:rsidR="00FD2F91" w:rsidRDefault="00FD2F91">
      <w:pPr>
        <w:jc w:val="center"/>
        <w:rPr>
          <w:b/>
          <w:sz w:val="28"/>
          <w:szCs w:val="28"/>
        </w:rPr>
      </w:pPr>
    </w:p>
    <w:p w14:paraId="49BAA34E" w14:textId="77777777" w:rsidR="00FD2F91" w:rsidRDefault="00FD2F91">
      <w:pPr>
        <w:jc w:val="center"/>
        <w:rPr>
          <w:b/>
          <w:sz w:val="28"/>
          <w:szCs w:val="28"/>
        </w:rPr>
      </w:pPr>
    </w:p>
    <w:p w14:paraId="1817CC0B" w14:textId="77777777" w:rsidR="00FD2F91" w:rsidRDefault="00FD2F91">
      <w:pPr>
        <w:rPr>
          <w:b/>
          <w:sz w:val="28"/>
          <w:szCs w:val="28"/>
        </w:rPr>
      </w:pPr>
    </w:p>
    <w:p w14:paraId="63FB7A44" w14:textId="77777777" w:rsidR="00FD2F91" w:rsidRDefault="00FD2F91">
      <w:pPr>
        <w:rPr>
          <w:b/>
          <w:sz w:val="28"/>
          <w:szCs w:val="28"/>
        </w:rPr>
      </w:pPr>
    </w:p>
    <w:p w14:paraId="418E6C5A" w14:textId="77777777" w:rsidR="00FD2F91" w:rsidRDefault="00492DCB">
      <w:pPr>
        <w:jc w:val="center"/>
        <w:rPr>
          <w:b/>
          <w:sz w:val="40"/>
          <w:szCs w:val="40"/>
        </w:rPr>
      </w:pPr>
      <w:r>
        <w:rPr>
          <w:b/>
          <w:sz w:val="40"/>
          <w:szCs w:val="40"/>
        </w:rPr>
        <w:t>Module: Academic and Employability Skills</w:t>
      </w:r>
    </w:p>
    <w:p w14:paraId="0FDF96E2" w14:textId="77777777" w:rsidR="00FD2F91" w:rsidRDefault="00FD2F91">
      <w:pPr>
        <w:jc w:val="center"/>
        <w:rPr>
          <w:b/>
          <w:sz w:val="40"/>
          <w:szCs w:val="40"/>
        </w:rPr>
      </w:pPr>
    </w:p>
    <w:p w14:paraId="4C06407D" w14:textId="4EEB9AE6" w:rsidR="0081392C" w:rsidRDefault="00492DCB" w:rsidP="0081392C">
      <w:pPr>
        <w:jc w:val="center"/>
        <w:rPr>
          <w:b/>
          <w:sz w:val="40"/>
          <w:szCs w:val="40"/>
        </w:rPr>
      </w:pPr>
      <w:r>
        <w:rPr>
          <w:b/>
          <w:sz w:val="40"/>
          <w:szCs w:val="40"/>
        </w:rPr>
        <w:t>Module code: BMSW400</w:t>
      </w:r>
      <w:r w:rsidR="0081392C">
        <w:rPr>
          <w:b/>
          <w:sz w:val="40"/>
          <w:szCs w:val="40"/>
        </w:rPr>
        <w:t>1</w:t>
      </w:r>
    </w:p>
    <w:p w14:paraId="3FA25886" w14:textId="7FC26003" w:rsidR="0081392C" w:rsidRDefault="0081392C" w:rsidP="0081392C">
      <w:pPr>
        <w:rPr>
          <w:b/>
          <w:sz w:val="40"/>
          <w:szCs w:val="40"/>
        </w:rPr>
      </w:pPr>
      <w:r>
        <w:rPr>
          <w:b/>
          <w:sz w:val="40"/>
          <w:szCs w:val="40"/>
        </w:rPr>
        <w:t xml:space="preserve">                       Reflective learning</w:t>
      </w:r>
    </w:p>
    <w:p w14:paraId="71F13491" w14:textId="77777777" w:rsidR="003C7606" w:rsidRDefault="003C7606">
      <w:pPr>
        <w:jc w:val="center"/>
        <w:rPr>
          <w:b/>
          <w:sz w:val="40"/>
          <w:szCs w:val="40"/>
        </w:rPr>
      </w:pPr>
    </w:p>
    <w:p w14:paraId="1B0C60A1" w14:textId="77777777" w:rsidR="003C7606" w:rsidRDefault="003C7606">
      <w:pPr>
        <w:jc w:val="center"/>
        <w:rPr>
          <w:b/>
          <w:sz w:val="40"/>
          <w:szCs w:val="40"/>
        </w:rPr>
      </w:pPr>
    </w:p>
    <w:p w14:paraId="14D05BB5" w14:textId="5F27B9FD" w:rsidR="003C7606" w:rsidRPr="003C7606" w:rsidRDefault="003C7606" w:rsidP="003C7606">
      <w:pPr>
        <w:pStyle w:val="Title"/>
        <w:jc w:val="both"/>
        <w:rPr>
          <w:rFonts w:ascii="Arial" w:eastAsia="Arial" w:hAnsi="Arial" w:cs="Arial"/>
        </w:rPr>
      </w:pPr>
      <w:r>
        <w:rPr>
          <w:rFonts w:ascii="Arial" w:eastAsia="Arial" w:hAnsi="Arial" w:cs="Arial"/>
        </w:rPr>
        <w:t>Student Name:Claudia Buica</w:t>
      </w:r>
    </w:p>
    <w:p w14:paraId="7C31406A" w14:textId="3506CE8E" w:rsidR="001E50F1" w:rsidRDefault="003C7606" w:rsidP="001E50F1">
      <w:pPr>
        <w:pStyle w:val="Title"/>
        <w:jc w:val="both"/>
        <w:rPr>
          <w:rFonts w:ascii="Arial" w:eastAsia="Arial" w:hAnsi="Arial" w:cs="Arial"/>
        </w:rPr>
      </w:pPr>
      <w:r>
        <w:rPr>
          <w:rFonts w:ascii="Arial" w:eastAsia="Arial" w:hAnsi="Arial" w:cs="Arial"/>
        </w:rPr>
        <w:t>Student ID:213374</w:t>
      </w:r>
      <w:r w:rsidR="001E50F1">
        <w:rPr>
          <w:rFonts w:ascii="Arial" w:eastAsia="Arial" w:hAnsi="Arial" w:cs="Arial"/>
        </w:rPr>
        <w:t>2</w:t>
      </w:r>
    </w:p>
    <w:p w14:paraId="612EFF24" w14:textId="03FB92BB" w:rsidR="001E50F1" w:rsidRPr="0081392C" w:rsidRDefault="001E50F1" w:rsidP="001E50F1">
      <w:pPr>
        <w:rPr>
          <w:b/>
          <w:bCs/>
          <w:sz w:val="32"/>
          <w:szCs w:val="32"/>
        </w:rPr>
      </w:pPr>
      <w:r w:rsidRPr="0081392C">
        <w:rPr>
          <w:b/>
          <w:bCs/>
          <w:sz w:val="32"/>
          <w:szCs w:val="32"/>
        </w:rPr>
        <w:t>Lecturer Name</w:t>
      </w:r>
      <w:r w:rsidR="0081392C" w:rsidRPr="0081392C">
        <w:rPr>
          <w:b/>
          <w:bCs/>
          <w:sz w:val="32"/>
          <w:szCs w:val="32"/>
        </w:rPr>
        <w:t>:Joanna Walsh</w:t>
      </w:r>
    </w:p>
    <w:p w14:paraId="77E0DAF2" w14:textId="77777777" w:rsidR="00FD2F91" w:rsidRDefault="00FD2F91">
      <w:pPr>
        <w:pStyle w:val="Title"/>
        <w:rPr>
          <w:rFonts w:ascii="Arial" w:eastAsia="Arial" w:hAnsi="Arial" w:cs="Arial"/>
        </w:rPr>
      </w:pPr>
    </w:p>
    <w:p w14:paraId="083C626A" w14:textId="77777777" w:rsidR="00FD2F91" w:rsidRDefault="00FD2F91">
      <w:pPr>
        <w:pStyle w:val="Title"/>
        <w:rPr>
          <w:rFonts w:ascii="Arial" w:eastAsia="Arial" w:hAnsi="Arial" w:cs="Arial"/>
        </w:rPr>
      </w:pPr>
    </w:p>
    <w:p w14:paraId="0F983096" w14:textId="77777777" w:rsidR="00FD2F91" w:rsidRDefault="00FD2F91">
      <w:pPr>
        <w:pStyle w:val="Title"/>
        <w:rPr>
          <w:rFonts w:ascii="Arial" w:eastAsia="Arial" w:hAnsi="Arial" w:cs="Arial"/>
        </w:rPr>
      </w:pPr>
    </w:p>
    <w:p w14:paraId="5C8CA72F" w14:textId="77777777" w:rsidR="00FD2F91" w:rsidRDefault="00FD2F91">
      <w:pPr>
        <w:pStyle w:val="Title"/>
        <w:rPr>
          <w:rFonts w:ascii="Arial" w:eastAsia="Arial" w:hAnsi="Arial" w:cs="Arial"/>
        </w:rPr>
      </w:pPr>
    </w:p>
    <w:p w14:paraId="1AF694DC" w14:textId="77777777" w:rsidR="00FD2F91" w:rsidRDefault="00FD2F91">
      <w:pPr>
        <w:pStyle w:val="Title"/>
        <w:rPr>
          <w:rFonts w:ascii="Arial" w:eastAsia="Arial" w:hAnsi="Arial" w:cs="Arial"/>
        </w:rPr>
      </w:pPr>
    </w:p>
    <w:p w14:paraId="00B98D26" w14:textId="77777777" w:rsidR="00FD2F91" w:rsidRDefault="00492DCB">
      <w:pPr>
        <w:pStyle w:val="Title"/>
      </w:pPr>
      <w:r>
        <w:br w:type="page"/>
      </w:r>
    </w:p>
    <w:p w14:paraId="69689A62" w14:textId="77777777" w:rsidR="00FD2F91" w:rsidRDefault="00492DCB">
      <w:pPr>
        <w:pStyle w:val="Heading1"/>
        <w:jc w:val="center"/>
      </w:pPr>
      <w:bookmarkStart w:id="1" w:name="_Toc110671570"/>
      <w:r>
        <w:lastRenderedPageBreak/>
        <w:t>Executive summary</w:t>
      </w:r>
      <w:bookmarkEnd w:id="1"/>
    </w:p>
    <w:p w14:paraId="6CF7888D" w14:textId="77777777" w:rsidR="00FD2F91" w:rsidRDefault="00492DCB">
      <w:r>
        <w:t xml:space="preserve">During the process of academic learning and development, the individual needs to reflect on their journey. The personal reflection that is conducted helps in evaluating the strengths and weaknesses of the individual as it determines the overall success of the academic learning journey in meeting the needs of the learner. The following is a reflective report that focuses on the reflection of the academic journey that has been completed. </w:t>
      </w:r>
    </w:p>
    <w:p w14:paraId="6F3E848D" w14:textId="77777777" w:rsidR="00FD2F91" w:rsidRDefault="00492DCB">
      <w:pPr>
        <w:rPr>
          <w:b/>
          <w:sz w:val="28"/>
          <w:szCs w:val="28"/>
        </w:rPr>
      </w:pPr>
      <w:bookmarkStart w:id="2" w:name="_heading=h.1fob9te" w:colFirst="0" w:colLast="0"/>
      <w:bookmarkEnd w:id="2"/>
      <w:r>
        <w:br w:type="page"/>
      </w:r>
    </w:p>
    <w:p w14:paraId="4C7014D3" w14:textId="77777777" w:rsidR="00FD2F91" w:rsidRDefault="00492DCB">
      <w:pPr>
        <w:keepNext/>
        <w:keepLines/>
        <w:pBdr>
          <w:top w:val="nil"/>
          <w:left w:val="nil"/>
          <w:bottom w:val="nil"/>
          <w:right w:val="nil"/>
          <w:between w:val="nil"/>
        </w:pBdr>
        <w:spacing w:before="240" w:line="259" w:lineRule="auto"/>
        <w:jc w:val="center"/>
        <w:rPr>
          <w:b/>
          <w:color w:val="000000"/>
          <w:sz w:val="32"/>
          <w:szCs w:val="32"/>
        </w:rPr>
      </w:pPr>
      <w:r>
        <w:rPr>
          <w:b/>
          <w:color w:val="000000"/>
          <w:sz w:val="32"/>
          <w:szCs w:val="32"/>
        </w:rPr>
        <w:lastRenderedPageBreak/>
        <w:t>Table of Contents</w:t>
      </w:r>
    </w:p>
    <w:sdt>
      <w:sdtPr>
        <w:id w:val="45214129"/>
        <w:docPartObj>
          <w:docPartGallery w:val="Table of Contents"/>
          <w:docPartUnique/>
        </w:docPartObj>
      </w:sdtPr>
      <w:sdtContent>
        <w:p w14:paraId="7F09F5B5" w14:textId="002E20ED" w:rsidR="00460D7F" w:rsidRDefault="00FD2F91">
          <w:pPr>
            <w:pStyle w:val="TOC1"/>
            <w:tabs>
              <w:tab w:val="right" w:pos="9016"/>
            </w:tabs>
            <w:rPr>
              <w:rFonts w:asciiTheme="minorHAnsi" w:eastAsiaTheme="minorEastAsia" w:hAnsiTheme="minorHAnsi" w:cstheme="minorBidi"/>
              <w:noProof/>
              <w:lang w:eastAsia="en-GB"/>
            </w:rPr>
          </w:pPr>
          <w:r>
            <w:fldChar w:fldCharType="begin"/>
          </w:r>
          <w:r w:rsidR="00492DCB">
            <w:instrText xml:space="preserve"> TOC \h \u \z </w:instrText>
          </w:r>
          <w:r>
            <w:fldChar w:fldCharType="separate"/>
          </w:r>
          <w:hyperlink w:anchor="_Toc110671570" w:history="1">
            <w:r w:rsidR="00460D7F" w:rsidRPr="00077B23">
              <w:rPr>
                <w:rStyle w:val="Hyperlink"/>
                <w:noProof/>
              </w:rPr>
              <w:t>Executive summary</w:t>
            </w:r>
            <w:r w:rsidR="00460D7F">
              <w:rPr>
                <w:noProof/>
                <w:webHidden/>
              </w:rPr>
              <w:tab/>
            </w:r>
            <w:r w:rsidR="00460D7F">
              <w:rPr>
                <w:noProof/>
                <w:webHidden/>
              </w:rPr>
              <w:fldChar w:fldCharType="begin"/>
            </w:r>
            <w:r w:rsidR="00460D7F">
              <w:rPr>
                <w:noProof/>
                <w:webHidden/>
              </w:rPr>
              <w:instrText xml:space="preserve"> PAGEREF _Toc110671570 \h </w:instrText>
            </w:r>
            <w:r w:rsidR="00460D7F">
              <w:rPr>
                <w:noProof/>
                <w:webHidden/>
              </w:rPr>
            </w:r>
            <w:r w:rsidR="00460D7F">
              <w:rPr>
                <w:noProof/>
                <w:webHidden/>
              </w:rPr>
              <w:fldChar w:fldCharType="separate"/>
            </w:r>
            <w:r w:rsidR="00460D7F">
              <w:rPr>
                <w:noProof/>
                <w:webHidden/>
              </w:rPr>
              <w:t>2</w:t>
            </w:r>
            <w:r w:rsidR="00460D7F">
              <w:rPr>
                <w:noProof/>
                <w:webHidden/>
              </w:rPr>
              <w:fldChar w:fldCharType="end"/>
            </w:r>
          </w:hyperlink>
        </w:p>
        <w:p w14:paraId="3C24248E" w14:textId="5ECC7626" w:rsidR="00460D7F" w:rsidRDefault="00000000">
          <w:pPr>
            <w:pStyle w:val="TOC1"/>
            <w:tabs>
              <w:tab w:val="right" w:pos="9016"/>
            </w:tabs>
            <w:rPr>
              <w:rFonts w:asciiTheme="minorHAnsi" w:eastAsiaTheme="minorEastAsia" w:hAnsiTheme="minorHAnsi" w:cstheme="minorBidi"/>
              <w:noProof/>
              <w:lang w:eastAsia="en-GB"/>
            </w:rPr>
          </w:pPr>
          <w:hyperlink w:anchor="_Toc110671571" w:history="1">
            <w:r w:rsidR="00460D7F" w:rsidRPr="00077B23">
              <w:rPr>
                <w:rStyle w:val="Hyperlink"/>
                <w:noProof/>
              </w:rPr>
              <w:t>Skills learned</w:t>
            </w:r>
            <w:r w:rsidR="00460D7F">
              <w:rPr>
                <w:noProof/>
                <w:webHidden/>
              </w:rPr>
              <w:tab/>
            </w:r>
            <w:r w:rsidR="00460D7F">
              <w:rPr>
                <w:noProof/>
                <w:webHidden/>
              </w:rPr>
              <w:fldChar w:fldCharType="begin"/>
            </w:r>
            <w:r w:rsidR="00460D7F">
              <w:rPr>
                <w:noProof/>
                <w:webHidden/>
              </w:rPr>
              <w:instrText xml:space="preserve"> PAGEREF _Toc110671571 \h </w:instrText>
            </w:r>
            <w:r w:rsidR="00460D7F">
              <w:rPr>
                <w:noProof/>
                <w:webHidden/>
              </w:rPr>
            </w:r>
            <w:r w:rsidR="00460D7F">
              <w:rPr>
                <w:noProof/>
                <w:webHidden/>
              </w:rPr>
              <w:fldChar w:fldCharType="separate"/>
            </w:r>
            <w:r w:rsidR="00460D7F">
              <w:rPr>
                <w:noProof/>
                <w:webHidden/>
              </w:rPr>
              <w:t>5</w:t>
            </w:r>
            <w:r w:rsidR="00460D7F">
              <w:rPr>
                <w:noProof/>
                <w:webHidden/>
              </w:rPr>
              <w:fldChar w:fldCharType="end"/>
            </w:r>
          </w:hyperlink>
        </w:p>
        <w:p w14:paraId="519B228B" w14:textId="7E673EAD" w:rsidR="00460D7F" w:rsidRDefault="00000000">
          <w:pPr>
            <w:pStyle w:val="TOC1"/>
            <w:tabs>
              <w:tab w:val="right" w:pos="9016"/>
            </w:tabs>
            <w:rPr>
              <w:rFonts w:asciiTheme="minorHAnsi" w:eastAsiaTheme="minorEastAsia" w:hAnsiTheme="minorHAnsi" w:cstheme="minorBidi"/>
              <w:noProof/>
              <w:lang w:eastAsia="en-GB"/>
            </w:rPr>
          </w:pPr>
          <w:hyperlink w:anchor="_Toc110671572" w:history="1">
            <w:r w:rsidR="00460D7F" w:rsidRPr="00077B23">
              <w:rPr>
                <w:rStyle w:val="Hyperlink"/>
                <w:noProof/>
              </w:rPr>
              <w:t>Kolb's reflective cycle</w:t>
            </w:r>
            <w:r w:rsidR="00460D7F">
              <w:rPr>
                <w:noProof/>
                <w:webHidden/>
              </w:rPr>
              <w:tab/>
            </w:r>
            <w:r w:rsidR="00460D7F">
              <w:rPr>
                <w:noProof/>
                <w:webHidden/>
              </w:rPr>
              <w:fldChar w:fldCharType="begin"/>
            </w:r>
            <w:r w:rsidR="00460D7F">
              <w:rPr>
                <w:noProof/>
                <w:webHidden/>
              </w:rPr>
              <w:instrText xml:space="preserve"> PAGEREF _Toc110671572 \h </w:instrText>
            </w:r>
            <w:r w:rsidR="00460D7F">
              <w:rPr>
                <w:noProof/>
                <w:webHidden/>
              </w:rPr>
            </w:r>
            <w:r w:rsidR="00460D7F">
              <w:rPr>
                <w:noProof/>
                <w:webHidden/>
              </w:rPr>
              <w:fldChar w:fldCharType="separate"/>
            </w:r>
            <w:r w:rsidR="00460D7F">
              <w:rPr>
                <w:noProof/>
                <w:webHidden/>
              </w:rPr>
              <w:t>5</w:t>
            </w:r>
            <w:r w:rsidR="00460D7F">
              <w:rPr>
                <w:noProof/>
                <w:webHidden/>
              </w:rPr>
              <w:fldChar w:fldCharType="end"/>
            </w:r>
          </w:hyperlink>
        </w:p>
        <w:p w14:paraId="478908DC" w14:textId="4CB68645" w:rsidR="00460D7F" w:rsidRDefault="00000000">
          <w:pPr>
            <w:pStyle w:val="TOC1"/>
            <w:tabs>
              <w:tab w:val="right" w:pos="9016"/>
            </w:tabs>
            <w:rPr>
              <w:rFonts w:asciiTheme="minorHAnsi" w:eastAsiaTheme="minorEastAsia" w:hAnsiTheme="minorHAnsi" w:cstheme="minorBidi"/>
              <w:noProof/>
              <w:lang w:eastAsia="en-GB"/>
            </w:rPr>
          </w:pPr>
          <w:hyperlink w:anchor="_Toc110671573" w:history="1">
            <w:r w:rsidR="00460D7F" w:rsidRPr="00077B23">
              <w:rPr>
                <w:rStyle w:val="Hyperlink"/>
                <w:noProof/>
              </w:rPr>
              <w:t>Conclusion</w:t>
            </w:r>
            <w:r w:rsidR="00460D7F">
              <w:rPr>
                <w:noProof/>
                <w:webHidden/>
              </w:rPr>
              <w:tab/>
            </w:r>
            <w:r w:rsidR="00460D7F">
              <w:rPr>
                <w:noProof/>
                <w:webHidden/>
              </w:rPr>
              <w:fldChar w:fldCharType="begin"/>
            </w:r>
            <w:r w:rsidR="00460D7F">
              <w:rPr>
                <w:noProof/>
                <w:webHidden/>
              </w:rPr>
              <w:instrText xml:space="preserve"> PAGEREF _Toc110671573 \h </w:instrText>
            </w:r>
            <w:r w:rsidR="00460D7F">
              <w:rPr>
                <w:noProof/>
                <w:webHidden/>
              </w:rPr>
            </w:r>
            <w:r w:rsidR="00460D7F">
              <w:rPr>
                <w:noProof/>
                <w:webHidden/>
              </w:rPr>
              <w:fldChar w:fldCharType="separate"/>
            </w:r>
            <w:r w:rsidR="00460D7F">
              <w:rPr>
                <w:noProof/>
                <w:webHidden/>
              </w:rPr>
              <w:t>9</w:t>
            </w:r>
            <w:r w:rsidR="00460D7F">
              <w:rPr>
                <w:noProof/>
                <w:webHidden/>
              </w:rPr>
              <w:fldChar w:fldCharType="end"/>
            </w:r>
          </w:hyperlink>
        </w:p>
        <w:p w14:paraId="6F25BC02" w14:textId="62CC0710" w:rsidR="00460D7F" w:rsidRDefault="00000000">
          <w:pPr>
            <w:pStyle w:val="TOC1"/>
            <w:tabs>
              <w:tab w:val="right" w:pos="9016"/>
            </w:tabs>
            <w:rPr>
              <w:rFonts w:asciiTheme="minorHAnsi" w:eastAsiaTheme="minorEastAsia" w:hAnsiTheme="minorHAnsi" w:cstheme="minorBidi"/>
              <w:noProof/>
              <w:lang w:eastAsia="en-GB"/>
            </w:rPr>
          </w:pPr>
          <w:hyperlink w:anchor="_Toc110671574" w:history="1">
            <w:r w:rsidR="00460D7F" w:rsidRPr="00077B23">
              <w:rPr>
                <w:rStyle w:val="Hyperlink"/>
                <w:noProof/>
              </w:rPr>
              <w:t>References</w:t>
            </w:r>
            <w:r w:rsidR="00460D7F">
              <w:rPr>
                <w:noProof/>
                <w:webHidden/>
              </w:rPr>
              <w:tab/>
            </w:r>
            <w:r w:rsidR="00460D7F">
              <w:rPr>
                <w:noProof/>
                <w:webHidden/>
              </w:rPr>
              <w:fldChar w:fldCharType="begin"/>
            </w:r>
            <w:r w:rsidR="00460D7F">
              <w:rPr>
                <w:noProof/>
                <w:webHidden/>
              </w:rPr>
              <w:instrText xml:space="preserve"> PAGEREF _Toc110671574 \h </w:instrText>
            </w:r>
            <w:r w:rsidR="00460D7F">
              <w:rPr>
                <w:noProof/>
                <w:webHidden/>
              </w:rPr>
            </w:r>
            <w:r w:rsidR="00460D7F">
              <w:rPr>
                <w:noProof/>
                <w:webHidden/>
              </w:rPr>
              <w:fldChar w:fldCharType="separate"/>
            </w:r>
            <w:r w:rsidR="00460D7F">
              <w:rPr>
                <w:noProof/>
                <w:webHidden/>
              </w:rPr>
              <w:t>10</w:t>
            </w:r>
            <w:r w:rsidR="00460D7F">
              <w:rPr>
                <w:noProof/>
                <w:webHidden/>
              </w:rPr>
              <w:fldChar w:fldCharType="end"/>
            </w:r>
          </w:hyperlink>
        </w:p>
        <w:p w14:paraId="66A08368" w14:textId="15AA7BA3" w:rsidR="00FD2F91" w:rsidRDefault="00FD2F91">
          <w:r>
            <w:fldChar w:fldCharType="end"/>
          </w:r>
        </w:p>
      </w:sdtContent>
    </w:sdt>
    <w:p w14:paraId="36DE0ABE" w14:textId="77777777" w:rsidR="00FD2F91" w:rsidRDefault="00492DCB">
      <w:pPr>
        <w:rPr>
          <w:b/>
          <w:sz w:val="28"/>
          <w:szCs w:val="28"/>
        </w:rPr>
      </w:pPr>
      <w:r>
        <w:br w:type="page"/>
      </w:r>
    </w:p>
    <w:p w14:paraId="7F4EEC51" w14:textId="77777777" w:rsidR="00FD2F91" w:rsidRDefault="00492DCB">
      <w:r>
        <w:rPr>
          <w:b/>
          <w:sz w:val="28"/>
          <w:szCs w:val="28"/>
        </w:rPr>
        <w:lastRenderedPageBreak/>
        <w:t>Introduction</w:t>
      </w:r>
    </w:p>
    <w:p w14:paraId="11CCE2B4" w14:textId="7DCABC21" w:rsidR="00FD2F91" w:rsidRDefault="00492DCB">
      <w:r>
        <w:t>In the process of learning and development, the academic journey requires the individual to focus on reflection. According to Britten and Maguire (2016), the reflection that is conducted allows the individual to understand their overall capabilities as well as the areas of improvement for the individual. The reflection that an individual engages in can be either of the entire academic journey</w:t>
      </w:r>
      <w:r w:rsidR="0066223F">
        <w:t>s</w:t>
      </w:r>
      <w:r>
        <w:t xml:space="preserve"> along with all its processes or a personal reflection that allows the individual to analyse their strengths and shortcomings. Clarke, (2018), believes that by reflecting on the academic journey as well as one's attributes, the individual can determine not only areas of improvement but also determines the usage of the newly acquired skills. Keeping in mind the benefits of reflection, several individuals may use different reflective models and theories to conduct their reflection. The following report is a reflection of the various skills obtained through the module and academic journey.  </w:t>
      </w:r>
    </w:p>
    <w:p w14:paraId="7C21CFDB" w14:textId="77777777" w:rsidR="00FD2F91" w:rsidRDefault="00492DCB">
      <w:pPr>
        <w:rPr>
          <w:b/>
          <w:sz w:val="28"/>
          <w:szCs w:val="28"/>
        </w:rPr>
      </w:pPr>
      <w:r>
        <w:br w:type="page"/>
      </w:r>
    </w:p>
    <w:p w14:paraId="382FF4CD" w14:textId="77777777" w:rsidR="00FD2F91" w:rsidRDefault="00492DCB">
      <w:pPr>
        <w:pStyle w:val="Heading1"/>
      </w:pPr>
      <w:bookmarkStart w:id="3" w:name="_Toc110671571"/>
      <w:r>
        <w:lastRenderedPageBreak/>
        <w:t>Skills learned</w:t>
      </w:r>
      <w:bookmarkEnd w:id="3"/>
    </w:p>
    <w:p w14:paraId="22CF3A36" w14:textId="77777777" w:rsidR="00FD2F91" w:rsidRDefault="00492DCB">
      <w:r>
        <w:t>Every skill that is obtained by an individual serves the individual greatly in different attributes and aspects of their personal and professional lives (</w:t>
      </w:r>
      <w:proofErr w:type="spellStart"/>
      <w:r>
        <w:t>Dandira</w:t>
      </w:r>
      <w:proofErr w:type="spellEnd"/>
      <w:r>
        <w:t xml:space="preserve">, </w:t>
      </w:r>
      <w:r>
        <w:rPr>
          <w:i/>
        </w:rPr>
        <w:t>et al.,</w:t>
      </w:r>
      <w:r>
        <w:t xml:space="preserve"> 2017). Each skill has a definite purpose. For an individual who may not have the skill, learning the new skill contributes to their increase in knowledge and capability. However, for an individual who has already acquired the skill, the increased learning contributes to the nurture of the skill and development of the individual (Bandaranaike, 2018). The following discusses the skills obtained through this module. </w:t>
      </w:r>
    </w:p>
    <w:p w14:paraId="02F8E603" w14:textId="77777777" w:rsidR="00FD2F91" w:rsidRDefault="00492DCB">
      <w:pPr>
        <w:numPr>
          <w:ilvl w:val="0"/>
          <w:numId w:val="1"/>
        </w:numPr>
        <w:rPr>
          <w:b/>
          <w:i/>
        </w:rPr>
      </w:pPr>
      <w:r>
        <w:rPr>
          <w:b/>
          <w:i/>
          <w:u w:val="single"/>
        </w:rPr>
        <w:t>Time management-</w:t>
      </w:r>
      <w:r>
        <w:t xml:space="preserve"> Considered to be one of the most important skills, time management is regarded as a vital skill that every learner must possess. Time management allows learners such as my time management to make provisions to set a definite routine for different personal and academic activities which contribute to personal and professional development. Time management ensures the increased capability of individuals to adhere to strict routines and programs (Gregg, 2018). </w:t>
      </w:r>
    </w:p>
    <w:p w14:paraId="219CC401" w14:textId="77777777" w:rsidR="00FD2F91" w:rsidRDefault="00492DCB">
      <w:pPr>
        <w:numPr>
          <w:ilvl w:val="0"/>
          <w:numId w:val="1"/>
        </w:numPr>
        <w:rPr>
          <w:b/>
          <w:i/>
        </w:rPr>
      </w:pPr>
      <w:r>
        <w:rPr>
          <w:b/>
          <w:i/>
          <w:u w:val="single"/>
        </w:rPr>
        <w:t>Academic writing-</w:t>
      </w:r>
      <w:r>
        <w:t xml:space="preserve"> Produced as part of an individual's academic journey, academic writing focuses on providing learners like myself with the skill to effectively produce academic reports, journals, articles and assignments. As a skill, academic writing makes provisions for learners to produce reports and assignments efficiently. </w:t>
      </w:r>
    </w:p>
    <w:p w14:paraId="161815B6" w14:textId="77777777" w:rsidR="00FD2F91" w:rsidRDefault="00492DCB">
      <w:pPr>
        <w:numPr>
          <w:ilvl w:val="0"/>
          <w:numId w:val="1"/>
        </w:numPr>
        <w:rPr>
          <w:b/>
          <w:i/>
        </w:rPr>
      </w:pPr>
      <w:r>
        <w:rPr>
          <w:b/>
          <w:i/>
          <w:u w:val="single"/>
        </w:rPr>
        <w:t>Organising study-</w:t>
      </w:r>
      <w:r>
        <w:t xml:space="preserve"> A system of organisation and planning is important during the process of learning and study. Organising study as a skill helps me to focus on planning out all my lessons, study time and assessment time as well (Thomas, 2021). The organising study helps the learners to follow definite plans of learning to ensure no topics or subjects are left out. Often time management and organised study are used simultaneously. </w:t>
      </w:r>
    </w:p>
    <w:p w14:paraId="3505AC34" w14:textId="77777777" w:rsidR="00FD2F91" w:rsidRDefault="00492DCB">
      <w:pPr>
        <w:numPr>
          <w:ilvl w:val="0"/>
          <w:numId w:val="1"/>
        </w:numPr>
        <w:rPr>
          <w:b/>
          <w:i/>
        </w:rPr>
      </w:pPr>
      <w:r>
        <w:rPr>
          <w:b/>
          <w:i/>
          <w:u w:val="single"/>
        </w:rPr>
        <w:t>Public speaking and giving presentations-</w:t>
      </w:r>
      <w:r>
        <w:t xml:space="preserve"> One of the most challenging yet rewarding skills that have been acquired during this module is public speaking and presentation. As a skill, public speaking and presentation have allowed learners like myself to develop strong voice modulation, clear and concise speech and effective communication. </w:t>
      </w:r>
    </w:p>
    <w:p w14:paraId="35AC0C80" w14:textId="2BB1E5BF" w:rsidR="00FD2F91" w:rsidRDefault="00492DCB">
      <w:pPr>
        <w:pStyle w:val="Heading1"/>
      </w:pPr>
      <w:bookmarkStart w:id="4" w:name="_Toc110671572"/>
      <w:r>
        <w:lastRenderedPageBreak/>
        <w:t>Kolb's reflective cycle</w:t>
      </w:r>
      <w:bookmarkEnd w:id="4"/>
    </w:p>
    <w:p w14:paraId="62C78DFA" w14:textId="0ADA15A3" w:rsidR="00675648" w:rsidRPr="00675648" w:rsidRDefault="00675648" w:rsidP="00675648">
      <w:r>
        <w:rPr>
          <w:noProof/>
        </w:rPr>
        <w:drawing>
          <wp:inline distT="0" distB="0" distL="0" distR="0" wp14:anchorId="6B7CC24A" wp14:editId="4B5035EF">
            <wp:extent cx="4191585" cy="3515216"/>
            <wp:effectExtent l="0" t="0" r="0" b="0"/>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191585" cy="3515216"/>
                    </a:xfrm>
                    <a:prstGeom prst="rect">
                      <a:avLst/>
                    </a:prstGeom>
                  </pic:spPr>
                </pic:pic>
              </a:graphicData>
            </a:graphic>
          </wp:inline>
        </w:drawing>
      </w:r>
    </w:p>
    <w:p w14:paraId="24685A87" w14:textId="46668D6A" w:rsidR="00FD2F91" w:rsidRDefault="00492DCB">
      <w:r>
        <w:t>Reflective learning is one of the essential ways that allow learners for stepping back from a student’s experience of learning. At the same time</w:t>
      </w:r>
      <w:r w:rsidR="0066223F">
        <w:t>,</w:t>
      </w:r>
      <w:r>
        <w:t xml:space="preserve"> it can be seen that reflecti</w:t>
      </w:r>
      <w:r w:rsidR="0066223F">
        <w:t>v</w:t>
      </w:r>
      <w:r>
        <w:t xml:space="preserve">e learning helps in </w:t>
      </w:r>
      <w:r w:rsidR="0066223F">
        <w:t xml:space="preserve">the </w:t>
      </w:r>
      <w:r>
        <w:t xml:space="preserve">development of the skills of critical thinking. On the other hand, reflective learning helps in improving future performances while making an analysis of their learning and how far they have come using their learning. One of the important reflective cycles that </w:t>
      </w:r>
      <w:r w:rsidR="0066223F">
        <w:t>are</w:t>
      </w:r>
      <w:r>
        <w:t xml:space="preserve"> being used by the student is known to be Kolb's reflective cycle. The reflective cycle that is introduced by </w:t>
      </w:r>
      <w:proofErr w:type="spellStart"/>
      <w:r>
        <w:t>Kolbs</w:t>
      </w:r>
      <w:proofErr w:type="spellEnd"/>
      <w:r>
        <w:t xml:space="preserve"> allows individuals, especially learners to reflect on the overall experience that was created and encountered by them. Kolb’s model helps in highlighting the importance of the components of the reflection within the learning cycle. This is the reflective cycle that helps students like us in processing various incidents in their life. With the help of Kolb's reflective model</w:t>
      </w:r>
      <w:r w:rsidR="0066223F">
        <w:t>,</w:t>
      </w:r>
      <w:r>
        <w:t xml:space="preserve"> we are allowed to recount as well as evaluate our own experience</w:t>
      </w:r>
      <w:r w:rsidR="0066223F">
        <w:t>s</w:t>
      </w:r>
      <w:r>
        <w:t xml:space="preserve">. According to Baker and Robinson (2016), Kolb's reflective cycle makes provisions in four stages for the individual to reflect on the learning experience. The four stages of Kolb’s reflective cycle are </w:t>
      </w:r>
      <w:r>
        <w:rPr>
          <w:b/>
          <w:i/>
        </w:rPr>
        <w:t>Concrete Experience, Reflective Observation, Abstract Conceptualisation</w:t>
      </w:r>
      <w:r>
        <w:t xml:space="preserve"> and </w:t>
      </w:r>
      <w:r>
        <w:rPr>
          <w:b/>
          <w:i/>
        </w:rPr>
        <w:t>Active Experimentation</w:t>
      </w:r>
      <w:r>
        <w:t xml:space="preserve">. The concrete experience that is used allows the individual learner to describe the experience that they have encountered, this includes describing different aspects of the experience (Chiu, 2019). Reflective observation is the second category of the cycle that allows the learner to reflect on their observation, this includes discussing their feelings towards the experience (Fromm </w:t>
      </w:r>
      <w:r>
        <w:rPr>
          <w:i/>
        </w:rPr>
        <w:t xml:space="preserve">et al., </w:t>
      </w:r>
      <w:r>
        <w:t xml:space="preserve">2021). The third stage known as abstract conceptualisation focuses on reflecting on the </w:t>
      </w:r>
      <w:r>
        <w:lastRenderedPageBreak/>
        <w:t>positive and negative aspects of the experience. Finally, the stage of active experimentation allows the individual to determine how they may use what they have learned through the experience and how they may use it (</w:t>
      </w:r>
      <w:proofErr w:type="spellStart"/>
      <w:r>
        <w:t>Miniano</w:t>
      </w:r>
      <w:proofErr w:type="spellEnd"/>
      <w:r>
        <w:t xml:space="preserve"> and Rui, 2020).  Using the </w:t>
      </w:r>
      <w:proofErr w:type="spellStart"/>
      <w:r>
        <w:t>Kolbs</w:t>
      </w:r>
      <w:proofErr w:type="spellEnd"/>
      <w:r>
        <w:t xml:space="preserve"> reflective cycle the following is the reflection of the skills obtained through this module. </w:t>
      </w:r>
    </w:p>
    <w:p w14:paraId="5265A038" w14:textId="77777777" w:rsidR="00FD2F91" w:rsidRDefault="00492DCB">
      <w:r>
        <w:rPr>
          <w:b/>
          <w:u w:val="single"/>
        </w:rPr>
        <w:t>Concrete Experience-</w:t>
      </w:r>
      <w:r>
        <w:t xml:space="preserve"> The module that was conducted focused on academic and employability skills. Certain skills are required in the academic and professional progress of all individuals (</w:t>
      </w:r>
      <w:proofErr w:type="spellStart"/>
      <w:r>
        <w:t>Cathro</w:t>
      </w:r>
      <w:r>
        <w:rPr>
          <w:i/>
        </w:rPr>
        <w:t>et</w:t>
      </w:r>
      <w:proofErr w:type="spellEnd"/>
      <w:r>
        <w:rPr>
          <w:i/>
        </w:rPr>
        <w:t xml:space="preserve"> al., </w:t>
      </w:r>
      <w:r>
        <w:t xml:space="preserve">2017). The module focused on providing learners like myself with certain skills that will be required for further academic development and that increase the employment capabilities of the individual. Some of those skills are listed below. </w:t>
      </w:r>
    </w:p>
    <w:p w14:paraId="1FC06082" w14:textId="77777777" w:rsidR="00FD2F91" w:rsidRDefault="00492DCB">
      <w:pPr>
        <w:numPr>
          <w:ilvl w:val="0"/>
          <w:numId w:val="2"/>
        </w:numPr>
      </w:pPr>
      <w:r>
        <w:t xml:space="preserve">Time management- Time management is one of the most important skills in academic and professional development as well (Hila </w:t>
      </w:r>
      <w:r>
        <w:rPr>
          <w:i/>
        </w:rPr>
        <w:t xml:space="preserve">et al., </w:t>
      </w:r>
      <w:r>
        <w:t>2019). The skill of time management ensures that the individual is capable of managing their time efficiently both in their academic journey and professional development.</w:t>
      </w:r>
    </w:p>
    <w:p w14:paraId="32431EBD" w14:textId="77777777" w:rsidR="00FD2F91" w:rsidRDefault="00492DCB">
      <w:pPr>
        <w:numPr>
          <w:ilvl w:val="0"/>
          <w:numId w:val="2"/>
        </w:numPr>
      </w:pPr>
      <w:r>
        <w:t>Academic Writing- While academic writing may seem like a skill that is only required during the academic journey and development (</w:t>
      </w:r>
      <w:proofErr w:type="spellStart"/>
      <w:r>
        <w:t>Mallia</w:t>
      </w:r>
      <w:proofErr w:type="spellEnd"/>
      <w:r>
        <w:t>, 2017). During this module, it was noticed that academic writing is also an essential skill for enhancing the employability skills of individuals as well as academic writing prepares the individual to create professional reports in the future.</w:t>
      </w:r>
    </w:p>
    <w:p w14:paraId="53FF0563" w14:textId="77777777" w:rsidR="00FD2F91" w:rsidRDefault="00492DCB">
      <w:pPr>
        <w:numPr>
          <w:ilvl w:val="0"/>
          <w:numId w:val="2"/>
        </w:numPr>
      </w:pPr>
      <w:r>
        <w:t>Organised study- the skill of organised study that was discussed during his module focused on using efficient time management activities to create a planned timetable that effectively manages time and organises the studying process.</w:t>
      </w:r>
    </w:p>
    <w:p w14:paraId="797E80CD" w14:textId="77777777" w:rsidR="00FD2F91" w:rsidRDefault="00492DCB">
      <w:pPr>
        <w:numPr>
          <w:ilvl w:val="0"/>
          <w:numId w:val="2"/>
        </w:numPr>
      </w:pPr>
      <w:r>
        <w:t xml:space="preserve">Public speaking and presentation- the skill of public speaking was an important and mandatory skill that was discussed during this module. public speaking and presentation as a skill for Academics and professional development that were discussed focused on evaluating the proper and correct manner of public speaking and presentation and its benefits in increasing the employability skills of individuals (Schultze, 2020). </w:t>
      </w:r>
    </w:p>
    <w:p w14:paraId="05203083" w14:textId="77777777" w:rsidR="00FD2F91" w:rsidRDefault="00492DCB">
      <w:r>
        <w:rPr>
          <w:b/>
          <w:u w:val="single"/>
        </w:rPr>
        <w:t>Reflective Observation-</w:t>
      </w:r>
      <w:r>
        <w:t xml:space="preserve"> From this module, it can be observed that the skills that were discussed and shared focused on increasing the academic and employability capabilities of all learners. My feelings towards the module and the skills that were provided are fairly positive. From the experience, I learned certain skills that I feel are mandatory for academic and professional development. </w:t>
      </w:r>
    </w:p>
    <w:p w14:paraId="3EF1C4C4" w14:textId="77777777" w:rsidR="00FD2F91" w:rsidRDefault="00492DCB">
      <w:pPr>
        <w:numPr>
          <w:ilvl w:val="0"/>
          <w:numId w:val="2"/>
        </w:numPr>
      </w:pPr>
      <w:r>
        <w:t>Time management- The skill of time management is one of the most essential skills for any individual as I feel that time management is a resource skill that allows individuals like myself to focus on effectively planning all activities and expect that will help me to further progress and use my time efficiently.</w:t>
      </w:r>
    </w:p>
    <w:p w14:paraId="5C166F5D" w14:textId="77777777" w:rsidR="00FD2F91" w:rsidRDefault="00492DCB">
      <w:pPr>
        <w:numPr>
          <w:ilvl w:val="0"/>
          <w:numId w:val="2"/>
        </w:numPr>
      </w:pPr>
      <w:r>
        <w:lastRenderedPageBreak/>
        <w:t>Academic Writing- I feel that the skill of academic writing is very essential for all academic learning purposes and Journeys. with the skill of academic writing, I was allowed to focus on creating proper structures for all my reports assignments that I have submitted. Further, the skill of academic writing is a Transferable skill and I feel that I could transfer the basic principles of that skill towards increasing my employability.</w:t>
      </w:r>
    </w:p>
    <w:p w14:paraId="63BB2CA8" w14:textId="77777777" w:rsidR="00FD2F91" w:rsidRDefault="00492DCB">
      <w:pPr>
        <w:numPr>
          <w:ilvl w:val="0"/>
          <w:numId w:val="2"/>
        </w:numPr>
      </w:pPr>
      <w:r>
        <w:t>Organised study- organise study does not only focus on studying material but also allows me to create an action plan that allows me to organise my professional activities as well (</w:t>
      </w:r>
      <w:proofErr w:type="spellStart"/>
      <w:r>
        <w:rPr>
          <w:color w:val="000000"/>
          <w:highlight w:val="white"/>
        </w:rPr>
        <w:t>Bickerdike</w:t>
      </w:r>
      <w:r>
        <w:rPr>
          <w:i/>
          <w:color w:val="000000"/>
          <w:highlight w:val="white"/>
        </w:rPr>
        <w:t>et</w:t>
      </w:r>
      <w:proofErr w:type="spellEnd"/>
      <w:r>
        <w:rPr>
          <w:i/>
          <w:color w:val="000000"/>
          <w:highlight w:val="white"/>
        </w:rPr>
        <w:t xml:space="preserve"> al.,</w:t>
      </w:r>
      <w:r>
        <w:rPr>
          <w:color w:val="000000"/>
          <w:highlight w:val="white"/>
        </w:rPr>
        <w:t xml:space="preserve"> 201</w:t>
      </w:r>
      <w:r>
        <w:rPr>
          <w:color w:val="222222"/>
          <w:sz w:val="20"/>
          <w:szCs w:val="20"/>
          <w:highlight w:val="white"/>
        </w:rPr>
        <w:t>6</w:t>
      </w:r>
      <w:r>
        <w:t>). During my Academics journey, I feel like the skill of organised study was one of the most essential skills as it allowed me to plan out my study time and the various subjects and syllabus that are to be covered.</w:t>
      </w:r>
    </w:p>
    <w:p w14:paraId="1EAD1C20" w14:textId="77777777" w:rsidR="00FD2F91" w:rsidRDefault="00492DCB">
      <w:pPr>
        <w:numPr>
          <w:ilvl w:val="0"/>
          <w:numId w:val="2"/>
        </w:numPr>
      </w:pPr>
      <w:r>
        <w:t xml:space="preserve">Public speaking and presentation- I have learned that while the skill of public speaking and giving presentations may be intimidating at first, it is also necessary. While I was nervous about this skill after using it in </w:t>
      </w:r>
      <w:proofErr w:type="gramStart"/>
      <w:r>
        <w:t>practice</w:t>
      </w:r>
      <w:proofErr w:type="gramEnd"/>
      <w:r>
        <w:t xml:space="preserve"> I felt confident about using this skill as it helped me improve my communication skills and allowed me to effectively put my opinions forward. </w:t>
      </w:r>
    </w:p>
    <w:p w14:paraId="721CAB19" w14:textId="77777777" w:rsidR="00FD2F91" w:rsidRDefault="00492DCB">
      <w:r>
        <w:rPr>
          <w:b/>
          <w:u w:val="single"/>
        </w:rPr>
        <w:t>Abstract Conceptualisation-</w:t>
      </w:r>
      <w:r>
        <w:t xml:space="preserve"> During this module, I learned about the use of different skills to increase the efficiency and capability of all individuals during their academic journey and professional development. Through this module, I feel that the skills that were taught and discussed did increase our employability capabilities in the field of Human resource management. While my feelings towards the module are fairly positive, I do believe that the module concentrated greatly on skills required in the field of Human Resource management. I believe that the module could further be improved if it were focused on discussing several professional fields. </w:t>
      </w:r>
    </w:p>
    <w:p w14:paraId="50DCD61E" w14:textId="77777777" w:rsidR="00FD2F91" w:rsidRDefault="00492DCB">
      <w:pPr>
        <w:numPr>
          <w:ilvl w:val="0"/>
          <w:numId w:val="2"/>
        </w:numPr>
      </w:pPr>
      <w:r>
        <w:t>Time management- Time management is effective and necessary in the field of HRM (Azar, 2017). While the skill of time management that was discussed was focused on the situation of HRM, the skill could also be improved and transferred to other professional areas.</w:t>
      </w:r>
    </w:p>
    <w:p w14:paraId="430F1670" w14:textId="77777777" w:rsidR="00FD2F91" w:rsidRDefault="00492DCB">
      <w:pPr>
        <w:numPr>
          <w:ilvl w:val="0"/>
          <w:numId w:val="2"/>
        </w:numPr>
      </w:pPr>
      <w:r>
        <w:t xml:space="preserve">Academic Writing- Academic writing is a basic transferable skill that can be used in different professional fields of work, including Human resource management. </w:t>
      </w:r>
    </w:p>
    <w:p w14:paraId="34DCA2DA" w14:textId="77777777" w:rsidR="00FD2F91" w:rsidRDefault="00492DCB">
      <w:pPr>
        <w:numPr>
          <w:ilvl w:val="0"/>
          <w:numId w:val="2"/>
        </w:numPr>
      </w:pPr>
      <w:r>
        <w:t xml:space="preserve">Organised study- Organised study was a skill that I appreciated but at the same time, I was not able to understand its use in increasing the employability of individuals like myself. </w:t>
      </w:r>
    </w:p>
    <w:p w14:paraId="0F6048B6" w14:textId="77777777" w:rsidR="00FD2F91" w:rsidRDefault="00492DCB">
      <w:pPr>
        <w:numPr>
          <w:ilvl w:val="0"/>
          <w:numId w:val="2"/>
        </w:numPr>
      </w:pPr>
      <w:r>
        <w:t xml:space="preserve">Public speaking and presentation- The skill of public speaking and presentation is one of the most important skills for all individuals both within academic as well as professional development. The skill of public speaking and presentation is essential </w:t>
      </w:r>
      <w:r>
        <w:lastRenderedPageBreak/>
        <w:t xml:space="preserve">and I feel was quite inclusive in discussing communication and how public speaking can improve communication capabilities. </w:t>
      </w:r>
    </w:p>
    <w:p w14:paraId="7BD2147A" w14:textId="77777777" w:rsidR="00FD2F91" w:rsidRDefault="00492DCB">
      <w:r>
        <w:rPr>
          <w:b/>
          <w:u w:val="single"/>
        </w:rPr>
        <w:t xml:space="preserve">Active Experimentation- </w:t>
      </w:r>
      <w:r>
        <w:t xml:space="preserve">Every skill that has been discussed and focused on during this module is considered necessary not only for academic development but may also be used in professional development as well. With the help of these skills, I intend to use the skills and my academic journey as well as my professional and career development. With the help of this module and the experience gained from it, using these skills I will be able to make a smooth transition from academic life to my professional career. </w:t>
      </w:r>
    </w:p>
    <w:p w14:paraId="45688C86" w14:textId="77777777" w:rsidR="00FD2F91" w:rsidRDefault="00492DCB">
      <w:pPr>
        <w:numPr>
          <w:ilvl w:val="0"/>
          <w:numId w:val="2"/>
        </w:numPr>
      </w:pPr>
      <w:r>
        <w:t>Time management- I intend on using the skill of time management in different activities in my professional life. I will use the experience to effectively create time management plans that help me follow different schedules and time-based tasks.</w:t>
      </w:r>
    </w:p>
    <w:p w14:paraId="56E3C26D" w14:textId="77777777" w:rsidR="00FD2F91" w:rsidRDefault="00492DCB">
      <w:pPr>
        <w:numPr>
          <w:ilvl w:val="0"/>
          <w:numId w:val="2"/>
        </w:numPr>
      </w:pPr>
      <w:r>
        <w:t xml:space="preserve">Academic Writing- Using the skill of academic writing, I will improve the structure of written reports and improve my assignments to increase their effectiveness and attractiveness. </w:t>
      </w:r>
    </w:p>
    <w:p w14:paraId="7AA6AFF4" w14:textId="77777777" w:rsidR="00FD2F91" w:rsidRDefault="00492DCB">
      <w:pPr>
        <w:numPr>
          <w:ilvl w:val="0"/>
          <w:numId w:val="2"/>
        </w:numPr>
      </w:pPr>
      <w:r>
        <w:t xml:space="preserve">Organised study- Since several topics will be covered during my academic </w:t>
      </w:r>
      <w:proofErr w:type="gramStart"/>
      <w:r>
        <w:t>journey</w:t>
      </w:r>
      <w:proofErr w:type="gramEnd"/>
      <w:r>
        <w:t xml:space="preserve"> I plan to use the skill of organised study to plan out my studies by creating time-based goals to achieve and create a plan to complete my syllabus efficiently. </w:t>
      </w:r>
    </w:p>
    <w:p w14:paraId="67B9141B" w14:textId="77777777" w:rsidR="00FD2F91" w:rsidRDefault="00492DCB">
      <w:pPr>
        <w:numPr>
          <w:ilvl w:val="0"/>
          <w:numId w:val="2"/>
        </w:numPr>
      </w:pPr>
      <w:r>
        <w:t xml:space="preserve">Public speaking and presentation- I intend on using my newly developed skill of public speaking and presentation towards nurturing my communication capabilities. I will use the presentation skills I have acquired to present my ideas and opinions in public settings. I intend on using the skill of public speaking to improve my articulation as well. </w:t>
      </w:r>
    </w:p>
    <w:p w14:paraId="42454260" w14:textId="77777777" w:rsidR="00FD2F91" w:rsidRDefault="00FD2F91"/>
    <w:p w14:paraId="76102C4C" w14:textId="77777777" w:rsidR="00FD2F91" w:rsidRDefault="00492DCB">
      <w:pPr>
        <w:rPr>
          <w:b/>
          <w:sz w:val="28"/>
          <w:szCs w:val="28"/>
        </w:rPr>
      </w:pPr>
      <w:r>
        <w:br w:type="page"/>
      </w:r>
    </w:p>
    <w:p w14:paraId="65804E20" w14:textId="77777777" w:rsidR="00FD2F91" w:rsidRDefault="00492DCB">
      <w:pPr>
        <w:pStyle w:val="Heading1"/>
      </w:pPr>
      <w:bookmarkStart w:id="5" w:name="_Toc110671573"/>
      <w:r>
        <w:lastRenderedPageBreak/>
        <w:t>Conclusion</w:t>
      </w:r>
      <w:bookmarkEnd w:id="5"/>
    </w:p>
    <w:p w14:paraId="06421ED6" w14:textId="77777777" w:rsidR="00FD2F91" w:rsidRDefault="00492DCB">
      <w:r>
        <w:t xml:space="preserve">During the process of personal and academic reflection, all individuals need to analyse the skills that they have developed along with the pre-existing skills that they have enhanced or nurtured. In the following reflective report that was conducted, four important skills that I had learned during this module were effectively analysed and determined. As part of this report, the John model of structured reflection was used which helped me reflect on each skill that I have obtained. To complete the reflection, I determined how and when I may use the skills that were reflected in my personal and professional life and its development. </w:t>
      </w:r>
    </w:p>
    <w:p w14:paraId="31A598DD" w14:textId="77777777" w:rsidR="00FD2F91" w:rsidRDefault="00492DCB">
      <w:pPr>
        <w:rPr>
          <w:b/>
          <w:sz w:val="28"/>
          <w:szCs w:val="28"/>
        </w:rPr>
      </w:pPr>
      <w:bookmarkStart w:id="6" w:name="_heading=h.1t3h5sf" w:colFirst="0" w:colLast="0"/>
      <w:bookmarkEnd w:id="6"/>
      <w:r>
        <w:br w:type="page"/>
      </w:r>
    </w:p>
    <w:p w14:paraId="38E614B4" w14:textId="77777777" w:rsidR="00FD2F91" w:rsidRDefault="00492DCB">
      <w:pPr>
        <w:pStyle w:val="Heading1"/>
      </w:pPr>
      <w:bookmarkStart w:id="7" w:name="_Toc110671574"/>
      <w:r>
        <w:lastRenderedPageBreak/>
        <w:t>References</w:t>
      </w:r>
      <w:bookmarkEnd w:id="7"/>
    </w:p>
    <w:p w14:paraId="6DB4FCA1" w14:textId="77777777" w:rsidR="00FD2F91" w:rsidRPr="0066223F" w:rsidRDefault="00492DCB" w:rsidP="0066223F">
      <w:pPr>
        <w:spacing w:before="240" w:after="240"/>
        <w:rPr>
          <w:color w:val="000000"/>
        </w:rPr>
      </w:pPr>
      <w:r w:rsidRPr="0066223F">
        <w:rPr>
          <w:color w:val="000000"/>
        </w:rPr>
        <w:t xml:space="preserve">Al Hila, A.A., Al </w:t>
      </w:r>
      <w:proofErr w:type="spellStart"/>
      <w:r w:rsidRPr="0066223F">
        <w:rPr>
          <w:color w:val="000000"/>
        </w:rPr>
        <w:t>Shobaki</w:t>
      </w:r>
      <w:proofErr w:type="spellEnd"/>
      <w:r w:rsidRPr="0066223F">
        <w:rPr>
          <w:color w:val="000000"/>
        </w:rPr>
        <w:t>, M.J. and Abu-Naser, S.S., 2018. The effectiveness of a website to improve the effectiveness of time management for employees in the beauty dental clinic. International Journal of Academic Information Systems Research (IJAISR), 2(5).</w:t>
      </w:r>
    </w:p>
    <w:p w14:paraId="534C9204" w14:textId="77777777" w:rsidR="00FD2F91" w:rsidRPr="0066223F" w:rsidRDefault="00492DCB" w:rsidP="0066223F">
      <w:pPr>
        <w:spacing w:before="240" w:after="240"/>
        <w:rPr>
          <w:color w:val="000000"/>
        </w:rPr>
      </w:pPr>
      <w:r w:rsidRPr="0066223F">
        <w:rPr>
          <w:color w:val="000000"/>
        </w:rPr>
        <w:t xml:space="preserve">Azar, S., 2017. Time Management </w:t>
      </w:r>
      <w:proofErr w:type="spellStart"/>
      <w:r w:rsidRPr="0066223F">
        <w:rPr>
          <w:color w:val="000000"/>
        </w:rPr>
        <w:t>Behaviors</w:t>
      </w:r>
      <w:proofErr w:type="spellEnd"/>
      <w:r w:rsidRPr="0066223F">
        <w:rPr>
          <w:color w:val="000000"/>
        </w:rPr>
        <w:t xml:space="preserve"> Sanction Adoption of Flexible Work Arrangements. Journal of Economic Development, Management, IT, Finance &amp; Marketing, 9(1).</w:t>
      </w:r>
    </w:p>
    <w:p w14:paraId="3B8A8217" w14:textId="77777777" w:rsidR="00FD2F91" w:rsidRPr="0066223F" w:rsidRDefault="00492DCB" w:rsidP="0066223F">
      <w:pPr>
        <w:spacing w:before="240" w:after="240"/>
        <w:rPr>
          <w:color w:val="000000"/>
        </w:rPr>
      </w:pPr>
      <w:r w:rsidRPr="0066223F">
        <w:rPr>
          <w:color w:val="000000"/>
        </w:rPr>
        <w:t>Baker, M.A. and Robinson, J.S., 2016. The Effects of Kolb's Experiential Learning Model on Successful Intelligence in Secondary Agriculture Students. Journal of Agricultural Education, 57(3), pp.129-144.</w:t>
      </w:r>
    </w:p>
    <w:p w14:paraId="4BAD6FA4" w14:textId="77777777" w:rsidR="00FD2F91" w:rsidRPr="0066223F" w:rsidRDefault="00492DCB" w:rsidP="0066223F">
      <w:pPr>
        <w:spacing w:before="240" w:after="240"/>
        <w:rPr>
          <w:color w:val="000000"/>
        </w:rPr>
      </w:pPr>
      <w:r w:rsidRPr="0066223F">
        <w:rPr>
          <w:color w:val="000000"/>
        </w:rPr>
        <w:t>Bandaranaike, S., 2018. From research skill development to work skill development. Journal of University Teaching &amp; Learning Practice, 15(4), p.7.</w:t>
      </w:r>
    </w:p>
    <w:p w14:paraId="57A0C4C3" w14:textId="77777777" w:rsidR="00FD2F91" w:rsidRPr="0066223F" w:rsidRDefault="00492DCB" w:rsidP="0066223F">
      <w:pPr>
        <w:spacing w:before="240" w:after="240"/>
        <w:rPr>
          <w:color w:val="000000"/>
        </w:rPr>
      </w:pPr>
      <w:proofErr w:type="spellStart"/>
      <w:r w:rsidRPr="0066223F">
        <w:rPr>
          <w:color w:val="000000"/>
        </w:rPr>
        <w:t>Bickerdike</w:t>
      </w:r>
      <w:proofErr w:type="spellEnd"/>
      <w:r w:rsidRPr="0066223F">
        <w:rPr>
          <w:color w:val="000000"/>
        </w:rPr>
        <w:t xml:space="preserve">, A., </w:t>
      </w:r>
      <w:proofErr w:type="spellStart"/>
      <w:r w:rsidRPr="0066223F">
        <w:rPr>
          <w:color w:val="000000"/>
        </w:rPr>
        <w:t>O'Deasmhunaigh</w:t>
      </w:r>
      <w:proofErr w:type="spellEnd"/>
      <w:r w:rsidRPr="0066223F">
        <w:rPr>
          <w:color w:val="000000"/>
        </w:rPr>
        <w:t xml:space="preserve">, C., </w:t>
      </w:r>
      <w:proofErr w:type="spellStart"/>
      <w:r w:rsidRPr="0066223F">
        <w:rPr>
          <w:color w:val="000000"/>
        </w:rPr>
        <w:t>O'Flynn</w:t>
      </w:r>
      <w:proofErr w:type="spellEnd"/>
      <w:r w:rsidRPr="0066223F">
        <w:rPr>
          <w:color w:val="000000"/>
        </w:rPr>
        <w:t xml:space="preserve">, S. and </w:t>
      </w:r>
      <w:proofErr w:type="spellStart"/>
      <w:r w:rsidRPr="0066223F">
        <w:rPr>
          <w:color w:val="000000"/>
        </w:rPr>
        <w:t>O'Tuathaigh</w:t>
      </w:r>
      <w:proofErr w:type="spellEnd"/>
      <w:r w:rsidRPr="0066223F">
        <w:rPr>
          <w:color w:val="000000"/>
        </w:rPr>
        <w:t>, C., 2016. Learning strategies, study habits and social networking activity of undergraduate medical students. International journal of medical education, 7, p.230.</w:t>
      </w:r>
    </w:p>
    <w:p w14:paraId="4DA9530B" w14:textId="77777777" w:rsidR="00FD2F91" w:rsidRPr="0066223F" w:rsidRDefault="00492DCB" w:rsidP="0066223F">
      <w:pPr>
        <w:spacing w:before="240" w:after="240"/>
        <w:rPr>
          <w:color w:val="000000"/>
        </w:rPr>
      </w:pPr>
      <w:r w:rsidRPr="0066223F">
        <w:rPr>
          <w:color w:val="000000"/>
        </w:rPr>
        <w:t>Britten, N. and Maguire, K., 2016. Lay knowledge, social movements and the use of medicines: Personal reflections. Health: 20(2), pp.77-93.</w:t>
      </w:r>
    </w:p>
    <w:p w14:paraId="73E39D8B" w14:textId="77777777" w:rsidR="00FD2F91" w:rsidRPr="0066223F" w:rsidRDefault="00492DCB" w:rsidP="0066223F">
      <w:pPr>
        <w:spacing w:before="240" w:after="240"/>
        <w:rPr>
          <w:color w:val="000000"/>
        </w:rPr>
      </w:pPr>
      <w:proofErr w:type="spellStart"/>
      <w:r w:rsidRPr="0066223F">
        <w:rPr>
          <w:color w:val="000000"/>
        </w:rPr>
        <w:t>Cathro</w:t>
      </w:r>
      <w:proofErr w:type="spellEnd"/>
      <w:r w:rsidRPr="0066223F">
        <w:rPr>
          <w:color w:val="000000"/>
        </w:rPr>
        <w:t>, V., O’Kane, P. and Gilbertson, D., 2017. Assessing reflection: Understanding skill development through reflective learning journals. Education+ Training.</w:t>
      </w:r>
    </w:p>
    <w:p w14:paraId="7E1FC172" w14:textId="77777777" w:rsidR="00FD2F91" w:rsidRPr="0066223F" w:rsidRDefault="00492DCB" w:rsidP="0066223F">
      <w:pPr>
        <w:spacing w:before="240" w:after="240"/>
        <w:rPr>
          <w:color w:val="000000"/>
        </w:rPr>
      </w:pPr>
      <w:r w:rsidRPr="0066223F">
        <w:rPr>
          <w:color w:val="000000"/>
        </w:rPr>
        <w:t>Chiu, S.K., 2019. Innovative experiential learning experience: Pedagogical adopting Kolb’s learning cycle at higher education in Hong Kong. Cogent Education, 6(1), p.1644720.</w:t>
      </w:r>
    </w:p>
    <w:p w14:paraId="234D3E9B" w14:textId="77777777" w:rsidR="00FD2F91" w:rsidRPr="0066223F" w:rsidRDefault="00492DCB" w:rsidP="0066223F">
      <w:pPr>
        <w:spacing w:before="240" w:after="240"/>
        <w:rPr>
          <w:color w:val="000000"/>
        </w:rPr>
      </w:pPr>
      <w:r w:rsidRPr="0066223F">
        <w:rPr>
          <w:color w:val="000000"/>
        </w:rPr>
        <w:t>Clarke, M., 2018. Rethinking graduate employability: The role of capital, individual attributes and context. Studies in higher education, 43(11), pp.1923-1937.</w:t>
      </w:r>
    </w:p>
    <w:p w14:paraId="65679473" w14:textId="77777777" w:rsidR="00FD2F91" w:rsidRPr="0066223F" w:rsidRDefault="00492DCB" w:rsidP="0066223F">
      <w:pPr>
        <w:spacing w:before="240" w:after="240"/>
        <w:rPr>
          <w:color w:val="000000"/>
        </w:rPr>
      </w:pPr>
      <w:proofErr w:type="spellStart"/>
      <w:r w:rsidRPr="0066223F">
        <w:rPr>
          <w:color w:val="000000"/>
        </w:rPr>
        <w:t>Dandira</w:t>
      </w:r>
      <w:proofErr w:type="spellEnd"/>
      <w:r w:rsidRPr="0066223F">
        <w:rPr>
          <w:color w:val="000000"/>
        </w:rPr>
        <w:t>, T., Maphosa, C. and Nsubuga, Y., 2017. Students’ workplace learning experiences: How do Clothing Fashion Design Students Apply Knowledge and Skills Gained at University to the Workplace. Journal of Hospitality, Tourism and Leisure, 6(1).</w:t>
      </w:r>
    </w:p>
    <w:p w14:paraId="51B6FF4E" w14:textId="77777777" w:rsidR="00FD2F91" w:rsidRPr="0066223F" w:rsidRDefault="00492DCB" w:rsidP="0066223F">
      <w:pPr>
        <w:spacing w:before="240" w:after="240"/>
        <w:rPr>
          <w:color w:val="000000"/>
        </w:rPr>
      </w:pPr>
      <w:r w:rsidRPr="0066223F">
        <w:rPr>
          <w:color w:val="000000"/>
          <w:highlight w:val="white"/>
        </w:rPr>
        <w:t xml:space="preserve">Fromm, J., </w:t>
      </w:r>
      <w:proofErr w:type="spellStart"/>
      <w:r w:rsidRPr="0066223F">
        <w:rPr>
          <w:color w:val="000000"/>
          <w:highlight w:val="white"/>
        </w:rPr>
        <w:t>Radianti</w:t>
      </w:r>
      <w:proofErr w:type="spellEnd"/>
      <w:r w:rsidRPr="0066223F">
        <w:rPr>
          <w:color w:val="000000"/>
          <w:highlight w:val="white"/>
        </w:rPr>
        <w:t xml:space="preserve">, J., </w:t>
      </w:r>
      <w:proofErr w:type="spellStart"/>
      <w:r w:rsidRPr="0066223F">
        <w:rPr>
          <w:color w:val="000000"/>
          <w:highlight w:val="white"/>
        </w:rPr>
        <w:t>Wehking</w:t>
      </w:r>
      <w:proofErr w:type="spellEnd"/>
      <w:r w:rsidRPr="0066223F">
        <w:rPr>
          <w:color w:val="000000"/>
          <w:highlight w:val="white"/>
        </w:rPr>
        <w:t xml:space="preserve">, C., Stieglitz, S., Majchrzak, T.A. and </w:t>
      </w:r>
      <w:proofErr w:type="spellStart"/>
      <w:r w:rsidRPr="0066223F">
        <w:rPr>
          <w:color w:val="000000"/>
          <w:highlight w:val="white"/>
        </w:rPr>
        <w:t>vomBrocke</w:t>
      </w:r>
      <w:proofErr w:type="spellEnd"/>
      <w:r w:rsidRPr="0066223F">
        <w:rPr>
          <w:color w:val="000000"/>
          <w:highlight w:val="white"/>
        </w:rPr>
        <w:t>, J., 2021. More than experience?-On the unique opportunities of virtual reality to afford a holistic experiential learning cycle. </w:t>
      </w:r>
      <w:r w:rsidRPr="0066223F">
        <w:rPr>
          <w:i/>
          <w:color w:val="000000"/>
          <w:highlight w:val="white"/>
        </w:rPr>
        <w:t>The Internet and higher education</w:t>
      </w:r>
      <w:r w:rsidRPr="0066223F">
        <w:rPr>
          <w:color w:val="000000"/>
          <w:highlight w:val="white"/>
        </w:rPr>
        <w:t>, </w:t>
      </w:r>
      <w:r w:rsidRPr="0066223F">
        <w:rPr>
          <w:i/>
          <w:color w:val="000000"/>
          <w:highlight w:val="white"/>
        </w:rPr>
        <w:t>50</w:t>
      </w:r>
      <w:r w:rsidRPr="0066223F">
        <w:rPr>
          <w:color w:val="000000"/>
          <w:highlight w:val="white"/>
        </w:rPr>
        <w:t>, p.100804.</w:t>
      </w:r>
    </w:p>
    <w:p w14:paraId="746D3304" w14:textId="77777777" w:rsidR="00FD2F91" w:rsidRPr="0066223F" w:rsidRDefault="00492DCB" w:rsidP="0066223F">
      <w:pPr>
        <w:spacing w:before="240" w:after="240"/>
        <w:rPr>
          <w:color w:val="000000"/>
        </w:rPr>
      </w:pPr>
      <w:r w:rsidRPr="0066223F">
        <w:rPr>
          <w:color w:val="000000"/>
        </w:rPr>
        <w:lastRenderedPageBreak/>
        <w:t>Gregg, M., 2018. Counterproductive: Time management in the knowledge economy. Duke University Press.</w:t>
      </w:r>
    </w:p>
    <w:p w14:paraId="1C4B1EEF" w14:textId="77777777" w:rsidR="00FD2F91" w:rsidRPr="0066223F" w:rsidRDefault="00492DCB" w:rsidP="0066223F">
      <w:pPr>
        <w:spacing w:before="240" w:after="240"/>
        <w:rPr>
          <w:color w:val="000000"/>
        </w:rPr>
      </w:pPr>
      <w:proofErr w:type="spellStart"/>
      <w:r w:rsidRPr="0066223F">
        <w:rPr>
          <w:color w:val="000000"/>
        </w:rPr>
        <w:t>Mallia</w:t>
      </w:r>
      <w:proofErr w:type="spellEnd"/>
      <w:r w:rsidRPr="0066223F">
        <w:rPr>
          <w:color w:val="000000"/>
        </w:rPr>
        <w:t>, J., 2017. Strategies for developing English academic writing skills. Arab World English Journal (AWEJ) Volume, 8.</w:t>
      </w:r>
    </w:p>
    <w:p w14:paraId="08EE81AE" w14:textId="77777777" w:rsidR="00FD2F91" w:rsidRPr="0066223F" w:rsidRDefault="00492DCB" w:rsidP="0066223F">
      <w:pPr>
        <w:spacing w:before="240" w:after="240"/>
        <w:rPr>
          <w:color w:val="000000"/>
        </w:rPr>
      </w:pPr>
      <w:proofErr w:type="spellStart"/>
      <w:r w:rsidRPr="0066223F">
        <w:rPr>
          <w:color w:val="000000"/>
        </w:rPr>
        <w:t>Miniano</w:t>
      </w:r>
      <w:proofErr w:type="spellEnd"/>
      <w:r w:rsidRPr="0066223F">
        <w:rPr>
          <w:color w:val="000000"/>
        </w:rPr>
        <w:t>, C.M. and Rui, X.Y., 2020. Kolb’s learning styles and managerial concern for people and task: A reflective measurement model. European Journal of Business and Management, 12(9), pp.12-21.</w:t>
      </w:r>
    </w:p>
    <w:p w14:paraId="40F1B54C" w14:textId="77777777" w:rsidR="00FD2F91" w:rsidRPr="0066223F" w:rsidRDefault="00492DCB" w:rsidP="0066223F">
      <w:pPr>
        <w:spacing w:before="240" w:after="240"/>
        <w:rPr>
          <w:color w:val="000000"/>
          <w:highlight w:val="white"/>
        </w:rPr>
      </w:pPr>
      <w:r w:rsidRPr="0066223F">
        <w:rPr>
          <w:color w:val="000000"/>
          <w:highlight w:val="white"/>
        </w:rPr>
        <w:t>Schultze, Q.J., 2020. An essential guide to public speaking: Serving your audience with faith, skill, and virtue. Baker Academic.</w:t>
      </w:r>
    </w:p>
    <w:p w14:paraId="13C4EA39" w14:textId="77777777" w:rsidR="00FD2F91" w:rsidRPr="0066223F" w:rsidRDefault="00492DCB" w:rsidP="0066223F">
      <w:pPr>
        <w:spacing w:before="240" w:after="240"/>
        <w:rPr>
          <w:color w:val="000000"/>
        </w:rPr>
      </w:pPr>
      <w:r w:rsidRPr="0066223F">
        <w:rPr>
          <w:color w:val="000000"/>
        </w:rPr>
        <w:t>Thomas, D.N., 2021. Organising for Social Change: a study in the theory and practice of community work. Routledge.</w:t>
      </w:r>
    </w:p>
    <w:p w14:paraId="045A365F" w14:textId="77777777" w:rsidR="00FD2F91" w:rsidRDefault="00FD2F91">
      <w:pPr>
        <w:jc w:val="center"/>
        <w:rPr>
          <w:rFonts w:ascii="Times New Roman" w:eastAsia="Times New Roman" w:hAnsi="Times New Roman" w:cs="Times New Roman"/>
          <w:b/>
          <w:sz w:val="32"/>
          <w:szCs w:val="32"/>
        </w:rPr>
      </w:pPr>
    </w:p>
    <w:sectPr w:rsidR="00FD2F91" w:rsidSect="0066223F">
      <w:footerReference w:type="default" r:id="rId10"/>
      <w:pgSz w:w="11906" w:h="16838" w:code="9"/>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405D8" w14:textId="77777777" w:rsidR="00EF5E46" w:rsidRDefault="00EF5E46" w:rsidP="00FD2F91">
      <w:pPr>
        <w:spacing w:line="240" w:lineRule="auto"/>
      </w:pPr>
      <w:r>
        <w:separator/>
      </w:r>
    </w:p>
  </w:endnote>
  <w:endnote w:type="continuationSeparator" w:id="0">
    <w:p w14:paraId="3AC8F7B8" w14:textId="77777777" w:rsidR="00EF5E46" w:rsidRDefault="00EF5E46" w:rsidP="00FD2F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34A96" w14:textId="77777777" w:rsidR="00FD2F91" w:rsidRDefault="00FD2F9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492DCB">
      <w:rPr>
        <w:color w:val="000000"/>
      </w:rPr>
      <w:instrText>PAGE</w:instrText>
    </w:r>
    <w:r>
      <w:rPr>
        <w:color w:val="000000"/>
      </w:rPr>
      <w:fldChar w:fldCharType="separate"/>
    </w:r>
    <w:r w:rsidR="00AB5EC4">
      <w:rPr>
        <w:noProof/>
        <w:color w:val="000000"/>
      </w:rPr>
      <w:t>11</w:t>
    </w:r>
    <w:r>
      <w:rPr>
        <w:color w:val="000000"/>
      </w:rPr>
      <w:fldChar w:fldCharType="end"/>
    </w:r>
  </w:p>
  <w:p w14:paraId="21A10ABA" w14:textId="77777777" w:rsidR="00FD2F91" w:rsidRDefault="00FD2F9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6F92" w14:textId="77777777" w:rsidR="00EF5E46" w:rsidRDefault="00EF5E46" w:rsidP="00FD2F91">
      <w:pPr>
        <w:spacing w:line="240" w:lineRule="auto"/>
      </w:pPr>
      <w:r>
        <w:separator/>
      </w:r>
    </w:p>
  </w:footnote>
  <w:footnote w:type="continuationSeparator" w:id="0">
    <w:p w14:paraId="16EBB166" w14:textId="77777777" w:rsidR="00EF5E46" w:rsidRDefault="00EF5E46" w:rsidP="00FD2F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26A14"/>
    <w:multiLevelType w:val="multilevel"/>
    <w:tmpl w:val="9B9E6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215DC4"/>
    <w:multiLevelType w:val="multilevel"/>
    <w:tmpl w:val="C28AA2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AE938DE"/>
    <w:multiLevelType w:val="hybridMultilevel"/>
    <w:tmpl w:val="B8D09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6266596">
    <w:abstractNumId w:val="1"/>
  </w:num>
  <w:num w:numId="2" w16cid:durableId="1444691696">
    <w:abstractNumId w:val="0"/>
  </w:num>
  <w:num w:numId="3" w16cid:durableId="6264681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EyNjC3MDY1sDA1sLRQ0lEKTi0uzszPAykwqgUAvNJ0AywAAAA="/>
  </w:docVars>
  <w:rsids>
    <w:rsidRoot w:val="00FD2F91"/>
    <w:rsid w:val="000D68A3"/>
    <w:rsid w:val="001E50F1"/>
    <w:rsid w:val="003C7606"/>
    <w:rsid w:val="00460D7F"/>
    <w:rsid w:val="00492DCB"/>
    <w:rsid w:val="0066223F"/>
    <w:rsid w:val="00675648"/>
    <w:rsid w:val="0081392C"/>
    <w:rsid w:val="00AB5EC4"/>
    <w:rsid w:val="00CF3052"/>
    <w:rsid w:val="00D6426E"/>
    <w:rsid w:val="00EF5E46"/>
    <w:rsid w:val="00FD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3C56"/>
  <w15:docId w15:val="{E6FB17E6-E93B-4730-B948-F4776232C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283"/>
  </w:style>
  <w:style w:type="paragraph" w:styleId="Heading1">
    <w:name w:val="heading 1"/>
    <w:basedOn w:val="Normal"/>
    <w:next w:val="Normal"/>
    <w:uiPriority w:val="9"/>
    <w:qFormat/>
    <w:rsid w:val="00105283"/>
    <w:pPr>
      <w:keepNext/>
      <w:keepLines/>
      <w:outlineLvl w:val="0"/>
    </w:pPr>
    <w:rPr>
      <w:b/>
      <w:sz w:val="28"/>
      <w:szCs w:val="28"/>
    </w:rPr>
  </w:style>
  <w:style w:type="paragraph" w:styleId="Heading2">
    <w:name w:val="heading 2"/>
    <w:basedOn w:val="Normal"/>
    <w:next w:val="Normal"/>
    <w:uiPriority w:val="9"/>
    <w:semiHidden/>
    <w:unhideWhenUsed/>
    <w:qFormat/>
    <w:rsid w:val="00105283"/>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0528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0528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05283"/>
    <w:pPr>
      <w:keepNext/>
      <w:keepLines/>
      <w:spacing w:before="240" w:after="80"/>
      <w:outlineLvl w:val="4"/>
    </w:pPr>
    <w:rPr>
      <w:color w:val="666666"/>
    </w:rPr>
  </w:style>
  <w:style w:type="paragraph" w:styleId="Heading6">
    <w:name w:val="heading 6"/>
    <w:basedOn w:val="Normal"/>
    <w:next w:val="Normal"/>
    <w:uiPriority w:val="9"/>
    <w:semiHidden/>
    <w:unhideWhenUsed/>
    <w:qFormat/>
    <w:rsid w:val="0010528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2F91"/>
  </w:style>
  <w:style w:type="paragraph" w:styleId="Title">
    <w:name w:val="Title"/>
    <w:basedOn w:val="Normal"/>
    <w:next w:val="Normal"/>
    <w:uiPriority w:val="10"/>
    <w:qFormat/>
    <w:rsid w:val="00105283"/>
    <w:pPr>
      <w:keepNext/>
      <w:keepLines/>
      <w:jc w:val="center"/>
    </w:pPr>
    <w:rPr>
      <w:rFonts w:ascii="Times New Roman" w:eastAsia="Times New Roman" w:hAnsi="Times New Roman" w:cs="Times New Roman"/>
      <w:b/>
      <w:sz w:val="32"/>
      <w:szCs w:val="32"/>
    </w:rPr>
  </w:style>
  <w:style w:type="paragraph" w:styleId="Subtitle">
    <w:name w:val="Subtitle"/>
    <w:basedOn w:val="Normal"/>
    <w:next w:val="Normal"/>
    <w:rsid w:val="00FD2F91"/>
    <w:pPr>
      <w:keepNext/>
      <w:keepLines/>
      <w:spacing w:after="320"/>
    </w:pPr>
    <w:rPr>
      <w:color w:val="666666"/>
      <w:sz w:val="30"/>
      <w:szCs w:val="30"/>
    </w:rPr>
  </w:style>
  <w:style w:type="paragraph" w:styleId="Header">
    <w:name w:val="header"/>
    <w:basedOn w:val="Normal"/>
    <w:link w:val="HeaderChar"/>
    <w:uiPriority w:val="99"/>
    <w:unhideWhenUsed/>
    <w:rsid w:val="00B73700"/>
    <w:pPr>
      <w:tabs>
        <w:tab w:val="center" w:pos="4513"/>
        <w:tab w:val="right" w:pos="9026"/>
      </w:tabs>
      <w:spacing w:line="240" w:lineRule="auto"/>
    </w:pPr>
  </w:style>
  <w:style w:type="character" w:customStyle="1" w:styleId="HeaderChar">
    <w:name w:val="Header Char"/>
    <w:basedOn w:val="DefaultParagraphFont"/>
    <w:link w:val="Header"/>
    <w:uiPriority w:val="99"/>
    <w:rsid w:val="00B73700"/>
    <w:rPr>
      <w:lang w:val="en-GB"/>
    </w:rPr>
  </w:style>
  <w:style w:type="paragraph" w:styleId="Footer">
    <w:name w:val="footer"/>
    <w:basedOn w:val="Normal"/>
    <w:link w:val="FooterChar"/>
    <w:uiPriority w:val="99"/>
    <w:unhideWhenUsed/>
    <w:rsid w:val="00B73700"/>
    <w:pPr>
      <w:tabs>
        <w:tab w:val="center" w:pos="4513"/>
        <w:tab w:val="right" w:pos="9026"/>
      </w:tabs>
      <w:spacing w:line="240" w:lineRule="auto"/>
    </w:pPr>
  </w:style>
  <w:style w:type="character" w:customStyle="1" w:styleId="FooterChar">
    <w:name w:val="Footer Char"/>
    <w:basedOn w:val="DefaultParagraphFont"/>
    <w:link w:val="Footer"/>
    <w:uiPriority w:val="99"/>
    <w:rsid w:val="00B73700"/>
    <w:rPr>
      <w:lang w:val="en-GB"/>
    </w:rPr>
  </w:style>
  <w:style w:type="paragraph" w:styleId="TOCHeading">
    <w:name w:val="TOC Heading"/>
    <w:basedOn w:val="Heading1"/>
    <w:next w:val="Normal"/>
    <w:uiPriority w:val="39"/>
    <w:unhideWhenUsed/>
    <w:qFormat/>
    <w:rsid w:val="00B7370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73700"/>
    <w:pPr>
      <w:spacing w:after="100"/>
    </w:pPr>
  </w:style>
  <w:style w:type="character" w:styleId="Hyperlink">
    <w:name w:val="Hyperlink"/>
    <w:basedOn w:val="DefaultParagraphFont"/>
    <w:uiPriority w:val="99"/>
    <w:unhideWhenUsed/>
    <w:rsid w:val="00B73700"/>
    <w:rPr>
      <w:color w:val="0000FF" w:themeColor="hyperlink"/>
      <w:u w:val="single"/>
    </w:rPr>
  </w:style>
  <w:style w:type="paragraph" w:styleId="ListParagraph">
    <w:name w:val="List Paragraph"/>
    <w:basedOn w:val="Normal"/>
    <w:uiPriority w:val="34"/>
    <w:qFormat/>
    <w:rsid w:val="00F04D89"/>
    <w:pPr>
      <w:ind w:left="720"/>
      <w:contextualSpacing/>
    </w:pPr>
  </w:style>
  <w:style w:type="character" w:styleId="CommentReference">
    <w:name w:val="annotation reference"/>
    <w:basedOn w:val="DefaultParagraphFont"/>
    <w:uiPriority w:val="99"/>
    <w:semiHidden/>
    <w:unhideWhenUsed/>
    <w:rsid w:val="00F04D89"/>
    <w:rPr>
      <w:sz w:val="16"/>
      <w:szCs w:val="16"/>
    </w:rPr>
  </w:style>
  <w:style w:type="paragraph" w:styleId="CommentText">
    <w:name w:val="annotation text"/>
    <w:basedOn w:val="Normal"/>
    <w:link w:val="CommentTextChar"/>
    <w:uiPriority w:val="99"/>
    <w:semiHidden/>
    <w:unhideWhenUsed/>
    <w:rsid w:val="00F04D89"/>
    <w:pPr>
      <w:spacing w:line="240" w:lineRule="auto"/>
    </w:pPr>
    <w:rPr>
      <w:sz w:val="20"/>
      <w:szCs w:val="20"/>
    </w:rPr>
  </w:style>
  <w:style w:type="character" w:customStyle="1" w:styleId="CommentTextChar">
    <w:name w:val="Comment Text Char"/>
    <w:basedOn w:val="DefaultParagraphFont"/>
    <w:link w:val="CommentText"/>
    <w:uiPriority w:val="99"/>
    <w:semiHidden/>
    <w:rsid w:val="00F04D89"/>
    <w:rPr>
      <w:sz w:val="20"/>
      <w:szCs w:val="20"/>
      <w:lang w:val="en-GB"/>
    </w:rPr>
  </w:style>
  <w:style w:type="paragraph" w:styleId="CommentSubject">
    <w:name w:val="annotation subject"/>
    <w:basedOn w:val="CommentText"/>
    <w:next w:val="CommentText"/>
    <w:link w:val="CommentSubjectChar"/>
    <w:uiPriority w:val="99"/>
    <w:semiHidden/>
    <w:unhideWhenUsed/>
    <w:rsid w:val="00F04D89"/>
    <w:rPr>
      <w:b/>
      <w:bCs/>
    </w:rPr>
  </w:style>
  <w:style w:type="character" w:customStyle="1" w:styleId="CommentSubjectChar">
    <w:name w:val="Comment Subject Char"/>
    <w:basedOn w:val="CommentTextChar"/>
    <w:link w:val="CommentSubject"/>
    <w:uiPriority w:val="99"/>
    <w:semiHidden/>
    <w:rsid w:val="00F04D89"/>
    <w:rPr>
      <w:b/>
      <w:bCs/>
      <w:sz w:val="20"/>
      <w:szCs w:val="20"/>
      <w:lang w:val="en-GB"/>
    </w:rPr>
  </w:style>
  <w:style w:type="paragraph" w:styleId="BalloonText">
    <w:name w:val="Balloon Text"/>
    <w:basedOn w:val="Normal"/>
    <w:link w:val="BalloonTextChar"/>
    <w:uiPriority w:val="99"/>
    <w:semiHidden/>
    <w:unhideWhenUsed/>
    <w:rsid w:val="00FF7E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EC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IrV9do9CE9YiscBXBkIiuEWL4Q==">AMUW2mUtAJdxGSO63ly7VfHBkez6keJrWges0BvLo3kAmp13e3xTS4T0u7/1Jng9cXVmrcB8RNYEil0uG/TAeQDckEgad3j+VDt9caPciux41ASywyYyvlVRIZKQkuuWm46D9sPjwt0TzV9PJ14RJLDNxLsvaoBXUIkaYZiwrHvMvPuYhqO1wJjobwY1OfJsgpr11WaaO3j3LO0Vnn04BVAMbABBICYWq89PobLWWv8CgJ0UNTlWqr4=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2517</Words>
  <Characters>14351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buica</cp:lastModifiedBy>
  <cp:revision>3</cp:revision>
  <dcterms:created xsi:type="dcterms:W3CDTF">2022-08-05T18:51:00Z</dcterms:created>
  <dcterms:modified xsi:type="dcterms:W3CDTF">2022-09-02T18:12:00Z</dcterms:modified>
</cp:coreProperties>
</file>