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65FCE" w:rsidRPr="001C5114" w:rsidRDefault="00865FCE" w:rsidP="00865FCE">
      <w:pPr>
        <w:pStyle w:val="Nornal"/>
        <w:numPr>
          <w:ilvl w:val="0"/>
          <w:numId w:val="1"/>
        </w:numPr>
        <w:rPr>
          <w:b/>
          <w:color w:val="000000"/>
        </w:rPr>
      </w:pPr>
      <w:r w:rsidRPr="001C5114">
        <w:rPr>
          <w:b/>
          <w:color w:val="000000"/>
        </w:rPr>
        <w:t>(AC 1.1)</w:t>
      </w:r>
    </w:p>
    <w:p w:rsidR="00865FCE" w:rsidRDefault="00865FCE" w:rsidP="00865FCE">
      <w:pPr>
        <w:pStyle w:val="Nornal"/>
        <w:rPr>
          <w:color w:val="000000"/>
        </w:rPr>
      </w:pPr>
      <w:r>
        <w:rPr>
          <w:color w:val="000000"/>
        </w:rPr>
        <w:t>Ethical principles are the moral judgments and values that guide a person’s actions and decisions in their everyday lives (Russell and Weeks, 2019). In the context of an organisation, accepted ethical values and behaviours are often signposted or guided by a code of ethics and implemented, by varying degrees of success, through training and policies embedded in the organisational culture (Gert, 1988; CIPD, 2019). Professional values are the accepted benchmarks for a group of individuals or organisations’ standard of practice, often originating from or influenced by personal values (</w:t>
      </w:r>
      <w:proofErr w:type="spellStart"/>
      <w:r>
        <w:rPr>
          <w:color w:val="000000"/>
        </w:rPr>
        <w:t>Poorchangizi</w:t>
      </w:r>
      <w:proofErr w:type="spellEnd"/>
      <w:r>
        <w:rPr>
          <w:color w:val="000000"/>
        </w:rPr>
        <w:t xml:space="preserve"> et al, 2017). Professionalism, or embodying professional values by acting ‘professionally’, can also be the conduct and work completed skilfully by a professional in their area of expertise (Armstrong, 2014). </w:t>
      </w:r>
    </w:p>
    <w:p w:rsidR="00865FCE" w:rsidRDefault="00865FCE" w:rsidP="00865FCE">
      <w:pPr>
        <w:pStyle w:val="Nornal"/>
        <w:rPr>
          <w:color w:val="000000"/>
        </w:rPr>
      </w:pPr>
      <w:r>
        <w:rPr>
          <w:color w:val="000000"/>
        </w:rPr>
        <w:t>Ethics and professionalism are intrinsically linked and at the foundation of both practices is transparency, fairness and integrity; approaches that any professional endeavouring to be an ethical practitioner would apply to their decision-making in work (Green, 2022). People with these foundational ethical principles will be more open and communicative with their fellow employees and stakeholders, consider the opinions and feelings of others and treat others with dignity and respect (Green, 2022). Professionals in any line of work will, inevitably, be met with moments of ethical crisis, or situations with conflicting values; the application of ethical principles and professional values in these situations will inform how the professional judges the situation and, ultimately, comes to a decision (</w:t>
      </w:r>
      <w:proofErr w:type="spellStart"/>
      <w:r>
        <w:rPr>
          <w:color w:val="000000"/>
        </w:rPr>
        <w:t>Baczor</w:t>
      </w:r>
      <w:proofErr w:type="spellEnd"/>
      <w:r>
        <w:rPr>
          <w:color w:val="000000"/>
        </w:rPr>
        <w:t xml:space="preserve"> and </w:t>
      </w:r>
      <w:proofErr w:type="spellStart"/>
      <w:r>
        <w:rPr>
          <w:color w:val="000000"/>
        </w:rPr>
        <w:t>Zheltoukhova</w:t>
      </w:r>
      <w:proofErr w:type="spellEnd"/>
      <w:r>
        <w:rPr>
          <w:color w:val="000000"/>
        </w:rPr>
        <w:t xml:space="preserve">, 2017). </w:t>
      </w:r>
    </w:p>
    <w:p w:rsidR="00865FCE" w:rsidRDefault="00865FCE" w:rsidP="00865FCE">
      <w:pPr>
        <w:pStyle w:val="Nornal"/>
        <w:rPr>
          <w:color w:val="000000"/>
        </w:rPr>
      </w:pPr>
    </w:p>
    <w:p w:rsidR="00865FCE" w:rsidRPr="001C5114" w:rsidRDefault="00865FCE" w:rsidP="00865FCE">
      <w:pPr>
        <w:pStyle w:val="Nornal"/>
        <w:numPr>
          <w:ilvl w:val="0"/>
          <w:numId w:val="1"/>
        </w:numPr>
        <w:rPr>
          <w:b/>
          <w:color w:val="000000"/>
        </w:rPr>
      </w:pPr>
      <w:r w:rsidRPr="001C5114">
        <w:rPr>
          <w:b/>
          <w:color w:val="000000" w:themeColor="text1"/>
        </w:rPr>
        <w:t>(AC 1.2)</w:t>
      </w:r>
    </w:p>
    <w:p w:rsidR="00865FCE" w:rsidRDefault="00865FCE" w:rsidP="00865FCE">
      <w:pPr>
        <w:pStyle w:val="Nornal"/>
        <w:rPr>
          <w:color w:val="000000"/>
        </w:rPr>
      </w:pPr>
      <w:proofErr w:type="spellStart"/>
      <w:r>
        <w:rPr>
          <w:color w:val="000000"/>
        </w:rPr>
        <w:t>Acas’</w:t>
      </w:r>
      <w:proofErr w:type="spellEnd"/>
      <w:r>
        <w:rPr>
          <w:color w:val="000000"/>
        </w:rPr>
        <w:t xml:space="preserve"> Code of Practice for disciplinary and grievance procedures outlines how an employer should fairly handle these cases at work, which an organisation’s own procedures should comply with (</w:t>
      </w:r>
      <w:proofErr w:type="spellStart"/>
      <w:r>
        <w:rPr>
          <w:color w:val="000000"/>
        </w:rPr>
        <w:t>Acas</w:t>
      </w:r>
      <w:proofErr w:type="spellEnd"/>
      <w:r>
        <w:rPr>
          <w:color w:val="000000"/>
        </w:rPr>
        <w:t xml:space="preserve">, 2015; CIPD, 2023). The framework requires employers to investigate issues promptly and with consistency, keeping all parties informed and providing them the opportunity to put forward their side (Lewis Silkin, 2017). Communication and transparency are key ethical principles in </w:t>
      </w:r>
      <w:proofErr w:type="spellStart"/>
      <w:r>
        <w:rPr>
          <w:color w:val="000000"/>
        </w:rPr>
        <w:t>Acas’</w:t>
      </w:r>
      <w:proofErr w:type="spellEnd"/>
      <w:r>
        <w:rPr>
          <w:color w:val="000000"/>
        </w:rPr>
        <w:t xml:space="preserve"> Code of Practice, emphasising when and how meeting notifications, copies of written evidence and statements and outcomes should be sent to the parties involved (</w:t>
      </w:r>
      <w:proofErr w:type="spellStart"/>
      <w:r>
        <w:rPr>
          <w:color w:val="000000"/>
        </w:rPr>
        <w:t>Acas</w:t>
      </w:r>
      <w:proofErr w:type="spellEnd"/>
      <w:r>
        <w:rPr>
          <w:color w:val="000000"/>
        </w:rPr>
        <w:t xml:space="preserve">, 2015). In relation to any appeal following the procedure, </w:t>
      </w:r>
      <w:proofErr w:type="spellStart"/>
      <w:r>
        <w:rPr>
          <w:color w:val="000000"/>
        </w:rPr>
        <w:t>Acas’</w:t>
      </w:r>
      <w:proofErr w:type="spellEnd"/>
      <w:r>
        <w:rPr>
          <w:color w:val="000000"/>
        </w:rPr>
        <w:t xml:space="preserve"> Code of Practice states they should be dealt with professionally and impartially, ideally with a manager who has been detached from the process thus far (Lewis Silkin, 2017). As the consequence of disciplinary action can be as severe as dismissal, employers should endeavour to disclose all evidence that rationalises that decision to the employee (Crowther, 2022). </w:t>
      </w:r>
    </w:p>
    <w:p w:rsidR="00865FCE" w:rsidRDefault="00865FCE" w:rsidP="00865FCE">
      <w:pPr>
        <w:pStyle w:val="Nornal"/>
        <w:rPr>
          <w:color w:val="000000"/>
        </w:rPr>
      </w:pPr>
      <w:r>
        <w:rPr>
          <w:color w:val="000000"/>
        </w:rPr>
        <w:t xml:space="preserve">The Employment Relations Act 1999 established several key rights of an employee in their workplace including the right to be accompanied to disciplinary and grievance hearings, family-related leave and trade union recognition (Employment Relations Act 1999). In particular, the right to be accompanied is only enshrined in this piece of legislation in the United Kingdom, however, people professionals can further protect it in employment contracts (Employment Writes, 2020). Breaching this right would entitle the employee to compensation, which an ethical people professional would strive to avoid (Briggs, 2018). A people professional would be obligated to recognise an employee’s right to trade union membership and activities, and would be unable to penalise them for trade union activities such as collective bargaining, campaigning and industrial action (Thompsons, 2004). It </w:t>
      </w:r>
      <w:r>
        <w:rPr>
          <w:color w:val="000000"/>
        </w:rPr>
        <w:lastRenderedPageBreak/>
        <w:t>would be unethical, and criminal, for a people professional to compile a list of trade unions and their members for discriminatory purposes, known as ‘blacklists’ (Thompsons, 2004).</w:t>
      </w:r>
    </w:p>
    <w:p w:rsidR="00865FCE" w:rsidRDefault="00865FCE" w:rsidP="00865FCE">
      <w:pPr>
        <w:pStyle w:val="Nornal"/>
        <w:rPr>
          <w:color w:val="000000"/>
        </w:rPr>
      </w:pPr>
    </w:p>
    <w:p w:rsidR="00865FCE" w:rsidRPr="001C5114" w:rsidRDefault="00865FCE" w:rsidP="00865FCE">
      <w:pPr>
        <w:pStyle w:val="Nornal"/>
        <w:numPr>
          <w:ilvl w:val="0"/>
          <w:numId w:val="1"/>
        </w:numPr>
        <w:spacing w:after="0"/>
        <w:rPr>
          <w:b/>
          <w:color w:val="000000"/>
        </w:rPr>
      </w:pPr>
      <w:r w:rsidRPr="001C5114">
        <w:rPr>
          <w:b/>
          <w:color w:val="000000"/>
        </w:rPr>
        <w:t>(AC 2.1)</w:t>
      </w:r>
    </w:p>
    <w:p w:rsidR="00865FCE" w:rsidRDefault="00865FCE" w:rsidP="00865FCE">
      <w:pPr>
        <w:pStyle w:val="Nornal"/>
        <w:spacing w:after="0"/>
        <w:rPr>
          <w:color w:val="000000"/>
        </w:rPr>
      </w:pPr>
    </w:p>
    <w:p w:rsidR="00865FCE" w:rsidRDefault="00865FCE" w:rsidP="00865FCE">
      <w:pPr>
        <w:pStyle w:val="Listparag"/>
        <w:numPr>
          <w:ilvl w:val="0"/>
          <w:numId w:val="0"/>
        </w:numPr>
        <w:spacing w:after="0"/>
        <w:ind w:left="360" w:hanging="360"/>
      </w:pPr>
      <w:r>
        <w:t>People professionals are often expected to contribute their views in discussions with the</w:t>
      </w:r>
    </w:p>
    <w:p w:rsidR="00865FCE" w:rsidRDefault="00865FCE" w:rsidP="00865FCE">
      <w:pPr>
        <w:pStyle w:val="Listparag"/>
        <w:numPr>
          <w:ilvl w:val="0"/>
          <w:numId w:val="0"/>
        </w:numPr>
        <w:spacing w:after="0"/>
        <w:ind w:left="360" w:hanging="360"/>
      </w:pPr>
      <w:r>
        <w:t>organisation, therefore, a certain level of confidence and assertiveness would be expected of</w:t>
      </w:r>
    </w:p>
    <w:p w:rsidR="00865FCE" w:rsidRDefault="00865FCE" w:rsidP="00865FCE">
      <w:pPr>
        <w:pStyle w:val="Listparag"/>
        <w:numPr>
          <w:ilvl w:val="0"/>
          <w:numId w:val="0"/>
        </w:numPr>
        <w:spacing w:after="0"/>
        <w:ind w:left="360" w:hanging="360"/>
      </w:pPr>
      <w:r>
        <w:t>them (CIPD, 2023b). Expressing a view or opinion to employees in a clear and concise</w:t>
      </w:r>
    </w:p>
    <w:p w:rsidR="00865FCE" w:rsidRDefault="00865FCE" w:rsidP="00865FCE">
      <w:pPr>
        <w:pStyle w:val="Listparag"/>
        <w:numPr>
          <w:ilvl w:val="0"/>
          <w:numId w:val="0"/>
        </w:numPr>
        <w:spacing w:after="0"/>
        <w:ind w:left="360" w:hanging="360"/>
      </w:pPr>
      <w:r>
        <w:t>manner with supporting evidence and facts will more likely result in understanding, whilst</w:t>
      </w:r>
    </w:p>
    <w:p w:rsidR="00865FCE" w:rsidRDefault="00865FCE" w:rsidP="00865FCE">
      <w:pPr>
        <w:pStyle w:val="Listparag"/>
        <w:numPr>
          <w:ilvl w:val="0"/>
          <w:numId w:val="0"/>
        </w:numPr>
        <w:spacing w:after="0"/>
        <w:ind w:left="360" w:hanging="360"/>
      </w:pPr>
      <w:r>
        <w:t>also providing opportunity for clarification from those who do not understand (Waite et al,</w:t>
      </w:r>
    </w:p>
    <w:p w:rsidR="00865FCE" w:rsidRDefault="00865FCE" w:rsidP="00865FCE">
      <w:pPr>
        <w:pStyle w:val="Listparag"/>
        <w:numPr>
          <w:ilvl w:val="0"/>
          <w:numId w:val="0"/>
        </w:numPr>
        <w:spacing w:after="0"/>
        <w:ind w:left="360" w:hanging="360"/>
      </w:pPr>
      <w:r>
        <w:t>2021; CIPD, 2023a).  In all likelihood, differing views and arguments will arise, thus, being</w:t>
      </w:r>
    </w:p>
    <w:p w:rsidR="00865FCE" w:rsidRDefault="00865FCE" w:rsidP="00865FCE">
      <w:pPr>
        <w:pStyle w:val="Listparag"/>
        <w:numPr>
          <w:ilvl w:val="0"/>
          <w:numId w:val="0"/>
        </w:numPr>
        <w:spacing w:after="0"/>
        <w:ind w:left="360" w:hanging="360"/>
      </w:pPr>
      <w:r>
        <w:t>respectful and accepting and, even, seeking a diversity of opinions will encourage an</w:t>
      </w:r>
    </w:p>
    <w:p w:rsidR="00865FCE" w:rsidRDefault="00865FCE" w:rsidP="00865FCE">
      <w:pPr>
        <w:pStyle w:val="Listparag"/>
        <w:numPr>
          <w:ilvl w:val="0"/>
          <w:numId w:val="0"/>
        </w:numPr>
        <w:spacing w:after="0"/>
        <w:ind w:left="360" w:hanging="360"/>
      </w:pPr>
      <w:r>
        <w:t>inclusive and open environment (Waite et al, 2021; CIPD, 2023c).</w:t>
      </w:r>
    </w:p>
    <w:p w:rsidR="00865FCE" w:rsidRDefault="00865FCE" w:rsidP="00865FCE">
      <w:pPr>
        <w:pStyle w:val="Listparag"/>
        <w:numPr>
          <w:ilvl w:val="0"/>
          <w:numId w:val="0"/>
        </w:numPr>
        <w:spacing w:after="0"/>
        <w:ind w:left="360" w:hanging="360"/>
      </w:pPr>
    </w:p>
    <w:p w:rsidR="00865FCE" w:rsidRDefault="00865FCE" w:rsidP="00865FCE">
      <w:pPr>
        <w:pStyle w:val="Listparag"/>
        <w:numPr>
          <w:ilvl w:val="0"/>
          <w:numId w:val="0"/>
        </w:numPr>
        <w:spacing w:after="0"/>
        <w:ind w:left="360" w:hanging="360"/>
      </w:pPr>
      <w:r>
        <w:t>Listening is a key communicative tool for people professionals when clarifying problems or</w:t>
      </w:r>
    </w:p>
    <w:p w:rsidR="00865FCE" w:rsidRDefault="00865FCE" w:rsidP="00865FCE">
      <w:pPr>
        <w:pStyle w:val="Listparag"/>
        <w:numPr>
          <w:ilvl w:val="0"/>
          <w:numId w:val="0"/>
        </w:numPr>
        <w:spacing w:after="0"/>
        <w:ind w:left="360" w:hanging="360"/>
      </w:pPr>
      <w:r>
        <w:t>issues; by paying attention and utilising active listening, the professional conveys respect for</w:t>
      </w:r>
    </w:p>
    <w:p w:rsidR="00865FCE" w:rsidRDefault="00865FCE" w:rsidP="00865FCE">
      <w:pPr>
        <w:pStyle w:val="Listparag"/>
        <w:numPr>
          <w:ilvl w:val="0"/>
          <w:numId w:val="0"/>
        </w:numPr>
        <w:spacing w:after="0"/>
        <w:ind w:left="360" w:hanging="360"/>
      </w:pPr>
      <w:r>
        <w:t>the employee’s opinion and demonstrates openness to diverse views (Rogers, 2018).</w:t>
      </w:r>
    </w:p>
    <w:p w:rsidR="00865FCE" w:rsidRDefault="00865FCE" w:rsidP="00865FCE">
      <w:pPr>
        <w:pStyle w:val="Listparag"/>
        <w:numPr>
          <w:ilvl w:val="0"/>
          <w:numId w:val="0"/>
        </w:numPr>
        <w:spacing w:after="0"/>
        <w:ind w:left="360" w:hanging="360"/>
      </w:pPr>
      <w:r>
        <w:t>People professionals can cultivate a safe and respectful environment that encourages</w:t>
      </w:r>
    </w:p>
    <w:p w:rsidR="00865FCE" w:rsidRDefault="00865FCE" w:rsidP="00865FCE">
      <w:pPr>
        <w:pStyle w:val="Listparag"/>
        <w:numPr>
          <w:ilvl w:val="0"/>
          <w:numId w:val="0"/>
        </w:numPr>
        <w:spacing w:after="0"/>
        <w:ind w:left="360" w:hanging="360"/>
      </w:pPr>
      <w:r>
        <w:t>employees to share when problems or issues arise, allowing employees to feel they can</w:t>
      </w:r>
    </w:p>
    <w:p w:rsidR="00865FCE" w:rsidRDefault="00865FCE" w:rsidP="00865FCE">
      <w:pPr>
        <w:pStyle w:val="Listparag"/>
        <w:numPr>
          <w:ilvl w:val="0"/>
          <w:numId w:val="0"/>
        </w:numPr>
        <w:spacing w:after="0"/>
        <w:ind w:left="360" w:hanging="360"/>
      </w:pPr>
      <w:r>
        <w:t>share when mistakes are made or potential solutions to challenges (CIPD, 2023c). Offering</w:t>
      </w:r>
    </w:p>
    <w:p w:rsidR="00865FCE" w:rsidRDefault="00865FCE" w:rsidP="00865FCE">
      <w:pPr>
        <w:pStyle w:val="Listparag"/>
        <w:numPr>
          <w:ilvl w:val="0"/>
          <w:numId w:val="0"/>
        </w:numPr>
        <w:spacing w:after="0"/>
        <w:ind w:left="360" w:hanging="360"/>
      </w:pPr>
      <w:r>
        <w:t>the option to provide feedback, through anonymous polls, team discussions or one-to-one</w:t>
      </w:r>
    </w:p>
    <w:p w:rsidR="00865FCE" w:rsidRDefault="00865FCE" w:rsidP="00865FCE">
      <w:pPr>
        <w:pStyle w:val="Listparag"/>
        <w:numPr>
          <w:ilvl w:val="0"/>
          <w:numId w:val="0"/>
        </w:numPr>
        <w:spacing w:after="0"/>
        <w:ind w:left="360" w:hanging="360"/>
      </w:pPr>
      <w:r>
        <w:t>interviews, allows fellow employees and team members to discuss how issues could have</w:t>
      </w:r>
    </w:p>
    <w:p w:rsidR="00865FCE" w:rsidRDefault="00865FCE" w:rsidP="00865FCE">
      <w:pPr>
        <w:pStyle w:val="Listparag"/>
        <w:numPr>
          <w:ilvl w:val="0"/>
          <w:numId w:val="0"/>
        </w:numPr>
        <w:spacing w:after="0"/>
        <w:ind w:left="360" w:hanging="360"/>
      </w:pPr>
      <w:r>
        <w:t>been resolved and provides the opportunity for employees to clarify any questions they have</w:t>
      </w:r>
    </w:p>
    <w:p w:rsidR="00865FCE" w:rsidRDefault="00865FCE" w:rsidP="00865FCE">
      <w:pPr>
        <w:pStyle w:val="Listparag"/>
        <w:numPr>
          <w:ilvl w:val="0"/>
          <w:numId w:val="0"/>
        </w:numPr>
        <w:spacing w:after="0"/>
        <w:ind w:left="360" w:hanging="360"/>
      </w:pPr>
      <w:r>
        <w:t xml:space="preserve">(Solon, 2018). </w:t>
      </w:r>
    </w:p>
    <w:p w:rsidR="00865FCE" w:rsidRDefault="00865FCE" w:rsidP="00865FCE">
      <w:pPr>
        <w:pStyle w:val="Listparag"/>
        <w:numPr>
          <w:ilvl w:val="0"/>
          <w:numId w:val="0"/>
        </w:numPr>
        <w:spacing w:after="0"/>
        <w:ind w:left="360" w:hanging="360"/>
      </w:pPr>
    </w:p>
    <w:p w:rsidR="00865FCE" w:rsidRDefault="00865FCE" w:rsidP="00865FCE">
      <w:pPr>
        <w:pStyle w:val="Listparag"/>
        <w:numPr>
          <w:ilvl w:val="0"/>
          <w:numId w:val="0"/>
        </w:numPr>
        <w:spacing w:after="0"/>
        <w:ind w:left="360" w:hanging="360"/>
      </w:pPr>
      <w:r>
        <w:t>Effective teamwork begins with established leadership and defined roles, allowing the team’s</w:t>
      </w:r>
    </w:p>
    <w:p w:rsidR="00865FCE" w:rsidRDefault="00865FCE" w:rsidP="00865FCE">
      <w:pPr>
        <w:pStyle w:val="Listparag"/>
        <w:numPr>
          <w:ilvl w:val="0"/>
          <w:numId w:val="0"/>
        </w:numPr>
        <w:spacing w:after="0"/>
        <w:ind w:left="360" w:hanging="360"/>
      </w:pPr>
      <w:r>
        <w:t>goals, standards and behaviours can be agreed upon (</w:t>
      </w:r>
      <w:proofErr w:type="spellStart"/>
      <w:r>
        <w:t>Meinert</w:t>
      </w:r>
      <w:proofErr w:type="spellEnd"/>
      <w:r>
        <w:t>, 2017; Waite et al, 2021).</w:t>
      </w:r>
    </w:p>
    <w:p w:rsidR="00865FCE" w:rsidRDefault="00865FCE" w:rsidP="00865FCE">
      <w:pPr>
        <w:pStyle w:val="Listparag"/>
        <w:numPr>
          <w:ilvl w:val="0"/>
          <w:numId w:val="0"/>
        </w:numPr>
        <w:spacing w:after="0"/>
        <w:ind w:left="360" w:hanging="360"/>
      </w:pPr>
      <w:r>
        <w:t>Cooperation is key and a people professional should ensure that not only is everyone</w:t>
      </w:r>
    </w:p>
    <w:p w:rsidR="00865FCE" w:rsidRDefault="00865FCE" w:rsidP="00865FCE">
      <w:pPr>
        <w:pStyle w:val="Listparag"/>
        <w:numPr>
          <w:ilvl w:val="0"/>
          <w:numId w:val="0"/>
        </w:numPr>
        <w:spacing w:after="0"/>
        <w:ind w:left="360" w:hanging="360"/>
      </w:pPr>
      <w:r>
        <w:t>member of the team is contributing towards the shared goal(s) but that their contributions are</w:t>
      </w:r>
    </w:p>
    <w:p w:rsidR="00865FCE" w:rsidRDefault="00865FCE" w:rsidP="00865FCE">
      <w:pPr>
        <w:pStyle w:val="Listparag"/>
        <w:numPr>
          <w:ilvl w:val="0"/>
          <w:numId w:val="0"/>
        </w:numPr>
        <w:spacing w:after="0"/>
        <w:ind w:left="360" w:hanging="360"/>
      </w:pPr>
      <w:r>
        <w:t>recognised, valued and, in some cases, rewarded (Waite et al, 2021). People professionals</w:t>
      </w:r>
    </w:p>
    <w:p w:rsidR="00865FCE" w:rsidRDefault="00865FCE" w:rsidP="00865FCE">
      <w:pPr>
        <w:pStyle w:val="Listparag"/>
        <w:numPr>
          <w:ilvl w:val="0"/>
          <w:numId w:val="0"/>
        </w:numPr>
        <w:spacing w:after="0"/>
        <w:ind w:left="360" w:hanging="360"/>
      </w:pPr>
      <w:r>
        <w:t>can monitor the effectiveness of a team through performance management and recognise</w:t>
      </w:r>
    </w:p>
    <w:p w:rsidR="00865FCE" w:rsidRDefault="00865FCE" w:rsidP="00865FCE">
      <w:pPr>
        <w:pStyle w:val="Listparag"/>
        <w:numPr>
          <w:ilvl w:val="0"/>
          <w:numId w:val="0"/>
        </w:numPr>
        <w:spacing w:after="0"/>
        <w:ind w:left="360" w:hanging="360"/>
      </w:pPr>
      <w:r>
        <w:t>the work of a team through reward practices and bonuses (Taylor and Woodhams, 2016).</w:t>
      </w:r>
    </w:p>
    <w:p w:rsidR="00865FCE" w:rsidRDefault="00865FCE" w:rsidP="00865FCE">
      <w:pPr>
        <w:pStyle w:val="Nornal"/>
        <w:spacing w:after="0"/>
        <w:rPr>
          <w:color w:val="000000"/>
        </w:rPr>
      </w:pPr>
    </w:p>
    <w:p w:rsidR="00865FCE" w:rsidRDefault="00865FCE" w:rsidP="00865FCE">
      <w:pPr>
        <w:pStyle w:val="Nornal"/>
        <w:spacing w:after="0"/>
        <w:rPr>
          <w:color w:val="000000"/>
        </w:rPr>
      </w:pPr>
    </w:p>
    <w:p w:rsidR="00865FCE" w:rsidRPr="001C5114" w:rsidRDefault="00865FCE" w:rsidP="00865FCE">
      <w:pPr>
        <w:pStyle w:val="Listparag"/>
        <w:numPr>
          <w:ilvl w:val="0"/>
          <w:numId w:val="1"/>
        </w:numPr>
        <w:rPr>
          <w:b/>
        </w:rPr>
      </w:pPr>
      <w:r w:rsidRPr="001C5114">
        <w:rPr>
          <w:b/>
        </w:rPr>
        <w:t xml:space="preserve"> (AC 2.2)</w:t>
      </w:r>
    </w:p>
    <w:p w:rsidR="00865FCE" w:rsidRPr="00517BE6" w:rsidRDefault="00865FCE" w:rsidP="00865FCE">
      <w:pPr>
        <w:pStyle w:val="Listparag"/>
        <w:numPr>
          <w:ilvl w:val="0"/>
          <w:numId w:val="0"/>
        </w:numPr>
      </w:pPr>
      <w:r>
        <w:t>Keeping up-to-date on employment law and any introductions or changes to legislation in the country is vital to being a well-informed people professional and staying legally compliant as an organisation (</w:t>
      </w:r>
      <w:proofErr w:type="spellStart"/>
      <w:r>
        <w:t>Wurkplace</w:t>
      </w:r>
      <w:proofErr w:type="spellEnd"/>
      <w:r>
        <w:t xml:space="preserve">, 2021). Research is crucial in staying informed on trends in the people profession or legal issues in the workplace (Burr, 2019; McDade, 2022). Organisations such as CIPD and </w:t>
      </w:r>
      <w:proofErr w:type="spellStart"/>
      <w:r>
        <w:t>Acas</w:t>
      </w:r>
      <w:proofErr w:type="spellEnd"/>
      <w:r>
        <w:t xml:space="preserve"> provide updates on relevant new legislation, legislative changes or pertinent case studies that other professionals could learn from (CIPD, 2023d; </w:t>
      </w:r>
      <w:proofErr w:type="spellStart"/>
      <w:r>
        <w:t>Acas</w:t>
      </w:r>
      <w:proofErr w:type="spellEnd"/>
      <w:r>
        <w:t xml:space="preserve">, 2023). Online sources such as blogs, news feeds and social media provide the latest trends that can be tailored to your specific interests and are updated regularly, sometimes daily (Waite et al, 2021). I have found that subscribing to social media accounts and websites for publications such as People Management, Personnel Today and HR Magazine particularly useful in curating my news feed for </w:t>
      </w:r>
      <w:r w:rsidRPr="00517BE6">
        <w:t xml:space="preserve">current people practice developments and world of work issues. </w:t>
      </w:r>
    </w:p>
    <w:p w:rsidR="00865FCE" w:rsidRPr="00517BE6" w:rsidRDefault="00865FCE" w:rsidP="00865FCE">
      <w:pPr>
        <w:pStyle w:val="Listparag"/>
        <w:numPr>
          <w:ilvl w:val="0"/>
          <w:numId w:val="0"/>
        </w:numPr>
      </w:pPr>
      <w:r w:rsidRPr="00517BE6">
        <w:lastRenderedPageBreak/>
        <w:t>Joining or establishing a network of fellow people professionals allows for those in similar lines of work to connect, question each other and share valuable insights into common or familiar people practice matters (McDade, 2022). Furthermore, attending workshops, seminars and conferences where like-minded professionals come together, either online or in-person, not only provide an opportunity for networking but are also educational forums where relevant and pertinent information is shared and discussed (Sachs, 2022). Memberships to industry-specific sites or forums, such as the CIPD membership, are a marketplace of current ideas and topics being discussed by people professionals (</w:t>
      </w:r>
      <w:proofErr w:type="spellStart"/>
      <w:r w:rsidRPr="000D766D">
        <w:t>Pyhäjoki</w:t>
      </w:r>
      <w:proofErr w:type="spellEnd"/>
      <w:r w:rsidRPr="000D766D">
        <w:rPr>
          <w:bCs/>
        </w:rPr>
        <w:t>, 2020</w:t>
      </w:r>
      <w:r w:rsidRPr="00517BE6">
        <w:rPr>
          <w:bCs/>
          <w:color w:val="1A2B49"/>
        </w:rPr>
        <w:t xml:space="preserve">). </w:t>
      </w:r>
      <w:r w:rsidRPr="00517BE6">
        <w:t>My CIPD membership has been effective in giving me key insights into what is important to know right now as a people professional and</w:t>
      </w:r>
      <w:r>
        <w:t xml:space="preserve"> also identified Continuous Professional Development opportunities for me to extend my knowledge on my CIPD Level 3 course.  </w:t>
      </w:r>
    </w:p>
    <w:p w:rsidR="00865FCE" w:rsidRDefault="00865FCE" w:rsidP="00865FCE">
      <w:pPr>
        <w:pStyle w:val="Nornal"/>
        <w:spacing w:after="0"/>
        <w:rPr>
          <w:color w:val="000000"/>
        </w:rPr>
      </w:pPr>
    </w:p>
    <w:p w:rsidR="00865FCE" w:rsidRDefault="00865FCE" w:rsidP="00865FCE">
      <w:pPr>
        <w:pStyle w:val="Nornal"/>
        <w:spacing w:after="0"/>
        <w:rPr>
          <w:color w:val="000000"/>
        </w:rPr>
      </w:pPr>
    </w:p>
    <w:p w:rsidR="00865FCE" w:rsidRDefault="00865FCE" w:rsidP="00865FCE">
      <w:pPr>
        <w:pStyle w:val="Nornal"/>
        <w:spacing w:after="0"/>
        <w:rPr>
          <w:color w:val="000000"/>
        </w:rPr>
      </w:pPr>
    </w:p>
    <w:p w:rsidR="00865FCE" w:rsidRPr="001C5114" w:rsidRDefault="00865FCE" w:rsidP="00865FCE">
      <w:pPr>
        <w:pStyle w:val="Nornal"/>
        <w:spacing w:after="0"/>
        <w:rPr>
          <w:b/>
          <w:color w:val="000000"/>
          <w:u w:val="single"/>
        </w:rPr>
      </w:pPr>
      <w:r w:rsidRPr="001C5114">
        <w:rPr>
          <w:b/>
          <w:color w:val="000000"/>
          <w:u w:val="single"/>
        </w:rPr>
        <w:t>AC 2.3</w:t>
      </w:r>
    </w:p>
    <w:p w:rsidR="00865FCE" w:rsidRDefault="00865FCE" w:rsidP="00865FCE">
      <w:pPr>
        <w:pStyle w:val="Nornal"/>
        <w:spacing w:after="0"/>
        <w:rPr>
          <w:color w:val="000000"/>
        </w:rPr>
      </w:pPr>
    </w:p>
    <w:p w:rsidR="00865FCE" w:rsidRDefault="00865FCE" w:rsidP="00865FCE">
      <w:pPr>
        <w:rPr>
          <w:rFonts w:ascii="Arial" w:hAnsi="Arial" w:cs="Arial"/>
        </w:rPr>
      </w:pPr>
      <w:r w:rsidRPr="00D9236E">
        <w:rPr>
          <w:rFonts w:ascii="Arial" w:hAnsi="Arial" w:cs="Arial"/>
        </w:rPr>
        <w:t xml:space="preserve">In my role as HR Recruitment Administrator, </w:t>
      </w:r>
      <w:r>
        <w:rPr>
          <w:rFonts w:ascii="Arial" w:hAnsi="Arial" w:cs="Arial"/>
        </w:rPr>
        <w:t>my original duties were</w:t>
      </w:r>
      <w:r w:rsidRPr="00D9236E">
        <w:rPr>
          <w:rFonts w:ascii="Arial" w:hAnsi="Arial" w:cs="Arial"/>
        </w:rPr>
        <w:t xml:space="preserve"> completing various administrative duties in the recruitment process, however, after a discussion with my manager, I requested to begin partaking in candidate interviews. </w:t>
      </w:r>
      <w:r>
        <w:rPr>
          <w:rFonts w:ascii="Arial" w:hAnsi="Arial" w:cs="Arial"/>
        </w:rPr>
        <w:t>By participating in interviews for a variety of roles within the organisation, from business support to lecturers to managers, I hoped to gain a better insight into what we, as a recruitment team, are looking for in potential new employees and, additionally, further develop my role in the employee experience, which recruitment is a key part of (CIPD, 2022). Through my interviewing experience, I learnt about the importance of ensuring fairness in the interview process, particularly with the line managers and fellow interview panel members, and how to look for the skills and qualities needed for a particular role (McCartney, 2022). Meeting with the managers and discussing what they needed for their department from the successful candidate gave me the opportunity to build a positive relationship with the managers which would be essential for my role (</w:t>
      </w:r>
      <w:proofErr w:type="spellStart"/>
      <w:r>
        <w:rPr>
          <w:rFonts w:ascii="Arial" w:hAnsi="Arial" w:cs="Arial"/>
        </w:rPr>
        <w:t>Gamba</w:t>
      </w:r>
      <w:proofErr w:type="spellEnd"/>
      <w:r>
        <w:rPr>
          <w:rFonts w:ascii="Arial" w:hAnsi="Arial" w:cs="Arial"/>
        </w:rPr>
        <w:t xml:space="preserve"> </w:t>
      </w:r>
      <w:proofErr w:type="spellStart"/>
      <w:r>
        <w:rPr>
          <w:rFonts w:ascii="Arial" w:hAnsi="Arial" w:cs="Arial"/>
        </w:rPr>
        <w:t>Quilliam</w:t>
      </w:r>
      <w:proofErr w:type="spellEnd"/>
      <w:r>
        <w:rPr>
          <w:rFonts w:ascii="Arial" w:hAnsi="Arial" w:cs="Arial"/>
        </w:rPr>
        <w:t>, 2022). Furthermore, it allowed me to identify managers that would benefit from further training and support in the ‘people’ skills utilised in recruitment and selection (Lucas, 2021). However, as a new, and junior, member of staff, I found it difficult to raise concerns with managers such as potentially discriminatory questions or aggressive questioning. I concluded that development in my self-confidence and professional courage, a core behaviour as a people professional, would be a conducive next step (CIPD, 2023a).</w:t>
      </w:r>
    </w:p>
    <w:p w:rsidR="00865FCE" w:rsidRDefault="00865FCE" w:rsidP="00865FCE">
      <w:pPr>
        <w:rPr>
          <w:rFonts w:ascii="Arial" w:hAnsi="Arial" w:cs="Arial"/>
        </w:rPr>
      </w:pPr>
      <w:r>
        <w:rPr>
          <w:rFonts w:ascii="Arial" w:hAnsi="Arial" w:cs="Arial"/>
        </w:rPr>
        <w:t>After appointment of a successful candidate, I conduct onboarding with the new employee, ensuring all relevant paperwork and documentation is completed. This documentation would then be passed on to another member of the HR team to set the new employee up on our HRM system and payroll. I enquired with the HR senior management team whether this action could be undertaken by myself instead as it would seem sensible for myself to be responsible for the beginning of the new candidate’s employee lifecycle, being already familiar with the candidate from the recruitment process and procuring their documentation. The HR Systems Manager trained me in the process of creating a new ‘starter’ in our HRM system and how to feed this over to the relevant departments such as I.T. and Finance. Taking on the new starter process helped me learn how to navigate our HRM system at a basic level, which assists me in efficiently finding and recording employee data (</w:t>
      </w:r>
      <w:proofErr w:type="spellStart"/>
      <w:r>
        <w:rPr>
          <w:rFonts w:ascii="Arial" w:hAnsi="Arial" w:cs="Arial"/>
        </w:rPr>
        <w:t>Pilbeam</w:t>
      </w:r>
      <w:proofErr w:type="spellEnd"/>
      <w:r>
        <w:rPr>
          <w:rFonts w:ascii="Arial" w:hAnsi="Arial" w:cs="Arial"/>
        </w:rPr>
        <w:t xml:space="preserve"> and Corbridge, 2010). Furthermore, I wanted to demonstrate my willingness to undertake further responsibilities, help out my team with their workload and try something new once I was </w:t>
      </w:r>
      <w:r>
        <w:rPr>
          <w:rFonts w:ascii="Arial" w:hAnsi="Arial" w:cs="Arial"/>
        </w:rPr>
        <w:lastRenderedPageBreak/>
        <w:t>settled in my role (Indeed Editorial Team, 2023). A couple of system errors arose when new employees were set up during key periods of the payroll process, which I was originally unaware of. This was resolved after a meeting with the Payroll Officer in our Finance department who added me to a Google calendar detailing the important dates in the payroll cycle including cut off points for the running of payroll. Keeping these lines of communication open and collaborating with the Finance department has been key to both of us efficiently and successfully performing our roles (Sauter, 2015).</w:t>
      </w:r>
    </w:p>
    <w:p w:rsidR="00865FCE" w:rsidRDefault="00865FCE" w:rsidP="00865FCE">
      <w:pPr>
        <w:rPr>
          <w:rFonts w:ascii="Arial" w:hAnsi="Arial" w:cs="Arial"/>
        </w:rPr>
      </w:pPr>
      <w:r>
        <w:rPr>
          <w:rFonts w:ascii="Arial" w:hAnsi="Arial" w:cs="Arial"/>
        </w:rPr>
        <w:t>Since taking on my new role in HR, I have undertaken several LinkedIn Learning courses on various relevant topics from talent sourcing to fair and effective interviewing techniques. The courses were an effective, and cost-free, way of introducing me to key concepts and processes in the people profession, providing me with a core foundation of knowledge that I could further develop upon (CPD News Team, 2022). Additionally, the online aspect of the digital courses provided convenience and accessibility for me to complete the course in my own time from anywhere I wanted (Hayden, 2022). In particular, the course ‘Hire Better, Hire Faster with Social Media and Digital Platforms’ gave me new insights into how our recruitment team could create more value from our social media accounts in terms of our branding and engaging with potential candidates (CIPD, 2021). This led me to work with my manager on creating a separate Facebook page to advertise our vacancies and draw in potential candidates to join our talent pool. Completing the course, and having further discussions with my manager, lead us to work on a plan to develop our talent brand including improving our careers page on our website, what social media networks we should be utilising and sharing profiles and stories of our staff (</w:t>
      </w:r>
      <w:proofErr w:type="spellStart"/>
      <w:r>
        <w:rPr>
          <w:rFonts w:ascii="Arial" w:hAnsi="Arial" w:cs="Arial"/>
        </w:rPr>
        <w:t>Ruettimann</w:t>
      </w:r>
      <w:proofErr w:type="spellEnd"/>
      <w:r>
        <w:rPr>
          <w:rFonts w:ascii="Arial" w:hAnsi="Arial" w:cs="Arial"/>
        </w:rPr>
        <w:t>, 2022). I feel I am now more aware of how candidates perceive our employer brand and what type of content to curate that will work effectively in sourcing candidates for a variety of roles across the organisation (</w:t>
      </w:r>
      <w:proofErr w:type="spellStart"/>
      <w:r>
        <w:rPr>
          <w:rFonts w:ascii="Arial" w:hAnsi="Arial" w:cs="Arial"/>
        </w:rPr>
        <w:t>Headworth</w:t>
      </w:r>
      <w:proofErr w:type="spellEnd"/>
      <w:r>
        <w:rPr>
          <w:rFonts w:ascii="Arial" w:hAnsi="Arial" w:cs="Arial"/>
        </w:rPr>
        <w:t xml:space="preserve">, 2015). </w:t>
      </w:r>
    </w:p>
    <w:p w:rsidR="00865FCE" w:rsidRDefault="00865FCE" w:rsidP="00865FCE">
      <w:pPr>
        <w:pStyle w:val="Nornal"/>
        <w:spacing w:after="0"/>
        <w:rPr>
          <w:color w:val="000000"/>
        </w:rPr>
      </w:pPr>
    </w:p>
    <w:p w:rsidR="00865FCE" w:rsidRDefault="00865FCE" w:rsidP="00865FCE">
      <w:pPr>
        <w:pStyle w:val="Nornal"/>
        <w:spacing w:after="0"/>
        <w:rPr>
          <w:color w:val="000000"/>
        </w:rPr>
      </w:pPr>
    </w:p>
    <w:p w:rsidR="00865FCE" w:rsidRDefault="00865FCE" w:rsidP="00865FCE">
      <w:pPr>
        <w:pStyle w:val="Nornal"/>
        <w:spacing w:after="0"/>
        <w:rPr>
          <w:color w:val="000000"/>
        </w:rPr>
      </w:pPr>
    </w:p>
    <w:p w:rsidR="00865FCE" w:rsidRDefault="00865FCE" w:rsidP="00865FCE">
      <w:pPr>
        <w:pStyle w:val="Nornal"/>
        <w:spacing w:after="0"/>
        <w:rPr>
          <w:color w:val="000000"/>
        </w:rPr>
      </w:pPr>
    </w:p>
    <w:p w:rsidR="00774181" w:rsidRDefault="00774181">
      <w:bookmarkStart w:id="0" w:name="_GoBack"/>
      <w:bookmarkEnd w:id="0"/>
    </w:p>
    <w:sectPr w:rsidR="0077418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7117ED"/>
    <w:multiLevelType w:val="hybridMultilevel"/>
    <w:tmpl w:val="6B46DF5E"/>
    <w:lvl w:ilvl="0" w:tplc="22AC99B6">
      <w:start w:val="1"/>
      <w:numFmt w:val="bullet"/>
      <w:pStyle w:val="Listparag"/>
      <w:lvlText w:val=""/>
      <w:lvlJc w:val="left"/>
      <w:pPr>
        <w:ind w:left="720" w:hanging="360"/>
      </w:pPr>
      <w:rPr>
        <w:rFonts w:ascii="Wingdings" w:hAnsi="Wingdings" w:hint="default"/>
        <w:color w:val="4472C4" w:themeColor="accent1"/>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73F6B4E"/>
    <w:multiLevelType w:val="hybridMultilevel"/>
    <w:tmpl w:val="3E6032FE"/>
    <w:lvl w:ilvl="0" w:tplc="B14670F2">
      <w:start w:val="1"/>
      <w:numFmt w:val="decimal"/>
      <w:lvlText w:val="%1)"/>
      <w:lvlJc w:val="left"/>
      <w:pPr>
        <w:ind w:left="720" w:hanging="360"/>
      </w:pPr>
      <w:rPr>
        <w:rFonts w:hint="default"/>
        <w:b/>
        <w:i w:val="0"/>
        <w:color w:val="4472C4" w:themeColor="accent1"/>
      </w:rPr>
    </w:lvl>
    <w:lvl w:ilvl="1" w:tplc="08090019">
      <w:start w:val="1"/>
      <w:numFmt w:val="lowerLetter"/>
      <w:lvlText w:val="%2."/>
      <w:lvlJc w:val="left"/>
      <w:pPr>
        <w:ind w:left="1440" w:hanging="360"/>
      </w:pPr>
    </w:lvl>
    <w:lvl w:ilvl="2" w:tplc="82CC3EAE">
      <w:numFmt w:val="bullet"/>
      <w:lvlText w:val="-"/>
      <w:lvlJc w:val="left"/>
      <w:pPr>
        <w:ind w:left="2340" w:hanging="360"/>
      </w:pPr>
      <w:rPr>
        <w:rFonts w:ascii="Arial" w:eastAsia="Times New Roman" w:hAnsi="Arial" w:cs="Arial"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5FCE"/>
    <w:rsid w:val="00774181"/>
    <w:rsid w:val="00865F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0CCF645-A4EE-47B3-899F-1122442C94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65FC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nal">
    <w:name w:val="Nornal"/>
    <w:basedOn w:val="Normal"/>
    <w:link w:val="NornalChar"/>
    <w:qFormat/>
    <w:rsid w:val="00865FCE"/>
    <w:pPr>
      <w:spacing w:line="264" w:lineRule="auto"/>
    </w:pPr>
    <w:rPr>
      <w:rFonts w:ascii="Arial" w:hAnsi="Arial" w:cs="Arial"/>
    </w:rPr>
  </w:style>
  <w:style w:type="character" w:customStyle="1" w:styleId="NornalChar">
    <w:name w:val="Nornal Char"/>
    <w:basedOn w:val="DefaultParagraphFont"/>
    <w:link w:val="Nornal"/>
    <w:rsid w:val="00865FCE"/>
    <w:rPr>
      <w:rFonts w:ascii="Arial" w:hAnsi="Arial" w:cs="Arial"/>
    </w:rPr>
  </w:style>
  <w:style w:type="paragraph" w:customStyle="1" w:styleId="Listparag">
    <w:name w:val="List parag"/>
    <w:basedOn w:val="ListParagraph"/>
    <w:link w:val="ListparagChar"/>
    <w:qFormat/>
    <w:rsid w:val="00865FCE"/>
    <w:pPr>
      <w:numPr>
        <w:numId w:val="2"/>
      </w:numPr>
      <w:spacing w:after="120" w:line="264" w:lineRule="auto"/>
      <w:contextualSpacing w:val="0"/>
    </w:pPr>
    <w:rPr>
      <w:rFonts w:ascii="Arial" w:eastAsia="Times New Roman" w:hAnsi="Arial" w:cs="Arial"/>
      <w:szCs w:val="24"/>
      <w:lang w:eastAsia="en-GB"/>
    </w:rPr>
  </w:style>
  <w:style w:type="character" w:customStyle="1" w:styleId="ListparagChar">
    <w:name w:val="List parag Char"/>
    <w:basedOn w:val="DefaultParagraphFont"/>
    <w:link w:val="Listparag"/>
    <w:rsid w:val="00865FCE"/>
    <w:rPr>
      <w:rFonts w:ascii="Arial" w:eastAsia="Times New Roman" w:hAnsi="Arial" w:cs="Arial"/>
      <w:szCs w:val="24"/>
      <w:lang w:eastAsia="en-GB"/>
    </w:rPr>
  </w:style>
  <w:style w:type="paragraph" w:styleId="ListParagraph">
    <w:name w:val="List Paragraph"/>
    <w:basedOn w:val="Normal"/>
    <w:uiPriority w:val="34"/>
    <w:qFormat/>
    <w:rsid w:val="00865FC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1922</Words>
  <Characters>10960</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Abbie Hudson</dc:creator>
  <cp:keywords/>
  <dc:description/>
  <cp:lastModifiedBy>Abbie Hudson</cp:lastModifiedBy>
  <cp:revision>1</cp:revision>
  <dcterms:created xsi:type="dcterms:W3CDTF">2023-04-16T12:22:00Z</dcterms:created>
  <dcterms:modified xsi:type="dcterms:W3CDTF">2023-04-16T12:22:00Z</dcterms:modified>
</cp:coreProperties>
</file>