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94B37" w14:textId="7EF40637" w:rsidR="00DC75E4" w:rsidRDefault="00C97A67" w:rsidP="00DC75E4">
      <w:pPr>
        <w:spacing w:line="360" w:lineRule="auto"/>
        <w:rPr>
          <w:rFonts w:ascii="Arial" w:eastAsia="Aptos" w:hAnsi="Arial" w:cs="Arial"/>
          <w:b/>
          <w:bCs/>
          <w:sz w:val="32"/>
          <w:szCs w:val="32"/>
        </w:rPr>
      </w:pPr>
      <w:r w:rsidRPr="00C97A67">
        <w:rPr>
          <w:rFonts w:ascii="Arial" w:eastAsia="Aptos" w:hAnsi="Arial" w:cs="Arial"/>
          <w:b/>
          <w:bCs/>
          <w:sz w:val="32"/>
          <w:szCs w:val="32"/>
        </w:rPr>
        <w:t>Student name</w:t>
      </w:r>
      <w:r w:rsidR="00D30960">
        <w:rPr>
          <w:rFonts w:ascii="Arial" w:eastAsia="Aptos" w:hAnsi="Arial" w:cs="Arial"/>
          <w:b/>
          <w:bCs/>
          <w:sz w:val="32"/>
          <w:szCs w:val="32"/>
        </w:rPr>
        <w:t>s</w:t>
      </w:r>
      <w:r w:rsidR="00E43819">
        <w:rPr>
          <w:rFonts w:ascii="Arial" w:eastAsia="Aptos" w:hAnsi="Arial" w:cs="Arial"/>
          <w:b/>
          <w:bCs/>
          <w:sz w:val="32"/>
          <w:szCs w:val="32"/>
        </w:rPr>
        <w:t xml:space="preserve"> and number</w:t>
      </w:r>
      <w:r w:rsidR="00D30960">
        <w:rPr>
          <w:rFonts w:ascii="Arial" w:eastAsia="Aptos" w:hAnsi="Arial" w:cs="Arial"/>
          <w:b/>
          <w:bCs/>
          <w:sz w:val="32"/>
          <w:szCs w:val="32"/>
        </w:rPr>
        <w:t>s</w:t>
      </w:r>
      <w:r w:rsidRPr="00C97A67">
        <w:rPr>
          <w:rFonts w:ascii="Arial" w:eastAsia="Aptos" w:hAnsi="Arial" w:cs="Arial"/>
          <w:b/>
          <w:bCs/>
          <w:sz w:val="32"/>
          <w:szCs w:val="32"/>
        </w:rPr>
        <w:t>:</w:t>
      </w:r>
      <w:r w:rsidR="0056426C">
        <w:rPr>
          <w:rFonts w:ascii="Arial" w:eastAsia="Aptos" w:hAnsi="Arial" w:cs="Arial"/>
          <w:b/>
          <w:bCs/>
          <w:sz w:val="32"/>
          <w:szCs w:val="32"/>
        </w:rPr>
        <w:t xml:space="preserve"> </w:t>
      </w:r>
      <w:r w:rsidRPr="00C97A67">
        <w:rPr>
          <w:rFonts w:ascii="Arial" w:eastAsia="Aptos" w:hAnsi="Arial" w:cs="Arial"/>
          <w:b/>
          <w:bCs/>
          <w:sz w:val="32"/>
          <w:szCs w:val="32"/>
        </w:rPr>
        <w:t xml:space="preserve"> </w:t>
      </w:r>
    </w:p>
    <w:p w14:paraId="0F97DB27" w14:textId="77777777" w:rsidR="00163A78" w:rsidRPr="00DC75E4" w:rsidRDefault="00163A78" w:rsidP="00DC75E4">
      <w:pPr>
        <w:spacing w:line="360" w:lineRule="auto"/>
        <w:rPr>
          <w:rFonts w:ascii="Arial" w:eastAsia="Aptos" w:hAnsi="Arial" w:cs="Arial"/>
          <w:sz w:val="32"/>
          <w:szCs w:val="32"/>
        </w:rPr>
      </w:pPr>
      <w:proofErr w:type="spellStart"/>
      <w:r w:rsidRPr="00DC75E4">
        <w:rPr>
          <w:rFonts w:ascii="Arial" w:eastAsia="Aptos" w:hAnsi="Arial" w:cs="Arial"/>
          <w:sz w:val="32"/>
          <w:szCs w:val="32"/>
        </w:rPr>
        <w:t>Andreea</w:t>
      </w:r>
      <w:proofErr w:type="spellEnd"/>
      <w:r w:rsidRPr="00DC75E4">
        <w:rPr>
          <w:rFonts w:ascii="Arial" w:eastAsia="Aptos" w:hAnsi="Arial" w:cs="Arial"/>
          <w:sz w:val="32"/>
          <w:szCs w:val="32"/>
        </w:rPr>
        <w:t xml:space="preserve"> Mirela Constantin – 2408234</w:t>
      </w:r>
    </w:p>
    <w:p w14:paraId="4FBF28F5" w14:textId="77777777" w:rsidR="00163A78" w:rsidRPr="00DC75E4" w:rsidRDefault="00163A78" w:rsidP="00DC75E4">
      <w:pPr>
        <w:spacing w:line="360" w:lineRule="auto"/>
        <w:rPr>
          <w:rFonts w:ascii="Arial" w:eastAsia="Aptos" w:hAnsi="Arial" w:cs="Arial"/>
          <w:sz w:val="32"/>
          <w:szCs w:val="32"/>
        </w:rPr>
      </w:pPr>
      <w:proofErr w:type="spellStart"/>
      <w:r w:rsidRPr="00DC75E4">
        <w:rPr>
          <w:rFonts w:ascii="Arial" w:eastAsia="Aptos" w:hAnsi="Arial" w:cs="Arial"/>
          <w:sz w:val="32"/>
          <w:szCs w:val="32"/>
        </w:rPr>
        <w:t>Corneliu</w:t>
      </w:r>
      <w:proofErr w:type="spellEnd"/>
      <w:r w:rsidRPr="00DC75E4">
        <w:rPr>
          <w:rFonts w:ascii="Arial" w:eastAsia="Aptos" w:hAnsi="Arial" w:cs="Arial"/>
          <w:sz w:val="32"/>
          <w:szCs w:val="32"/>
        </w:rPr>
        <w:t xml:space="preserve"> Bogdan Dan – 2310378</w:t>
      </w:r>
    </w:p>
    <w:p w14:paraId="73931BEA" w14:textId="77777777" w:rsidR="00163A78" w:rsidRPr="00C97A67" w:rsidRDefault="00163A78" w:rsidP="00C97A67">
      <w:pPr>
        <w:spacing w:line="360" w:lineRule="auto"/>
        <w:rPr>
          <w:rFonts w:ascii="Arial" w:eastAsia="Aptos" w:hAnsi="Arial" w:cs="Arial"/>
          <w:b/>
          <w:bCs/>
          <w:sz w:val="32"/>
          <w:szCs w:val="32"/>
        </w:rPr>
      </w:pPr>
      <w:r w:rsidRPr="00DC75E4">
        <w:rPr>
          <w:rFonts w:ascii="Arial" w:eastAsia="Aptos" w:hAnsi="Arial" w:cs="Arial"/>
          <w:sz w:val="32"/>
          <w:szCs w:val="32"/>
        </w:rPr>
        <w:t xml:space="preserve">Rosen </w:t>
      </w:r>
      <w:proofErr w:type="spellStart"/>
      <w:r w:rsidRPr="00DC75E4">
        <w:rPr>
          <w:rFonts w:ascii="Arial" w:eastAsia="Aptos" w:hAnsi="Arial" w:cs="Arial"/>
          <w:sz w:val="32"/>
          <w:szCs w:val="32"/>
        </w:rPr>
        <w:t>Dodumov</w:t>
      </w:r>
      <w:proofErr w:type="spellEnd"/>
      <w:r w:rsidRPr="00DC75E4">
        <w:rPr>
          <w:rFonts w:ascii="Arial" w:eastAsia="Aptos" w:hAnsi="Arial" w:cs="Arial"/>
          <w:sz w:val="32"/>
          <w:szCs w:val="32"/>
        </w:rPr>
        <w:t xml:space="preserve"> – 2332532</w:t>
      </w:r>
    </w:p>
    <w:p w14:paraId="6DA2C2D6" w14:textId="77777777" w:rsidR="00163A78" w:rsidRPr="00DC75E4" w:rsidRDefault="00163A78" w:rsidP="00DC75E4">
      <w:pPr>
        <w:spacing w:line="360" w:lineRule="auto"/>
        <w:rPr>
          <w:rFonts w:ascii="Arial" w:eastAsia="Aptos" w:hAnsi="Arial" w:cs="Arial"/>
          <w:sz w:val="32"/>
          <w:szCs w:val="32"/>
        </w:rPr>
      </w:pPr>
      <w:r w:rsidRPr="00DC75E4">
        <w:rPr>
          <w:rFonts w:ascii="Arial" w:eastAsia="Aptos" w:hAnsi="Arial" w:cs="Arial"/>
          <w:sz w:val="32"/>
          <w:szCs w:val="32"/>
        </w:rPr>
        <w:t>Shazad Hussain Shah – 2311387</w:t>
      </w:r>
    </w:p>
    <w:p w14:paraId="0890DD68" w14:textId="77777777" w:rsidR="00C97A67" w:rsidRPr="00C97A67" w:rsidRDefault="00C97A67" w:rsidP="00C97A67">
      <w:pPr>
        <w:spacing w:line="360" w:lineRule="auto"/>
        <w:rPr>
          <w:rFonts w:ascii="Arial" w:eastAsia="Aptos" w:hAnsi="Arial" w:cs="Arial"/>
          <w:b/>
          <w:bCs/>
          <w:sz w:val="32"/>
          <w:szCs w:val="32"/>
        </w:rPr>
      </w:pPr>
      <w:r w:rsidRPr="00C97A67">
        <w:rPr>
          <w:rFonts w:ascii="Arial" w:eastAsia="Aptos" w:hAnsi="Arial" w:cs="Arial"/>
          <w:b/>
          <w:bCs/>
          <w:sz w:val="32"/>
          <w:szCs w:val="32"/>
        </w:rPr>
        <w:t xml:space="preserve">Module: </w:t>
      </w:r>
      <w:r w:rsidRPr="00DC75E4">
        <w:rPr>
          <w:rFonts w:ascii="Arial" w:eastAsia="Aptos" w:hAnsi="Arial" w:cs="Arial"/>
          <w:sz w:val="32"/>
          <w:szCs w:val="32"/>
        </w:rPr>
        <w:t>Principles of Marketing</w:t>
      </w:r>
    </w:p>
    <w:p w14:paraId="388A9C60" w14:textId="07DE7897" w:rsidR="00C97A67" w:rsidRPr="00C97A67" w:rsidRDefault="00C97A67" w:rsidP="00C97A67">
      <w:pPr>
        <w:spacing w:line="360" w:lineRule="auto"/>
        <w:rPr>
          <w:rFonts w:ascii="Arial" w:eastAsia="Aptos" w:hAnsi="Arial" w:cs="Arial"/>
          <w:b/>
          <w:bCs/>
          <w:sz w:val="32"/>
          <w:szCs w:val="32"/>
        </w:rPr>
      </w:pPr>
      <w:r w:rsidRPr="00C97A67">
        <w:rPr>
          <w:rFonts w:ascii="Arial" w:eastAsia="Aptos" w:hAnsi="Arial" w:cs="Arial"/>
          <w:b/>
          <w:bCs/>
          <w:sz w:val="32"/>
          <w:szCs w:val="32"/>
        </w:rPr>
        <w:t xml:space="preserve">Module code: </w:t>
      </w:r>
      <w:r w:rsidR="00BA186C" w:rsidRPr="00BA186C">
        <w:rPr>
          <w:rFonts w:ascii="Arial" w:eastAsia="Aptos" w:hAnsi="Arial" w:cs="Arial"/>
          <w:sz w:val="32"/>
          <w:szCs w:val="32"/>
        </w:rPr>
        <w:t>LCBB5015</w:t>
      </w:r>
    </w:p>
    <w:p w14:paraId="389DCE31" w14:textId="223BCBD1" w:rsidR="00C97A67" w:rsidRPr="00C97A67" w:rsidRDefault="00C97A67" w:rsidP="00C97A67">
      <w:pPr>
        <w:spacing w:line="360" w:lineRule="auto"/>
        <w:rPr>
          <w:rFonts w:ascii="Arial" w:eastAsia="Aptos" w:hAnsi="Arial" w:cs="Arial"/>
          <w:b/>
          <w:bCs/>
          <w:sz w:val="32"/>
          <w:szCs w:val="32"/>
        </w:rPr>
      </w:pPr>
      <w:r w:rsidRPr="00C97A67">
        <w:rPr>
          <w:rFonts w:ascii="Arial" w:eastAsia="Aptos" w:hAnsi="Arial" w:cs="Arial"/>
          <w:b/>
          <w:bCs/>
          <w:sz w:val="32"/>
          <w:szCs w:val="32"/>
        </w:rPr>
        <w:t xml:space="preserve">Lecturer name: </w:t>
      </w:r>
      <w:r w:rsidR="00D30960" w:rsidRPr="00D30960">
        <w:rPr>
          <w:rFonts w:ascii="Arial" w:eastAsia="Aptos" w:hAnsi="Arial" w:cs="Arial"/>
          <w:sz w:val="32"/>
          <w:szCs w:val="32"/>
        </w:rPr>
        <w:t xml:space="preserve">Mohammed </w:t>
      </w:r>
      <w:proofErr w:type="spellStart"/>
      <w:r w:rsidR="00D30960" w:rsidRPr="00D30960">
        <w:rPr>
          <w:rFonts w:ascii="Arial" w:eastAsia="Aptos" w:hAnsi="Arial" w:cs="Arial"/>
          <w:sz w:val="32"/>
          <w:szCs w:val="32"/>
        </w:rPr>
        <w:t>Ashikul</w:t>
      </w:r>
      <w:proofErr w:type="spellEnd"/>
      <w:r w:rsidR="00D30960" w:rsidRPr="00D30960">
        <w:rPr>
          <w:rFonts w:ascii="Arial" w:eastAsia="Aptos" w:hAnsi="Arial" w:cs="Arial"/>
          <w:sz w:val="32"/>
          <w:szCs w:val="32"/>
        </w:rPr>
        <w:t xml:space="preserve"> Khan</w:t>
      </w:r>
    </w:p>
    <w:p w14:paraId="18FBF3F0" w14:textId="171BC763" w:rsidR="00C97A67" w:rsidRPr="00D30960" w:rsidRDefault="00C97A67" w:rsidP="00C97A67">
      <w:pPr>
        <w:spacing w:line="360" w:lineRule="auto"/>
        <w:rPr>
          <w:rFonts w:ascii="Arial" w:eastAsia="Aptos" w:hAnsi="Arial" w:cs="Arial"/>
          <w:sz w:val="32"/>
          <w:szCs w:val="32"/>
        </w:rPr>
      </w:pPr>
      <w:r w:rsidRPr="00C97A67">
        <w:rPr>
          <w:rFonts w:ascii="Arial" w:eastAsia="Aptos" w:hAnsi="Arial" w:cs="Arial"/>
          <w:b/>
          <w:bCs/>
          <w:sz w:val="32"/>
          <w:szCs w:val="32"/>
        </w:rPr>
        <w:t xml:space="preserve">Assignment Title: </w:t>
      </w:r>
      <w:r w:rsidRPr="00D30960">
        <w:rPr>
          <w:rFonts w:ascii="Arial" w:eastAsia="Aptos" w:hAnsi="Arial" w:cs="Arial"/>
          <w:sz w:val="32"/>
          <w:szCs w:val="32"/>
        </w:rPr>
        <w:t xml:space="preserve">Component 2: Coursework: Group Report </w:t>
      </w:r>
    </w:p>
    <w:p w14:paraId="14C9F244" w14:textId="4636703B" w:rsidR="00C97A67" w:rsidRPr="00C97A67" w:rsidRDefault="00C97A67" w:rsidP="00C97A67">
      <w:pPr>
        <w:spacing w:line="360" w:lineRule="auto"/>
        <w:rPr>
          <w:rFonts w:ascii="Arial" w:eastAsia="Aptos" w:hAnsi="Arial" w:cs="Arial"/>
          <w:b/>
          <w:bCs/>
          <w:sz w:val="32"/>
          <w:szCs w:val="32"/>
        </w:rPr>
      </w:pPr>
      <w:r w:rsidRPr="00C97A67">
        <w:rPr>
          <w:rFonts w:ascii="Arial" w:eastAsia="Aptos" w:hAnsi="Arial" w:cs="Arial"/>
          <w:b/>
          <w:bCs/>
          <w:sz w:val="32"/>
          <w:szCs w:val="32"/>
        </w:rPr>
        <w:t>Company:</w:t>
      </w:r>
      <w:r w:rsidR="00860755">
        <w:rPr>
          <w:rFonts w:ascii="Arial" w:eastAsia="Aptos" w:hAnsi="Arial" w:cs="Arial"/>
          <w:b/>
          <w:bCs/>
          <w:sz w:val="32"/>
          <w:szCs w:val="32"/>
        </w:rPr>
        <w:t xml:space="preserve"> </w:t>
      </w:r>
      <w:r w:rsidR="00860755" w:rsidRPr="00D30960">
        <w:rPr>
          <w:rFonts w:ascii="Arial" w:eastAsia="Aptos" w:hAnsi="Arial" w:cs="Arial"/>
          <w:sz w:val="32"/>
          <w:szCs w:val="32"/>
        </w:rPr>
        <w:t>Tesco PLC</w:t>
      </w:r>
    </w:p>
    <w:p w14:paraId="3B47D099" w14:textId="446C458B" w:rsidR="00C97A67" w:rsidRDefault="00C97A67"/>
    <w:p w14:paraId="35B4F7F1" w14:textId="77777777" w:rsidR="00517AFC" w:rsidRDefault="00C97A67" w:rsidP="00517AFC">
      <w:r>
        <w:br w:type="page"/>
      </w:r>
    </w:p>
    <w:p w14:paraId="4AF8866D" w14:textId="77777777" w:rsidR="00517AFC" w:rsidRPr="00477981" w:rsidRDefault="00517AFC" w:rsidP="00517AFC">
      <w:pPr>
        <w:rPr>
          <w:rFonts w:ascii="Arial" w:hAnsi="Arial" w:cs="Arial"/>
          <w:sz w:val="22"/>
          <w:szCs w:val="22"/>
        </w:rPr>
      </w:pPr>
    </w:p>
    <w:sdt>
      <w:sdtPr>
        <w:rPr>
          <w:rFonts w:asciiTheme="minorHAnsi" w:eastAsiaTheme="minorHAnsi" w:hAnsiTheme="minorHAnsi" w:cstheme="minorBidi"/>
          <w:color w:val="auto"/>
          <w:kern w:val="2"/>
          <w:sz w:val="24"/>
          <w:szCs w:val="24"/>
          <w:lang w:val="en-GB"/>
          <w14:ligatures w14:val="standardContextual"/>
        </w:rPr>
        <w:id w:val="-146981760"/>
        <w:docPartObj>
          <w:docPartGallery w:val="Table of Contents"/>
          <w:docPartUnique/>
        </w:docPartObj>
      </w:sdtPr>
      <w:sdtEndPr>
        <w:rPr>
          <w:b/>
          <w:bCs/>
          <w:noProof/>
        </w:rPr>
      </w:sdtEndPr>
      <w:sdtContent>
        <w:p w14:paraId="111A8B06" w14:textId="6F466BB5" w:rsidR="00F32F96" w:rsidRDefault="00F32F96">
          <w:pPr>
            <w:pStyle w:val="TOCHeading"/>
          </w:pPr>
          <w:r>
            <w:t>Contents</w:t>
          </w:r>
        </w:p>
        <w:p w14:paraId="5EFCB908" w14:textId="15AF532E" w:rsidR="0057134E" w:rsidRDefault="00F32F96">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12964882" w:history="1">
            <w:r w:rsidR="0057134E" w:rsidRPr="004F18F6">
              <w:rPr>
                <w:rStyle w:val="Hyperlink"/>
                <w:rFonts w:ascii="Arial" w:eastAsia="Times New Roman" w:hAnsi="Arial" w:cs="Arial"/>
                <w:noProof/>
              </w:rPr>
              <w:t>1.</w:t>
            </w:r>
            <w:r w:rsidR="0057134E">
              <w:rPr>
                <w:rFonts w:eastAsiaTheme="minorEastAsia"/>
                <w:noProof/>
                <w:lang w:eastAsia="en-GB"/>
              </w:rPr>
              <w:tab/>
            </w:r>
            <w:r w:rsidR="0057134E" w:rsidRPr="004F18F6">
              <w:rPr>
                <w:rStyle w:val="Hyperlink"/>
                <w:rFonts w:ascii="Arial" w:eastAsia="Times New Roman" w:hAnsi="Arial" w:cs="Arial"/>
                <w:noProof/>
                <w:lang w:eastAsia="en-GB"/>
              </w:rPr>
              <w:t>Introduction and Mission</w:t>
            </w:r>
            <w:r w:rsidR="0057134E">
              <w:rPr>
                <w:noProof/>
                <w:webHidden/>
              </w:rPr>
              <w:tab/>
            </w:r>
            <w:r w:rsidR="0057134E">
              <w:rPr>
                <w:noProof/>
                <w:webHidden/>
              </w:rPr>
              <w:fldChar w:fldCharType="begin"/>
            </w:r>
            <w:r w:rsidR="0057134E">
              <w:rPr>
                <w:noProof/>
                <w:webHidden/>
              </w:rPr>
              <w:instrText xml:space="preserve"> PAGEREF _Toc212964882 \h </w:instrText>
            </w:r>
            <w:r w:rsidR="0057134E">
              <w:rPr>
                <w:noProof/>
                <w:webHidden/>
              </w:rPr>
            </w:r>
            <w:r w:rsidR="0057134E">
              <w:rPr>
                <w:noProof/>
                <w:webHidden/>
              </w:rPr>
              <w:fldChar w:fldCharType="separate"/>
            </w:r>
            <w:r w:rsidR="0057134E">
              <w:rPr>
                <w:noProof/>
                <w:webHidden/>
              </w:rPr>
              <w:t>3</w:t>
            </w:r>
            <w:r w:rsidR="0057134E">
              <w:rPr>
                <w:noProof/>
                <w:webHidden/>
              </w:rPr>
              <w:fldChar w:fldCharType="end"/>
            </w:r>
          </w:hyperlink>
        </w:p>
        <w:p w14:paraId="2053548E" w14:textId="5150DAAB" w:rsidR="0057134E" w:rsidRDefault="008D31F1">
          <w:pPr>
            <w:pStyle w:val="TOC1"/>
            <w:tabs>
              <w:tab w:val="left" w:pos="480"/>
              <w:tab w:val="right" w:leader="dot" w:pos="9016"/>
            </w:tabs>
            <w:rPr>
              <w:rFonts w:eastAsiaTheme="minorEastAsia"/>
              <w:noProof/>
              <w:lang w:eastAsia="en-GB"/>
            </w:rPr>
          </w:pPr>
          <w:hyperlink w:anchor="_Toc212964883" w:history="1">
            <w:r w:rsidR="0057134E" w:rsidRPr="004F18F6">
              <w:rPr>
                <w:rStyle w:val="Hyperlink"/>
                <w:rFonts w:ascii="Arial" w:eastAsia="Times New Roman" w:hAnsi="Arial" w:cs="Arial"/>
                <w:noProof/>
                <w:lang w:eastAsia="en-GB"/>
              </w:rPr>
              <w:t>2.</w:t>
            </w:r>
            <w:r w:rsidR="0057134E">
              <w:rPr>
                <w:rFonts w:eastAsiaTheme="minorEastAsia"/>
                <w:noProof/>
                <w:lang w:eastAsia="en-GB"/>
              </w:rPr>
              <w:tab/>
            </w:r>
            <w:r w:rsidR="0057134E" w:rsidRPr="004F18F6">
              <w:rPr>
                <w:rStyle w:val="Hyperlink"/>
                <w:rFonts w:ascii="Arial" w:eastAsia="Times New Roman" w:hAnsi="Arial" w:cs="Arial"/>
                <w:noProof/>
                <w:lang w:eastAsia="en-GB"/>
              </w:rPr>
              <w:t>Situational Analysis: SWOT</w:t>
            </w:r>
            <w:r w:rsidR="0057134E">
              <w:rPr>
                <w:noProof/>
                <w:webHidden/>
              </w:rPr>
              <w:tab/>
            </w:r>
            <w:r w:rsidR="0057134E">
              <w:rPr>
                <w:noProof/>
                <w:webHidden/>
              </w:rPr>
              <w:fldChar w:fldCharType="begin"/>
            </w:r>
            <w:r w:rsidR="0057134E">
              <w:rPr>
                <w:noProof/>
                <w:webHidden/>
              </w:rPr>
              <w:instrText xml:space="preserve"> PAGEREF _Toc212964883 \h </w:instrText>
            </w:r>
            <w:r w:rsidR="0057134E">
              <w:rPr>
                <w:noProof/>
                <w:webHidden/>
              </w:rPr>
            </w:r>
            <w:r w:rsidR="0057134E">
              <w:rPr>
                <w:noProof/>
                <w:webHidden/>
              </w:rPr>
              <w:fldChar w:fldCharType="separate"/>
            </w:r>
            <w:r w:rsidR="0057134E">
              <w:rPr>
                <w:noProof/>
                <w:webHidden/>
              </w:rPr>
              <w:t>3</w:t>
            </w:r>
            <w:r w:rsidR="0057134E">
              <w:rPr>
                <w:noProof/>
                <w:webHidden/>
              </w:rPr>
              <w:fldChar w:fldCharType="end"/>
            </w:r>
          </w:hyperlink>
        </w:p>
        <w:p w14:paraId="37DF8D99" w14:textId="74277BDB" w:rsidR="0057134E" w:rsidRDefault="008D31F1">
          <w:pPr>
            <w:pStyle w:val="TOC1"/>
            <w:tabs>
              <w:tab w:val="left" w:pos="480"/>
              <w:tab w:val="right" w:leader="dot" w:pos="9016"/>
            </w:tabs>
            <w:rPr>
              <w:rFonts w:eastAsiaTheme="minorEastAsia"/>
              <w:noProof/>
              <w:lang w:eastAsia="en-GB"/>
            </w:rPr>
          </w:pPr>
          <w:hyperlink w:anchor="_Toc212964884" w:history="1">
            <w:r w:rsidR="0057134E" w:rsidRPr="004F18F6">
              <w:rPr>
                <w:rStyle w:val="Hyperlink"/>
                <w:rFonts w:ascii="Arial" w:hAnsi="Arial" w:cs="Arial"/>
                <w:noProof/>
              </w:rPr>
              <w:t>3.</w:t>
            </w:r>
            <w:r w:rsidR="0057134E">
              <w:rPr>
                <w:rFonts w:eastAsiaTheme="minorEastAsia"/>
                <w:noProof/>
                <w:lang w:eastAsia="en-GB"/>
              </w:rPr>
              <w:tab/>
            </w:r>
            <w:r w:rsidR="0057134E" w:rsidRPr="004F18F6">
              <w:rPr>
                <w:rStyle w:val="Hyperlink"/>
                <w:rFonts w:ascii="Arial" w:hAnsi="Arial" w:cs="Arial"/>
                <w:noProof/>
                <w:lang w:eastAsia="en-GB"/>
              </w:rPr>
              <w:t>STP Analysi</w:t>
            </w:r>
            <w:r w:rsidR="0057134E" w:rsidRPr="004F18F6">
              <w:rPr>
                <w:rStyle w:val="Hyperlink"/>
                <w:rFonts w:ascii="Arial" w:hAnsi="Arial" w:cs="Arial"/>
                <w:noProof/>
              </w:rPr>
              <w:t>s</w:t>
            </w:r>
            <w:r w:rsidR="0057134E">
              <w:rPr>
                <w:noProof/>
                <w:webHidden/>
              </w:rPr>
              <w:tab/>
            </w:r>
            <w:r w:rsidR="0057134E">
              <w:rPr>
                <w:noProof/>
                <w:webHidden/>
              </w:rPr>
              <w:fldChar w:fldCharType="begin"/>
            </w:r>
            <w:r w:rsidR="0057134E">
              <w:rPr>
                <w:noProof/>
                <w:webHidden/>
              </w:rPr>
              <w:instrText xml:space="preserve"> PAGEREF _Toc212964884 \h </w:instrText>
            </w:r>
            <w:r w:rsidR="0057134E">
              <w:rPr>
                <w:noProof/>
                <w:webHidden/>
              </w:rPr>
            </w:r>
            <w:r w:rsidR="0057134E">
              <w:rPr>
                <w:noProof/>
                <w:webHidden/>
              </w:rPr>
              <w:fldChar w:fldCharType="separate"/>
            </w:r>
            <w:r w:rsidR="0057134E">
              <w:rPr>
                <w:noProof/>
                <w:webHidden/>
              </w:rPr>
              <w:t>6</w:t>
            </w:r>
            <w:r w:rsidR="0057134E">
              <w:rPr>
                <w:noProof/>
                <w:webHidden/>
              </w:rPr>
              <w:fldChar w:fldCharType="end"/>
            </w:r>
          </w:hyperlink>
        </w:p>
        <w:p w14:paraId="16480166" w14:textId="73464FE5" w:rsidR="0057134E" w:rsidRDefault="008D31F1">
          <w:pPr>
            <w:pStyle w:val="TOC2"/>
            <w:tabs>
              <w:tab w:val="right" w:leader="dot" w:pos="9016"/>
            </w:tabs>
            <w:rPr>
              <w:rFonts w:eastAsiaTheme="minorEastAsia"/>
              <w:noProof/>
              <w:lang w:eastAsia="en-GB"/>
            </w:rPr>
          </w:pPr>
          <w:hyperlink w:anchor="_Toc212964885" w:history="1">
            <w:r w:rsidR="0057134E" w:rsidRPr="004F18F6">
              <w:rPr>
                <w:rStyle w:val="Hyperlink"/>
                <w:rFonts w:ascii="Arial" w:hAnsi="Arial" w:cs="Arial"/>
                <w:noProof/>
              </w:rPr>
              <w:t>3.2 Integrated Marketing Communications (IMC)</w:t>
            </w:r>
            <w:r w:rsidR="0057134E">
              <w:rPr>
                <w:noProof/>
                <w:webHidden/>
              </w:rPr>
              <w:tab/>
            </w:r>
            <w:r w:rsidR="0057134E">
              <w:rPr>
                <w:noProof/>
                <w:webHidden/>
              </w:rPr>
              <w:fldChar w:fldCharType="begin"/>
            </w:r>
            <w:r w:rsidR="0057134E">
              <w:rPr>
                <w:noProof/>
                <w:webHidden/>
              </w:rPr>
              <w:instrText xml:space="preserve"> PAGEREF _Toc212964885 \h </w:instrText>
            </w:r>
            <w:r w:rsidR="0057134E">
              <w:rPr>
                <w:noProof/>
                <w:webHidden/>
              </w:rPr>
            </w:r>
            <w:r w:rsidR="0057134E">
              <w:rPr>
                <w:noProof/>
                <w:webHidden/>
              </w:rPr>
              <w:fldChar w:fldCharType="separate"/>
            </w:r>
            <w:r w:rsidR="0057134E">
              <w:rPr>
                <w:noProof/>
                <w:webHidden/>
              </w:rPr>
              <w:t>7</w:t>
            </w:r>
            <w:r w:rsidR="0057134E">
              <w:rPr>
                <w:noProof/>
                <w:webHidden/>
              </w:rPr>
              <w:fldChar w:fldCharType="end"/>
            </w:r>
          </w:hyperlink>
        </w:p>
        <w:p w14:paraId="636A5F39" w14:textId="21F7CBF5" w:rsidR="0057134E" w:rsidRDefault="008D31F1">
          <w:pPr>
            <w:pStyle w:val="TOC2"/>
            <w:tabs>
              <w:tab w:val="right" w:leader="dot" w:pos="9016"/>
            </w:tabs>
            <w:rPr>
              <w:rFonts w:eastAsiaTheme="minorEastAsia"/>
              <w:noProof/>
              <w:lang w:eastAsia="en-GB"/>
            </w:rPr>
          </w:pPr>
          <w:hyperlink w:anchor="_Toc212964886" w:history="1">
            <w:r w:rsidR="0057134E" w:rsidRPr="004F18F6">
              <w:rPr>
                <w:rStyle w:val="Hyperlink"/>
                <w:rFonts w:ascii="Arial" w:hAnsi="Arial" w:cs="Arial"/>
                <w:noProof/>
                <w:lang w:eastAsia="en-GB"/>
              </w:rPr>
              <w:t>3.3 Ansoff Matrix</w:t>
            </w:r>
            <w:r w:rsidR="0057134E">
              <w:rPr>
                <w:noProof/>
                <w:webHidden/>
              </w:rPr>
              <w:tab/>
            </w:r>
            <w:r w:rsidR="0057134E">
              <w:rPr>
                <w:noProof/>
                <w:webHidden/>
              </w:rPr>
              <w:fldChar w:fldCharType="begin"/>
            </w:r>
            <w:r w:rsidR="0057134E">
              <w:rPr>
                <w:noProof/>
                <w:webHidden/>
              </w:rPr>
              <w:instrText xml:space="preserve"> PAGEREF _Toc212964886 \h </w:instrText>
            </w:r>
            <w:r w:rsidR="0057134E">
              <w:rPr>
                <w:noProof/>
                <w:webHidden/>
              </w:rPr>
            </w:r>
            <w:r w:rsidR="0057134E">
              <w:rPr>
                <w:noProof/>
                <w:webHidden/>
              </w:rPr>
              <w:fldChar w:fldCharType="separate"/>
            </w:r>
            <w:r w:rsidR="0057134E">
              <w:rPr>
                <w:noProof/>
                <w:webHidden/>
              </w:rPr>
              <w:t>8</w:t>
            </w:r>
            <w:r w:rsidR="0057134E">
              <w:rPr>
                <w:noProof/>
                <w:webHidden/>
              </w:rPr>
              <w:fldChar w:fldCharType="end"/>
            </w:r>
          </w:hyperlink>
        </w:p>
        <w:p w14:paraId="02D3FE41" w14:textId="75EBA676" w:rsidR="0057134E" w:rsidRDefault="008D31F1">
          <w:pPr>
            <w:pStyle w:val="TOC1"/>
            <w:tabs>
              <w:tab w:val="left" w:pos="480"/>
              <w:tab w:val="right" w:leader="dot" w:pos="9016"/>
            </w:tabs>
            <w:rPr>
              <w:rFonts w:eastAsiaTheme="minorEastAsia"/>
              <w:noProof/>
              <w:lang w:eastAsia="en-GB"/>
            </w:rPr>
          </w:pPr>
          <w:hyperlink w:anchor="_Toc212964887" w:history="1">
            <w:r w:rsidR="0057134E" w:rsidRPr="004F18F6">
              <w:rPr>
                <w:rStyle w:val="Hyperlink"/>
                <w:rFonts w:ascii="Arial" w:eastAsia="Times New Roman" w:hAnsi="Arial" w:cs="Arial"/>
                <w:noProof/>
                <w:lang w:eastAsia="en-GB"/>
              </w:rPr>
              <w:t>4.</w:t>
            </w:r>
            <w:r w:rsidR="0057134E">
              <w:rPr>
                <w:rFonts w:eastAsiaTheme="minorEastAsia"/>
                <w:noProof/>
                <w:lang w:eastAsia="en-GB"/>
              </w:rPr>
              <w:tab/>
            </w:r>
            <w:r w:rsidR="0057134E" w:rsidRPr="004F18F6">
              <w:rPr>
                <w:rStyle w:val="Hyperlink"/>
                <w:rFonts w:ascii="Arial" w:eastAsia="Times New Roman" w:hAnsi="Arial" w:cs="Arial"/>
                <w:noProof/>
                <w:lang w:eastAsia="en-GB"/>
              </w:rPr>
              <w:t>Marketing Mix Strategies: 7Ps</w:t>
            </w:r>
            <w:r w:rsidR="0057134E">
              <w:rPr>
                <w:noProof/>
                <w:webHidden/>
              </w:rPr>
              <w:tab/>
            </w:r>
            <w:r w:rsidR="0057134E">
              <w:rPr>
                <w:noProof/>
                <w:webHidden/>
              </w:rPr>
              <w:fldChar w:fldCharType="begin"/>
            </w:r>
            <w:r w:rsidR="0057134E">
              <w:rPr>
                <w:noProof/>
                <w:webHidden/>
              </w:rPr>
              <w:instrText xml:space="preserve"> PAGEREF _Toc212964887 \h </w:instrText>
            </w:r>
            <w:r w:rsidR="0057134E">
              <w:rPr>
                <w:noProof/>
                <w:webHidden/>
              </w:rPr>
            </w:r>
            <w:r w:rsidR="0057134E">
              <w:rPr>
                <w:noProof/>
                <w:webHidden/>
              </w:rPr>
              <w:fldChar w:fldCharType="separate"/>
            </w:r>
            <w:r w:rsidR="0057134E">
              <w:rPr>
                <w:noProof/>
                <w:webHidden/>
              </w:rPr>
              <w:t>9</w:t>
            </w:r>
            <w:r w:rsidR="0057134E">
              <w:rPr>
                <w:noProof/>
                <w:webHidden/>
              </w:rPr>
              <w:fldChar w:fldCharType="end"/>
            </w:r>
          </w:hyperlink>
        </w:p>
        <w:p w14:paraId="19CDB059" w14:textId="17A5E9FB" w:rsidR="0057134E" w:rsidRDefault="008D31F1">
          <w:pPr>
            <w:pStyle w:val="TOC1"/>
            <w:tabs>
              <w:tab w:val="left" w:pos="480"/>
              <w:tab w:val="right" w:leader="dot" w:pos="9016"/>
            </w:tabs>
            <w:rPr>
              <w:rFonts w:eastAsiaTheme="minorEastAsia"/>
              <w:noProof/>
              <w:lang w:eastAsia="en-GB"/>
            </w:rPr>
          </w:pPr>
          <w:hyperlink w:anchor="_Toc212964888" w:history="1">
            <w:r w:rsidR="0057134E" w:rsidRPr="004F18F6">
              <w:rPr>
                <w:rStyle w:val="Hyperlink"/>
                <w:rFonts w:ascii="Arial" w:hAnsi="Arial" w:cs="Arial"/>
                <w:noProof/>
              </w:rPr>
              <w:t>5.</w:t>
            </w:r>
            <w:r w:rsidR="0057134E">
              <w:rPr>
                <w:rFonts w:eastAsiaTheme="minorEastAsia"/>
                <w:noProof/>
                <w:lang w:eastAsia="en-GB"/>
              </w:rPr>
              <w:tab/>
            </w:r>
            <w:r w:rsidR="0057134E" w:rsidRPr="004F18F6">
              <w:rPr>
                <w:rStyle w:val="Hyperlink"/>
                <w:rFonts w:ascii="Arial" w:hAnsi="Arial" w:cs="Arial"/>
                <w:noProof/>
              </w:rPr>
              <w:t>Conclusion</w:t>
            </w:r>
            <w:r w:rsidR="0057134E">
              <w:rPr>
                <w:noProof/>
                <w:webHidden/>
              </w:rPr>
              <w:tab/>
            </w:r>
            <w:r w:rsidR="0057134E">
              <w:rPr>
                <w:noProof/>
                <w:webHidden/>
              </w:rPr>
              <w:fldChar w:fldCharType="begin"/>
            </w:r>
            <w:r w:rsidR="0057134E">
              <w:rPr>
                <w:noProof/>
                <w:webHidden/>
              </w:rPr>
              <w:instrText xml:space="preserve"> PAGEREF _Toc212964888 \h </w:instrText>
            </w:r>
            <w:r w:rsidR="0057134E">
              <w:rPr>
                <w:noProof/>
                <w:webHidden/>
              </w:rPr>
            </w:r>
            <w:r w:rsidR="0057134E">
              <w:rPr>
                <w:noProof/>
                <w:webHidden/>
              </w:rPr>
              <w:fldChar w:fldCharType="separate"/>
            </w:r>
            <w:r w:rsidR="0057134E">
              <w:rPr>
                <w:noProof/>
                <w:webHidden/>
              </w:rPr>
              <w:t>13</w:t>
            </w:r>
            <w:r w:rsidR="0057134E">
              <w:rPr>
                <w:noProof/>
                <w:webHidden/>
              </w:rPr>
              <w:fldChar w:fldCharType="end"/>
            </w:r>
          </w:hyperlink>
        </w:p>
        <w:p w14:paraId="02F30AAC" w14:textId="26B7486D" w:rsidR="0057134E" w:rsidRDefault="008D31F1">
          <w:pPr>
            <w:pStyle w:val="TOC1"/>
            <w:tabs>
              <w:tab w:val="right" w:leader="dot" w:pos="9016"/>
            </w:tabs>
            <w:rPr>
              <w:rFonts w:eastAsiaTheme="minorEastAsia"/>
              <w:noProof/>
              <w:lang w:eastAsia="en-GB"/>
            </w:rPr>
          </w:pPr>
          <w:hyperlink w:anchor="_Toc212964889" w:history="1">
            <w:r w:rsidR="0057134E" w:rsidRPr="004F18F6">
              <w:rPr>
                <w:rStyle w:val="Hyperlink"/>
                <w:rFonts w:ascii="Arial" w:eastAsia="Times New Roman" w:hAnsi="Arial" w:cs="Arial"/>
                <w:noProof/>
                <w:lang w:eastAsia="en-GB"/>
              </w:rPr>
              <w:t>6.  References</w:t>
            </w:r>
            <w:r w:rsidR="0057134E">
              <w:rPr>
                <w:noProof/>
                <w:webHidden/>
              </w:rPr>
              <w:tab/>
            </w:r>
            <w:r w:rsidR="0057134E">
              <w:rPr>
                <w:noProof/>
                <w:webHidden/>
              </w:rPr>
              <w:fldChar w:fldCharType="begin"/>
            </w:r>
            <w:r w:rsidR="0057134E">
              <w:rPr>
                <w:noProof/>
                <w:webHidden/>
              </w:rPr>
              <w:instrText xml:space="preserve"> PAGEREF _Toc212964889 \h </w:instrText>
            </w:r>
            <w:r w:rsidR="0057134E">
              <w:rPr>
                <w:noProof/>
                <w:webHidden/>
              </w:rPr>
            </w:r>
            <w:r w:rsidR="0057134E">
              <w:rPr>
                <w:noProof/>
                <w:webHidden/>
              </w:rPr>
              <w:fldChar w:fldCharType="separate"/>
            </w:r>
            <w:r w:rsidR="0057134E">
              <w:rPr>
                <w:noProof/>
                <w:webHidden/>
              </w:rPr>
              <w:t>15</w:t>
            </w:r>
            <w:r w:rsidR="0057134E">
              <w:rPr>
                <w:noProof/>
                <w:webHidden/>
              </w:rPr>
              <w:fldChar w:fldCharType="end"/>
            </w:r>
          </w:hyperlink>
        </w:p>
        <w:p w14:paraId="42541A27" w14:textId="40ED25C7" w:rsidR="00F32F96" w:rsidRDefault="00F32F96">
          <w:r>
            <w:rPr>
              <w:b/>
              <w:bCs/>
              <w:noProof/>
            </w:rPr>
            <w:fldChar w:fldCharType="end"/>
          </w:r>
        </w:p>
      </w:sdtContent>
    </w:sdt>
    <w:p w14:paraId="1EF13EA2" w14:textId="77777777" w:rsidR="00517AFC" w:rsidRDefault="00517AFC" w:rsidP="00517AFC"/>
    <w:p w14:paraId="1F970860" w14:textId="77777777" w:rsidR="00517AFC" w:rsidRDefault="00517AFC" w:rsidP="00517AFC"/>
    <w:p w14:paraId="42EE6F1F" w14:textId="77777777" w:rsidR="00517AFC" w:rsidRDefault="00517AFC" w:rsidP="00517AFC"/>
    <w:p w14:paraId="6FB8CC23" w14:textId="77777777" w:rsidR="00517AFC" w:rsidRDefault="00517AFC" w:rsidP="00517AFC"/>
    <w:p w14:paraId="01203677" w14:textId="77777777" w:rsidR="00517AFC" w:rsidRDefault="00517AFC" w:rsidP="00517AFC"/>
    <w:p w14:paraId="73554B61" w14:textId="77777777" w:rsidR="00517AFC" w:rsidRDefault="00517AFC" w:rsidP="00517AFC"/>
    <w:p w14:paraId="03B4C0DB" w14:textId="77777777" w:rsidR="00517AFC" w:rsidRDefault="00517AFC" w:rsidP="00517AFC"/>
    <w:p w14:paraId="57DD91FB" w14:textId="77777777" w:rsidR="00517AFC" w:rsidRDefault="00517AFC" w:rsidP="00517AFC"/>
    <w:p w14:paraId="3E2FBC64" w14:textId="77777777" w:rsidR="00517AFC" w:rsidRDefault="00517AFC" w:rsidP="00517AFC"/>
    <w:p w14:paraId="68B99A21" w14:textId="77777777" w:rsidR="00517AFC" w:rsidRDefault="00517AFC" w:rsidP="00517AFC"/>
    <w:p w14:paraId="409DA139" w14:textId="77777777" w:rsidR="00517AFC" w:rsidRDefault="00517AFC" w:rsidP="00517AFC"/>
    <w:p w14:paraId="59F7E2AD" w14:textId="77777777" w:rsidR="00517AFC" w:rsidRDefault="00517AFC" w:rsidP="00517AFC"/>
    <w:p w14:paraId="7ED07DF3" w14:textId="77777777" w:rsidR="00517AFC" w:rsidRDefault="00517AFC" w:rsidP="00517AFC"/>
    <w:p w14:paraId="238C0DB0" w14:textId="77777777" w:rsidR="00466F06" w:rsidRDefault="00466F06" w:rsidP="00466F06">
      <w:pPr>
        <w:pStyle w:val="Heading1"/>
        <w:rPr>
          <w:rFonts w:ascii="Arial" w:eastAsia="Times New Roman" w:hAnsi="Arial" w:cs="Arial"/>
        </w:rPr>
      </w:pPr>
    </w:p>
    <w:p w14:paraId="2A8FDC51" w14:textId="77777777" w:rsidR="00466F06" w:rsidRDefault="00466F06" w:rsidP="00466F06"/>
    <w:p w14:paraId="3FD6DFB1" w14:textId="77777777" w:rsidR="00336855" w:rsidRPr="00466F06" w:rsidRDefault="00336855" w:rsidP="00466F06"/>
    <w:p w14:paraId="02FE1DE1" w14:textId="5CDCF411" w:rsidR="00D0585E" w:rsidRPr="00466F06" w:rsidRDefault="00681A0D" w:rsidP="00466F06">
      <w:pPr>
        <w:pStyle w:val="Heading1"/>
        <w:numPr>
          <w:ilvl w:val="0"/>
          <w:numId w:val="24"/>
        </w:numPr>
        <w:rPr>
          <w:rFonts w:ascii="Arial" w:eastAsia="Times New Roman" w:hAnsi="Arial" w:cs="Arial"/>
        </w:rPr>
      </w:pPr>
      <w:bookmarkStart w:id="0" w:name="_Toc212964882"/>
      <w:r w:rsidRPr="00466F06">
        <w:rPr>
          <w:rFonts w:ascii="Arial" w:eastAsia="Times New Roman" w:hAnsi="Arial" w:cs="Arial"/>
          <w:lang w:eastAsia="en-GB"/>
        </w:rPr>
        <w:lastRenderedPageBreak/>
        <w:t>Introduction and Mission</w:t>
      </w:r>
      <w:bookmarkEnd w:id="0"/>
    </w:p>
    <w:p w14:paraId="5638D35C" w14:textId="77777777" w:rsidR="00EA0AE4" w:rsidRPr="00C65637" w:rsidRDefault="00EA0AE4" w:rsidP="00EA0AE4">
      <w:pPr>
        <w:spacing w:line="360" w:lineRule="auto"/>
        <w:rPr>
          <w:rFonts w:ascii="Arial" w:hAnsi="Arial" w:cs="Arial"/>
          <w:sz w:val="22"/>
          <w:szCs w:val="22"/>
        </w:rPr>
      </w:pPr>
      <w:r w:rsidRPr="00C65637">
        <w:rPr>
          <w:rFonts w:ascii="Arial" w:hAnsi="Arial" w:cs="Arial"/>
          <w:sz w:val="22"/>
          <w:szCs w:val="22"/>
        </w:rPr>
        <w:t>Tesco PLC is a pillar of UK retail. Founded in 1919 by Jack Cohen, it has grown from a market stall to the UK’s largest retailer by revenue and market share, holding about 27% of the grocery market (Wood, 2022). While rooted in grocery across Extra, Superstore, Metro and Express formats, Tesco has become a multifaceted services group, including F&amp;F clothing, Tesco Mobile, Tesco Bank and a digital ecosystem anchored by the Tesco Clubcard. It leads a mass market contested by the Big Four, discounters Aldi and Lidl, and premium rivals such as Waitrose and M&amp;S (Mintel, 2024). This context demands a strategy that is both defensively robust and offensively agile.</w:t>
      </w:r>
    </w:p>
    <w:p w14:paraId="5D114191" w14:textId="77777777" w:rsidR="00EA0AE4" w:rsidRPr="00C65637" w:rsidRDefault="00EA0AE4" w:rsidP="00EA0AE4">
      <w:pPr>
        <w:spacing w:line="360" w:lineRule="auto"/>
        <w:rPr>
          <w:rFonts w:ascii="Arial" w:hAnsi="Arial" w:cs="Arial"/>
          <w:sz w:val="22"/>
          <w:szCs w:val="22"/>
        </w:rPr>
      </w:pPr>
    </w:p>
    <w:p w14:paraId="7A0D4D03" w14:textId="77777777" w:rsidR="00EA0AE4" w:rsidRPr="00C65637" w:rsidRDefault="00EA0AE4" w:rsidP="00EA0AE4">
      <w:pPr>
        <w:spacing w:line="360" w:lineRule="auto"/>
        <w:rPr>
          <w:rFonts w:ascii="Arial" w:hAnsi="Arial" w:cs="Arial"/>
          <w:sz w:val="22"/>
          <w:szCs w:val="22"/>
        </w:rPr>
      </w:pPr>
      <w:r w:rsidRPr="00C65637">
        <w:rPr>
          <w:rFonts w:ascii="Arial" w:hAnsi="Arial" w:cs="Arial"/>
          <w:sz w:val="22"/>
          <w:szCs w:val="22"/>
        </w:rPr>
        <w:t>The report provides a rigorous assessment of Tesco’s marketing position and sets out an integrated plan for the next financial year. The mission is to “Consolidate Tesco’s market leadership by becoming the UK’s most intelligent and trusted retailer, driving sustainable sales growth through hyper-personalised value, seamless digital integration and strategic market development.” Success rests not only on scale but on using data to deepen customer relationships. The report covers situational analysis (SWOT), strategy (STP, IMC, Ansoff), 7Ps tactical recommendations and a system for implementation and control.</w:t>
      </w:r>
    </w:p>
    <w:p w14:paraId="679C6930" w14:textId="4D179933" w:rsidR="002739E3" w:rsidRPr="00F3509C" w:rsidRDefault="002739E3" w:rsidP="00EF57A6">
      <w:pPr>
        <w:pStyle w:val="Heading1"/>
        <w:numPr>
          <w:ilvl w:val="0"/>
          <w:numId w:val="24"/>
        </w:numPr>
        <w:rPr>
          <w:rFonts w:ascii="Arial" w:eastAsia="Times New Roman" w:hAnsi="Arial" w:cs="Arial"/>
          <w:lang w:eastAsia="en-GB"/>
        </w:rPr>
      </w:pPr>
      <w:bookmarkStart w:id="1" w:name="_Toc212964883"/>
      <w:r w:rsidRPr="00F3509C">
        <w:rPr>
          <w:rFonts w:ascii="Arial" w:eastAsia="Times New Roman" w:hAnsi="Arial" w:cs="Arial"/>
          <w:lang w:eastAsia="en-GB"/>
        </w:rPr>
        <w:t>Situational Analysis: SWOT</w:t>
      </w:r>
      <w:bookmarkEnd w:id="1"/>
    </w:p>
    <w:p w14:paraId="1A8D8955" w14:textId="65B08AF3" w:rsidR="002739E3" w:rsidRPr="00EF57A6" w:rsidRDefault="002739E3"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color w:val="0F1115"/>
          <w:kern w:val="0"/>
          <w:sz w:val="22"/>
          <w:szCs w:val="22"/>
          <w:lang w:eastAsia="en-GB"/>
          <w14:ligatures w14:val="none"/>
        </w:rPr>
        <w:t>A SWOT analysis provides a critical foundation, evaluating the interplay between Tesco's internal capabilities and the external market forces it must navigate (McDonald and Wilson, 2011).</w:t>
      </w:r>
    </w:p>
    <w:p w14:paraId="42DA36DA" w14:textId="77777777" w:rsidR="002739E3" w:rsidRPr="00EF57A6" w:rsidRDefault="002739E3" w:rsidP="00EF57A6">
      <w:pPr>
        <w:spacing w:line="360" w:lineRule="auto"/>
        <w:rPr>
          <w:rFonts w:ascii="Arial" w:hAnsi="Arial" w:cs="Arial"/>
          <w:b/>
          <w:bCs/>
          <w:sz w:val="22"/>
          <w:szCs w:val="22"/>
          <w:lang w:eastAsia="en-GB"/>
        </w:rPr>
      </w:pPr>
      <w:r w:rsidRPr="00EF57A6">
        <w:rPr>
          <w:rFonts w:ascii="Arial" w:hAnsi="Arial" w:cs="Arial"/>
          <w:b/>
          <w:bCs/>
          <w:sz w:val="22"/>
          <w:szCs w:val="22"/>
          <w:lang w:eastAsia="en-GB"/>
        </w:rPr>
        <w:t>Strengths</w:t>
      </w:r>
    </w:p>
    <w:p w14:paraId="48773325" w14:textId="2F1F36EB" w:rsidR="002739E3" w:rsidRPr="00EF57A6" w:rsidRDefault="002739E3"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color w:val="0F1115"/>
          <w:kern w:val="0"/>
          <w:sz w:val="22"/>
          <w:szCs w:val="22"/>
          <w:lang w:eastAsia="en-GB"/>
          <w14:ligatures w14:val="none"/>
        </w:rPr>
        <w:t>Unrivalled Market Leadership and Scale: As the UK's largest retailer, Tesco benefits from profound economies of scale in procurement, distribution, and marketing. This volume grants it significant bargaining power with suppliers, often securing cost advantages that are inaccessible to smaller competitors (</w:t>
      </w:r>
      <w:proofErr w:type="spellStart"/>
      <w:r w:rsidR="0059056B" w:rsidRPr="0059056B">
        <w:rPr>
          <w:rFonts w:ascii="Arial" w:eastAsia="Times New Roman" w:hAnsi="Arial" w:cs="Arial"/>
          <w:color w:val="0F1115"/>
          <w:kern w:val="0"/>
          <w:sz w:val="22"/>
          <w:szCs w:val="22"/>
          <w:lang w:eastAsia="en-GB"/>
          <w14:ligatures w14:val="none"/>
        </w:rPr>
        <w:t>McKevitt</w:t>
      </w:r>
      <w:proofErr w:type="spellEnd"/>
      <w:r w:rsidR="0059056B" w:rsidRPr="0059056B">
        <w:rPr>
          <w:rFonts w:ascii="Arial" w:eastAsia="Times New Roman" w:hAnsi="Arial" w:cs="Arial"/>
          <w:color w:val="0F1115"/>
          <w:kern w:val="0"/>
          <w:sz w:val="22"/>
          <w:szCs w:val="22"/>
          <w:lang w:eastAsia="en-GB"/>
          <w14:ligatures w14:val="none"/>
        </w:rPr>
        <w:t>, 2025</w:t>
      </w:r>
      <w:r w:rsidRPr="00EF57A6">
        <w:rPr>
          <w:rFonts w:ascii="Arial" w:eastAsia="Times New Roman" w:hAnsi="Arial" w:cs="Arial"/>
          <w:color w:val="0F1115"/>
          <w:kern w:val="0"/>
          <w:sz w:val="22"/>
          <w:szCs w:val="22"/>
          <w:lang w:eastAsia="en-GB"/>
          <w14:ligatures w14:val="none"/>
        </w:rPr>
        <w:t>). This scale also provides the financial resilience to invest in price wars and long-term strategic initiatives (Tesco PLC, 2023).</w:t>
      </w:r>
    </w:p>
    <w:p w14:paraId="1FF1E623" w14:textId="6BDA3241" w:rsidR="002739E3" w:rsidRPr="00EF57A6" w:rsidRDefault="002739E3"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color w:val="0F1115"/>
          <w:kern w:val="0"/>
          <w:sz w:val="22"/>
          <w:szCs w:val="22"/>
          <w:lang w:eastAsia="en-GB"/>
          <w14:ligatures w14:val="none"/>
        </w:rPr>
        <w:t xml:space="preserve">The Tesco Clubcard as a Strategic Asset: With over 20 million active users, the Clubcard is far more than a loyalty scheme; it is a rich, dynamic data engine. It provides unparalleled insights into customer purchasing behaviour, enabling highly targeted marketing, sophisticated pricing strategies, and personalised promotions that drive retention and </w:t>
      </w:r>
      <w:r w:rsidRPr="00EF57A6">
        <w:rPr>
          <w:rFonts w:ascii="Arial" w:eastAsia="Times New Roman" w:hAnsi="Arial" w:cs="Arial"/>
          <w:color w:val="0F1115"/>
          <w:kern w:val="0"/>
          <w:sz w:val="22"/>
          <w:szCs w:val="22"/>
          <w:lang w:eastAsia="en-GB"/>
          <w14:ligatures w14:val="none"/>
        </w:rPr>
        <w:lastRenderedPageBreak/>
        <w:t>increase basket spend (</w:t>
      </w:r>
      <w:proofErr w:type="spellStart"/>
      <w:r w:rsidR="00DA01C9" w:rsidRPr="00DA01C9">
        <w:rPr>
          <w:rFonts w:ascii="Arial" w:eastAsia="Times New Roman" w:hAnsi="Arial" w:cs="Arial"/>
          <w:color w:val="0F1115"/>
          <w:kern w:val="0"/>
          <w:sz w:val="22"/>
          <w:szCs w:val="22"/>
          <w:lang w:eastAsia="en-GB"/>
          <w14:ligatures w14:val="none"/>
        </w:rPr>
        <w:t>GoodGrowth</w:t>
      </w:r>
      <w:proofErr w:type="spellEnd"/>
      <w:r w:rsidR="00DA01C9" w:rsidRPr="00DA01C9">
        <w:rPr>
          <w:rFonts w:ascii="Arial" w:eastAsia="Times New Roman" w:hAnsi="Arial" w:cs="Arial"/>
          <w:color w:val="0F1115"/>
          <w:kern w:val="0"/>
          <w:sz w:val="22"/>
          <w:szCs w:val="22"/>
          <w:lang w:eastAsia="en-GB"/>
          <w14:ligatures w14:val="none"/>
        </w:rPr>
        <w:t>, 2024</w:t>
      </w:r>
      <w:r w:rsidRPr="00EF57A6">
        <w:rPr>
          <w:rFonts w:ascii="Arial" w:eastAsia="Times New Roman" w:hAnsi="Arial" w:cs="Arial"/>
          <w:color w:val="0F1115"/>
          <w:kern w:val="0"/>
          <w:sz w:val="22"/>
          <w:szCs w:val="22"/>
          <w:lang w:eastAsia="en-GB"/>
          <w14:ligatures w14:val="none"/>
        </w:rPr>
        <w:t>; Tesco PLC, 2023). This data-driven approach represents a significant competitive moat.</w:t>
      </w:r>
    </w:p>
    <w:p w14:paraId="1E16A26F" w14:textId="4349DE2E" w:rsidR="002739E3" w:rsidRPr="00EF57A6" w:rsidRDefault="002739E3" w:rsidP="00EF57A6">
      <w:pPr>
        <w:spacing w:line="360" w:lineRule="auto"/>
        <w:rPr>
          <w:rFonts w:ascii="Arial" w:eastAsia="Times New Roman" w:hAnsi="Arial" w:cs="Arial"/>
          <w:b/>
          <w:bCs/>
          <w:color w:val="0F1115"/>
          <w:kern w:val="0"/>
          <w:sz w:val="30"/>
          <w:szCs w:val="30"/>
          <w:lang w:eastAsia="en-GB"/>
          <w14:ligatures w14:val="none"/>
        </w:rPr>
      </w:pPr>
      <w:r w:rsidRPr="00EF57A6">
        <w:rPr>
          <w:rFonts w:ascii="Arial" w:eastAsia="Times New Roman" w:hAnsi="Arial" w:cs="Arial"/>
          <w:color w:val="0F1115"/>
          <w:kern w:val="0"/>
          <w:sz w:val="22"/>
          <w:szCs w:val="22"/>
          <w:lang w:eastAsia="en-GB"/>
          <w14:ligatures w14:val="none"/>
        </w:rPr>
        <w:t>Extensive Multi-Channel Distribution Network: Tesco’s portfolio of over 4,000 stores provides unrivalled geographical coverage and convenience. This physical footprint is a critical asset in the age of e-commerce, serving as a network of hubs for its market-leading "</w:t>
      </w:r>
      <w:proofErr w:type="spellStart"/>
      <w:r w:rsidRPr="00EF57A6">
        <w:rPr>
          <w:rFonts w:ascii="Arial" w:eastAsia="Times New Roman" w:hAnsi="Arial" w:cs="Arial"/>
          <w:color w:val="0F1115"/>
          <w:kern w:val="0"/>
          <w:sz w:val="22"/>
          <w:szCs w:val="22"/>
          <w:lang w:eastAsia="en-GB"/>
          <w14:ligatures w14:val="none"/>
        </w:rPr>
        <w:t>Click+Collect</w:t>
      </w:r>
      <w:proofErr w:type="spellEnd"/>
      <w:r w:rsidRPr="00EF57A6">
        <w:rPr>
          <w:rFonts w:ascii="Arial" w:eastAsia="Times New Roman" w:hAnsi="Arial" w:cs="Arial"/>
          <w:color w:val="0F1115"/>
          <w:kern w:val="0"/>
          <w:sz w:val="22"/>
          <w:szCs w:val="22"/>
          <w:lang w:eastAsia="en-GB"/>
          <w14:ligatures w14:val="none"/>
        </w:rPr>
        <w:t>" service and fulfilling home delivery orders, creating a seamless omnichannel experience (Chaffey and Ellis-Chadwick, 2022; Tesco PLC, 2023).</w:t>
      </w:r>
    </w:p>
    <w:p w14:paraId="6F51E49C" w14:textId="07129ABC" w:rsidR="0052681B" w:rsidRPr="00336855" w:rsidRDefault="002739E3"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color w:val="0F1115"/>
          <w:kern w:val="0"/>
          <w:sz w:val="22"/>
          <w:szCs w:val="22"/>
          <w:lang w:eastAsia="en-GB"/>
          <w14:ligatures w14:val="none"/>
        </w:rPr>
        <w:t xml:space="preserve">Successful Diversification and Brand Equity: The diversification into banking, mobile, and clothing has created multiple revenue streams, insulating the company from volatility in the grocery sector. Furthermore, the Tesco brand itself is </w:t>
      </w:r>
      <w:proofErr w:type="spellStart"/>
      <w:proofErr w:type="gramStart"/>
      <w:r w:rsidRPr="00EF57A6">
        <w:rPr>
          <w:rFonts w:ascii="Arial" w:eastAsia="Times New Roman" w:hAnsi="Arial" w:cs="Arial"/>
          <w:color w:val="0F1115"/>
          <w:kern w:val="0"/>
          <w:sz w:val="22"/>
          <w:szCs w:val="22"/>
          <w:lang w:eastAsia="en-GB"/>
          <w14:ligatures w14:val="none"/>
        </w:rPr>
        <w:t>a</w:t>
      </w:r>
      <w:proofErr w:type="spellEnd"/>
      <w:proofErr w:type="gramEnd"/>
      <w:r w:rsidRPr="00EF57A6">
        <w:rPr>
          <w:rFonts w:ascii="Arial" w:eastAsia="Times New Roman" w:hAnsi="Arial" w:cs="Arial"/>
          <w:color w:val="0F1115"/>
          <w:kern w:val="0"/>
          <w:sz w:val="22"/>
          <w:szCs w:val="22"/>
          <w:lang w:eastAsia="en-GB"/>
          <w14:ligatures w14:val="none"/>
        </w:rPr>
        <w:t xml:space="preserve"> asset of immense value, embodying trust, reliability, and heritage for millions of UK consumers (Tesco PLC, 2023; Keller, 2019).</w:t>
      </w:r>
    </w:p>
    <w:p w14:paraId="58623138" w14:textId="702FA821" w:rsidR="002739E3" w:rsidRPr="00EF57A6" w:rsidRDefault="002739E3" w:rsidP="00EF57A6">
      <w:pPr>
        <w:spacing w:line="360" w:lineRule="auto"/>
        <w:rPr>
          <w:rFonts w:ascii="Arial" w:hAnsi="Arial" w:cs="Arial"/>
          <w:b/>
          <w:bCs/>
          <w:sz w:val="22"/>
          <w:szCs w:val="22"/>
          <w:lang w:eastAsia="en-GB"/>
        </w:rPr>
      </w:pPr>
      <w:r w:rsidRPr="00EF57A6">
        <w:rPr>
          <w:rFonts w:ascii="Arial" w:hAnsi="Arial" w:cs="Arial"/>
          <w:b/>
          <w:bCs/>
          <w:sz w:val="22"/>
          <w:szCs w:val="22"/>
          <w:lang w:eastAsia="en-GB"/>
        </w:rPr>
        <w:t>Weaknesses</w:t>
      </w:r>
    </w:p>
    <w:p w14:paraId="4A072555" w14:textId="3D8E3714" w:rsidR="002739E3" w:rsidRPr="00EF57A6" w:rsidRDefault="002739E3"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color w:val="0F1115"/>
          <w:kern w:val="0"/>
          <w:sz w:val="22"/>
          <w:szCs w:val="22"/>
          <w:lang w:eastAsia="en-GB"/>
          <w14:ligatures w14:val="none"/>
        </w:rPr>
        <w:t>Legacy Issues and Perceptions of Corporate Power: Past controversies, notably the 2014 accounting scandal, have left a lingering stain on its corporate reputation. Furthermore, its market dominance can foster negative perceptions among certain consumer segments and in the media, portraying it as a "bully" that squeezes suppliers and undermines local high streets (Quinn, 2020).</w:t>
      </w:r>
    </w:p>
    <w:p w14:paraId="7A7593C0" w14:textId="02B65BF0" w:rsidR="001E2A0C" w:rsidRPr="00EF57A6" w:rsidRDefault="002739E3"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color w:val="0F1115"/>
          <w:kern w:val="0"/>
          <w:sz w:val="22"/>
          <w:szCs w:val="22"/>
          <w:lang w:eastAsia="en-GB"/>
          <w14:ligatures w14:val="none"/>
        </w:rPr>
        <w:t>High Operational Complexity and Cost Base: Managing a supply chain of this scale and complexity is inherently costly and logistically challenging. This makes Tesco vulnerable to external shocks, such as geopolitical events, post-Brexit trade friction, and inflationary pressure on fuel and logistics, which can rapidly erode profitability (</w:t>
      </w:r>
      <w:r w:rsidR="001C0E3C" w:rsidRPr="001C0E3C">
        <w:rPr>
          <w:rFonts w:ascii="Arial" w:eastAsia="Times New Roman" w:hAnsi="Arial" w:cs="Arial"/>
          <w:color w:val="0F1115"/>
          <w:kern w:val="0"/>
          <w:sz w:val="22"/>
          <w:szCs w:val="22"/>
          <w:lang w:eastAsia="en-GB"/>
          <w14:ligatures w14:val="none"/>
        </w:rPr>
        <w:t>Neuhaus et al., 2022</w:t>
      </w:r>
      <w:r w:rsidRPr="00EF57A6">
        <w:rPr>
          <w:rFonts w:ascii="Arial" w:eastAsia="Times New Roman" w:hAnsi="Arial" w:cs="Arial"/>
          <w:color w:val="0F1115"/>
          <w:kern w:val="0"/>
          <w:sz w:val="22"/>
          <w:szCs w:val="22"/>
          <w:lang w:eastAsia="en-GB"/>
          <w14:ligatures w14:val="none"/>
        </w:rPr>
        <w:t>; Tesco PLC, 2023).</w:t>
      </w:r>
    </w:p>
    <w:p w14:paraId="41AD639E" w14:textId="5D32A1C9" w:rsidR="002739E3" w:rsidRPr="00EF57A6" w:rsidRDefault="002739E3"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color w:val="0F1115"/>
          <w:kern w:val="0"/>
          <w:sz w:val="22"/>
          <w:szCs w:val="22"/>
          <w:lang w:eastAsia="en-GB"/>
          <w14:ligatures w14:val="none"/>
        </w:rPr>
        <w:t>Margin Pressure in the Core Business: The intense competition in the UK grocery market, particularly from the lean-operating discounters, means Tesco's operating margins are perpetually under pressure, often thinner than those of premium rivals or the limited-assortment discount models (Mintel, 2024).</w:t>
      </w:r>
    </w:p>
    <w:p w14:paraId="33D38249" w14:textId="78D27E80" w:rsidR="002739E3" w:rsidRPr="00EF57A6" w:rsidRDefault="002739E3"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color w:val="0F1115"/>
          <w:kern w:val="0"/>
          <w:sz w:val="22"/>
          <w:szCs w:val="22"/>
          <w:lang w:eastAsia="en-GB"/>
          <w14:ligatures w14:val="none"/>
        </w:rPr>
        <w:t>Inconsistent Customer Experience Across Formats: While Tesco Extra stores are often well-maintained, the customer experience in smaller Metro and Express formats can be inconsistent, with issues around staffing, clutter, and product availability occasionally tarnishing the brand promise at the local level (Mintel, 2024).</w:t>
      </w:r>
    </w:p>
    <w:p w14:paraId="3095335C" w14:textId="77777777" w:rsidR="00EA0AE4" w:rsidRDefault="00EA0AE4" w:rsidP="00EF57A6">
      <w:pPr>
        <w:spacing w:line="360" w:lineRule="auto"/>
        <w:rPr>
          <w:rFonts w:ascii="Arial" w:hAnsi="Arial" w:cs="Arial"/>
          <w:b/>
          <w:bCs/>
          <w:sz w:val="22"/>
          <w:szCs w:val="22"/>
          <w:lang w:eastAsia="en-GB"/>
        </w:rPr>
      </w:pPr>
    </w:p>
    <w:p w14:paraId="40A83F2D" w14:textId="77777777" w:rsidR="00EA0AE4" w:rsidRDefault="00EA0AE4" w:rsidP="00EF57A6">
      <w:pPr>
        <w:spacing w:line="360" w:lineRule="auto"/>
        <w:rPr>
          <w:rFonts w:ascii="Arial" w:hAnsi="Arial" w:cs="Arial"/>
          <w:b/>
          <w:bCs/>
          <w:sz w:val="22"/>
          <w:szCs w:val="22"/>
          <w:lang w:eastAsia="en-GB"/>
        </w:rPr>
      </w:pPr>
    </w:p>
    <w:p w14:paraId="4E7309DD" w14:textId="66E02996" w:rsidR="002739E3" w:rsidRPr="00EF57A6" w:rsidRDefault="002739E3" w:rsidP="00EF57A6">
      <w:pPr>
        <w:spacing w:line="360" w:lineRule="auto"/>
        <w:rPr>
          <w:rFonts w:ascii="Arial" w:hAnsi="Arial" w:cs="Arial"/>
          <w:b/>
          <w:bCs/>
          <w:sz w:val="22"/>
          <w:szCs w:val="22"/>
          <w:lang w:eastAsia="en-GB"/>
        </w:rPr>
      </w:pPr>
      <w:r w:rsidRPr="00EF57A6">
        <w:rPr>
          <w:rFonts w:ascii="Arial" w:hAnsi="Arial" w:cs="Arial"/>
          <w:b/>
          <w:bCs/>
          <w:sz w:val="22"/>
          <w:szCs w:val="22"/>
          <w:lang w:eastAsia="en-GB"/>
        </w:rPr>
        <w:lastRenderedPageBreak/>
        <w:t>Opportunities</w:t>
      </w:r>
    </w:p>
    <w:p w14:paraId="2E4E45BE" w14:textId="75DA855A" w:rsidR="002739E3" w:rsidRPr="00EF57A6" w:rsidRDefault="002739E3"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color w:val="0F1115"/>
          <w:kern w:val="0"/>
          <w:sz w:val="22"/>
          <w:szCs w:val="22"/>
          <w:lang w:eastAsia="en-GB"/>
          <w14:ligatures w14:val="none"/>
        </w:rPr>
        <w:t>Capitalising on the Health, Wellness, and Plant-Based Boom: The structural shift in consumer preferences towards health, wellness, and sustainable eating represents a major growth vector. Tesco can leverage its scale and own-brand capabilities to further innovate and aggressively market its "Plant Chef", "Wicked Kitchen", and "Free From" ranges, aiming for category leadership (Mintel, 2024).</w:t>
      </w:r>
    </w:p>
    <w:p w14:paraId="0BD6576E" w14:textId="4EF48D0F" w:rsidR="002739E3" w:rsidRPr="00EF57A6" w:rsidRDefault="002739E3"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color w:val="0F1115"/>
          <w:kern w:val="0"/>
          <w:sz w:val="22"/>
          <w:szCs w:val="22"/>
          <w:lang w:eastAsia="en-GB"/>
          <w14:ligatures w14:val="none"/>
        </w:rPr>
        <w:t>Accelerating the Digital and E-Commerce Evolution: The permanent adoption of online shopping post-pandemic provides continuous opportunities. Enhancements in AI-driven personalisation on its app and website, the expansion of rapid-delivery services like "Whoosh," and an improved user interface can significantly boost digital engagement and sales (Chaffey and Ellis-Chadwick, 2022; Tesco PLC, 2023).</w:t>
      </w:r>
    </w:p>
    <w:p w14:paraId="38E4BC6D" w14:textId="5090469A" w:rsidR="002739E3" w:rsidRPr="00EF57A6" w:rsidRDefault="002739E3"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color w:val="0F1115"/>
          <w:kern w:val="0"/>
          <w:sz w:val="22"/>
          <w:szCs w:val="22"/>
          <w:lang w:eastAsia="en-GB"/>
          <w14:ligatures w14:val="none"/>
        </w:rPr>
        <w:t xml:space="preserve">Advancing from Personalisation to Hyper-Personalisation: The Clubcard data asset offers untapped potential. Tesco can move beyond standard offers to provide truly bespoke shopping experiences, including individualised meal planning, dynamic bundle discounts, and predictive replenishment, dramatically increasing customer loyalty and lifetime value (Kumar et al., 2017; </w:t>
      </w:r>
      <w:proofErr w:type="spellStart"/>
      <w:r w:rsidR="00DA01C9" w:rsidRPr="00DA01C9">
        <w:rPr>
          <w:rFonts w:ascii="Arial" w:eastAsia="Times New Roman" w:hAnsi="Arial" w:cs="Arial"/>
          <w:color w:val="0F1115"/>
          <w:kern w:val="0"/>
          <w:sz w:val="22"/>
          <w:szCs w:val="22"/>
          <w:lang w:eastAsia="en-GB"/>
          <w14:ligatures w14:val="none"/>
        </w:rPr>
        <w:t>GoodGrowth</w:t>
      </w:r>
      <w:proofErr w:type="spellEnd"/>
      <w:r w:rsidR="00DA01C9" w:rsidRPr="00DA01C9">
        <w:rPr>
          <w:rFonts w:ascii="Arial" w:eastAsia="Times New Roman" w:hAnsi="Arial" w:cs="Arial"/>
          <w:color w:val="0F1115"/>
          <w:kern w:val="0"/>
          <w:sz w:val="22"/>
          <w:szCs w:val="22"/>
          <w:lang w:eastAsia="en-GB"/>
          <w14:ligatures w14:val="none"/>
        </w:rPr>
        <w:t>, 2024</w:t>
      </w:r>
      <w:r w:rsidRPr="00EF57A6">
        <w:rPr>
          <w:rFonts w:ascii="Arial" w:eastAsia="Times New Roman" w:hAnsi="Arial" w:cs="Arial"/>
          <w:color w:val="0F1115"/>
          <w:kern w:val="0"/>
          <w:sz w:val="22"/>
          <w:szCs w:val="22"/>
          <w:lang w:eastAsia="en-GB"/>
          <w14:ligatures w14:val="none"/>
        </w:rPr>
        <w:t>).</w:t>
      </w:r>
    </w:p>
    <w:p w14:paraId="170CD543" w14:textId="0C4BD6AB" w:rsidR="002739E3" w:rsidRPr="00EF57A6" w:rsidRDefault="002739E3"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color w:val="0F1115"/>
          <w:kern w:val="0"/>
          <w:sz w:val="22"/>
          <w:szCs w:val="22"/>
          <w:lang w:eastAsia="en-GB"/>
          <w14:ligatures w14:val="none"/>
        </w:rPr>
        <w:t>Leading the Charge on Sustainability and Ethics: Growing consumer demand for transparency and ethical responsibility allows Tesco to strengthen its brand purpose. Ambitious, well-communicated commitments to net-zero, plastic reduction, and ethical sourcing can differentiate the brand and build deep affinity with a values-driven demographic (Tesco PLC, 2023; Mintel, 2024).</w:t>
      </w:r>
    </w:p>
    <w:p w14:paraId="625E19DE" w14:textId="77777777" w:rsidR="002739E3" w:rsidRPr="00EF57A6" w:rsidRDefault="002739E3" w:rsidP="00EF57A6">
      <w:pPr>
        <w:spacing w:line="360" w:lineRule="auto"/>
        <w:rPr>
          <w:rFonts w:ascii="Arial" w:hAnsi="Arial" w:cs="Arial"/>
          <w:b/>
          <w:bCs/>
          <w:sz w:val="22"/>
          <w:szCs w:val="22"/>
          <w:lang w:eastAsia="en-GB"/>
        </w:rPr>
      </w:pPr>
      <w:r w:rsidRPr="00EF57A6">
        <w:rPr>
          <w:rFonts w:ascii="Arial" w:hAnsi="Arial" w:cs="Arial"/>
          <w:b/>
          <w:bCs/>
          <w:sz w:val="22"/>
          <w:szCs w:val="22"/>
          <w:lang w:eastAsia="en-GB"/>
        </w:rPr>
        <w:t>Threats</w:t>
      </w:r>
    </w:p>
    <w:p w14:paraId="4F135222" w14:textId="136C8B0D" w:rsidR="002739E3" w:rsidRPr="00EF57A6" w:rsidRDefault="002739E3"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color w:val="0F1115"/>
          <w:kern w:val="0"/>
          <w:sz w:val="22"/>
          <w:szCs w:val="22"/>
          <w:lang w:eastAsia="en-GB"/>
          <w14:ligatures w14:val="none"/>
        </w:rPr>
        <w:t>The Unrelenting Discounter Onslaught: Aldi and Lidl remain the most significant threat to Tesco's volume and margin. Their low-cost business model, combined with improving quality perceptions, continues to attract a broad swathe of shoppers, forcing Tesco into a perpetual defensive pricing strategy (Wood, 2022).</w:t>
      </w:r>
    </w:p>
    <w:p w14:paraId="3342BF30" w14:textId="367DC932" w:rsidR="002739E3" w:rsidRPr="00EF57A6" w:rsidRDefault="002739E3"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color w:val="0F1115"/>
          <w:kern w:val="0"/>
          <w:sz w:val="22"/>
          <w:szCs w:val="22"/>
          <w:lang w:eastAsia="en-GB"/>
          <w14:ligatures w14:val="none"/>
        </w:rPr>
        <w:t>The Severe Economic Squeeze on Consumers: The ongoing cost-of-living crisis, characterised by high inflation and stagnant wages, has made consumers intensely price-sensitive. This threatens sales of higher-margin discretionary items and forces a greater focus on value, potentially commoditising Tesco's offerings (Mintel, 2024).</w:t>
      </w:r>
    </w:p>
    <w:p w14:paraId="22AD704D" w14:textId="1D98111E" w:rsidR="002739E3" w:rsidRPr="00EF57A6" w:rsidRDefault="002739E3"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color w:val="0F1115"/>
          <w:kern w:val="0"/>
          <w:sz w:val="22"/>
          <w:szCs w:val="22"/>
          <w:lang w:eastAsia="en-GB"/>
          <w14:ligatures w14:val="none"/>
        </w:rPr>
        <w:t xml:space="preserve">The Strategic Counter-Attack from Competitor Loyalty Schemes: Sainsbury’s "Nectar Prices" initiative is a direct and potent assault on the value proposition of the Clubcard. By offering </w:t>
      </w:r>
      <w:r w:rsidRPr="00EF57A6">
        <w:rPr>
          <w:rFonts w:ascii="Arial" w:eastAsia="Times New Roman" w:hAnsi="Arial" w:cs="Arial"/>
          <w:color w:val="0F1115"/>
          <w:kern w:val="0"/>
          <w:sz w:val="22"/>
          <w:szCs w:val="22"/>
          <w:lang w:eastAsia="en-GB"/>
          <w14:ligatures w14:val="none"/>
        </w:rPr>
        <w:lastRenderedPageBreak/>
        <w:t>significant discounts linked to a competing loyalty card, it challenges Tesco's claim to exclusive value and fragments shopper loyalty (</w:t>
      </w:r>
      <w:r w:rsidR="008940F5" w:rsidRPr="008940F5">
        <w:rPr>
          <w:rFonts w:ascii="Arial" w:eastAsia="Times New Roman" w:hAnsi="Arial" w:cs="Arial"/>
          <w:color w:val="0F1115"/>
          <w:kern w:val="0"/>
          <w:sz w:val="22"/>
          <w:szCs w:val="22"/>
          <w:lang w:eastAsia="en-GB"/>
          <w14:ligatures w14:val="none"/>
        </w:rPr>
        <w:t>Houlton, 2023</w:t>
      </w:r>
      <w:r w:rsidRPr="00EF57A6">
        <w:rPr>
          <w:rFonts w:ascii="Arial" w:eastAsia="Times New Roman" w:hAnsi="Arial" w:cs="Arial"/>
          <w:color w:val="0F1115"/>
          <w:kern w:val="0"/>
          <w:sz w:val="22"/>
          <w:szCs w:val="22"/>
          <w:lang w:eastAsia="en-GB"/>
          <w14:ligatures w14:val="none"/>
        </w:rPr>
        <w:t>).</w:t>
      </w:r>
    </w:p>
    <w:p w14:paraId="72BA07F8" w14:textId="432403F0" w:rsidR="002739E3" w:rsidRPr="00EF57A6" w:rsidRDefault="002739E3"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color w:val="0F1115"/>
          <w:kern w:val="0"/>
          <w:sz w:val="22"/>
          <w:szCs w:val="22"/>
          <w:lang w:eastAsia="en-GB"/>
          <w14:ligatures w14:val="none"/>
        </w:rPr>
        <w:t>Systemic Supply Chain Volatility: Global instability, climate change, and regulatory changes pose persistent risks to supply chain integrity, leading to potential shortages, cost inflation, and operational disruptions that can damage customer trust (</w:t>
      </w:r>
      <w:r w:rsidR="001C0E3C" w:rsidRPr="001C0E3C">
        <w:rPr>
          <w:rFonts w:ascii="Arial" w:eastAsia="Times New Roman" w:hAnsi="Arial" w:cs="Arial"/>
          <w:color w:val="0F1115"/>
          <w:kern w:val="0"/>
          <w:sz w:val="22"/>
          <w:szCs w:val="22"/>
          <w:lang w:eastAsia="en-GB"/>
          <w14:ligatures w14:val="none"/>
        </w:rPr>
        <w:t>Neuhaus et al., 2022</w:t>
      </w:r>
      <w:r w:rsidRPr="00EF57A6">
        <w:rPr>
          <w:rFonts w:ascii="Arial" w:eastAsia="Times New Roman" w:hAnsi="Arial" w:cs="Arial"/>
          <w:color w:val="0F1115"/>
          <w:kern w:val="0"/>
          <w:sz w:val="22"/>
          <w:szCs w:val="22"/>
          <w:lang w:eastAsia="en-GB"/>
          <w14:ligatures w14:val="none"/>
        </w:rPr>
        <w:t>; Tesco PLC, 2023).</w:t>
      </w:r>
    </w:p>
    <w:p w14:paraId="18C90E05" w14:textId="51014103" w:rsidR="00EF57A6" w:rsidRPr="00AA0110" w:rsidRDefault="002739E3" w:rsidP="00AA0110">
      <w:pPr>
        <w:spacing w:line="360" w:lineRule="auto"/>
        <w:rPr>
          <w:rStyle w:val="Heading1Char"/>
          <w:rFonts w:ascii="Arial" w:eastAsia="Times New Roman" w:hAnsi="Arial" w:cs="Arial"/>
          <w:b/>
          <w:bCs/>
          <w:color w:val="0F1115"/>
          <w:kern w:val="0"/>
          <w:sz w:val="30"/>
          <w:szCs w:val="30"/>
          <w:lang w:eastAsia="en-GB"/>
          <w14:ligatures w14:val="none"/>
        </w:rPr>
      </w:pPr>
      <w:r w:rsidRPr="00EF57A6">
        <w:rPr>
          <w:rFonts w:ascii="Arial" w:eastAsia="Times New Roman" w:hAnsi="Arial" w:cs="Arial"/>
          <w:color w:val="0F1115"/>
          <w:kern w:val="0"/>
          <w:sz w:val="22"/>
          <w:szCs w:val="22"/>
          <w:lang w:eastAsia="en-GB"/>
          <w14:ligatures w14:val="none"/>
        </w:rPr>
        <w:t>Fundamental Shifts in Shopping Habits: The long-term trend towards more frequent, smaller, convenience-led shopping trips, often facilitated by rapid delivery apps, challenges the economic model of Tesco's large out-of-town superstores (Mintel, 2024; Chaffey and Ellis-Chadwick, 2022).</w:t>
      </w:r>
      <w:r w:rsidR="00681A0D" w:rsidRPr="00EF57A6">
        <w:rPr>
          <w:rFonts w:ascii="Arial" w:eastAsia="Times New Roman" w:hAnsi="Arial" w:cs="Arial"/>
          <w:color w:val="0F1115"/>
          <w:kern w:val="0"/>
          <w:sz w:val="22"/>
          <w:szCs w:val="22"/>
          <w:lang w:eastAsia="en-GB"/>
          <w14:ligatures w14:val="none"/>
        </w:rPr>
        <w:t>3. Marketing Strategy</w:t>
      </w:r>
    </w:p>
    <w:p w14:paraId="36F40E66" w14:textId="45E6A094" w:rsidR="00BE0687" w:rsidRPr="00F3509C" w:rsidRDefault="00F577CF" w:rsidP="00196178">
      <w:pPr>
        <w:pStyle w:val="Heading1"/>
        <w:numPr>
          <w:ilvl w:val="0"/>
          <w:numId w:val="24"/>
        </w:numPr>
        <w:rPr>
          <w:rFonts w:ascii="Arial" w:hAnsi="Arial" w:cs="Arial"/>
        </w:rPr>
      </w:pPr>
      <w:bookmarkStart w:id="2" w:name="_Toc212964884"/>
      <w:r w:rsidRPr="00F3509C">
        <w:rPr>
          <w:rFonts w:ascii="Arial" w:hAnsi="Arial" w:cs="Arial"/>
          <w:lang w:eastAsia="en-GB"/>
        </w:rPr>
        <w:t>STP Analysi</w:t>
      </w:r>
      <w:r w:rsidR="00336855" w:rsidRPr="00F3509C">
        <w:rPr>
          <w:rFonts w:ascii="Arial" w:hAnsi="Arial" w:cs="Arial"/>
        </w:rPr>
        <w:t>s</w:t>
      </w:r>
      <w:bookmarkEnd w:id="2"/>
    </w:p>
    <w:p w14:paraId="30A648BA" w14:textId="77777777" w:rsidR="00BE0687" w:rsidRDefault="00F577CF" w:rsidP="00BE0687">
      <w:pPr>
        <w:rPr>
          <w:rFonts w:ascii="Arial" w:hAnsi="Arial" w:cs="Arial"/>
          <w:b/>
          <w:bCs/>
          <w:sz w:val="22"/>
          <w:szCs w:val="22"/>
          <w:lang w:eastAsia="en-GB"/>
        </w:rPr>
      </w:pPr>
      <w:r w:rsidRPr="00BE0687">
        <w:rPr>
          <w:rFonts w:ascii="Segoe UI" w:hAnsi="Segoe UI" w:cs="Segoe UI"/>
          <w:b/>
          <w:bCs/>
          <w:lang w:eastAsia="en-GB"/>
        </w:rPr>
        <w:br/>
      </w:r>
      <w:r w:rsidRPr="00BE0687">
        <w:rPr>
          <w:rFonts w:ascii="Arial" w:hAnsi="Arial" w:cs="Arial"/>
          <w:b/>
          <w:bCs/>
          <w:sz w:val="22"/>
          <w:szCs w:val="22"/>
          <w:lang w:eastAsia="en-GB"/>
        </w:rPr>
        <w:t>Segmentation</w:t>
      </w:r>
    </w:p>
    <w:p w14:paraId="184942D9" w14:textId="3ECF4567" w:rsidR="00620770" w:rsidRPr="00BE0687" w:rsidRDefault="00F577CF" w:rsidP="00BE0687">
      <w:pPr>
        <w:rPr>
          <w:rFonts w:ascii="Arial" w:eastAsiaTheme="majorEastAsia" w:hAnsi="Arial" w:cs="Arial"/>
          <w:color w:val="0F4761" w:themeColor="accent1" w:themeShade="BF"/>
          <w:sz w:val="40"/>
          <w:szCs w:val="40"/>
          <w:lang w:eastAsia="en-GB"/>
        </w:rPr>
      </w:pPr>
      <w:r w:rsidRPr="00BE0687">
        <w:rPr>
          <w:rFonts w:ascii="Arial" w:hAnsi="Arial" w:cs="Arial"/>
          <w:b/>
          <w:bCs/>
          <w:sz w:val="22"/>
          <w:szCs w:val="22"/>
          <w:lang w:eastAsia="en-GB"/>
        </w:rPr>
        <w:br/>
      </w:r>
      <w:r w:rsidRPr="00BE0687">
        <w:rPr>
          <w:rFonts w:ascii="Arial" w:hAnsi="Arial" w:cs="Arial"/>
          <w:sz w:val="22"/>
          <w:szCs w:val="22"/>
          <w:lang w:eastAsia="en-GB"/>
        </w:rPr>
        <w:t>Tesco employs a hybrid segmentation model, utilising a mix of variables to deconstruct its vast market (McDonald and Wilson, 2011; Keller, 2019).</w:t>
      </w:r>
    </w:p>
    <w:p w14:paraId="2372A1DB" w14:textId="368CA49B" w:rsidR="00620770" w:rsidRPr="00EF57A6" w:rsidRDefault="00F577CF"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color w:val="0F1115"/>
          <w:kern w:val="0"/>
          <w:sz w:val="22"/>
          <w:szCs w:val="22"/>
          <w:lang w:eastAsia="en-GB"/>
          <w14:ligatures w14:val="none"/>
        </w:rPr>
        <w:t>Geographic: This is a primary segmentation driver, directly influencing store format. Tesco Extra stores serve regional catchments, Superstores and Metros serve suburban and urban hubs, and Express stores cater to hyper-local, convenience-driven needs (Tesco PLC, 2023; Chaffey and Ellis-Chadwick, 2022).</w:t>
      </w:r>
    </w:p>
    <w:p w14:paraId="0A5CE0A9" w14:textId="698742A8" w:rsidR="00620770" w:rsidRPr="00EF57A6" w:rsidRDefault="00F577CF"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color w:val="0F1115"/>
          <w:kern w:val="0"/>
          <w:sz w:val="22"/>
          <w:szCs w:val="22"/>
          <w:lang w:eastAsia="en-GB"/>
          <w14:ligatures w14:val="none"/>
        </w:rPr>
        <w:t>Demographic: The core of its targeting, focusing on life-stage and income. Key segments include large families (volume, value), time-poor professionals (convenience, quality), and students or budget-limited households (low price) (Mintel, 2024).</w:t>
      </w:r>
    </w:p>
    <w:p w14:paraId="3DE63A0D" w14:textId="05150B37" w:rsidR="00620770" w:rsidRPr="00EF57A6" w:rsidRDefault="00F577CF"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color w:val="0F1115"/>
          <w:kern w:val="0"/>
          <w:sz w:val="22"/>
          <w:szCs w:val="22"/>
          <w:lang w:eastAsia="en-GB"/>
          <w14:ligatures w14:val="none"/>
        </w:rPr>
        <w:t>Psychographic: This layer adds depth, segmenting by lifestyle and values. Key groups include the health-conscious, the ethically-driven shopper, the budget-focused family, and the experience-seeking foodie (Mintel, 2024).</w:t>
      </w:r>
    </w:p>
    <w:p w14:paraId="72AF0E71" w14:textId="064BB836" w:rsidR="00620770" w:rsidRPr="00EF57A6" w:rsidRDefault="00F577CF"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color w:val="0F1115"/>
          <w:kern w:val="0"/>
          <w:sz w:val="22"/>
          <w:szCs w:val="22"/>
          <w:lang w:eastAsia="en-GB"/>
          <w14:ligatures w14:val="none"/>
        </w:rPr>
        <w:t>Behavioural: This is Tesco's most advanced segmentation layer, powered by Clubcard data. It segments customers by purchasing patterns, benefits sought (price vs. quality), and loyalty status, allowing for micro-targeting of segments like "Price Hunters," "Weekly Planners," and "Premium Product Lovers" (</w:t>
      </w:r>
      <w:proofErr w:type="spellStart"/>
      <w:r w:rsidR="00DA01C9" w:rsidRPr="00DA01C9">
        <w:rPr>
          <w:rFonts w:ascii="Arial" w:eastAsia="Times New Roman" w:hAnsi="Arial" w:cs="Arial"/>
          <w:color w:val="0F1115"/>
          <w:kern w:val="0"/>
          <w:sz w:val="22"/>
          <w:szCs w:val="22"/>
          <w:lang w:eastAsia="en-GB"/>
          <w14:ligatures w14:val="none"/>
        </w:rPr>
        <w:t>GoodGrowth</w:t>
      </w:r>
      <w:proofErr w:type="spellEnd"/>
      <w:r w:rsidR="00DA01C9" w:rsidRPr="00DA01C9">
        <w:rPr>
          <w:rFonts w:ascii="Arial" w:eastAsia="Times New Roman" w:hAnsi="Arial" w:cs="Arial"/>
          <w:color w:val="0F1115"/>
          <w:kern w:val="0"/>
          <w:sz w:val="22"/>
          <w:szCs w:val="22"/>
          <w:lang w:eastAsia="en-GB"/>
          <w14:ligatures w14:val="none"/>
        </w:rPr>
        <w:t>, 2024</w:t>
      </w:r>
      <w:r w:rsidRPr="00EF57A6">
        <w:rPr>
          <w:rFonts w:ascii="Arial" w:eastAsia="Times New Roman" w:hAnsi="Arial" w:cs="Arial"/>
          <w:color w:val="0F1115"/>
          <w:kern w:val="0"/>
          <w:sz w:val="22"/>
          <w:szCs w:val="22"/>
          <w:lang w:eastAsia="en-GB"/>
          <w14:ligatures w14:val="none"/>
        </w:rPr>
        <w:t>; Chaffey and Ellis-Chadwick, 2022).</w:t>
      </w:r>
    </w:p>
    <w:p w14:paraId="5A516CC7" w14:textId="376682A7" w:rsidR="00F577CF" w:rsidRPr="00EF57A6" w:rsidRDefault="00F577CF" w:rsidP="00EF57A6">
      <w:pPr>
        <w:spacing w:line="360" w:lineRule="auto"/>
        <w:rPr>
          <w:rFonts w:ascii="Arial" w:eastAsia="Times New Roman" w:hAnsi="Arial" w:cs="Arial"/>
          <w:color w:val="0F1115"/>
          <w:kern w:val="0"/>
          <w:sz w:val="22"/>
          <w:szCs w:val="22"/>
          <w:lang w:eastAsia="en-GB"/>
          <w14:ligatures w14:val="none"/>
        </w:rPr>
      </w:pPr>
      <w:r w:rsidRPr="00EF57A6">
        <w:rPr>
          <w:rFonts w:ascii="Arial" w:hAnsi="Arial" w:cs="Arial"/>
          <w:b/>
          <w:bCs/>
          <w:sz w:val="22"/>
          <w:szCs w:val="22"/>
          <w:lang w:eastAsia="en-GB"/>
        </w:rPr>
        <w:t>Targeting</w:t>
      </w:r>
      <w:r w:rsidRPr="00EF57A6">
        <w:rPr>
          <w:rFonts w:ascii="Arial" w:eastAsia="Times New Roman" w:hAnsi="Arial" w:cs="Arial"/>
          <w:b/>
          <w:bCs/>
          <w:color w:val="0F1115"/>
          <w:kern w:val="0"/>
          <w:sz w:val="22"/>
          <w:szCs w:val="22"/>
          <w:lang w:eastAsia="en-GB"/>
          <w14:ligatures w14:val="none"/>
        </w:rPr>
        <w:br/>
      </w:r>
      <w:r w:rsidRPr="00EF57A6">
        <w:rPr>
          <w:rFonts w:ascii="Arial" w:eastAsia="Times New Roman" w:hAnsi="Arial" w:cs="Arial"/>
          <w:color w:val="0F1115"/>
          <w:kern w:val="0"/>
          <w:sz w:val="22"/>
          <w:szCs w:val="22"/>
          <w:lang w:eastAsia="en-GB"/>
          <w14:ligatures w14:val="none"/>
        </w:rPr>
        <w:t>Tesco adopts a differentiated targeting strategy, developing distinct marketing mixes for its primary segments (Keller, 2019; McDonald and Wilson, 2011).</w:t>
      </w:r>
    </w:p>
    <w:p w14:paraId="00C6E97C" w14:textId="77777777" w:rsidR="00F577CF" w:rsidRPr="00EF57A6" w:rsidRDefault="00F577CF"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color w:val="0F1115"/>
          <w:kern w:val="0"/>
          <w:sz w:val="22"/>
          <w:szCs w:val="22"/>
          <w:lang w:eastAsia="en-GB"/>
          <w14:ligatures w14:val="none"/>
        </w:rPr>
        <w:lastRenderedPageBreak/>
        <w:t>The Value-Focused Family (Core Target): This segment is highly sensitive to price and shops for bulk. The marketing mix focuses on the Aldi Price Match, multi-buy offers on family staples, and communicating the one-stop-shop convenience of large formats. The core message is reliability and smart saving (Mintel, 2024; Tesco PLC, 2023).</w:t>
      </w:r>
    </w:p>
    <w:p w14:paraId="69F7EFB1" w14:textId="77777777" w:rsidR="00F577CF" w:rsidRPr="00EF57A6" w:rsidRDefault="00F577CF"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color w:val="0F1115"/>
          <w:kern w:val="0"/>
          <w:sz w:val="22"/>
          <w:szCs w:val="22"/>
          <w:lang w:eastAsia="en-GB"/>
          <w14:ligatures w14:val="none"/>
        </w:rPr>
        <w:t>The Time-Poor Professional (High-Value Target): This segment prioritises convenience, speed, and quality. They are targeted through the Tesco Express and Metro formats, the "Whoosh" rapid delivery service, and premium "Food to Go" and meal solution ranges. Marketing emphasises time-saving and quality (Chaffey and Ellis-Chadwick, 2022; Tesco PLC, 2023).</w:t>
      </w:r>
    </w:p>
    <w:p w14:paraId="67B35B9A" w14:textId="77777777" w:rsidR="00F577CF" w:rsidRPr="00EF57A6" w:rsidRDefault="00F577CF"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color w:val="0F1115"/>
          <w:kern w:val="0"/>
          <w:sz w:val="22"/>
          <w:szCs w:val="22"/>
          <w:lang w:eastAsia="en-GB"/>
          <w14:ligatures w14:val="none"/>
        </w:rPr>
        <w:t xml:space="preserve">The </w:t>
      </w:r>
      <w:proofErr w:type="gramStart"/>
      <w:r w:rsidRPr="00EF57A6">
        <w:rPr>
          <w:rFonts w:ascii="Arial" w:eastAsia="Times New Roman" w:hAnsi="Arial" w:cs="Arial"/>
          <w:color w:val="0F1115"/>
          <w:kern w:val="0"/>
          <w:sz w:val="22"/>
          <w:szCs w:val="22"/>
          <w:lang w:eastAsia="en-GB"/>
          <w14:ligatures w14:val="none"/>
        </w:rPr>
        <w:t>Health</w:t>
      </w:r>
      <w:proofErr w:type="gramEnd"/>
      <w:r w:rsidRPr="00EF57A6">
        <w:rPr>
          <w:rFonts w:ascii="Arial" w:eastAsia="Times New Roman" w:hAnsi="Arial" w:cs="Arial"/>
          <w:color w:val="0F1115"/>
          <w:kern w:val="0"/>
          <w:sz w:val="22"/>
          <w:szCs w:val="22"/>
          <w:lang w:eastAsia="en-GB"/>
          <w14:ligatures w14:val="none"/>
        </w:rPr>
        <w:t>-Conscious and Ethical Shopper (Growth Target): A growing and influential segment, targeted through dedicated product ranges like "Plant Chef" and "Tesco Finest*." Marketing communications focus on health credentials, nutritional information, sustainability, and animal welfare standards (Mintel, 2024; Tesco PLC, 2023).</w:t>
      </w:r>
    </w:p>
    <w:p w14:paraId="55969190" w14:textId="59528154" w:rsidR="00AA0110" w:rsidRDefault="00F577CF" w:rsidP="00423D95">
      <w:pPr>
        <w:spacing w:line="360" w:lineRule="auto"/>
        <w:rPr>
          <w:rFonts w:ascii="Arial" w:eastAsia="Times New Roman" w:hAnsi="Arial" w:cs="Arial"/>
          <w:color w:val="0F1115"/>
          <w:kern w:val="0"/>
          <w:sz w:val="22"/>
          <w:szCs w:val="22"/>
          <w:lang w:eastAsia="en-GB"/>
          <w14:ligatures w14:val="none"/>
        </w:rPr>
      </w:pPr>
      <w:r w:rsidRPr="00EF57A6">
        <w:rPr>
          <w:rFonts w:ascii="Arial" w:hAnsi="Arial" w:cs="Arial"/>
          <w:b/>
          <w:bCs/>
          <w:sz w:val="22"/>
          <w:szCs w:val="22"/>
        </w:rPr>
        <w:t>Positioning</w:t>
      </w:r>
      <w:r w:rsidRPr="00EF57A6">
        <w:rPr>
          <w:rFonts w:ascii="Arial" w:eastAsia="Times New Roman" w:hAnsi="Arial" w:cs="Arial"/>
          <w:b/>
          <w:bCs/>
          <w:color w:val="0F1115"/>
          <w:kern w:val="0"/>
          <w:sz w:val="22"/>
          <w:szCs w:val="22"/>
          <w:lang w:eastAsia="en-GB"/>
          <w14:ligatures w14:val="none"/>
        </w:rPr>
        <w:br/>
      </w:r>
      <w:r w:rsidRPr="00EF57A6">
        <w:rPr>
          <w:rFonts w:ascii="Arial" w:eastAsia="Times New Roman" w:hAnsi="Arial" w:cs="Arial"/>
          <w:color w:val="0F1115"/>
          <w:kern w:val="0"/>
          <w:sz w:val="22"/>
          <w:szCs w:val="22"/>
          <w:lang w:eastAsia="en-GB"/>
          <w14:ligatures w14:val="none"/>
        </w:rPr>
        <w:t>Tesco’s positioning strategy can be summarised by the statement: "For the smart shopper, Tesco delivers unbeatable value through Clubcard, without compromising on quality or convenience." It deliberately positions itself as the rational, intelligent choice in the middle ground</w:t>
      </w:r>
      <w:r w:rsidR="009E2082">
        <w:rPr>
          <w:rFonts w:ascii="Arial" w:eastAsia="Times New Roman" w:hAnsi="Arial" w:cs="Arial"/>
          <w:color w:val="0F1115"/>
          <w:kern w:val="0"/>
          <w:sz w:val="22"/>
          <w:szCs w:val="22"/>
          <w:lang w:eastAsia="en-GB"/>
          <w14:ligatures w14:val="none"/>
        </w:rPr>
        <w:t xml:space="preserve">, </w:t>
      </w:r>
      <w:r w:rsidRPr="00EF57A6">
        <w:rPr>
          <w:rFonts w:ascii="Arial" w:eastAsia="Times New Roman" w:hAnsi="Arial" w:cs="Arial"/>
          <w:color w:val="0F1115"/>
          <w:kern w:val="0"/>
          <w:sz w:val="22"/>
          <w:szCs w:val="22"/>
          <w:lang w:eastAsia="en-GB"/>
          <w14:ligatures w14:val="none"/>
        </w:rPr>
        <w:t>more trusted and with a wider range than the discounters, but more accessible and value-driven than the premium players. The "Aldi Price Match" and "Clubcard Prices" are not just promotions; they are fundamental to this value-centric positioning, designed to create a perception of fairness and market-leading value (Keller, 2019; Mintel, 2024; Wood, 2022). The goal is to be the default, trusted partner for the weekly shop.</w:t>
      </w:r>
    </w:p>
    <w:p w14:paraId="0577DCAA" w14:textId="77777777" w:rsidR="00423D95" w:rsidRPr="00423D95" w:rsidRDefault="00423D95" w:rsidP="00423D95">
      <w:pPr>
        <w:spacing w:line="360" w:lineRule="auto"/>
        <w:rPr>
          <w:rFonts w:ascii="Arial" w:eastAsia="Times New Roman" w:hAnsi="Arial" w:cs="Arial"/>
          <w:color w:val="0F1115"/>
          <w:kern w:val="0"/>
          <w:sz w:val="22"/>
          <w:szCs w:val="22"/>
          <w:lang w:eastAsia="en-GB"/>
          <w14:ligatures w14:val="none"/>
        </w:rPr>
      </w:pPr>
    </w:p>
    <w:p w14:paraId="5EF74A43" w14:textId="177DF116" w:rsidR="00EF57A6" w:rsidRPr="001D0CA8" w:rsidRDefault="000A1B5C" w:rsidP="001D0CA8">
      <w:pPr>
        <w:pStyle w:val="Heading2"/>
        <w:rPr>
          <w:rFonts w:ascii="Arial" w:hAnsi="Arial" w:cs="Arial"/>
        </w:rPr>
      </w:pPr>
      <w:bookmarkStart w:id="3" w:name="_Toc212964885"/>
      <w:r w:rsidRPr="001D0CA8">
        <w:rPr>
          <w:rFonts w:ascii="Arial" w:hAnsi="Arial" w:cs="Arial"/>
        </w:rPr>
        <w:t xml:space="preserve">3.2 </w:t>
      </w:r>
      <w:r w:rsidR="00466F06" w:rsidRPr="001D0CA8">
        <w:rPr>
          <w:rFonts w:ascii="Arial" w:hAnsi="Arial" w:cs="Arial"/>
        </w:rPr>
        <w:t>I</w:t>
      </w:r>
      <w:r w:rsidR="001A6763" w:rsidRPr="001D0CA8">
        <w:rPr>
          <w:rFonts w:ascii="Arial" w:hAnsi="Arial" w:cs="Arial"/>
        </w:rPr>
        <w:t>ntegrated Marketing Communications (IMC)</w:t>
      </w:r>
      <w:bookmarkEnd w:id="3"/>
    </w:p>
    <w:p w14:paraId="654417F6" w14:textId="7AB00357" w:rsidR="001A6763" w:rsidRPr="000A1B5C" w:rsidRDefault="001A6763" w:rsidP="000A1B5C">
      <w:pPr>
        <w:spacing w:line="360" w:lineRule="auto"/>
        <w:rPr>
          <w:rFonts w:ascii="Arial" w:hAnsi="Arial" w:cs="Arial"/>
          <w:sz w:val="22"/>
          <w:szCs w:val="22"/>
        </w:rPr>
      </w:pPr>
      <w:r w:rsidRPr="00EF57A6">
        <w:rPr>
          <w:rFonts w:eastAsia="Times New Roman"/>
          <w:color w:val="0F1115"/>
          <w:kern w:val="0"/>
          <w:lang w:eastAsia="en-GB"/>
          <w14:ligatures w14:val="none"/>
        </w:rPr>
        <w:br/>
      </w:r>
      <w:r w:rsidRPr="000A1B5C">
        <w:rPr>
          <w:rFonts w:ascii="Arial" w:eastAsia="Times New Roman" w:hAnsi="Arial" w:cs="Arial"/>
          <w:color w:val="0F1115"/>
          <w:kern w:val="0"/>
          <w:sz w:val="22"/>
          <w:szCs w:val="22"/>
          <w:lang w:eastAsia="en-GB"/>
          <w14:ligatures w14:val="none"/>
        </w:rPr>
        <w:t>To bring the STP strategy to life, a fully integrated communications plan is essential (Keller, 2019; McDonald and Wilson, 2011).</w:t>
      </w:r>
    </w:p>
    <w:p w14:paraId="00582D12" w14:textId="147BF0E6" w:rsidR="001A6763" w:rsidRPr="000A1B5C" w:rsidRDefault="001A6763" w:rsidP="000A1B5C">
      <w:pPr>
        <w:spacing w:line="360" w:lineRule="auto"/>
        <w:rPr>
          <w:rFonts w:ascii="Arial" w:eastAsia="Times New Roman" w:hAnsi="Arial" w:cs="Arial"/>
          <w:color w:val="0F1115"/>
          <w:kern w:val="0"/>
          <w:sz w:val="22"/>
          <w:szCs w:val="22"/>
          <w:lang w:eastAsia="en-GB"/>
          <w14:ligatures w14:val="none"/>
        </w:rPr>
      </w:pPr>
      <w:r w:rsidRPr="000A1B5C">
        <w:rPr>
          <w:rFonts w:ascii="Arial" w:eastAsia="Times New Roman" w:hAnsi="Arial" w:cs="Arial"/>
          <w:color w:val="0F1115"/>
          <w:kern w:val="0"/>
          <w:sz w:val="22"/>
          <w:szCs w:val="22"/>
          <w:lang w:eastAsia="en-GB"/>
          <w14:ligatures w14:val="none"/>
        </w:rPr>
        <w:t>Advertising: Sustain the high-profile "Clubcard Prices" campaign on TV and video-on-demand platforms to reinforce the core value message. In parallel, launch a supportive campaign titled "Quality You Can Trust," focusing on the sourcing, innovation, and taste credentials of the Tesco Finest and Plant Chef ranges, using credible influencers to build authenticity (Keller, 2019; Mintel, 2024; Tesco PLC, 2023).</w:t>
      </w:r>
    </w:p>
    <w:p w14:paraId="51C5CE86" w14:textId="21B6B801" w:rsidR="001A6763" w:rsidRPr="000A1B5C" w:rsidRDefault="001A6763" w:rsidP="000A1B5C">
      <w:pPr>
        <w:spacing w:line="360" w:lineRule="auto"/>
        <w:rPr>
          <w:rFonts w:ascii="Arial" w:eastAsia="Times New Roman" w:hAnsi="Arial" w:cs="Arial"/>
          <w:color w:val="0F1115"/>
          <w:kern w:val="0"/>
          <w:sz w:val="22"/>
          <w:szCs w:val="22"/>
          <w:lang w:eastAsia="en-GB"/>
          <w14:ligatures w14:val="none"/>
        </w:rPr>
      </w:pPr>
      <w:r w:rsidRPr="000A1B5C">
        <w:rPr>
          <w:rFonts w:ascii="Arial" w:eastAsia="Times New Roman" w:hAnsi="Arial" w:cs="Arial"/>
          <w:color w:val="0F1115"/>
          <w:kern w:val="0"/>
          <w:sz w:val="22"/>
          <w:szCs w:val="22"/>
          <w:lang w:eastAsia="en-GB"/>
          <w14:ligatures w14:val="none"/>
        </w:rPr>
        <w:lastRenderedPageBreak/>
        <w:t>Sales Promotion: The Clubcard will remain the primary promotional vehicle, with offers personalised from purchase history. Supplement this with targeted "Bonus Point" events on high-margin categories and "App-Exclusive Flash Sales" to drive digital engagement and create urgency (</w:t>
      </w:r>
      <w:proofErr w:type="spellStart"/>
      <w:r w:rsidR="00DA01C9" w:rsidRPr="00DA01C9">
        <w:rPr>
          <w:rFonts w:ascii="Arial" w:eastAsia="Times New Roman" w:hAnsi="Arial" w:cs="Arial"/>
          <w:color w:val="0F1115"/>
          <w:kern w:val="0"/>
          <w:sz w:val="22"/>
          <w:szCs w:val="22"/>
          <w:lang w:eastAsia="en-GB"/>
          <w14:ligatures w14:val="none"/>
        </w:rPr>
        <w:t>GoodGrowth</w:t>
      </w:r>
      <w:proofErr w:type="spellEnd"/>
      <w:r w:rsidR="00DA01C9" w:rsidRPr="00DA01C9">
        <w:rPr>
          <w:rFonts w:ascii="Arial" w:eastAsia="Times New Roman" w:hAnsi="Arial" w:cs="Arial"/>
          <w:color w:val="0F1115"/>
          <w:kern w:val="0"/>
          <w:sz w:val="22"/>
          <w:szCs w:val="22"/>
          <w:lang w:eastAsia="en-GB"/>
          <w14:ligatures w14:val="none"/>
        </w:rPr>
        <w:t>, 2024</w:t>
      </w:r>
      <w:r w:rsidRPr="000A1B5C">
        <w:rPr>
          <w:rFonts w:ascii="Arial" w:eastAsia="Times New Roman" w:hAnsi="Arial" w:cs="Arial"/>
          <w:color w:val="0F1115"/>
          <w:kern w:val="0"/>
          <w:sz w:val="22"/>
          <w:szCs w:val="22"/>
          <w:lang w:eastAsia="en-GB"/>
          <w14:ligatures w14:val="none"/>
        </w:rPr>
        <w:t>; Chaffey and Ellis-Chadwick, 2022).</w:t>
      </w:r>
    </w:p>
    <w:p w14:paraId="2C90D35C" w14:textId="71C11EA0" w:rsidR="001A6763" w:rsidRPr="000A1B5C" w:rsidRDefault="001A6763" w:rsidP="000A1B5C">
      <w:pPr>
        <w:spacing w:line="360" w:lineRule="auto"/>
        <w:rPr>
          <w:rFonts w:ascii="Arial" w:eastAsia="Times New Roman" w:hAnsi="Arial" w:cs="Arial"/>
          <w:color w:val="0F1115"/>
          <w:kern w:val="0"/>
          <w:sz w:val="22"/>
          <w:szCs w:val="22"/>
          <w:lang w:eastAsia="en-GB"/>
          <w14:ligatures w14:val="none"/>
        </w:rPr>
      </w:pPr>
      <w:r w:rsidRPr="000A1B5C">
        <w:rPr>
          <w:rFonts w:ascii="Arial" w:eastAsia="Times New Roman" w:hAnsi="Arial" w:cs="Arial"/>
          <w:color w:val="0F1115"/>
          <w:kern w:val="0"/>
          <w:sz w:val="22"/>
          <w:szCs w:val="22"/>
          <w:lang w:eastAsia="en-GB"/>
          <w14:ligatures w14:val="none"/>
        </w:rPr>
        <w:t xml:space="preserve">Public Relations &amp; Sponsorship: Proactively manage corporate reputation by publicly reporting on progress towards environmental and social goals. Pursue strategic partnerships with health and family-focused organisations (e.g., a continued partnership with Disney, or a new one with a mental health charity) to build positive brand associations and demonstrate community commitment (Tesco PLC, 2023; </w:t>
      </w:r>
      <w:proofErr w:type="spellStart"/>
      <w:r w:rsidRPr="000A1B5C">
        <w:rPr>
          <w:rFonts w:ascii="Arial" w:eastAsia="Times New Roman" w:hAnsi="Arial" w:cs="Arial"/>
          <w:color w:val="0F1115"/>
          <w:kern w:val="0"/>
          <w:sz w:val="22"/>
          <w:szCs w:val="22"/>
          <w:lang w:eastAsia="en-GB"/>
          <w14:ligatures w14:val="none"/>
        </w:rPr>
        <w:t>Hollensen</w:t>
      </w:r>
      <w:proofErr w:type="spellEnd"/>
      <w:r w:rsidRPr="000A1B5C">
        <w:rPr>
          <w:rFonts w:ascii="Arial" w:eastAsia="Times New Roman" w:hAnsi="Arial" w:cs="Arial"/>
          <w:color w:val="0F1115"/>
          <w:kern w:val="0"/>
          <w:sz w:val="22"/>
          <w:szCs w:val="22"/>
          <w:lang w:eastAsia="en-GB"/>
          <w14:ligatures w14:val="none"/>
        </w:rPr>
        <w:t>, 2020).</w:t>
      </w:r>
    </w:p>
    <w:p w14:paraId="72542629" w14:textId="042F959E" w:rsidR="004959BD" w:rsidRDefault="00FB4E9F" w:rsidP="000A1B5C">
      <w:pPr>
        <w:spacing w:line="360" w:lineRule="auto"/>
        <w:rPr>
          <w:rFonts w:ascii="Arial" w:eastAsia="Times New Roman" w:hAnsi="Arial" w:cs="Arial"/>
          <w:color w:val="0F1115"/>
          <w:kern w:val="0"/>
          <w:sz w:val="22"/>
          <w:szCs w:val="22"/>
          <w:lang w:eastAsia="en-GB"/>
          <w14:ligatures w14:val="none"/>
        </w:rPr>
      </w:pPr>
      <w:r w:rsidRPr="000A1B5C">
        <w:rPr>
          <w:rFonts w:ascii="Arial" w:eastAsia="Times New Roman" w:hAnsi="Arial" w:cs="Arial"/>
          <w:color w:val="0F1115"/>
          <w:kern w:val="0"/>
          <w:sz w:val="22"/>
          <w:szCs w:val="22"/>
          <w:lang w:eastAsia="en-GB"/>
          <w14:ligatures w14:val="none"/>
        </w:rPr>
        <w:t>D</w:t>
      </w:r>
      <w:r w:rsidR="001A6763" w:rsidRPr="000A1B5C">
        <w:rPr>
          <w:rFonts w:ascii="Arial" w:eastAsia="Times New Roman" w:hAnsi="Arial" w:cs="Arial"/>
          <w:color w:val="0F1115"/>
          <w:kern w:val="0"/>
          <w:sz w:val="22"/>
          <w:szCs w:val="22"/>
          <w:lang w:eastAsia="en-GB"/>
          <w14:ligatures w14:val="none"/>
        </w:rPr>
        <w:t xml:space="preserve">igital &amp; Direct Marketing: Fully leverage the Clubcard data for precision marketing. This includes behaviour-triggered email sequences, personalised push notifications via the app, and programmatic online advertising that retargets users with products they have viewed. A strengthened social media strategy on platforms like Instagram and TikTok, focusing on quick recipes and "smart shop" hauls, will be crucial for engaging younger demographics (Chaffey and Ellis-Chadwick, 2022; </w:t>
      </w:r>
      <w:proofErr w:type="spellStart"/>
      <w:r w:rsidR="00DA01C9" w:rsidRPr="00DA01C9">
        <w:rPr>
          <w:rFonts w:ascii="Arial" w:eastAsia="Times New Roman" w:hAnsi="Arial" w:cs="Arial"/>
          <w:color w:val="0F1115"/>
          <w:kern w:val="0"/>
          <w:sz w:val="22"/>
          <w:szCs w:val="22"/>
          <w:lang w:eastAsia="en-GB"/>
          <w14:ligatures w14:val="none"/>
        </w:rPr>
        <w:t>GoodGrowth</w:t>
      </w:r>
      <w:proofErr w:type="spellEnd"/>
      <w:r w:rsidR="00DA01C9" w:rsidRPr="00DA01C9">
        <w:rPr>
          <w:rFonts w:ascii="Arial" w:eastAsia="Times New Roman" w:hAnsi="Arial" w:cs="Arial"/>
          <w:color w:val="0F1115"/>
          <w:kern w:val="0"/>
          <w:sz w:val="22"/>
          <w:szCs w:val="22"/>
          <w:lang w:eastAsia="en-GB"/>
          <w14:ligatures w14:val="none"/>
        </w:rPr>
        <w:t>, 2024</w:t>
      </w:r>
      <w:r w:rsidR="001A6763" w:rsidRPr="000A1B5C">
        <w:rPr>
          <w:rFonts w:ascii="Arial" w:eastAsia="Times New Roman" w:hAnsi="Arial" w:cs="Arial"/>
          <w:color w:val="0F1115"/>
          <w:kern w:val="0"/>
          <w:sz w:val="22"/>
          <w:szCs w:val="22"/>
          <w:lang w:eastAsia="en-GB"/>
          <w14:ligatures w14:val="none"/>
        </w:rPr>
        <w:t>)</w:t>
      </w:r>
      <w:r w:rsidR="0052681B" w:rsidRPr="000A1B5C">
        <w:rPr>
          <w:rFonts w:ascii="Arial" w:eastAsia="Times New Roman" w:hAnsi="Arial" w:cs="Arial"/>
          <w:color w:val="0F1115"/>
          <w:kern w:val="0"/>
          <w:sz w:val="22"/>
          <w:szCs w:val="22"/>
          <w:lang w:eastAsia="en-GB"/>
          <w14:ligatures w14:val="none"/>
        </w:rPr>
        <w:t>.</w:t>
      </w:r>
    </w:p>
    <w:p w14:paraId="20269A86" w14:textId="77777777" w:rsidR="00423D95" w:rsidRPr="000A1B5C" w:rsidRDefault="00423D95" w:rsidP="000A1B5C">
      <w:pPr>
        <w:spacing w:line="360" w:lineRule="auto"/>
        <w:rPr>
          <w:rFonts w:ascii="Arial" w:eastAsia="Times New Roman" w:hAnsi="Arial" w:cs="Arial"/>
          <w:color w:val="0F1115"/>
          <w:kern w:val="0"/>
          <w:sz w:val="22"/>
          <w:szCs w:val="22"/>
          <w:lang w:eastAsia="en-GB"/>
          <w14:ligatures w14:val="none"/>
        </w:rPr>
      </w:pPr>
    </w:p>
    <w:p w14:paraId="73041E4A" w14:textId="72489ECC" w:rsidR="0052681B" w:rsidRPr="0057134E" w:rsidRDefault="0099112A" w:rsidP="001D0CA8">
      <w:pPr>
        <w:pStyle w:val="Heading2"/>
        <w:rPr>
          <w:rFonts w:ascii="Arial" w:eastAsia="Times New Roman" w:hAnsi="Arial" w:cs="Arial"/>
          <w:lang w:eastAsia="en-GB"/>
        </w:rPr>
      </w:pPr>
      <w:bookmarkStart w:id="4" w:name="_Toc212964886"/>
      <w:r w:rsidRPr="0057134E">
        <w:rPr>
          <w:rFonts w:ascii="Arial" w:hAnsi="Arial" w:cs="Arial"/>
          <w:lang w:eastAsia="en-GB"/>
        </w:rPr>
        <w:t>3.3 Ansoff Matrix</w:t>
      </w:r>
      <w:bookmarkEnd w:id="4"/>
    </w:p>
    <w:p w14:paraId="04F0DB4D" w14:textId="47290BA0" w:rsidR="00FB4E9F" w:rsidRPr="00EF57A6" w:rsidRDefault="0099112A"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color w:val="0F1115"/>
          <w:kern w:val="0"/>
          <w:sz w:val="22"/>
          <w:szCs w:val="22"/>
          <w:lang w:eastAsia="en-GB"/>
          <w14:ligatures w14:val="none"/>
        </w:rPr>
        <w:t>The Ansoff Matrix provides a framework for evaluating strategic growth paths (McDonald and Wilson, 2011).</w:t>
      </w:r>
    </w:p>
    <w:p w14:paraId="497946BC" w14:textId="60D11129" w:rsidR="00FB4E9F" w:rsidRPr="00EF57A6" w:rsidRDefault="0099112A"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b/>
          <w:bCs/>
          <w:color w:val="0F1115"/>
          <w:kern w:val="0"/>
          <w:sz w:val="22"/>
          <w:szCs w:val="22"/>
          <w:lang w:eastAsia="en-GB"/>
          <w14:ligatures w14:val="none"/>
        </w:rPr>
        <w:t xml:space="preserve">Market Penetration (Existing Markets, Existing Products): </w:t>
      </w:r>
      <w:r w:rsidRPr="00EF57A6">
        <w:rPr>
          <w:rFonts w:ascii="Arial" w:eastAsia="Times New Roman" w:hAnsi="Arial" w:cs="Arial"/>
          <w:color w:val="0F1115"/>
          <w:kern w:val="0"/>
          <w:sz w:val="22"/>
          <w:szCs w:val="22"/>
          <w:lang w:eastAsia="en-GB"/>
          <w14:ligatures w14:val="none"/>
        </w:rPr>
        <w:t>This is the primary and most critical strategy. The objective is to increase share of wallet from existing customers in the UK. This will be achieved by deepening Clubcard loyalty, enhancing the perceived strength of the Aldi Price Match, and systematically improving the in-store and online customer experience to increase frequency and basket size (</w:t>
      </w:r>
      <w:proofErr w:type="spellStart"/>
      <w:r w:rsidR="00DA01C9" w:rsidRPr="00DA01C9">
        <w:rPr>
          <w:rFonts w:ascii="Arial" w:eastAsia="Times New Roman" w:hAnsi="Arial" w:cs="Arial"/>
          <w:color w:val="0F1115"/>
          <w:kern w:val="0"/>
          <w:sz w:val="22"/>
          <w:szCs w:val="22"/>
          <w:lang w:eastAsia="en-GB"/>
          <w14:ligatures w14:val="none"/>
        </w:rPr>
        <w:t>GoodGrowth</w:t>
      </w:r>
      <w:proofErr w:type="spellEnd"/>
      <w:r w:rsidR="00DA01C9" w:rsidRPr="00DA01C9">
        <w:rPr>
          <w:rFonts w:ascii="Arial" w:eastAsia="Times New Roman" w:hAnsi="Arial" w:cs="Arial"/>
          <w:color w:val="0F1115"/>
          <w:kern w:val="0"/>
          <w:sz w:val="22"/>
          <w:szCs w:val="22"/>
          <w:lang w:eastAsia="en-GB"/>
          <w14:ligatures w14:val="none"/>
        </w:rPr>
        <w:t>, 2024</w:t>
      </w:r>
      <w:r w:rsidRPr="00EF57A6">
        <w:rPr>
          <w:rFonts w:ascii="Arial" w:eastAsia="Times New Roman" w:hAnsi="Arial" w:cs="Arial"/>
          <w:color w:val="0F1115"/>
          <w:kern w:val="0"/>
          <w:sz w:val="22"/>
          <w:szCs w:val="22"/>
          <w:lang w:eastAsia="en-GB"/>
          <w14:ligatures w14:val="none"/>
        </w:rPr>
        <w:t>; Chaffey and Ellis-Chadwick, 2022; Wood, 2022).</w:t>
      </w:r>
    </w:p>
    <w:p w14:paraId="084DBE2D" w14:textId="050EF2F8" w:rsidR="0099112A" w:rsidRPr="00EF57A6" w:rsidRDefault="0099112A"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b/>
          <w:bCs/>
          <w:color w:val="0F1115"/>
          <w:kern w:val="0"/>
          <w:sz w:val="22"/>
          <w:szCs w:val="22"/>
          <w:lang w:eastAsia="en-GB"/>
          <w14:ligatures w14:val="none"/>
        </w:rPr>
        <w:t xml:space="preserve">Product Development (Existing Markets, New Products): </w:t>
      </w:r>
      <w:r w:rsidRPr="00EF57A6">
        <w:rPr>
          <w:rFonts w:ascii="Arial" w:eastAsia="Times New Roman" w:hAnsi="Arial" w:cs="Arial"/>
          <w:color w:val="0F1115"/>
          <w:kern w:val="0"/>
          <w:sz w:val="22"/>
          <w:szCs w:val="22"/>
          <w:lang w:eastAsia="en-GB"/>
          <w14:ligatures w14:val="none"/>
        </w:rPr>
        <w:t>This is a key growth lever. Tesco must maintain a relentless pace of innovation in its own-brand portfolio, particularly in high-growth categories such as plant-based proteins, world foods, health-focused snacks, and premium ready meals. This allows it to capture more margin and differentiate itself from competitors (</w:t>
      </w:r>
      <w:proofErr w:type="spellStart"/>
      <w:r w:rsidRPr="00EF57A6">
        <w:rPr>
          <w:rFonts w:ascii="Arial" w:eastAsia="Times New Roman" w:hAnsi="Arial" w:cs="Arial"/>
          <w:color w:val="0F1115"/>
          <w:kern w:val="0"/>
          <w:sz w:val="22"/>
          <w:szCs w:val="22"/>
          <w:lang w:eastAsia="en-GB"/>
          <w14:ligatures w14:val="none"/>
        </w:rPr>
        <w:t>Varadarajan</w:t>
      </w:r>
      <w:proofErr w:type="spellEnd"/>
      <w:r w:rsidRPr="00EF57A6">
        <w:rPr>
          <w:rFonts w:ascii="Arial" w:eastAsia="Times New Roman" w:hAnsi="Arial" w:cs="Arial"/>
          <w:color w:val="0F1115"/>
          <w:kern w:val="0"/>
          <w:sz w:val="22"/>
          <w:szCs w:val="22"/>
          <w:lang w:eastAsia="en-GB"/>
          <w14:ligatures w14:val="none"/>
        </w:rPr>
        <w:t>, 2020; Mintel, 2024).</w:t>
      </w:r>
    </w:p>
    <w:p w14:paraId="7F9213FC" w14:textId="101FFE07" w:rsidR="0099112A" w:rsidRPr="00EF57A6" w:rsidRDefault="0099112A" w:rsidP="00EF57A6">
      <w:pPr>
        <w:spacing w:line="360" w:lineRule="auto"/>
        <w:rPr>
          <w:rFonts w:ascii="Arial" w:eastAsia="Times New Roman" w:hAnsi="Arial" w:cs="Arial"/>
          <w:b/>
          <w:bCs/>
          <w:color w:val="0F1115"/>
          <w:kern w:val="0"/>
          <w:sz w:val="22"/>
          <w:szCs w:val="22"/>
          <w:lang w:eastAsia="en-GB"/>
          <w14:ligatures w14:val="none"/>
        </w:rPr>
      </w:pPr>
      <w:r w:rsidRPr="00EF57A6">
        <w:rPr>
          <w:rFonts w:ascii="Arial" w:eastAsia="Times New Roman" w:hAnsi="Arial" w:cs="Arial"/>
          <w:b/>
          <w:bCs/>
          <w:color w:val="0F1115"/>
          <w:kern w:val="0"/>
          <w:sz w:val="22"/>
          <w:szCs w:val="22"/>
          <w:lang w:eastAsia="en-GB"/>
          <w14:ligatures w14:val="none"/>
        </w:rPr>
        <w:t xml:space="preserve">Market Development (New Markets, Existing Products): </w:t>
      </w:r>
      <w:r w:rsidRPr="00EF57A6">
        <w:rPr>
          <w:rFonts w:ascii="Arial" w:eastAsia="Times New Roman" w:hAnsi="Arial" w:cs="Arial"/>
          <w:color w:val="0F1115"/>
          <w:kern w:val="0"/>
          <w:sz w:val="22"/>
          <w:szCs w:val="22"/>
          <w:lang w:eastAsia="en-GB"/>
          <w14:ligatures w14:val="none"/>
        </w:rPr>
        <w:t xml:space="preserve">With limited geographical expansion in the UK, this translates to targeting new demographic segments. Examples </w:t>
      </w:r>
      <w:r w:rsidRPr="00EF57A6">
        <w:rPr>
          <w:rFonts w:ascii="Arial" w:eastAsia="Times New Roman" w:hAnsi="Arial" w:cs="Arial"/>
          <w:color w:val="0F1115"/>
          <w:kern w:val="0"/>
          <w:sz w:val="22"/>
          <w:szCs w:val="22"/>
          <w:lang w:eastAsia="en-GB"/>
          <w14:ligatures w14:val="none"/>
        </w:rPr>
        <w:lastRenderedPageBreak/>
        <w:t>include developing tailored value bundles and payment plans for students, or creating specific services and product assortments for the ageing population (Mintel, 2024).</w:t>
      </w:r>
    </w:p>
    <w:p w14:paraId="2911EEDA" w14:textId="267C7A1E" w:rsidR="004959BD" w:rsidRPr="00EF57A6" w:rsidRDefault="00FB4E9F"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b/>
          <w:bCs/>
          <w:color w:val="0F1115"/>
          <w:kern w:val="0"/>
          <w:sz w:val="22"/>
          <w:szCs w:val="22"/>
          <w:lang w:eastAsia="en-GB"/>
          <w14:ligatures w14:val="none"/>
        </w:rPr>
        <w:t>D</w:t>
      </w:r>
      <w:r w:rsidR="0099112A" w:rsidRPr="00EF57A6">
        <w:rPr>
          <w:rFonts w:ascii="Arial" w:eastAsia="Times New Roman" w:hAnsi="Arial" w:cs="Arial"/>
          <w:b/>
          <w:bCs/>
          <w:color w:val="0F1115"/>
          <w:kern w:val="0"/>
          <w:sz w:val="22"/>
          <w:szCs w:val="22"/>
          <w:lang w:eastAsia="en-GB"/>
          <w14:ligatures w14:val="none"/>
        </w:rPr>
        <w:t xml:space="preserve">iversification (New Markets, New Products): </w:t>
      </w:r>
      <w:r w:rsidR="0099112A" w:rsidRPr="00EF57A6">
        <w:rPr>
          <w:rFonts w:ascii="Arial" w:eastAsia="Times New Roman" w:hAnsi="Arial" w:cs="Arial"/>
          <w:color w:val="0F1115"/>
          <w:kern w:val="0"/>
          <w:sz w:val="22"/>
          <w:szCs w:val="22"/>
          <w:lang w:eastAsia="en-GB"/>
          <w14:ligatures w14:val="none"/>
        </w:rPr>
        <w:t>This is a higher-risk, longer-term strategy. A logical diversification for Tesco would be to launch a Tesco Energy tariff, competing directly with other supermarkets in the utilities market. Alternatively, it could develop a trusted online marketplace for third-party non-food sellers, leveraging its brand and logistics network (Tesco PLC, 2023; McDonald and Wilson, 2011).</w:t>
      </w:r>
    </w:p>
    <w:p w14:paraId="13D7F2FC" w14:textId="1777AA0C" w:rsidR="00681A0D" w:rsidRPr="00EF57A6" w:rsidRDefault="00681A0D" w:rsidP="00FA59F3">
      <w:pPr>
        <w:pStyle w:val="Heading1"/>
        <w:numPr>
          <w:ilvl w:val="0"/>
          <w:numId w:val="24"/>
        </w:numPr>
        <w:rPr>
          <w:rFonts w:ascii="Arial" w:eastAsia="Times New Roman" w:hAnsi="Arial" w:cs="Arial"/>
          <w:lang w:eastAsia="en-GB"/>
        </w:rPr>
      </w:pPr>
      <w:bookmarkStart w:id="5" w:name="_Toc212964887"/>
      <w:r w:rsidRPr="00EF57A6">
        <w:rPr>
          <w:rFonts w:ascii="Arial" w:eastAsia="Times New Roman" w:hAnsi="Arial" w:cs="Arial"/>
          <w:lang w:eastAsia="en-GB"/>
        </w:rPr>
        <w:t>Marketing Mix Strategies: 7Ps</w:t>
      </w:r>
      <w:bookmarkEnd w:id="5"/>
    </w:p>
    <w:p w14:paraId="4FF551D2" w14:textId="77777777" w:rsidR="00AB58D3" w:rsidRPr="00EF57A6" w:rsidRDefault="00AB58D3"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b/>
          <w:bCs/>
          <w:color w:val="0F1115"/>
          <w:kern w:val="0"/>
          <w:sz w:val="22"/>
          <w:szCs w:val="22"/>
          <w:lang w:eastAsia="en-GB"/>
          <w14:ligatures w14:val="none"/>
        </w:rPr>
        <w:t>The 7Ps framework translates the overarching strategy into actionable tactical plans.</w:t>
      </w:r>
      <w:r w:rsidRPr="00EF57A6">
        <w:rPr>
          <w:rFonts w:ascii="Arial" w:eastAsia="Times New Roman" w:hAnsi="Arial" w:cs="Arial"/>
          <w:color w:val="0F1115"/>
          <w:kern w:val="0"/>
          <w:sz w:val="22"/>
          <w:szCs w:val="22"/>
          <w:lang w:eastAsia="en-GB"/>
          <w14:ligatures w14:val="none"/>
        </w:rPr>
        <w:t xml:space="preserve"> (McDonald and Wilson, 2011)</w:t>
      </w:r>
    </w:p>
    <w:p w14:paraId="6E86A7A9" w14:textId="77777777" w:rsidR="0052681B" w:rsidRPr="00EF57A6" w:rsidRDefault="00AB58D3" w:rsidP="00EF57A6">
      <w:pPr>
        <w:spacing w:line="360" w:lineRule="auto"/>
        <w:rPr>
          <w:rFonts w:ascii="Arial" w:eastAsia="Times New Roman" w:hAnsi="Arial" w:cs="Arial"/>
          <w:color w:val="0F1115"/>
          <w:kern w:val="0"/>
          <w:sz w:val="22"/>
          <w:szCs w:val="22"/>
          <w:lang w:eastAsia="en-GB"/>
          <w14:ligatures w14:val="none"/>
        </w:rPr>
      </w:pPr>
      <w:r w:rsidRPr="00EF57A6">
        <w:rPr>
          <w:rFonts w:ascii="Arial" w:hAnsi="Arial" w:cs="Arial"/>
          <w:b/>
          <w:bCs/>
          <w:sz w:val="22"/>
          <w:szCs w:val="22"/>
          <w:lang w:eastAsia="en-GB"/>
        </w:rPr>
        <w:t>1. Product</w:t>
      </w:r>
      <w:r w:rsidRPr="00EF57A6">
        <w:rPr>
          <w:rFonts w:ascii="Arial" w:eastAsia="Times New Roman" w:hAnsi="Arial" w:cs="Arial"/>
          <w:color w:val="0F1115"/>
          <w:kern w:val="0"/>
          <w:sz w:val="22"/>
          <w:szCs w:val="22"/>
          <w:lang w:eastAsia="en-GB"/>
          <w14:ligatures w14:val="none"/>
        </w:rPr>
        <w:br/>
        <w:t xml:space="preserve">Tesco must continue to enhance its tiered own-brand strategy, which is critical for differentiation and margin. The "Tesco Value" range must be seen as the definitive budget choice. The standard "Tesco" range needs consistent quality assurance. The "Tesco Finest" range requires continuous innovation and premiumisation to justify its price point and compete with Waitrose. A dedicated R&amp;D focus should be applied to the "Plant Chef" and "Free From" ranges to ensure they are perceived as category leaders in taste and quality, not just copycats (Mintel, 2024; </w:t>
      </w:r>
      <w:proofErr w:type="spellStart"/>
      <w:r w:rsidRPr="00EF57A6">
        <w:rPr>
          <w:rFonts w:ascii="Arial" w:eastAsia="Times New Roman" w:hAnsi="Arial" w:cs="Arial"/>
          <w:color w:val="0F1115"/>
          <w:kern w:val="0"/>
          <w:sz w:val="22"/>
          <w:szCs w:val="22"/>
          <w:lang w:eastAsia="en-GB"/>
          <w14:ligatures w14:val="none"/>
        </w:rPr>
        <w:t>Varadarajan</w:t>
      </w:r>
      <w:proofErr w:type="spellEnd"/>
      <w:r w:rsidRPr="00EF57A6">
        <w:rPr>
          <w:rFonts w:ascii="Arial" w:eastAsia="Times New Roman" w:hAnsi="Arial" w:cs="Arial"/>
          <w:color w:val="0F1115"/>
          <w:kern w:val="0"/>
          <w:sz w:val="22"/>
          <w:szCs w:val="22"/>
          <w:lang w:eastAsia="en-GB"/>
          <w14:ligatures w14:val="none"/>
        </w:rPr>
        <w:t>, 2020; Tesco PLC, 2023).</w:t>
      </w:r>
    </w:p>
    <w:p w14:paraId="5FDB5C84" w14:textId="7B48EA70" w:rsidR="00AB58D3" w:rsidRPr="00EF57A6" w:rsidRDefault="00AB58D3" w:rsidP="00EF57A6">
      <w:pPr>
        <w:spacing w:line="360" w:lineRule="auto"/>
        <w:rPr>
          <w:rFonts w:ascii="Arial" w:eastAsia="Times New Roman" w:hAnsi="Arial" w:cs="Arial"/>
          <w:color w:val="0F1115"/>
          <w:kern w:val="0"/>
          <w:sz w:val="22"/>
          <w:szCs w:val="22"/>
          <w:lang w:eastAsia="en-GB"/>
          <w14:ligatures w14:val="none"/>
        </w:rPr>
      </w:pPr>
      <w:r w:rsidRPr="00EF57A6">
        <w:rPr>
          <w:rFonts w:ascii="Arial" w:hAnsi="Arial" w:cs="Arial"/>
          <w:b/>
          <w:bCs/>
          <w:sz w:val="22"/>
          <w:szCs w:val="22"/>
          <w:lang w:eastAsia="en-GB"/>
        </w:rPr>
        <w:t>2. Price</w:t>
      </w:r>
      <w:r w:rsidRPr="00EF57A6">
        <w:rPr>
          <w:rFonts w:ascii="Arial" w:eastAsia="Times New Roman" w:hAnsi="Arial" w:cs="Arial"/>
          <w:color w:val="0F1115"/>
          <w:kern w:val="0"/>
          <w:sz w:val="22"/>
          <w:szCs w:val="22"/>
          <w:lang w:eastAsia="en-GB"/>
          <w14:ligatures w14:val="none"/>
        </w:rPr>
        <w:br/>
        <w:t xml:space="preserve">The hybrid pricing strategy of EDLP on staples and promotional Clubcard Prices on a wide array of goods should be maintained and refined. The credibility of the Aldi Price Match is paramount; it requires constant monitoring to ensure matched products are in stock. Furthermore, Tesco should explore more advanced, data-driven personalised pricing, offering its most loyal customers (as identified by Clubcard data) superior deals on their most-purchased items, thereby reinforcing the value of loyalty (Wood, 2022; Chaffey and Ellis-Chadwick, 2022; </w:t>
      </w:r>
      <w:proofErr w:type="spellStart"/>
      <w:r w:rsidR="00DA01C9" w:rsidRPr="00DA01C9">
        <w:rPr>
          <w:rFonts w:ascii="Arial" w:eastAsia="Times New Roman" w:hAnsi="Arial" w:cs="Arial"/>
          <w:color w:val="0F1115"/>
          <w:kern w:val="0"/>
          <w:sz w:val="22"/>
          <w:szCs w:val="22"/>
          <w:lang w:eastAsia="en-GB"/>
          <w14:ligatures w14:val="none"/>
        </w:rPr>
        <w:t>GoodGrowth</w:t>
      </w:r>
      <w:proofErr w:type="spellEnd"/>
      <w:r w:rsidR="00DA01C9" w:rsidRPr="00DA01C9">
        <w:rPr>
          <w:rFonts w:ascii="Arial" w:eastAsia="Times New Roman" w:hAnsi="Arial" w:cs="Arial"/>
          <w:color w:val="0F1115"/>
          <w:kern w:val="0"/>
          <w:sz w:val="22"/>
          <w:szCs w:val="22"/>
          <w:lang w:eastAsia="en-GB"/>
          <w14:ligatures w14:val="none"/>
        </w:rPr>
        <w:t>, 2024</w:t>
      </w:r>
      <w:r w:rsidRPr="00EF57A6">
        <w:rPr>
          <w:rFonts w:ascii="Arial" w:eastAsia="Times New Roman" w:hAnsi="Arial" w:cs="Arial"/>
          <w:color w:val="0F1115"/>
          <w:kern w:val="0"/>
          <w:sz w:val="22"/>
          <w:szCs w:val="22"/>
          <w:lang w:eastAsia="en-GB"/>
          <w14:ligatures w14:val="none"/>
        </w:rPr>
        <w:t>).</w:t>
      </w:r>
    </w:p>
    <w:p w14:paraId="7D791342" w14:textId="0A5848B5" w:rsidR="00AB58D3" w:rsidRPr="00EF57A6" w:rsidRDefault="00AB58D3"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b/>
          <w:bCs/>
          <w:color w:val="0F1115"/>
          <w:kern w:val="0"/>
          <w:sz w:val="22"/>
          <w:szCs w:val="22"/>
          <w:lang w:eastAsia="en-GB"/>
          <w14:ligatures w14:val="none"/>
        </w:rPr>
        <w:t>3. Place</w:t>
      </w:r>
      <w:r w:rsidRPr="00EF57A6">
        <w:rPr>
          <w:rFonts w:ascii="Arial" w:eastAsia="Times New Roman" w:hAnsi="Arial" w:cs="Arial"/>
          <w:color w:val="0F1115"/>
          <w:kern w:val="0"/>
          <w:sz w:val="22"/>
          <w:szCs w:val="22"/>
          <w:lang w:eastAsia="en-GB"/>
          <w14:ligatures w14:val="none"/>
        </w:rPr>
        <w:br/>
        <w:t xml:space="preserve">The omnichannel experience must be seamless. Investment is needed in technology to provide real-time inventory visibility across all channels. The rapid-delivery "Whoosh" service should be expanded to more locations to win the convenience battle. A strategic review of the large-store estate is necessary; underperforming Extras could be downsized or partially repurposed as "dark stores" to improve online picking efficiency. Building a more resilient, </w:t>
      </w:r>
      <w:r w:rsidRPr="00EF57A6">
        <w:rPr>
          <w:rFonts w:ascii="Arial" w:eastAsia="Times New Roman" w:hAnsi="Arial" w:cs="Arial"/>
          <w:color w:val="0F1115"/>
          <w:kern w:val="0"/>
          <w:sz w:val="22"/>
          <w:szCs w:val="22"/>
          <w:lang w:eastAsia="en-GB"/>
          <w14:ligatures w14:val="none"/>
        </w:rPr>
        <w:lastRenderedPageBreak/>
        <w:t xml:space="preserve">agile supply chain through technology and nearshoring is essential to mitigate disruption risks (Chaffey and Ellis-Chadwick, 2022; Tesco PLC, 2023; </w:t>
      </w:r>
      <w:r w:rsidR="001C0E3C" w:rsidRPr="001C0E3C">
        <w:rPr>
          <w:rFonts w:ascii="Arial" w:eastAsia="Times New Roman" w:hAnsi="Arial" w:cs="Arial"/>
          <w:color w:val="0F1115"/>
          <w:kern w:val="0"/>
          <w:sz w:val="22"/>
          <w:szCs w:val="22"/>
          <w:lang w:eastAsia="en-GB"/>
          <w14:ligatures w14:val="none"/>
        </w:rPr>
        <w:t>Neuhaus et al., 2022</w:t>
      </w:r>
      <w:r w:rsidRPr="00EF57A6">
        <w:rPr>
          <w:rFonts w:ascii="Arial" w:eastAsia="Times New Roman" w:hAnsi="Arial" w:cs="Arial"/>
          <w:color w:val="0F1115"/>
          <w:kern w:val="0"/>
          <w:sz w:val="22"/>
          <w:szCs w:val="22"/>
          <w:lang w:eastAsia="en-GB"/>
          <w14:ligatures w14:val="none"/>
        </w:rPr>
        <w:t>).</w:t>
      </w:r>
    </w:p>
    <w:p w14:paraId="28E4CCFB" w14:textId="0640F910" w:rsidR="00AB58D3" w:rsidRPr="00EF57A6" w:rsidRDefault="00AB58D3"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b/>
          <w:bCs/>
          <w:color w:val="0F1115"/>
          <w:kern w:val="0"/>
          <w:sz w:val="22"/>
          <w:szCs w:val="22"/>
          <w:lang w:eastAsia="en-GB"/>
          <w14:ligatures w14:val="none"/>
        </w:rPr>
        <w:t>4. Promotion</w:t>
      </w:r>
      <w:r w:rsidRPr="00EF57A6">
        <w:rPr>
          <w:rFonts w:ascii="Arial" w:eastAsia="Times New Roman" w:hAnsi="Arial" w:cs="Arial"/>
          <w:color w:val="0F1115"/>
          <w:kern w:val="0"/>
          <w:sz w:val="22"/>
          <w:szCs w:val="22"/>
          <w:lang w:eastAsia="en-GB"/>
          <w14:ligatures w14:val="none"/>
        </w:rPr>
        <w:br/>
        <w:t xml:space="preserve">The IMC plan outlined in section 3.2 provides the roadmap. The key is integration and consistency, ensuring the "value through Clubcard" message is unified from TV ads to the in-store shelf-edge labels. All promotional activities should be designed to feed data back into the Clubcard system, creating a virtuous cycle of increasing personalisation and effectiveness (Keller, 2019; Chaffey and Ellis-Chadwick, 2022; </w:t>
      </w:r>
      <w:proofErr w:type="spellStart"/>
      <w:r w:rsidR="00DA01C9" w:rsidRPr="00DA01C9">
        <w:rPr>
          <w:rFonts w:ascii="Arial" w:eastAsia="Times New Roman" w:hAnsi="Arial" w:cs="Arial"/>
          <w:color w:val="0F1115"/>
          <w:kern w:val="0"/>
          <w:sz w:val="22"/>
          <w:szCs w:val="22"/>
          <w:lang w:eastAsia="en-GB"/>
          <w14:ligatures w14:val="none"/>
        </w:rPr>
        <w:t>GoodGrowth</w:t>
      </w:r>
      <w:proofErr w:type="spellEnd"/>
      <w:r w:rsidR="00DA01C9" w:rsidRPr="00DA01C9">
        <w:rPr>
          <w:rFonts w:ascii="Arial" w:eastAsia="Times New Roman" w:hAnsi="Arial" w:cs="Arial"/>
          <w:color w:val="0F1115"/>
          <w:kern w:val="0"/>
          <w:sz w:val="22"/>
          <w:szCs w:val="22"/>
          <w:lang w:eastAsia="en-GB"/>
          <w14:ligatures w14:val="none"/>
        </w:rPr>
        <w:t>, 2024</w:t>
      </w:r>
      <w:r w:rsidRPr="00EF57A6">
        <w:rPr>
          <w:rFonts w:ascii="Arial" w:eastAsia="Times New Roman" w:hAnsi="Arial" w:cs="Arial"/>
          <w:color w:val="0F1115"/>
          <w:kern w:val="0"/>
          <w:sz w:val="22"/>
          <w:szCs w:val="22"/>
          <w:lang w:eastAsia="en-GB"/>
          <w14:ligatures w14:val="none"/>
        </w:rPr>
        <w:t>).</w:t>
      </w:r>
    </w:p>
    <w:p w14:paraId="6C98725A" w14:textId="77777777" w:rsidR="00AB58D3" w:rsidRPr="00EF57A6" w:rsidRDefault="00AB58D3" w:rsidP="00EF57A6">
      <w:pPr>
        <w:spacing w:line="360" w:lineRule="auto"/>
        <w:rPr>
          <w:rFonts w:ascii="Arial" w:eastAsia="Times New Roman" w:hAnsi="Arial" w:cs="Arial"/>
          <w:color w:val="0F1115"/>
          <w:kern w:val="0"/>
          <w:sz w:val="22"/>
          <w:szCs w:val="22"/>
          <w:lang w:eastAsia="en-GB"/>
          <w14:ligatures w14:val="none"/>
        </w:rPr>
      </w:pPr>
      <w:r w:rsidRPr="00EF57A6">
        <w:rPr>
          <w:rFonts w:ascii="Arial" w:eastAsia="Times New Roman" w:hAnsi="Arial" w:cs="Arial"/>
          <w:b/>
          <w:bCs/>
          <w:color w:val="0F1115"/>
          <w:kern w:val="0"/>
          <w:sz w:val="22"/>
          <w:szCs w:val="22"/>
          <w:lang w:eastAsia="en-GB"/>
          <w14:ligatures w14:val="none"/>
        </w:rPr>
        <w:t>5. People</w:t>
      </w:r>
      <w:r w:rsidRPr="00EF57A6">
        <w:rPr>
          <w:rFonts w:ascii="Arial" w:eastAsia="Times New Roman" w:hAnsi="Arial" w:cs="Arial"/>
          <w:color w:val="0F1115"/>
          <w:kern w:val="0"/>
          <w:sz w:val="22"/>
          <w:szCs w:val="22"/>
          <w:lang w:eastAsia="en-GB"/>
          <w14:ligatures w14:val="none"/>
        </w:rPr>
        <w:br/>
        <w:t>Frontline staff are crucial brand ambassadors. Tesco must invest in ongoing, high-quality training that empowers employees to provide excellent customer service and confidently handle Clubcard-related queries. Creating a positive work environment that fosters employee engagement is directly linked to improved customer interactions and, consequently, customer satisfaction and loyalty (</w:t>
      </w:r>
      <w:proofErr w:type="spellStart"/>
      <w:r w:rsidRPr="00EF57A6">
        <w:rPr>
          <w:rFonts w:ascii="Arial" w:eastAsia="Times New Roman" w:hAnsi="Arial" w:cs="Arial"/>
          <w:color w:val="0F1115"/>
          <w:kern w:val="0"/>
          <w:sz w:val="22"/>
          <w:szCs w:val="22"/>
          <w:lang w:eastAsia="en-GB"/>
          <w14:ligatures w14:val="none"/>
        </w:rPr>
        <w:t>Hollensen</w:t>
      </w:r>
      <w:proofErr w:type="spellEnd"/>
      <w:r w:rsidRPr="00EF57A6">
        <w:rPr>
          <w:rFonts w:ascii="Arial" w:eastAsia="Times New Roman" w:hAnsi="Arial" w:cs="Arial"/>
          <w:color w:val="0F1115"/>
          <w:kern w:val="0"/>
          <w:sz w:val="22"/>
          <w:szCs w:val="22"/>
          <w:lang w:eastAsia="en-GB"/>
          <w14:ligatures w14:val="none"/>
        </w:rPr>
        <w:t>, 2020; Tesco PLC, 2023).</w:t>
      </w:r>
    </w:p>
    <w:p w14:paraId="3826A416" w14:textId="2953BB38" w:rsidR="00AB58D3" w:rsidRPr="00EF57A6" w:rsidRDefault="00AB58D3" w:rsidP="00EF57A6">
      <w:pPr>
        <w:spacing w:line="360" w:lineRule="auto"/>
        <w:rPr>
          <w:rFonts w:ascii="Arial" w:hAnsi="Arial" w:cs="Arial"/>
          <w:sz w:val="22"/>
          <w:szCs w:val="22"/>
          <w:lang w:eastAsia="en-GB"/>
        </w:rPr>
      </w:pPr>
      <w:r w:rsidRPr="00EF57A6">
        <w:rPr>
          <w:rFonts w:ascii="Arial" w:hAnsi="Arial" w:cs="Arial"/>
          <w:b/>
          <w:bCs/>
          <w:sz w:val="22"/>
          <w:szCs w:val="22"/>
          <w:lang w:eastAsia="en-GB"/>
        </w:rPr>
        <w:t>6. Process</w:t>
      </w:r>
      <w:r w:rsidRPr="00EF57A6">
        <w:rPr>
          <w:rFonts w:ascii="Arial" w:hAnsi="Arial" w:cs="Arial"/>
          <w:sz w:val="22"/>
          <w:szCs w:val="22"/>
          <w:lang w:eastAsia="en-GB"/>
        </w:rPr>
        <w:br/>
        <w:t xml:space="preserve">Every customer touchpoint must be streamlined. This includes optimising the online checkout process, reducing queue times through efficient staffing and self-checkout technology, and simplifying the returns process for non-food items. The process for earning and redeeming Clubcard points, both in-store and with partners, must be frictionless to maintain engagement (Chaffey and Ellis-Chadwick, 2022; McDonald and Wilson, 2011; </w:t>
      </w:r>
      <w:proofErr w:type="spellStart"/>
      <w:r w:rsidR="00DA01C9" w:rsidRPr="00DA01C9">
        <w:rPr>
          <w:rFonts w:ascii="Arial" w:hAnsi="Arial" w:cs="Arial"/>
          <w:sz w:val="22"/>
          <w:szCs w:val="22"/>
          <w:lang w:eastAsia="en-GB"/>
        </w:rPr>
        <w:t>GoodGrowth</w:t>
      </w:r>
      <w:proofErr w:type="spellEnd"/>
      <w:r w:rsidR="00DA01C9" w:rsidRPr="00DA01C9">
        <w:rPr>
          <w:rFonts w:ascii="Arial" w:hAnsi="Arial" w:cs="Arial"/>
          <w:sz w:val="22"/>
          <w:szCs w:val="22"/>
          <w:lang w:eastAsia="en-GB"/>
        </w:rPr>
        <w:t>, 2024</w:t>
      </w:r>
      <w:r w:rsidRPr="00EF57A6">
        <w:rPr>
          <w:rFonts w:ascii="Arial" w:hAnsi="Arial" w:cs="Arial"/>
          <w:sz w:val="22"/>
          <w:szCs w:val="22"/>
          <w:lang w:eastAsia="en-GB"/>
        </w:rPr>
        <w:t>).</w:t>
      </w:r>
    </w:p>
    <w:p w14:paraId="7C13FE15" w14:textId="4DAF931E" w:rsidR="00E20CB4" w:rsidRPr="00EF57A6" w:rsidRDefault="00AB58D3" w:rsidP="00EF57A6">
      <w:pPr>
        <w:spacing w:line="360" w:lineRule="auto"/>
        <w:rPr>
          <w:rFonts w:ascii="Arial" w:hAnsi="Arial" w:cs="Arial"/>
          <w:sz w:val="22"/>
          <w:szCs w:val="22"/>
          <w:lang w:eastAsia="en-GB"/>
        </w:rPr>
      </w:pPr>
      <w:r w:rsidRPr="00EF57A6">
        <w:rPr>
          <w:rFonts w:ascii="Arial" w:hAnsi="Arial" w:cs="Arial"/>
          <w:b/>
          <w:bCs/>
          <w:sz w:val="22"/>
          <w:szCs w:val="22"/>
          <w:lang w:eastAsia="en-GB"/>
        </w:rPr>
        <w:t>7. Physical Evidence</w:t>
      </w:r>
      <w:r w:rsidRPr="00EF57A6">
        <w:rPr>
          <w:rFonts w:ascii="Arial" w:hAnsi="Arial" w:cs="Arial"/>
          <w:sz w:val="22"/>
          <w:szCs w:val="22"/>
          <w:lang w:eastAsia="en-GB"/>
        </w:rPr>
        <w:br/>
        <w:t>The store environment is a tangible reflection of the brand. A programme to ensure consistent standards of cleanliness, lighting, and layout</w:t>
      </w:r>
      <w:r w:rsidR="009E2082">
        <w:rPr>
          <w:rFonts w:ascii="Arial" w:hAnsi="Arial" w:cs="Arial"/>
          <w:sz w:val="22"/>
          <w:szCs w:val="22"/>
          <w:lang w:eastAsia="en-GB"/>
        </w:rPr>
        <w:t xml:space="preserve">, </w:t>
      </w:r>
      <w:r w:rsidRPr="00EF57A6">
        <w:rPr>
          <w:rFonts w:ascii="Arial" w:hAnsi="Arial" w:cs="Arial"/>
          <w:sz w:val="22"/>
          <w:szCs w:val="22"/>
          <w:lang w:eastAsia="en-GB"/>
        </w:rPr>
        <w:t>especially in the smaller Metro and Express formats</w:t>
      </w:r>
      <w:r w:rsidR="00E832FB">
        <w:rPr>
          <w:rFonts w:ascii="Arial" w:hAnsi="Arial" w:cs="Arial"/>
          <w:sz w:val="22"/>
          <w:szCs w:val="22"/>
          <w:lang w:eastAsia="en-GB"/>
        </w:rPr>
        <w:t xml:space="preserve">, </w:t>
      </w:r>
      <w:r w:rsidRPr="00EF57A6">
        <w:rPr>
          <w:rFonts w:ascii="Arial" w:hAnsi="Arial" w:cs="Arial"/>
          <w:sz w:val="22"/>
          <w:szCs w:val="22"/>
          <w:lang w:eastAsia="en-GB"/>
        </w:rPr>
        <w:t>is vital. The Tesco app and website must be fast, intuitive, and reliable, as they are key pieces of digital physical evidence. Furthermore, a committed transition to mor</w:t>
      </w:r>
      <w:r w:rsidR="0044169A" w:rsidRPr="00EF57A6">
        <w:rPr>
          <w:rFonts w:ascii="Arial" w:hAnsi="Arial" w:cs="Arial"/>
          <w:sz w:val="22"/>
          <w:szCs w:val="22"/>
          <w:lang w:eastAsia="en-GB"/>
        </w:rPr>
        <w:t xml:space="preserve">e </w:t>
      </w:r>
      <w:r w:rsidRPr="00EF57A6">
        <w:rPr>
          <w:rFonts w:ascii="Arial" w:hAnsi="Arial" w:cs="Arial"/>
          <w:sz w:val="22"/>
          <w:szCs w:val="22"/>
          <w:lang w:eastAsia="en-GB"/>
        </w:rPr>
        <w:t>sustainable and reduced packaging serves as powerful physical proof of the brand's ethical commitments (Tesco PLC, 2023; Mintel, 2024).</w:t>
      </w:r>
    </w:p>
    <w:p w14:paraId="750737AA" w14:textId="3EDB3F31" w:rsidR="005434D0" w:rsidRPr="00EF57A6" w:rsidRDefault="00E20CB4" w:rsidP="00EF57A6">
      <w:pPr>
        <w:spacing w:line="360" w:lineRule="auto"/>
        <w:rPr>
          <w:rFonts w:ascii="Arial" w:hAnsi="Arial" w:cs="Arial"/>
          <w:sz w:val="22"/>
          <w:szCs w:val="22"/>
          <w:lang w:eastAsia="en-GB"/>
        </w:rPr>
      </w:pPr>
      <w:r w:rsidRPr="00EF57A6">
        <w:rPr>
          <w:rFonts w:ascii="Arial" w:hAnsi="Arial" w:cs="Arial"/>
          <w:b/>
          <w:bCs/>
          <w:sz w:val="22"/>
          <w:szCs w:val="22"/>
          <w:lang w:eastAsia="en-GB"/>
        </w:rPr>
        <w:t>8</w:t>
      </w:r>
      <w:r w:rsidR="005434D0" w:rsidRPr="00EF57A6">
        <w:rPr>
          <w:rFonts w:ascii="Arial" w:hAnsi="Arial" w:cs="Arial"/>
          <w:b/>
          <w:bCs/>
          <w:sz w:val="22"/>
          <w:szCs w:val="22"/>
          <w:lang w:eastAsia="en-GB"/>
        </w:rPr>
        <w:t>. Implementation and Control</w:t>
      </w:r>
      <w:r w:rsidR="005434D0" w:rsidRPr="00EF57A6">
        <w:rPr>
          <w:rFonts w:ascii="Arial" w:hAnsi="Arial" w:cs="Arial"/>
          <w:b/>
          <w:bCs/>
          <w:sz w:val="22"/>
          <w:szCs w:val="22"/>
          <w:lang w:eastAsia="en-GB"/>
        </w:rPr>
        <w:br/>
      </w:r>
      <w:r w:rsidR="005434D0" w:rsidRPr="00EF57A6">
        <w:rPr>
          <w:rFonts w:ascii="Arial" w:hAnsi="Arial" w:cs="Arial"/>
          <w:sz w:val="22"/>
          <w:szCs w:val="22"/>
          <w:lang w:eastAsia="en-GB"/>
        </w:rPr>
        <w:t xml:space="preserve">A strategy is only as good as its execution. A clear implementation plan with defined accountability and timelines is required, reflecting the principle that effective planning is worthless without a committed process for its deployment (McDonald and Wilson, 2011). This involves allocating budgets to the initiatives outlined in the 7Ps, setting clear departmental responsibilities, and establishing a project timeline for key roll-outs like the </w:t>
      </w:r>
      <w:r w:rsidR="005434D0" w:rsidRPr="00EF57A6">
        <w:rPr>
          <w:rFonts w:ascii="Arial" w:hAnsi="Arial" w:cs="Arial"/>
          <w:sz w:val="22"/>
          <w:szCs w:val="22"/>
          <w:lang w:eastAsia="en-GB"/>
        </w:rPr>
        <w:lastRenderedPageBreak/>
        <w:t>store refresh programme or the launch of new digital features (Tesco PLC, 2023; Chaffey and Ellis-Chadwick, 2022).</w:t>
      </w:r>
    </w:p>
    <w:p w14:paraId="09051DB4" w14:textId="77777777" w:rsidR="00E20CB4" w:rsidRPr="00EF57A6" w:rsidRDefault="005434D0" w:rsidP="00EF57A6">
      <w:pPr>
        <w:spacing w:line="360" w:lineRule="auto"/>
        <w:rPr>
          <w:rFonts w:ascii="Arial" w:hAnsi="Arial" w:cs="Arial"/>
          <w:sz w:val="22"/>
          <w:szCs w:val="22"/>
          <w:lang w:eastAsia="en-GB"/>
        </w:rPr>
      </w:pPr>
      <w:r w:rsidRPr="00EF57A6">
        <w:rPr>
          <w:rFonts w:ascii="Arial" w:hAnsi="Arial" w:cs="Arial"/>
          <w:b/>
          <w:bCs/>
          <w:sz w:val="22"/>
          <w:szCs w:val="22"/>
          <w:lang w:eastAsia="en-GB"/>
        </w:rPr>
        <w:t>Key Performance Indicators (KPIs)</w:t>
      </w:r>
      <w:r w:rsidRPr="00EF57A6">
        <w:rPr>
          <w:rFonts w:ascii="Arial" w:hAnsi="Arial" w:cs="Arial"/>
          <w:b/>
          <w:bCs/>
          <w:sz w:val="22"/>
          <w:szCs w:val="22"/>
          <w:lang w:eastAsia="en-GB"/>
        </w:rPr>
        <w:br/>
      </w:r>
      <w:r w:rsidRPr="00EF57A6">
        <w:rPr>
          <w:rFonts w:ascii="Arial" w:hAnsi="Arial" w:cs="Arial"/>
          <w:sz w:val="22"/>
          <w:szCs w:val="22"/>
          <w:lang w:eastAsia="en-GB"/>
        </w:rPr>
        <w:t>To measure success, Tesco must track a balanced set of KPIs:</w:t>
      </w:r>
    </w:p>
    <w:p w14:paraId="5AE29370" w14:textId="77777777" w:rsidR="00E20CB4" w:rsidRPr="003C6A83" w:rsidRDefault="005434D0" w:rsidP="003C6A83">
      <w:pPr>
        <w:pStyle w:val="ListParagraph"/>
        <w:numPr>
          <w:ilvl w:val="0"/>
          <w:numId w:val="25"/>
        </w:numPr>
        <w:spacing w:line="360" w:lineRule="auto"/>
        <w:rPr>
          <w:rFonts w:ascii="Arial" w:hAnsi="Arial" w:cs="Arial"/>
          <w:sz w:val="22"/>
          <w:szCs w:val="22"/>
          <w:lang w:eastAsia="en-GB"/>
        </w:rPr>
      </w:pPr>
      <w:r w:rsidRPr="003C6A83">
        <w:rPr>
          <w:rFonts w:ascii="Arial" w:hAnsi="Arial" w:cs="Arial"/>
          <w:sz w:val="22"/>
          <w:szCs w:val="22"/>
          <w:lang w:eastAsia="en-GB"/>
        </w:rPr>
        <w:t>Financial: Year-on-Year Sales Growth (%), Gross Margin %, Market Share (Kantar) (Tesco PLC, 2023).</w:t>
      </w:r>
    </w:p>
    <w:p w14:paraId="2EC41F05" w14:textId="13F65866" w:rsidR="00E20CB4" w:rsidRPr="003C6A83" w:rsidRDefault="005434D0" w:rsidP="003C6A83">
      <w:pPr>
        <w:pStyle w:val="ListParagraph"/>
        <w:numPr>
          <w:ilvl w:val="0"/>
          <w:numId w:val="25"/>
        </w:numPr>
        <w:spacing w:line="360" w:lineRule="auto"/>
        <w:rPr>
          <w:rFonts w:ascii="Arial" w:hAnsi="Arial" w:cs="Arial"/>
          <w:sz w:val="22"/>
          <w:szCs w:val="22"/>
          <w:lang w:eastAsia="en-GB"/>
        </w:rPr>
      </w:pPr>
      <w:r w:rsidRPr="003C6A83">
        <w:rPr>
          <w:rFonts w:ascii="Arial" w:hAnsi="Arial" w:cs="Arial"/>
          <w:sz w:val="22"/>
          <w:szCs w:val="22"/>
          <w:lang w:eastAsia="en-GB"/>
        </w:rPr>
        <w:t>Customer: Active Clubcard User Growth (%), Net Promoter Score (NPS), Online Sales Penetration (%) (</w:t>
      </w:r>
      <w:proofErr w:type="spellStart"/>
      <w:r w:rsidR="00DA01C9" w:rsidRPr="003C6A83">
        <w:rPr>
          <w:rFonts w:ascii="Arial" w:hAnsi="Arial" w:cs="Arial"/>
          <w:sz w:val="22"/>
          <w:szCs w:val="22"/>
          <w:lang w:eastAsia="en-GB"/>
        </w:rPr>
        <w:t>GoodGrowth</w:t>
      </w:r>
      <w:proofErr w:type="spellEnd"/>
      <w:r w:rsidR="00DA01C9" w:rsidRPr="003C6A83">
        <w:rPr>
          <w:rFonts w:ascii="Arial" w:hAnsi="Arial" w:cs="Arial"/>
          <w:sz w:val="22"/>
          <w:szCs w:val="22"/>
          <w:lang w:eastAsia="en-GB"/>
        </w:rPr>
        <w:t>, 2024</w:t>
      </w:r>
      <w:r w:rsidRPr="003C6A83">
        <w:rPr>
          <w:rFonts w:ascii="Arial" w:hAnsi="Arial" w:cs="Arial"/>
          <w:sz w:val="22"/>
          <w:szCs w:val="22"/>
          <w:lang w:eastAsia="en-GB"/>
        </w:rPr>
        <w:t>; Chaffey and Ellis-Chadwick, 2022).</w:t>
      </w:r>
    </w:p>
    <w:p w14:paraId="16F9B2B9" w14:textId="1745211D" w:rsidR="00E20CB4" w:rsidRPr="003C6A83" w:rsidRDefault="005434D0" w:rsidP="003C6A83">
      <w:pPr>
        <w:pStyle w:val="ListParagraph"/>
        <w:numPr>
          <w:ilvl w:val="0"/>
          <w:numId w:val="25"/>
        </w:numPr>
        <w:spacing w:line="360" w:lineRule="auto"/>
        <w:rPr>
          <w:rFonts w:ascii="Arial" w:hAnsi="Arial" w:cs="Arial"/>
          <w:sz w:val="22"/>
          <w:szCs w:val="22"/>
          <w:lang w:eastAsia="en-GB"/>
        </w:rPr>
      </w:pPr>
      <w:r w:rsidRPr="003C6A83">
        <w:rPr>
          <w:rFonts w:ascii="Arial" w:hAnsi="Arial" w:cs="Arial"/>
          <w:sz w:val="22"/>
          <w:szCs w:val="22"/>
          <w:lang w:eastAsia="en-GB"/>
        </w:rPr>
        <w:t>Internal Process: On-Shelf Availability (%), Online Order Fulfilment Accuracy (%) (Chaffey and Ellis-Chadwick, 2022).</w:t>
      </w:r>
    </w:p>
    <w:p w14:paraId="2CD31C3C" w14:textId="7CE6A0C1" w:rsidR="00517AFC" w:rsidRPr="003C6A83" w:rsidRDefault="005434D0" w:rsidP="003C6A83">
      <w:pPr>
        <w:pStyle w:val="ListParagraph"/>
        <w:numPr>
          <w:ilvl w:val="0"/>
          <w:numId w:val="25"/>
        </w:numPr>
        <w:spacing w:line="360" w:lineRule="auto"/>
        <w:rPr>
          <w:rFonts w:ascii="Arial" w:hAnsi="Arial" w:cs="Arial"/>
          <w:sz w:val="22"/>
          <w:szCs w:val="22"/>
          <w:lang w:eastAsia="en-GB"/>
        </w:rPr>
      </w:pPr>
      <w:r w:rsidRPr="003C6A83">
        <w:rPr>
          <w:rFonts w:ascii="Arial" w:hAnsi="Arial" w:cs="Arial"/>
          <w:sz w:val="22"/>
          <w:szCs w:val="22"/>
          <w:lang w:eastAsia="en-GB"/>
        </w:rPr>
        <w:t>Learning &amp; Growth: Employee Engagement Score, Staff Training Hours Completed (</w:t>
      </w:r>
      <w:proofErr w:type="spellStart"/>
      <w:r w:rsidRPr="003C6A83">
        <w:rPr>
          <w:rFonts w:ascii="Arial" w:hAnsi="Arial" w:cs="Arial"/>
          <w:sz w:val="22"/>
          <w:szCs w:val="22"/>
          <w:lang w:eastAsia="en-GB"/>
        </w:rPr>
        <w:t>Hollensen</w:t>
      </w:r>
      <w:proofErr w:type="spellEnd"/>
      <w:r w:rsidRPr="003C6A83">
        <w:rPr>
          <w:rFonts w:ascii="Arial" w:hAnsi="Arial" w:cs="Arial"/>
          <w:sz w:val="22"/>
          <w:szCs w:val="22"/>
          <w:lang w:eastAsia="en-GB"/>
        </w:rPr>
        <w:t>, 2020; Tesco PLC, 2023).</w:t>
      </w:r>
    </w:p>
    <w:p w14:paraId="2B3DDBE6" w14:textId="77777777" w:rsidR="000A0354" w:rsidRDefault="000A0354" w:rsidP="00EF57A6">
      <w:pPr>
        <w:spacing w:line="360" w:lineRule="auto"/>
        <w:rPr>
          <w:rFonts w:ascii="Arial" w:hAnsi="Arial" w:cs="Arial"/>
          <w:b/>
          <w:bCs/>
          <w:sz w:val="22"/>
          <w:szCs w:val="22"/>
          <w:lang w:eastAsia="en-GB"/>
        </w:rPr>
      </w:pPr>
    </w:p>
    <w:p w14:paraId="00428607" w14:textId="77777777" w:rsidR="000A0354" w:rsidRDefault="000A0354" w:rsidP="00EF57A6">
      <w:pPr>
        <w:spacing w:line="360" w:lineRule="auto"/>
        <w:rPr>
          <w:rFonts w:ascii="Arial" w:hAnsi="Arial" w:cs="Arial"/>
          <w:b/>
          <w:bCs/>
          <w:sz w:val="22"/>
          <w:szCs w:val="22"/>
          <w:lang w:eastAsia="en-GB"/>
        </w:rPr>
      </w:pPr>
    </w:p>
    <w:p w14:paraId="4619F774" w14:textId="77777777" w:rsidR="000A0354" w:rsidRDefault="000A0354" w:rsidP="00EF57A6">
      <w:pPr>
        <w:spacing w:line="360" w:lineRule="auto"/>
        <w:rPr>
          <w:rFonts w:ascii="Arial" w:hAnsi="Arial" w:cs="Arial"/>
          <w:b/>
          <w:bCs/>
          <w:sz w:val="22"/>
          <w:szCs w:val="22"/>
          <w:lang w:eastAsia="en-GB"/>
        </w:rPr>
      </w:pPr>
    </w:p>
    <w:p w14:paraId="70EC520F" w14:textId="77777777" w:rsidR="000A0354" w:rsidRDefault="000A0354" w:rsidP="00EF57A6">
      <w:pPr>
        <w:spacing w:line="360" w:lineRule="auto"/>
        <w:rPr>
          <w:rFonts w:ascii="Arial" w:hAnsi="Arial" w:cs="Arial"/>
          <w:b/>
          <w:bCs/>
          <w:sz w:val="22"/>
          <w:szCs w:val="22"/>
          <w:lang w:eastAsia="en-GB"/>
        </w:rPr>
      </w:pPr>
    </w:p>
    <w:p w14:paraId="01657156" w14:textId="77777777" w:rsidR="000A0354" w:rsidRDefault="000A0354" w:rsidP="00EF57A6">
      <w:pPr>
        <w:spacing w:line="360" w:lineRule="auto"/>
        <w:rPr>
          <w:rFonts w:ascii="Arial" w:hAnsi="Arial" w:cs="Arial"/>
          <w:b/>
          <w:bCs/>
          <w:sz w:val="22"/>
          <w:szCs w:val="22"/>
          <w:lang w:eastAsia="en-GB"/>
        </w:rPr>
      </w:pPr>
    </w:p>
    <w:p w14:paraId="0A240E88" w14:textId="77777777" w:rsidR="000A0354" w:rsidRDefault="000A0354" w:rsidP="00EF57A6">
      <w:pPr>
        <w:spacing w:line="360" w:lineRule="auto"/>
        <w:rPr>
          <w:rFonts w:ascii="Arial" w:hAnsi="Arial" w:cs="Arial"/>
          <w:b/>
          <w:bCs/>
          <w:sz w:val="22"/>
          <w:szCs w:val="22"/>
          <w:lang w:eastAsia="en-GB"/>
        </w:rPr>
      </w:pPr>
    </w:p>
    <w:p w14:paraId="66445C89" w14:textId="77777777" w:rsidR="000A0354" w:rsidRDefault="000A0354" w:rsidP="00EF57A6">
      <w:pPr>
        <w:spacing w:line="360" w:lineRule="auto"/>
        <w:rPr>
          <w:rFonts w:ascii="Arial" w:hAnsi="Arial" w:cs="Arial"/>
          <w:b/>
          <w:bCs/>
          <w:sz w:val="22"/>
          <w:szCs w:val="22"/>
          <w:lang w:eastAsia="en-GB"/>
        </w:rPr>
      </w:pPr>
    </w:p>
    <w:p w14:paraId="530D5230" w14:textId="77777777" w:rsidR="000A0354" w:rsidRDefault="000A0354" w:rsidP="00EF57A6">
      <w:pPr>
        <w:spacing w:line="360" w:lineRule="auto"/>
        <w:rPr>
          <w:rFonts w:ascii="Arial" w:hAnsi="Arial" w:cs="Arial"/>
          <w:b/>
          <w:bCs/>
          <w:sz w:val="22"/>
          <w:szCs w:val="22"/>
          <w:lang w:eastAsia="en-GB"/>
        </w:rPr>
      </w:pPr>
    </w:p>
    <w:p w14:paraId="25DE0100" w14:textId="77777777" w:rsidR="000A0354" w:rsidRDefault="000A0354" w:rsidP="00EF57A6">
      <w:pPr>
        <w:spacing w:line="360" w:lineRule="auto"/>
        <w:rPr>
          <w:rFonts w:ascii="Arial" w:hAnsi="Arial" w:cs="Arial"/>
          <w:b/>
          <w:bCs/>
          <w:sz w:val="22"/>
          <w:szCs w:val="22"/>
          <w:lang w:eastAsia="en-GB"/>
        </w:rPr>
      </w:pPr>
    </w:p>
    <w:p w14:paraId="333FDFA6" w14:textId="77777777" w:rsidR="000A0354" w:rsidRDefault="000A0354" w:rsidP="00EF57A6">
      <w:pPr>
        <w:spacing w:line="360" w:lineRule="auto"/>
        <w:rPr>
          <w:rFonts w:ascii="Arial" w:hAnsi="Arial" w:cs="Arial"/>
          <w:b/>
          <w:bCs/>
          <w:sz w:val="22"/>
          <w:szCs w:val="22"/>
          <w:lang w:eastAsia="en-GB"/>
        </w:rPr>
      </w:pPr>
    </w:p>
    <w:p w14:paraId="53B0EE34" w14:textId="77777777" w:rsidR="000A0354" w:rsidRDefault="000A0354" w:rsidP="00EF57A6">
      <w:pPr>
        <w:spacing w:line="360" w:lineRule="auto"/>
        <w:rPr>
          <w:rFonts w:ascii="Arial" w:hAnsi="Arial" w:cs="Arial"/>
          <w:b/>
          <w:bCs/>
          <w:sz w:val="22"/>
          <w:szCs w:val="22"/>
          <w:lang w:eastAsia="en-GB"/>
        </w:rPr>
      </w:pPr>
    </w:p>
    <w:p w14:paraId="6B4AB676" w14:textId="77777777" w:rsidR="000A0354" w:rsidRDefault="000A0354" w:rsidP="00EF57A6">
      <w:pPr>
        <w:spacing w:line="360" w:lineRule="auto"/>
        <w:rPr>
          <w:rFonts w:ascii="Arial" w:hAnsi="Arial" w:cs="Arial"/>
          <w:b/>
          <w:bCs/>
          <w:sz w:val="22"/>
          <w:szCs w:val="22"/>
          <w:lang w:eastAsia="en-GB"/>
        </w:rPr>
      </w:pPr>
    </w:p>
    <w:p w14:paraId="33BA3757" w14:textId="77777777" w:rsidR="000A0354" w:rsidRDefault="000A0354" w:rsidP="00EF57A6">
      <w:pPr>
        <w:spacing w:line="360" w:lineRule="auto"/>
        <w:rPr>
          <w:rFonts w:ascii="Arial" w:hAnsi="Arial" w:cs="Arial"/>
          <w:b/>
          <w:bCs/>
          <w:sz w:val="22"/>
          <w:szCs w:val="22"/>
          <w:lang w:eastAsia="en-GB"/>
        </w:rPr>
      </w:pPr>
    </w:p>
    <w:p w14:paraId="6798202B" w14:textId="77777777" w:rsidR="000A0354" w:rsidRDefault="000A0354" w:rsidP="00EF57A6">
      <w:pPr>
        <w:spacing w:line="360" w:lineRule="auto"/>
        <w:rPr>
          <w:rFonts w:ascii="Arial" w:hAnsi="Arial" w:cs="Arial"/>
          <w:b/>
          <w:bCs/>
          <w:sz w:val="22"/>
          <w:szCs w:val="22"/>
          <w:lang w:eastAsia="en-GB"/>
        </w:rPr>
      </w:pPr>
    </w:p>
    <w:p w14:paraId="79481781" w14:textId="77777777" w:rsidR="000A0354" w:rsidRDefault="000A0354" w:rsidP="00EF57A6">
      <w:pPr>
        <w:spacing w:line="360" w:lineRule="auto"/>
        <w:rPr>
          <w:rFonts w:ascii="Arial" w:hAnsi="Arial" w:cs="Arial"/>
          <w:b/>
          <w:bCs/>
          <w:sz w:val="22"/>
          <w:szCs w:val="22"/>
          <w:lang w:eastAsia="en-GB"/>
        </w:rPr>
      </w:pPr>
    </w:p>
    <w:p w14:paraId="6C6F9E3C" w14:textId="012B682C" w:rsidR="005434D0" w:rsidRPr="00EF57A6" w:rsidRDefault="005434D0" w:rsidP="00EF57A6">
      <w:pPr>
        <w:spacing w:line="360" w:lineRule="auto"/>
        <w:rPr>
          <w:rFonts w:ascii="Arial" w:hAnsi="Arial" w:cs="Arial"/>
          <w:sz w:val="22"/>
          <w:szCs w:val="22"/>
          <w:lang w:eastAsia="en-GB"/>
        </w:rPr>
      </w:pPr>
      <w:r w:rsidRPr="00EF57A6">
        <w:rPr>
          <w:rFonts w:ascii="Arial" w:hAnsi="Arial" w:cs="Arial"/>
          <w:b/>
          <w:bCs/>
          <w:sz w:val="22"/>
          <w:szCs w:val="22"/>
          <w:lang w:eastAsia="en-GB"/>
        </w:rPr>
        <w:lastRenderedPageBreak/>
        <w:t>The Balanced Scorecard</w:t>
      </w:r>
      <w:r w:rsidRPr="00EF57A6">
        <w:rPr>
          <w:rFonts w:ascii="Arial" w:hAnsi="Arial" w:cs="Arial"/>
          <w:b/>
          <w:bCs/>
          <w:sz w:val="22"/>
          <w:szCs w:val="22"/>
          <w:lang w:eastAsia="en-GB"/>
        </w:rPr>
        <w:br/>
      </w:r>
      <w:r w:rsidRPr="00EF57A6">
        <w:rPr>
          <w:rFonts w:ascii="Arial" w:hAnsi="Arial" w:cs="Arial"/>
          <w:sz w:val="22"/>
          <w:szCs w:val="22"/>
          <w:lang w:eastAsia="en-GB"/>
        </w:rPr>
        <w:t>The Balanced Scorecard translates strategic objectives into a measurable framework for management review (Kaplan and Norton, 2017).</w:t>
      </w:r>
    </w:p>
    <w:tbl>
      <w:tblPr>
        <w:tblW w:w="0" w:type="auto"/>
        <w:tblCellMar>
          <w:top w:w="15" w:type="dxa"/>
          <w:left w:w="15" w:type="dxa"/>
          <w:bottom w:w="15" w:type="dxa"/>
          <w:right w:w="15" w:type="dxa"/>
        </w:tblCellMar>
        <w:tblLook w:val="04A0" w:firstRow="1" w:lastRow="0" w:firstColumn="1" w:lastColumn="0" w:noHBand="0" w:noVBand="1"/>
      </w:tblPr>
      <w:tblGrid>
        <w:gridCol w:w="1509"/>
        <w:gridCol w:w="2006"/>
        <w:gridCol w:w="1925"/>
        <w:gridCol w:w="1425"/>
        <w:gridCol w:w="2161"/>
      </w:tblGrid>
      <w:tr w:rsidR="00681A0D" w:rsidRPr="00EF57A6" w14:paraId="38B0E6F0" w14:textId="77777777" w:rsidTr="00681A0D">
        <w:trPr>
          <w:tblHeader/>
        </w:trPr>
        <w:tc>
          <w:tcPr>
            <w:tcW w:w="0" w:type="auto"/>
            <w:tcBorders>
              <w:top w:val="nil"/>
            </w:tcBorders>
            <w:tcMar>
              <w:top w:w="150" w:type="dxa"/>
              <w:left w:w="0" w:type="dxa"/>
              <w:bottom w:w="150" w:type="dxa"/>
              <w:right w:w="240" w:type="dxa"/>
            </w:tcMar>
            <w:vAlign w:val="center"/>
            <w:hideMark/>
          </w:tcPr>
          <w:p w14:paraId="4ADEBB89" w14:textId="77777777" w:rsidR="00681A0D" w:rsidRPr="00EF57A6" w:rsidRDefault="00681A0D" w:rsidP="00EF57A6">
            <w:pPr>
              <w:spacing w:line="360" w:lineRule="auto"/>
              <w:rPr>
                <w:rFonts w:ascii="Arial" w:hAnsi="Arial" w:cs="Arial"/>
                <w:sz w:val="22"/>
                <w:szCs w:val="22"/>
                <w:lang w:eastAsia="en-GB"/>
              </w:rPr>
            </w:pPr>
            <w:r w:rsidRPr="00EF57A6">
              <w:rPr>
                <w:rFonts w:ascii="Arial" w:hAnsi="Arial" w:cs="Arial"/>
                <w:sz w:val="22"/>
                <w:szCs w:val="22"/>
                <w:lang w:eastAsia="en-GB"/>
              </w:rPr>
              <w:t>Perspective</w:t>
            </w:r>
          </w:p>
        </w:tc>
        <w:tc>
          <w:tcPr>
            <w:tcW w:w="0" w:type="auto"/>
            <w:tcBorders>
              <w:top w:val="nil"/>
            </w:tcBorders>
            <w:tcMar>
              <w:top w:w="150" w:type="dxa"/>
              <w:left w:w="240" w:type="dxa"/>
              <w:bottom w:w="150" w:type="dxa"/>
              <w:right w:w="240" w:type="dxa"/>
            </w:tcMar>
            <w:vAlign w:val="center"/>
            <w:hideMark/>
          </w:tcPr>
          <w:p w14:paraId="5DCD5D58" w14:textId="77777777" w:rsidR="00681A0D" w:rsidRPr="00EF57A6" w:rsidRDefault="00681A0D" w:rsidP="00EF57A6">
            <w:pPr>
              <w:spacing w:line="360" w:lineRule="auto"/>
              <w:rPr>
                <w:rFonts w:ascii="Arial" w:hAnsi="Arial" w:cs="Arial"/>
                <w:sz w:val="22"/>
                <w:szCs w:val="22"/>
                <w:lang w:eastAsia="en-GB"/>
              </w:rPr>
            </w:pPr>
            <w:r w:rsidRPr="00EF57A6">
              <w:rPr>
                <w:rFonts w:ascii="Arial" w:hAnsi="Arial" w:cs="Arial"/>
                <w:sz w:val="22"/>
                <w:szCs w:val="22"/>
                <w:lang w:eastAsia="en-GB"/>
              </w:rPr>
              <w:t>Strategic Objective</w:t>
            </w:r>
          </w:p>
        </w:tc>
        <w:tc>
          <w:tcPr>
            <w:tcW w:w="0" w:type="auto"/>
            <w:tcBorders>
              <w:top w:val="nil"/>
            </w:tcBorders>
            <w:tcMar>
              <w:top w:w="150" w:type="dxa"/>
              <w:left w:w="240" w:type="dxa"/>
              <w:bottom w:w="150" w:type="dxa"/>
              <w:right w:w="240" w:type="dxa"/>
            </w:tcMar>
            <w:vAlign w:val="center"/>
            <w:hideMark/>
          </w:tcPr>
          <w:p w14:paraId="2A82EC5C" w14:textId="77777777" w:rsidR="00681A0D" w:rsidRPr="00EF57A6" w:rsidRDefault="00681A0D" w:rsidP="00EF57A6">
            <w:pPr>
              <w:spacing w:line="360" w:lineRule="auto"/>
              <w:rPr>
                <w:rFonts w:ascii="Arial" w:hAnsi="Arial" w:cs="Arial"/>
                <w:sz w:val="22"/>
                <w:szCs w:val="22"/>
                <w:lang w:eastAsia="en-GB"/>
              </w:rPr>
            </w:pPr>
            <w:r w:rsidRPr="00EF57A6">
              <w:rPr>
                <w:rFonts w:ascii="Arial" w:hAnsi="Arial" w:cs="Arial"/>
                <w:sz w:val="22"/>
                <w:szCs w:val="22"/>
                <w:lang w:eastAsia="en-GB"/>
              </w:rPr>
              <w:t>KPI</w:t>
            </w:r>
          </w:p>
        </w:tc>
        <w:tc>
          <w:tcPr>
            <w:tcW w:w="0" w:type="auto"/>
            <w:tcBorders>
              <w:top w:val="nil"/>
            </w:tcBorders>
            <w:tcMar>
              <w:top w:w="150" w:type="dxa"/>
              <w:left w:w="240" w:type="dxa"/>
              <w:bottom w:w="150" w:type="dxa"/>
              <w:right w:w="240" w:type="dxa"/>
            </w:tcMar>
            <w:vAlign w:val="center"/>
            <w:hideMark/>
          </w:tcPr>
          <w:p w14:paraId="7BB254C5" w14:textId="77777777" w:rsidR="00681A0D" w:rsidRPr="00EF57A6" w:rsidRDefault="00681A0D" w:rsidP="00EF57A6">
            <w:pPr>
              <w:spacing w:line="360" w:lineRule="auto"/>
              <w:rPr>
                <w:rFonts w:ascii="Arial" w:hAnsi="Arial" w:cs="Arial"/>
                <w:sz w:val="22"/>
                <w:szCs w:val="22"/>
                <w:lang w:eastAsia="en-GB"/>
              </w:rPr>
            </w:pPr>
            <w:r w:rsidRPr="00EF57A6">
              <w:rPr>
                <w:rFonts w:ascii="Arial" w:hAnsi="Arial" w:cs="Arial"/>
                <w:sz w:val="22"/>
                <w:szCs w:val="22"/>
                <w:lang w:eastAsia="en-GB"/>
              </w:rPr>
              <w:t>Target (12 Months)</w:t>
            </w:r>
          </w:p>
        </w:tc>
        <w:tc>
          <w:tcPr>
            <w:tcW w:w="0" w:type="auto"/>
            <w:tcBorders>
              <w:top w:val="nil"/>
            </w:tcBorders>
            <w:tcMar>
              <w:top w:w="150" w:type="dxa"/>
              <w:left w:w="240" w:type="dxa"/>
              <w:bottom w:w="150" w:type="dxa"/>
              <w:right w:w="240" w:type="dxa"/>
            </w:tcMar>
            <w:vAlign w:val="center"/>
            <w:hideMark/>
          </w:tcPr>
          <w:p w14:paraId="036AF11F" w14:textId="77777777" w:rsidR="00681A0D" w:rsidRPr="00EF57A6" w:rsidRDefault="00681A0D" w:rsidP="00EF57A6">
            <w:pPr>
              <w:spacing w:line="360" w:lineRule="auto"/>
              <w:rPr>
                <w:rFonts w:ascii="Arial" w:hAnsi="Arial" w:cs="Arial"/>
                <w:sz w:val="22"/>
                <w:szCs w:val="22"/>
                <w:lang w:eastAsia="en-GB"/>
              </w:rPr>
            </w:pPr>
            <w:r w:rsidRPr="00EF57A6">
              <w:rPr>
                <w:rFonts w:ascii="Arial" w:hAnsi="Arial" w:cs="Arial"/>
                <w:sz w:val="22"/>
                <w:szCs w:val="22"/>
                <w:lang w:eastAsia="en-GB"/>
              </w:rPr>
              <w:t>Key Initiative</w:t>
            </w:r>
          </w:p>
        </w:tc>
      </w:tr>
      <w:tr w:rsidR="00681A0D" w:rsidRPr="00EF57A6" w14:paraId="09D2C445" w14:textId="77777777" w:rsidTr="00681A0D">
        <w:tc>
          <w:tcPr>
            <w:tcW w:w="0" w:type="auto"/>
            <w:tcMar>
              <w:top w:w="150" w:type="dxa"/>
              <w:left w:w="0" w:type="dxa"/>
              <w:bottom w:w="150" w:type="dxa"/>
              <w:right w:w="240" w:type="dxa"/>
            </w:tcMar>
            <w:vAlign w:val="center"/>
            <w:hideMark/>
          </w:tcPr>
          <w:p w14:paraId="75985343" w14:textId="77777777" w:rsidR="00681A0D" w:rsidRPr="00EF57A6" w:rsidRDefault="00681A0D" w:rsidP="00EF57A6">
            <w:pPr>
              <w:spacing w:line="360" w:lineRule="auto"/>
              <w:rPr>
                <w:rFonts w:ascii="Arial" w:hAnsi="Arial" w:cs="Arial"/>
                <w:sz w:val="22"/>
                <w:szCs w:val="22"/>
                <w:lang w:eastAsia="en-GB"/>
              </w:rPr>
            </w:pPr>
            <w:r w:rsidRPr="00EF57A6">
              <w:rPr>
                <w:rFonts w:ascii="Arial" w:hAnsi="Arial" w:cs="Arial"/>
                <w:b/>
                <w:bCs/>
                <w:sz w:val="22"/>
                <w:szCs w:val="22"/>
                <w:lang w:eastAsia="en-GB"/>
              </w:rPr>
              <w:t>Financial</w:t>
            </w:r>
          </w:p>
        </w:tc>
        <w:tc>
          <w:tcPr>
            <w:tcW w:w="0" w:type="auto"/>
            <w:tcMar>
              <w:top w:w="150" w:type="dxa"/>
              <w:left w:w="240" w:type="dxa"/>
              <w:bottom w:w="150" w:type="dxa"/>
              <w:right w:w="240" w:type="dxa"/>
            </w:tcMar>
            <w:vAlign w:val="center"/>
            <w:hideMark/>
          </w:tcPr>
          <w:p w14:paraId="6FBF1584" w14:textId="77777777" w:rsidR="00681A0D" w:rsidRPr="00EF57A6" w:rsidRDefault="00681A0D" w:rsidP="00EF57A6">
            <w:pPr>
              <w:spacing w:line="360" w:lineRule="auto"/>
              <w:rPr>
                <w:rFonts w:ascii="Arial" w:hAnsi="Arial" w:cs="Arial"/>
                <w:sz w:val="22"/>
                <w:szCs w:val="22"/>
                <w:lang w:eastAsia="en-GB"/>
              </w:rPr>
            </w:pPr>
            <w:r w:rsidRPr="00EF57A6">
              <w:rPr>
                <w:rFonts w:ascii="Arial" w:hAnsi="Arial" w:cs="Arial"/>
                <w:sz w:val="22"/>
                <w:szCs w:val="22"/>
                <w:lang w:eastAsia="en-GB"/>
              </w:rPr>
              <w:t>Drive Profitable Growth</w:t>
            </w:r>
          </w:p>
        </w:tc>
        <w:tc>
          <w:tcPr>
            <w:tcW w:w="0" w:type="auto"/>
            <w:tcMar>
              <w:top w:w="150" w:type="dxa"/>
              <w:left w:w="240" w:type="dxa"/>
              <w:bottom w:w="150" w:type="dxa"/>
              <w:right w:w="240" w:type="dxa"/>
            </w:tcMar>
            <w:vAlign w:val="center"/>
            <w:hideMark/>
          </w:tcPr>
          <w:p w14:paraId="10A9639D" w14:textId="77777777" w:rsidR="00681A0D" w:rsidRPr="00EF57A6" w:rsidRDefault="00681A0D" w:rsidP="00EF57A6">
            <w:pPr>
              <w:spacing w:line="360" w:lineRule="auto"/>
              <w:rPr>
                <w:rFonts w:ascii="Arial" w:hAnsi="Arial" w:cs="Arial"/>
                <w:sz w:val="22"/>
                <w:szCs w:val="22"/>
                <w:lang w:eastAsia="en-GB"/>
              </w:rPr>
            </w:pPr>
            <w:r w:rsidRPr="00EF57A6">
              <w:rPr>
                <w:rFonts w:ascii="Arial" w:hAnsi="Arial" w:cs="Arial"/>
                <w:sz w:val="22"/>
                <w:szCs w:val="22"/>
                <w:lang w:eastAsia="en-GB"/>
              </w:rPr>
              <w:t>Sales Growth</w:t>
            </w:r>
            <w:r w:rsidRPr="00EF57A6">
              <w:rPr>
                <w:rFonts w:ascii="Arial" w:hAnsi="Arial" w:cs="Arial"/>
                <w:sz w:val="22"/>
                <w:szCs w:val="22"/>
                <w:lang w:eastAsia="en-GB"/>
              </w:rPr>
              <w:br/>
              <w:t>Gross Margin</w:t>
            </w:r>
          </w:p>
        </w:tc>
        <w:tc>
          <w:tcPr>
            <w:tcW w:w="0" w:type="auto"/>
            <w:tcMar>
              <w:top w:w="150" w:type="dxa"/>
              <w:left w:w="240" w:type="dxa"/>
              <w:bottom w:w="150" w:type="dxa"/>
              <w:right w:w="240" w:type="dxa"/>
            </w:tcMar>
            <w:vAlign w:val="center"/>
            <w:hideMark/>
          </w:tcPr>
          <w:p w14:paraId="4D5F3ED9" w14:textId="77777777" w:rsidR="00681A0D" w:rsidRPr="00EF57A6" w:rsidRDefault="00681A0D" w:rsidP="00EF57A6">
            <w:pPr>
              <w:spacing w:line="360" w:lineRule="auto"/>
              <w:rPr>
                <w:rFonts w:ascii="Arial" w:hAnsi="Arial" w:cs="Arial"/>
                <w:sz w:val="22"/>
                <w:szCs w:val="22"/>
                <w:lang w:eastAsia="en-GB"/>
              </w:rPr>
            </w:pPr>
            <w:r w:rsidRPr="00EF57A6">
              <w:rPr>
                <w:rFonts w:ascii="Arial" w:hAnsi="Arial" w:cs="Arial"/>
                <w:sz w:val="22"/>
                <w:szCs w:val="22"/>
                <w:lang w:eastAsia="en-GB"/>
              </w:rPr>
              <w:t>+4.5%</w:t>
            </w:r>
            <w:r w:rsidRPr="00EF57A6">
              <w:rPr>
                <w:rFonts w:ascii="Arial" w:hAnsi="Arial" w:cs="Arial"/>
                <w:sz w:val="22"/>
                <w:szCs w:val="22"/>
                <w:lang w:eastAsia="en-GB"/>
              </w:rPr>
              <w:br/>
              <w:t>+0.3%</w:t>
            </w:r>
          </w:p>
        </w:tc>
        <w:tc>
          <w:tcPr>
            <w:tcW w:w="0" w:type="auto"/>
            <w:tcMar>
              <w:top w:w="150" w:type="dxa"/>
              <w:left w:w="240" w:type="dxa"/>
              <w:bottom w:w="150" w:type="dxa"/>
              <w:right w:w="0" w:type="dxa"/>
            </w:tcMar>
            <w:vAlign w:val="center"/>
            <w:hideMark/>
          </w:tcPr>
          <w:p w14:paraId="59FAE93E" w14:textId="77777777" w:rsidR="00681A0D" w:rsidRPr="00EF57A6" w:rsidRDefault="00681A0D" w:rsidP="00EF57A6">
            <w:pPr>
              <w:spacing w:line="360" w:lineRule="auto"/>
              <w:rPr>
                <w:rFonts w:ascii="Arial" w:hAnsi="Arial" w:cs="Arial"/>
                <w:sz w:val="22"/>
                <w:szCs w:val="22"/>
                <w:lang w:eastAsia="en-GB"/>
              </w:rPr>
            </w:pPr>
            <w:r w:rsidRPr="00EF57A6">
              <w:rPr>
                <w:rFonts w:ascii="Arial" w:hAnsi="Arial" w:cs="Arial"/>
                <w:sz w:val="22"/>
                <w:szCs w:val="22"/>
                <w:lang w:eastAsia="en-GB"/>
              </w:rPr>
              <w:t>Premium Own-Brand Push; Cost Efficiency Programme</w:t>
            </w:r>
          </w:p>
        </w:tc>
      </w:tr>
      <w:tr w:rsidR="00681A0D" w:rsidRPr="00EF57A6" w14:paraId="5E64F1EB" w14:textId="77777777" w:rsidTr="00681A0D">
        <w:tc>
          <w:tcPr>
            <w:tcW w:w="0" w:type="auto"/>
            <w:tcMar>
              <w:top w:w="150" w:type="dxa"/>
              <w:left w:w="0" w:type="dxa"/>
              <w:bottom w:w="150" w:type="dxa"/>
              <w:right w:w="240" w:type="dxa"/>
            </w:tcMar>
            <w:vAlign w:val="center"/>
            <w:hideMark/>
          </w:tcPr>
          <w:p w14:paraId="75C04F40" w14:textId="77777777" w:rsidR="00681A0D" w:rsidRPr="00EF57A6" w:rsidRDefault="00681A0D" w:rsidP="00EF57A6">
            <w:pPr>
              <w:spacing w:line="360" w:lineRule="auto"/>
              <w:rPr>
                <w:rFonts w:ascii="Arial" w:hAnsi="Arial" w:cs="Arial"/>
                <w:sz w:val="22"/>
                <w:szCs w:val="22"/>
                <w:lang w:eastAsia="en-GB"/>
              </w:rPr>
            </w:pPr>
            <w:r w:rsidRPr="00EF57A6">
              <w:rPr>
                <w:rFonts w:ascii="Arial" w:hAnsi="Arial" w:cs="Arial"/>
                <w:b/>
                <w:bCs/>
                <w:sz w:val="22"/>
                <w:szCs w:val="22"/>
                <w:lang w:eastAsia="en-GB"/>
              </w:rPr>
              <w:t>Customer</w:t>
            </w:r>
          </w:p>
        </w:tc>
        <w:tc>
          <w:tcPr>
            <w:tcW w:w="0" w:type="auto"/>
            <w:tcMar>
              <w:top w:w="150" w:type="dxa"/>
              <w:left w:w="240" w:type="dxa"/>
              <w:bottom w:w="150" w:type="dxa"/>
              <w:right w:w="240" w:type="dxa"/>
            </w:tcMar>
            <w:vAlign w:val="center"/>
            <w:hideMark/>
          </w:tcPr>
          <w:p w14:paraId="6DAD2F53" w14:textId="77777777" w:rsidR="00681A0D" w:rsidRPr="00EF57A6" w:rsidRDefault="00681A0D" w:rsidP="00EF57A6">
            <w:pPr>
              <w:spacing w:line="360" w:lineRule="auto"/>
              <w:rPr>
                <w:rFonts w:ascii="Arial" w:hAnsi="Arial" w:cs="Arial"/>
                <w:sz w:val="22"/>
                <w:szCs w:val="22"/>
                <w:lang w:eastAsia="en-GB"/>
              </w:rPr>
            </w:pPr>
            <w:r w:rsidRPr="00EF57A6">
              <w:rPr>
                <w:rFonts w:ascii="Arial" w:hAnsi="Arial" w:cs="Arial"/>
                <w:sz w:val="22"/>
                <w:szCs w:val="22"/>
                <w:lang w:eastAsia="en-GB"/>
              </w:rPr>
              <w:t>Deepen Loyalty &amp; Engagement</w:t>
            </w:r>
          </w:p>
        </w:tc>
        <w:tc>
          <w:tcPr>
            <w:tcW w:w="0" w:type="auto"/>
            <w:tcMar>
              <w:top w:w="150" w:type="dxa"/>
              <w:left w:w="240" w:type="dxa"/>
              <w:bottom w:w="150" w:type="dxa"/>
              <w:right w:w="240" w:type="dxa"/>
            </w:tcMar>
            <w:vAlign w:val="center"/>
            <w:hideMark/>
          </w:tcPr>
          <w:p w14:paraId="27FD84B5" w14:textId="77777777" w:rsidR="00681A0D" w:rsidRPr="00EF57A6" w:rsidRDefault="00681A0D" w:rsidP="00EF57A6">
            <w:pPr>
              <w:spacing w:line="360" w:lineRule="auto"/>
              <w:rPr>
                <w:rFonts w:ascii="Arial" w:hAnsi="Arial" w:cs="Arial"/>
                <w:sz w:val="22"/>
                <w:szCs w:val="22"/>
                <w:lang w:eastAsia="en-GB"/>
              </w:rPr>
            </w:pPr>
            <w:r w:rsidRPr="00EF57A6">
              <w:rPr>
                <w:rFonts w:ascii="Arial" w:hAnsi="Arial" w:cs="Arial"/>
                <w:sz w:val="22"/>
                <w:szCs w:val="22"/>
                <w:lang w:eastAsia="en-GB"/>
              </w:rPr>
              <w:t>Clubcard Active Users</w:t>
            </w:r>
            <w:r w:rsidRPr="00EF57A6">
              <w:rPr>
                <w:rFonts w:ascii="Arial" w:hAnsi="Arial" w:cs="Arial"/>
                <w:sz w:val="22"/>
                <w:szCs w:val="22"/>
                <w:lang w:eastAsia="en-GB"/>
              </w:rPr>
              <w:br/>
              <w:t>NPS</w:t>
            </w:r>
          </w:p>
        </w:tc>
        <w:tc>
          <w:tcPr>
            <w:tcW w:w="0" w:type="auto"/>
            <w:tcMar>
              <w:top w:w="150" w:type="dxa"/>
              <w:left w:w="240" w:type="dxa"/>
              <w:bottom w:w="150" w:type="dxa"/>
              <w:right w:w="240" w:type="dxa"/>
            </w:tcMar>
            <w:vAlign w:val="center"/>
            <w:hideMark/>
          </w:tcPr>
          <w:p w14:paraId="43D8C97A" w14:textId="77777777" w:rsidR="00681A0D" w:rsidRPr="00EF57A6" w:rsidRDefault="00681A0D" w:rsidP="00EF57A6">
            <w:pPr>
              <w:spacing w:line="360" w:lineRule="auto"/>
              <w:rPr>
                <w:rFonts w:ascii="Arial" w:hAnsi="Arial" w:cs="Arial"/>
                <w:sz w:val="22"/>
                <w:szCs w:val="22"/>
                <w:lang w:eastAsia="en-GB"/>
              </w:rPr>
            </w:pPr>
            <w:r w:rsidRPr="00EF57A6">
              <w:rPr>
                <w:rFonts w:ascii="Arial" w:hAnsi="Arial" w:cs="Arial"/>
                <w:sz w:val="22"/>
                <w:szCs w:val="22"/>
                <w:lang w:eastAsia="en-GB"/>
              </w:rPr>
              <w:t>+7%</w:t>
            </w:r>
            <w:r w:rsidRPr="00EF57A6">
              <w:rPr>
                <w:rFonts w:ascii="Arial" w:hAnsi="Arial" w:cs="Arial"/>
                <w:sz w:val="22"/>
                <w:szCs w:val="22"/>
                <w:lang w:eastAsia="en-GB"/>
              </w:rPr>
              <w:br/>
              <w:t>+10 Points</w:t>
            </w:r>
          </w:p>
        </w:tc>
        <w:tc>
          <w:tcPr>
            <w:tcW w:w="0" w:type="auto"/>
            <w:tcMar>
              <w:top w:w="150" w:type="dxa"/>
              <w:left w:w="240" w:type="dxa"/>
              <w:bottom w:w="150" w:type="dxa"/>
              <w:right w:w="0" w:type="dxa"/>
            </w:tcMar>
            <w:vAlign w:val="center"/>
            <w:hideMark/>
          </w:tcPr>
          <w:p w14:paraId="6EB63039" w14:textId="77777777" w:rsidR="00681A0D" w:rsidRPr="00EF57A6" w:rsidRDefault="00681A0D" w:rsidP="00EF57A6">
            <w:pPr>
              <w:spacing w:line="360" w:lineRule="auto"/>
              <w:rPr>
                <w:rFonts w:ascii="Arial" w:hAnsi="Arial" w:cs="Arial"/>
                <w:sz w:val="22"/>
                <w:szCs w:val="22"/>
                <w:lang w:eastAsia="en-GB"/>
              </w:rPr>
            </w:pPr>
            <w:r w:rsidRPr="00EF57A6">
              <w:rPr>
                <w:rFonts w:ascii="Arial" w:hAnsi="Arial" w:cs="Arial"/>
                <w:sz w:val="22"/>
                <w:szCs w:val="22"/>
                <w:lang w:eastAsia="en-GB"/>
              </w:rPr>
              <w:t>Hyper-Personalised Offers; Customer Experience Training</w:t>
            </w:r>
          </w:p>
        </w:tc>
      </w:tr>
      <w:tr w:rsidR="00681A0D" w:rsidRPr="00EF57A6" w14:paraId="0D460960" w14:textId="77777777" w:rsidTr="00681A0D">
        <w:tc>
          <w:tcPr>
            <w:tcW w:w="0" w:type="auto"/>
            <w:tcMar>
              <w:top w:w="150" w:type="dxa"/>
              <w:left w:w="0" w:type="dxa"/>
              <w:bottom w:w="150" w:type="dxa"/>
              <w:right w:w="240" w:type="dxa"/>
            </w:tcMar>
            <w:vAlign w:val="center"/>
            <w:hideMark/>
          </w:tcPr>
          <w:p w14:paraId="61A19DE9" w14:textId="77777777" w:rsidR="00681A0D" w:rsidRPr="00EF57A6" w:rsidRDefault="00681A0D" w:rsidP="00EF57A6">
            <w:pPr>
              <w:spacing w:line="360" w:lineRule="auto"/>
              <w:rPr>
                <w:rFonts w:ascii="Arial" w:hAnsi="Arial" w:cs="Arial"/>
                <w:sz w:val="22"/>
                <w:szCs w:val="22"/>
                <w:lang w:eastAsia="en-GB"/>
              </w:rPr>
            </w:pPr>
            <w:r w:rsidRPr="00EF57A6">
              <w:rPr>
                <w:rFonts w:ascii="Arial" w:hAnsi="Arial" w:cs="Arial"/>
                <w:b/>
                <w:bCs/>
                <w:sz w:val="22"/>
                <w:szCs w:val="22"/>
                <w:lang w:eastAsia="en-GB"/>
              </w:rPr>
              <w:t>Internal Process</w:t>
            </w:r>
          </w:p>
        </w:tc>
        <w:tc>
          <w:tcPr>
            <w:tcW w:w="0" w:type="auto"/>
            <w:tcMar>
              <w:top w:w="150" w:type="dxa"/>
              <w:left w:w="240" w:type="dxa"/>
              <w:bottom w:w="150" w:type="dxa"/>
              <w:right w:w="240" w:type="dxa"/>
            </w:tcMar>
            <w:vAlign w:val="center"/>
            <w:hideMark/>
          </w:tcPr>
          <w:p w14:paraId="1033CFCF" w14:textId="77777777" w:rsidR="00681A0D" w:rsidRPr="00EF57A6" w:rsidRDefault="00681A0D" w:rsidP="00EF57A6">
            <w:pPr>
              <w:spacing w:line="360" w:lineRule="auto"/>
              <w:rPr>
                <w:rFonts w:ascii="Arial" w:hAnsi="Arial" w:cs="Arial"/>
                <w:sz w:val="22"/>
                <w:szCs w:val="22"/>
                <w:lang w:eastAsia="en-GB"/>
              </w:rPr>
            </w:pPr>
            <w:r w:rsidRPr="00EF57A6">
              <w:rPr>
                <w:rFonts w:ascii="Arial" w:hAnsi="Arial" w:cs="Arial"/>
                <w:sz w:val="22"/>
                <w:szCs w:val="22"/>
                <w:lang w:eastAsia="en-GB"/>
              </w:rPr>
              <w:t>Enhance Operational Excellence</w:t>
            </w:r>
          </w:p>
        </w:tc>
        <w:tc>
          <w:tcPr>
            <w:tcW w:w="0" w:type="auto"/>
            <w:tcMar>
              <w:top w:w="150" w:type="dxa"/>
              <w:left w:w="240" w:type="dxa"/>
              <w:bottom w:w="150" w:type="dxa"/>
              <w:right w:w="240" w:type="dxa"/>
            </w:tcMar>
            <w:vAlign w:val="center"/>
            <w:hideMark/>
          </w:tcPr>
          <w:p w14:paraId="2EB7FBB6" w14:textId="77777777" w:rsidR="00681A0D" w:rsidRPr="00EF57A6" w:rsidRDefault="00681A0D" w:rsidP="00EF57A6">
            <w:pPr>
              <w:spacing w:line="360" w:lineRule="auto"/>
              <w:rPr>
                <w:rFonts w:ascii="Arial" w:hAnsi="Arial" w:cs="Arial"/>
                <w:sz w:val="22"/>
                <w:szCs w:val="22"/>
                <w:lang w:eastAsia="en-GB"/>
              </w:rPr>
            </w:pPr>
            <w:r w:rsidRPr="00EF57A6">
              <w:rPr>
                <w:rFonts w:ascii="Arial" w:hAnsi="Arial" w:cs="Arial"/>
                <w:sz w:val="22"/>
                <w:szCs w:val="22"/>
                <w:lang w:eastAsia="en-GB"/>
              </w:rPr>
              <w:t>Product Availability</w:t>
            </w:r>
            <w:r w:rsidRPr="00EF57A6">
              <w:rPr>
                <w:rFonts w:ascii="Arial" w:hAnsi="Arial" w:cs="Arial"/>
                <w:sz w:val="22"/>
                <w:szCs w:val="22"/>
                <w:lang w:eastAsia="en-GB"/>
              </w:rPr>
              <w:br/>
              <w:t>Online Fulfilment Accuracy</w:t>
            </w:r>
          </w:p>
        </w:tc>
        <w:tc>
          <w:tcPr>
            <w:tcW w:w="0" w:type="auto"/>
            <w:tcMar>
              <w:top w:w="150" w:type="dxa"/>
              <w:left w:w="240" w:type="dxa"/>
              <w:bottom w:w="150" w:type="dxa"/>
              <w:right w:w="240" w:type="dxa"/>
            </w:tcMar>
            <w:vAlign w:val="center"/>
            <w:hideMark/>
          </w:tcPr>
          <w:p w14:paraId="634041D8" w14:textId="77777777" w:rsidR="00681A0D" w:rsidRPr="00EF57A6" w:rsidRDefault="00681A0D" w:rsidP="00EF57A6">
            <w:pPr>
              <w:spacing w:line="360" w:lineRule="auto"/>
              <w:rPr>
                <w:rFonts w:ascii="Arial" w:hAnsi="Arial" w:cs="Arial"/>
                <w:sz w:val="22"/>
                <w:szCs w:val="22"/>
                <w:lang w:eastAsia="en-GB"/>
              </w:rPr>
            </w:pPr>
            <w:r w:rsidRPr="00EF57A6">
              <w:rPr>
                <w:rFonts w:ascii="Arial" w:hAnsi="Arial" w:cs="Arial"/>
                <w:sz w:val="22"/>
                <w:szCs w:val="22"/>
                <w:lang w:eastAsia="en-GB"/>
              </w:rPr>
              <w:t>98.8%</w:t>
            </w:r>
            <w:r w:rsidRPr="00EF57A6">
              <w:rPr>
                <w:rFonts w:ascii="Arial" w:hAnsi="Arial" w:cs="Arial"/>
                <w:sz w:val="22"/>
                <w:szCs w:val="22"/>
                <w:lang w:eastAsia="en-GB"/>
              </w:rPr>
              <w:br/>
              <w:t>99.5%</w:t>
            </w:r>
          </w:p>
        </w:tc>
        <w:tc>
          <w:tcPr>
            <w:tcW w:w="0" w:type="auto"/>
            <w:tcMar>
              <w:top w:w="150" w:type="dxa"/>
              <w:left w:w="240" w:type="dxa"/>
              <w:bottom w:w="150" w:type="dxa"/>
              <w:right w:w="0" w:type="dxa"/>
            </w:tcMar>
            <w:vAlign w:val="center"/>
            <w:hideMark/>
          </w:tcPr>
          <w:p w14:paraId="332AD54F" w14:textId="77777777" w:rsidR="00681A0D" w:rsidRPr="00EF57A6" w:rsidRDefault="00681A0D" w:rsidP="00EF57A6">
            <w:pPr>
              <w:spacing w:line="360" w:lineRule="auto"/>
              <w:rPr>
                <w:rFonts w:ascii="Arial" w:hAnsi="Arial" w:cs="Arial"/>
                <w:sz w:val="22"/>
                <w:szCs w:val="22"/>
                <w:lang w:eastAsia="en-GB"/>
              </w:rPr>
            </w:pPr>
            <w:r w:rsidRPr="00EF57A6">
              <w:rPr>
                <w:rFonts w:ascii="Arial" w:hAnsi="Arial" w:cs="Arial"/>
                <w:sz w:val="22"/>
                <w:szCs w:val="22"/>
                <w:lang w:eastAsia="en-GB"/>
              </w:rPr>
              <w:t>Supply Chain Analytics Investment; Dark Store Pilots</w:t>
            </w:r>
          </w:p>
        </w:tc>
      </w:tr>
      <w:tr w:rsidR="00681A0D" w:rsidRPr="00EF57A6" w14:paraId="12C70DE4" w14:textId="77777777" w:rsidTr="00681A0D">
        <w:tc>
          <w:tcPr>
            <w:tcW w:w="0" w:type="auto"/>
            <w:tcMar>
              <w:top w:w="150" w:type="dxa"/>
              <w:left w:w="0" w:type="dxa"/>
              <w:bottom w:w="150" w:type="dxa"/>
              <w:right w:w="240" w:type="dxa"/>
            </w:tcMar>
            <w:vAlign w:val="center"/>
            <w:hideMark/>
          </w:tcPr>
          <w:p w14:paraId="52E25AE6" w14:textId="77777777" w:rsidR="00681A0D" w:rsidRPr="00EF57A6" w:rsidRDefault="00681A0D" w:rsidP="00EF57A6">
            <w:pPr>
              <w:spacing w:line="360" w:lineRule="auto"/>
              <w:rPr>
                <w:rFonts w:ascii="Arial" w:hAnsi="Arial" w:cs="Arial"/>
                <w:sz w:val="22"/>
                <w:szCs w:val="22"/>
                <w:lang w:eastAsia="en-GB"/>
              </w:rPr>
            </w:pPr>
            <w:r w:rsidRPr="00EF57A6">
              <w:rPr>
                <w:rFonts w:ascii="Arial" w:hAnsi="Arial" w:cs="Arial"/>
                <w:b/>
                <w:bCs/>
                <w:sz w:val="22"/>
                <w:szCs w:val="22"/>
                <w:lang w:eastAsia="en-GB"/>
              </w:rPr>
              <w:t>Learning &amp; Growth</w:t>
            </w:r>
          </w:p>
        </w:tc>
        <w:tc>
          <w:tcPr>
            <w:tcW w:w="0" w:type="auto"/>
            <w:tcMar>
              <w:top w:w="150" w:type="dxa"/>
              <w:left w:w="240" w:type="dxa"/>
              <w:bottom w:w="150" w:type="dxa"/>
              <w:right w:w="240" w:type="dxa"/>
            </w:tcMar>
            <w:vAlign w:val="center"/>
            <w:hideMark/>
          </w:tcPr>
          <w:p w14:paraId="50C61E24" w14:textId="77777777" w:rsidR="00681A0D" w:rsidRPr="00EF57A6" w:rsidRDefault="00681A0D" w:rsidP="00EF57A6">
            <w:pPr>
              <w:spacing w:line="360" w:lineRule="auto"/>
              <w:rPr>
                <w:rFonts w:ascii="Arial" w:hAnsi="Arial" w:cs="Arial"/>
                <w:sz w:val="22"/>
                <w:szCs w:val="22"/>
                <w:lang w:eastAsia="en-GB"/>
              </w:rPr>
            </w:pPr>
            <w:r w:rsidRPr="00EF57A6">
              <w:rPr>
                <w:rFonts w:ascii="Arial" w:hAnsi="Arial" w:cs="Arial"/>
                <w:sz w:val="22"/>
                <w:szCs w:val="22"/>
                <w:lang w:eastAsia="en-GB"/>
              </w:rPr>
              <w:t>Foster a Capable Workforce</w:t>
            </w:r>
          </w:p>
        </w:tc>
        <w:tc>
          <w:tcPr>
            <w:tcW w:w="0" w:type="auto"/>
            <w:tcMar>
              <w:top w:w="150" w:type="dxa"/>
              <w:left w:w="240" w:type="dxa"/>
              <w:bottom w:w="150" w:type="dxa"/>
              <w:right w:w="240" w:type="dxa"/>
            </w:tcMar>
            <w:vAlign w:val="center"/>
            <w:hideMark/>
          </w:tcPr>
          <w:p w14:paraId="5B7F3D31" w14:textId="77777777" w:rsidR="00681A0D" w:rsidRPr="00EF57A6" w:rsidRDefault="00681A0D" w:rsidP="00EF57A6">
            <w:pPr>
              <w:spacing w:line="360" w:lineRule="auto"/>
              <w:rPr>
                <w:rFonts w:ascii="Arial" w:hAnsi="Arial" w:cs="Arial"/>
                <w:sz w:val="22"/>
                <w:szCs w:val="22"/>
                <w:lang w:eastAsia="en-GB"/>
              </w:rPr>
            </w:pPr>
            <w:r w:rsidRPr="00EF57A6">
              <w:rPr>
                <w:rFonts w:ascii="Arial" w:hAnsi="Arial" w:cs="Arial"/>
                <w:sz w:val="22"/>
                <w:szCs w:val="22"/>
                <w:lang w:eastAsia="en-GB"/>
              </w:rPr>
              <w:t>Employee Engagement</w:t>
            </w:r>
            <w:r w:rsidRPr="00EF57A6">
              <w:rPr>
                <w:rFonts w:ascii="Arial" w:hAnsi="Arial" w:cs="Arial"/>
                <w:sz w:val="22"/>
                <w:szCs w:val="22"/>
                <w:lang w:eastAsia="en-GB"/>
              </w:rPr>
              <w:br/>
              <w:t>Digital Training Completion</w:t>
            </w:r>
          </w:p>
        </w:tc>
        <w:tc>
          <w:tcPr>
            <w:tcW w:w="0" w:type="auto"/>
            <w:tcMar>
              <w:top w:w="150" w:type="dxa"/>
              <w:left w:w="240" w:type="dxa"/>
              <w:bottom w:w="150" w:type="dxa"/>
              <w:right w:w="240" w:type="dxa"/>
            </w:tcMar>
            <w:vAlign w:val="center"/>
            <w:hideMark/>
          </w:tcPr>
          <w:p w14:paraId="3B5B7324" w14:textId="77777777" w:rsidR="00681A0D" w:rsidRPr="00EF57A6" w:rsidRDefault="00681A0D" w:rsidP="00EF57A6">
            <w:pPr>
              <w:spacing w:line="360" w:lineRule="auto"/>
              <w:rPr>
                <w:rFonts w:ascii="Arial" w:hAnsi="Arial" w:cs="Arial"/>
                <w:sz w:val="22"/>
                <w:szCs w:val="22"/>
                <w:lang w:eastAsia="en-GB"/>
              </w:rPr>
            </w:pPr>
            <w:r w:rsidRPr="00EF57A6">
              <w:rPr>
                <w:rFonts w:ascii="Arial" w:hAnsi="Arial" w:cs="Arial"/>
                <w:sz w:val="22"/>
                <w:szCs w:val="22"/>
                <w:lang w:eastAsia="en-GB"/>
              </w:rPr>
              <w:t>82% Positive</w:t>
            </w:r>
            <w:r w:rsidRPr="00EF57A6">
              <w:rPr>
                <w:rFonts w:ascii="Arial" w:hAnsi="Arial" w:cs="Arial"/>
                <w:sz w:val="22"/>
                <w:szCs w:val="22"/>
                <w:lang w:eastAsia="en-GB"/>
              </w:rPr>
              <w:br/>
              <w:t>95%</w:t>
            </w:r>
          </w:p>
        </w:tc>
        <w:tc>
          <w:tcPr>
            <w:tcW w:w="0" w:type="auto"/>
            <w:tcMar>
              <w:top w:w="150" w:type="dxa"/>
              <w:left w:w="240" w:type="dxa"/>
              <w:bottom w:w="150" w:type="dxa"/>
              <w:right w:w="0" w:type="dxa"/>
            </w:tcMar>
            <w:vAlign w:val="center"/>
            <w:hideMark/>
          </w:tcPr>
          <w:p w14:paraId="3E5D0CF6" w14:textId="77777777" w:rsidR="00681A0D" w:rsidRPr="00EF57A6" w:rsidRDefault="00681A0D" w:rsidP="00EF57A6">
            <w:pPr>
              <w:spacing w:line="360" w:lineRule="auto"/>
              <w:rPr>
                <w:rFonts w:ascii="Arial" w:hAnsi="Arial" w:cs="Arial"/>
                <w:sz w:val="22"/>
                <w:szCs w:val="22"/>
                <w:lang w:eastAsia="en-GB"/>
              </w:rPr>
            </w:pPr>
            <w:r w:rsidRPr="00EF57A6">
              <w:rPr>
                <w:rFonts w:ascii="Arial" w:hAnsi="Arial" w:cs="Arial"/>
                <w:sz w:val="22"/>
                <w:szCs w:val="22"/>
                <w:lang w:eastAsia="en-GB"/>
              </w:rPr>
              <w:t>New LMS Launch; Leadership Development Programme</w:t>
            </w:r>
          </w:p>
        </w:tc>
      </w:tr>
    </w:tbl>
    <w:p w14:paraId="796C931B" w14:textId="46ADE4F5" w:rsidR="00681A0D" w:rsidRPr="00EF57A6" w:rsidRDefault="00681A0D" w:rsidP="00EF57A6">
      <w:pPr>
        <w:spacing w:line="360" w:lineRule="auto"/>
        <w:rPr>
          <w:rFonts w:ascii="Arial" w:hAnsi="Arial" w:cs="Arial"/>
          <w:sz w:val="22"/>
          <w:szCs w:val="22"/>
          <w:lang w:eastAsia="en-GB"/>
        </w:rPr>
      </w:pPr>
      <w:r w:rsidRPr="00EF57A6">
        <w:rPr>
          <w:rFonts w:ascii="Arial" w:hAnsi="Arial" w:cs="Arial"/>
          <w:sz w:val="22"/>
          <w:szCs w:val="22"/>
          <w:lang w:eastAsia="en-GB"/>
        </w:rPr>
        <w:t>This scorecard should be reviewed quarterly by the senior leadership team to assess progress, identify variances, and authorise necessary tactical adjustments to the plan, ensuring it remains agile and responsive to market dynamics (Kaplan and Norton, 20</w:t>
      </w:r>
      <w:r w:rsidR="00C200F0" w:rsidRPr="00EF57A6">
        <w:rPr>
          <w:rFonts w:ascii="Arial" w:hAnsi="Arial" w:cs="Arial"/>
          <w:sz w:val="22"/>
          <w:szCs w:val="22"/>
          <w:lang w:eastAsia="en-GB"/>
        </w:rPr>
        <w:t>17</w:t>
      </w:r>
      <w:r w:rsidRPr="00EF57A6">
        <w:rPr>
          <w:rFonts w:ascii="Arial" w:hAnsi="Arial" w:cs="Arial"/>
          <w:sz w:val="22"/>
          <w:szCs w:val="22"/>
          <w:lang w:eastAsia="en-GB"/>
        </w:rPr>
        <w:t>).</w:t>
      </w:r>
    </w:p>
    <w:p w14:paraId="6B7ED0ED" w14:textId="77777777" w:rsidR="00477092" w:rsidRDefault="00477092" w:rsidP="00681A0D">
      <w:pPr>
        <w:shd w:val="clear" w:color="auto" w:fill="FFFFFF"/>
        <w:spacing w:before="480" w:after="240" w:line="450" w:lineRule="atLeast"/>
        <w:outlineLvl w:val="2"/>
        <w:rPr>
          <w:rFonts w:ascii="Segoe UI" w:eastAsia="Times New Roman" w:hAnsi="Segoe UI" w:cs="Segoe UI"/>
          <w:b/>
          <w:bCs/>
          <w:color w:val="0F1115"/>
          <w:kern w:val="0"/>
          <w:sz w:val="30"/>
          <w:szCs w:val="30"/>
          <w:lang w:eastAsia="en-GB"/>
          <w14:ligatures w14:val="none"/>
        </w:rPr>
      </w:pPr>
    </w:p>
    <w:p w14:paraId="013539ED" w14:textId="0FE039DF" w:rsidR="00AF4F7B" w:rsidRPr="00AF4F7B" w:rsidRDefault="001E2A0C" w:rsidP="00AF4F7B">
      <w:pPr>
        <w:pStyle w:val="Heading1"/>
        <w:numPr>
          <w:ilvl w:val="0"/>
          <w:numId w:val="24"/>
        </w:numPr>
        <w:rPr>
          <w:rStyle w:val="Heading2Char"/>
          <w:rFonts w:ascii="Arial" w:hAnsi="Arial" w:cs="Arial"/>
          <w:sz w:val="40"/>
          <w:szCs w:val="40"/>
        </w:rPr>
      </w:pPr>
      <w:bookmarkStart w:id="6" w:name="_Toc212964888"/>
      <w:r w:rsidRPr="00AF4F7B">
        <w:rPr>
          <w:rStyle w:val="Heading2Char"/>
          <w:rFonts w:ascii="Arial" w:hAnsi="Arial" w:cs="Arial"/>
          <w:sz w:val="40"/>
          <w:szCs w:val="40"/>
        </w:rPr>
        <w:t>Conclusion</w:t>
      </w:r>
      <w:bookmarkEnd w:id="6"/>
    </w:p>
    <w:p w14:paraId="57C82D09" w14:textId="5F98BA70" w:rsidR="001E2A0C" w:rsidRPr="00AF4F7B" w:rsidRDefault="001E2A0C" w:rsidP="00236170">
      <w:pPr>
        <w:spacing w:line="360" w:lineRule="auto"/>
        <w:rPr>
          <w:rFonts w:ascii="Arial" w:eastAsiaTheme="majorEastAsia" w:hAnsi="Arial" w:cs="Arial"/>
          <w:color w:val="0F4761" w:themeColor="accent1" w:themeShade="BF"/>
          <w:sz w:val="22"/>
          <w:szCs w:val="22"/>
          <w:lang w:eastAsia="en-GB"/>
        </w:rPr>
      </w:pPr>
      <w:r w:rsidRPr="00AF4F7B">
        <w:rPr>
          <w:rFonts w:ascii="Segoe UI" w:hAnsi="Segoe UI" w:cs="Segoe UI"/>
          <w:b/>
          <w:bCs/>
          <w:sz w:val="30"/>
          <w:szCs w:val="30"/>
          <w:lang w:eastAsia="en-GB"/>
        </w:rPr>
        <w:br/>
      </w:r>
      <w:r w:rsidRPr="00AF4F7B">
        <w:rPr>
          <w:rFonts w:ascii="Arial" w:hAnsi="Arial" w:cs="Arial"/>
          <w:sz w:val="22"/>
          <w:szCs w:val="22"/>
          <w:lang w:eastAsia="en-GB"/>
        </w:rPr>
        <w:t>This marketing plan has delineated a clear path forward for Tesco in a fiercely competitive and rapidly evolving market. The analysis confirms that Tesco's formidable strengths</w:t>
      </w:r>
      <w:r w:rsidR="00E832FB" w:rsidRPr="00AF4F7B">
        <w:rPr>
          <w:rFonts w:ascii="Arial" w:hAnsi="Arial" w:cs="Arial"/>
          <w:sz w:val="22"/>
          <w:szCs w:val="22"/>
          <w:lang w:eastAsia="en-GB"/>
        </w:rPr>
        <w:t xml:space="preserve">, </w:t>
      </w:r>
      <w:r w:rsidRPr="00AF4F7B">
        <w:rPr>
          <w:rFonts w:ascii="Arial" w:hAnsi="Arial" w:cs="Arial"/>
          <w:sz w:val="22"/>
          <w:szCs w:val="22"/>
          <w:lang w:eastAsia="en-GB"/>
        </w:rPr>
        <w:t>particularly its scale and the data supremacy of the Clubcard</w:t>
      </w:r>
      <w:r w:rsidR="00E832FB" w:rsidRPr="00AF4F7B">
        <w:rPr>
          <w:rFonts w:ascii="Arial" w:hAnsi="Arial" w:cs="Arial"/>
          <w:sz w:val="22"/>
          <w:szCs w:val="22"/>
          <w:lang w:eastAsia="en-GB"/>
        </w:rPr>
        <w:t xml:space="preserve">, </w:t>
      </w:r>
      <w:r w:rsidRPr="00AF4F7B">
        <w:rPr>
          <w:rFonts w:ascii="Arial" w:hAnsi="Arial" w:cs="Arial"/>
          <w:sz w:val="22"/>
          <w:szCs w:val="22"/>
          <w:lang w:eastAsia="en-GB"/>
        </w:rPr>
        <w:t>provide a solid foundation for defence and growth (</w:t>
      </w:r>
      <w:proofErr w:type="spellStart"/>
      <w:r w:rsidR="0059056B" w:rsidRPr="00AF4F7B">
        <w:rPr>
          <w:rFonts w:ascii="Arial" w:hAnsi="Arial" w:cs="Arial"/>
          <w:sz w:val="22"/>
          <w:szCs w:val="22"/>
          <w:lang w:eastAsia="en-GB"/>
        </w:rPr>
        <w:t>McKevitt</w:t>
      </w:r>
      <w:proofErr w:type="spellEnd"/>
      <w:r w:rsidR="0059056B" w:rsidRPr="00AF4F7B">
        <w:rPr>
          <w:rFonts w:ascii="Arial" w:hAnsi="Arial" w:cs="Arial"/>
          <w:sz w:val="22"/>
          <w:szCs w:val="22"/>
          <w:lang w:eastAsia="en-GB"/>
        </w:rPr>
        <w:t>, 2025</w:t>
      </w:r>
      <w:r w:rsidRPr="00AF4F7B">
        <w:rPr>
          <w:rFonts w:ascii="Arial" w:hAnsi="Arial" w:cs="Arial"/>
          <w:sz w:val="22"/>
          <w:szCs w:val="22"/>
          <w:lang w:eastAsia="en-GB"/>
        </w:rPr>
        <w:t xml:space="preserve">; </w:t>
      </w:r>
      <w:proofErr w:type="spellStart"/>
      <w:r w:rsidR="00DA01C9" w:rsidRPr="00AF4F7B">
        <w:rPr>
          <w:rFonts w:ascii="Arial" w:hAnsi="Arial" w:cs="Arial"/>
          <w:sz w:val="22"/>
          <w:szCs w:val="22"/>
          <w:lang w:eastAsia="en-GB"/>
        </w:rPr>
        <w:t>GoodGrowth</w:t>
      </w:r>
      <w:proofErr w:type="spellEnd"/>
      <w:r w:rsidR="00DA01C9" w:rsidRPr="00AF4F7B">
        <w:rPr>
          <w:rFonts w:ascii="Arial" w:hAnsi="Arial" w:cs="Arial"/>
          <w:sz w:val="22"/>
          <w:szCs w:val="22"/>
          <w:lang w:eastAsia="en-GB"/>
        </w:rPr>
        <w:t>, 2024</w:t>
      </w:r>
      <w:r w:rsidRPr="00AF4F7B">
        <w:rPr>
          <w:rFonts w:ascii="Arial" w:hAnsi="Arial" w:cs="Arial"/>
          <w:sz w:val="22"/>
          <w:szCs w:val="22"/>
          <w:lang w:eastAsia="en-GB"/>
        </w:rPr>
        <w:t xml:space="preserve">; Chaffey and Ellis-Chadwick, 2022). However, the threats, especially from the discounters and a financially pressured consumer base, are severe and persistent (Wood, 2022; Mintel, 2024). The recommended strategy focuses on a dual approach: defensively reinforcing its value proposition to protect its core customer base, while offensively pursuing growth through targeted product innovation and superior digital and convenience offerings (Keller, 2019; </w:t>
      </w:r>
      <w:proofErr w:type="spellStart"/>
      <w:r w:rsidRPr="00AF4F7B">
        <w:rPr>
          <w:rFonts w:ascii="Arial" w:hAnsi="Arial" w:cs="Arial"/>
          <w:sz w:val="22"/>
          <w:szCs w:val="22"/>
          <w:lang w:eastAsia="en-GB"/>
        </w:rPr>
        <w:t>Varadarajan</w:t>
      </w:r>
      <w:proofErr w:type="spellEnd"/>
      <w:r w:rsidRPr="00AF4F7B">
        <w:rPr>
          <w:rFonts w:ascii="Arial" w:hAnsi="Arial" w:cs="Arial"/>
          <w:sz w:val="22"/>
          <w:szCs w:val="22"/>
          <w:lang w:eastAsia="en-GB"/>
        </w:rPr>
        <w:t>, 2020; Chaffey and Ellis-Chadwick, 2022).</w:t>
      </w:r>
    </w:p>
    <w:p w14:paraId="35749E78" w14:textId="77777777" w:rsidR="001E2A0C" w:rsidRPr="00EF57A6" w:rsidRDefault="001E2A0C" w:rsidP="00EF57A6">
      <w:pPr>
        <w:spacing w:line="360" w:lineRule="auto"/>
        <w:rPr>
          <w:rFonts w:ascii="Arial" w:hAnsi="Arial" w:cs="Arial"/>
          <w:b/>
          <w:bCs/>
          <w:sz w:val="22"/>
          <w:szCs w:val="22"/>
          <w:lang w:eastAsia="en-GB"/>
        </w:rPr>
      </w:pPr>
      <w:r w:rsidRPr="00EF57A6">
        <w:rPr>
          <w:rFonts w:ascii="Arial" w:hAnsi="Arial" w:cs="Arial"/>
          <w:b/>
          <w:bCs/>
          <w:sz w:val="22"/>
          <w:szCs w:val="22"/>
          <w:lang w:eastAsia="en-GB"/>
        </w:rPr>
        <w:t>Key Recommendations:</w:t>
      </w:r>
    </w:p>
    <w:p w14:paraId="55F02028" w14:textId="02C73C5F" w:rsidR="001E2A0C" w:rsidRPr="00EF57A6" w:rsidRDefault="001E2A0C" w:rsidP="00EF57A6">
      <w:pPr>
        <w:spacing w:line="360" w:lineRule="auto"/>
        <w:rPr>
          <w:rFonts w:ascii="Arial" w:hAnsi="Arial" w:cs="Arial"/>
          <w:sz w:val="22"/>
          <w:szCs w:val="22"/>
          <w:lang w:eastAsia="en-GB"/>
        </w:rPr>
      </w:pPr>
      <w:r w:rsidRPr="00EF57A6">
        <w:rPr>
          <w:rFonts w:ascii="Arial" w:hAnsi="Arial" w:cs="Arial"/>
          <w:b/>
          <w:bCs/>
          <w:sz w:val="22"/>
          <w:szCs w:val="22"/>
          <w:lang w:eastAsia="en-GB"/>
        </w:rPr>
        <w:t>Segmentation &amp; Targeting:</w:t>
      </w:r>
      <w:r w:rsidRPr="00EF57A6">
        <w:rPr>
          <w:rFonts w:ascii="Arial" w:hAnsi="Arial" w:cs="Arial"/>
          <w:sz w:val="22"/>
          <w:szCs w:val="22"/>
          <w:lang w:eastAsia="en-GB"/>
        </w:rPr>
        <w:t xml:space="preserve"> Evolve from traditional segmentation to a model of dynamic, behaviour-based micro-segmentation powered by advanced Clubcard analytics. This will enable truly one-to-one marketing, increasing relevance and ROI (Kumar et al., 2017; </w:t>
      </w:r>
      <w:proofErr w:type="spellStart"/>
      <w:r w:rsidR="00DA01C9" w:rsidRPr="00DA01C9">
        <w:rPr>
          <w:rFonts w:ascii="Arial" w:hAnsi="Arial" w:cs="Arial"/>
          <w:sz w:val="22"/>
          <w:szCs w:val="22"/>
          <w:lang w:eastAsia="en-GB"/>
        </w:rPr>
        <w:t>GoodGrowth</w:t>
      </w:r>
      <w:proofErr w:type="spellEnd"/>
      <w:r w:rsidR="00DA01C9" w:rsidRPr="00DA01C9">
        <w:rPr>
          <w:rFonts w:ascii="Arial" w:hAnsi="Arial" w:cs="Arial"/>
          <w:sz w:val="22"/>
          <w:szCs w:val="22"/>
          <w:lang w:eastAsia="en-GB"/>
        </w:rPr>
        <w:t>, 2024</w:t>
      </w:r>
      <w:r w:rsidRPr="00EF57A6">
        <w:rPr>
          <w:rFonts w:ascii="Arial" w:hAnsi="Arial" w:cs="Arial"/>
          <w:sz w:val="22"/>
          <w:szCs w:val="22"/>
          <w:lang w:eastAsia="en-GB"/>
        </w:rPr>
        <w:t>).</w:t>
      </w:r>
    </w:p>
    <w:p w14:paraId="780E9211" w14:textId="77777777" w:rsidR="001E2A0C" w:rsidRPr="00EF57A6" w:rsidRDefault="001E2A0C" w:rsidP="00EF57A6">
      <w:pPr>
        <w:spacing w:line="360" w:lineRule="auto"/>
        <w:rPr>
          <w:rFonts w:ascii="Arial" w:hAnsi="Arial" w:cs="Arial"/>
          <w:sz w:val="22"/>
          <w:szCs w:val="22"/>
          <w:lang w:eastAsia="en-GB"/>
        </w:rPr>
      </w:pPr>
      <w:r w:rsidRPr="00EF57A6">
        <w:rPr>
          <w:rFonts w:ascii="Arial" w:hAnsi="Arial" w:cs="Arial"/>
          <w:b/>
          <w:bCs/>
          <w:sz w:val="22"/>
          <w:szCs w:val="22"/>
          <w:lang w:eastAsia="en-GB"/>
        </w:rPr>
        <w:t>Positioning:</w:t>
      </w:r>
      <w:r w:rsidRPr="00EF57A6">
        <w:rPr>
          <w:rFonts w:ascii="Arial" w:hAnsi="Arial" w:cs="Arial"/>
          <w:sz w:val="22"/>
          <w:szCs w:val="22"/>
          <w:lang w:eastAsia="en-GB"/>
        </w:rPr>
        <w:t xml:space="preserve"> Systematically augment the "Value" message with a stronger, more visible "Quality and Innovation" narrative, particularly around its successful own-brand tiers. This will prevent brand commoditisation and attract more high-value shoppers (Keller, 2019; Mintel, 2024).</w:t>
      </w:r>
    </w:p>
    <w:p w14:paraId="620699D3" w14:textId="77777777" w:rsidR="001E2A0C" w:rsidRPr="00EF57A6" w:rsidRDefault="001E2A0C" w:rsidP="00EF57A6">
      <w:pPr>
        <w:spacing w:line="360" w:lineRule="auto"/>
        <w:rPr>
          <w:rFonts w:ascii="Arial" w:hAnsi="Arial" w:cs="Arial"/>
          <w:b/>
          <w:bCs/>
          <w:sz w:val="22"/>
          <w:szCs w:val="22"/>
          <w:lang w:eastAsia="en-GB"/>
        </w:rPr>
      </w:pPr>
      <w:r w:rsidRPr="00EF57A6">
        <w:rPr>
          <w:rFonts w:ascii="Arial" w:hAnsi="Arial" w:cs="Arial"/>
          <w:b/>
          <w:bCs/>
          <w:sz w:val="22"/>
          <w:szCs w:val="22"/>
          <w:lang w:eastAsia="en-GB"/>
        </w:rPr>
        <w:t>Marketing Mix (7Ps):</w:t>
      </w:r>
    </w:p>
    <w:p w14:paraId="3248130A" w14:textId="77777777" w:rsidR="001E2A0C" w:rsidRPr="00EF57A6" w:rsidRDefault="001E2A0C" w:rsidP="00EF57A6">
      <w:pPr>
        <w:spacing w:line="360" w:lineRule="auto"/>
        <w:rPr>
          <w:rFonts w:ascii="Arial" w:hAnsi="Arial" w:cs="Arial"/>
          <w:sz w:val="22"/>
          <w:szCs w:val="22"/>
          <w:lang w:eastAsia="en-GB"/>
        </w:rPr>
      </w:pPr>
      <w:r w:rsidRPr="00EF57A6">
        <w:rPr>
          <w:rFonts w:ascii="Arial" w:hAnsi="Arial" w:cs="Arial"/>
          <w:sz w:val="22"/>
          <w:szCs w:val="22"/>
          <w:lang w:eastAsia="en-GB"/>
        </w:rPr>
        <w:t>Product: Mandate an accelerated innovation pipeline for the Tesco Finest and Plant-Based ranges to drive margin and differentiation (</w:t>
      </w:r>
      <w:proofErr w:type="spellStart"/>
      <w:r w:rsidRPr="00EF57A6">
        <w:rPr>
          <w:rFonts w:ascii="Arial" w:hAnsi="Arial" w:cs="Arial"/>
          <w:sz w:val="22"/>
          <w:szCs w:val="22"/>
          <w:lang w:eastAsia="en-GB"/>
        </w:rPr>
        <w:t>Varadarajan</w:t>
      </w:r>
      <w:proofErr w:type="spellEnd"/>
      <w:r w:rsidRPr="00EF57A6">
        <w:rPr>
          <w:rFonts w:ascii="Arial" w:hAnsi="Arial" w:cs="Arial"/>
          <w:sz w:val="22"/>
          <w:szCs w:val="22"/>
          <w:lang w:eastAsia="en-GB"/>
        </w:rPr>
        <w:t>, 2020; Mintel, 2024).</w:t>
      </w:r>
    </w:p>
    <w:p w14:paraId="120F22E1" w14:textId="77777777" w:rsidR="001E2A0C" w:rsidRPr="00EF57A6" w:rsidRDefault="001E2A0C" w:rsidP="00EF57A6">
      <w:pPr>
        <w:spacing w:line="360" w:lineRule="auto"/>
        <w:rPr>
          <w:rFonts w:ascii="Arial" w:hAnsi="Arial" w:cs="Arial"/>
          <w:sz w:val="22"/>
          <w:szCs w:val="22"/>
          <w:lang w:eastAsia="en-GB"/>
        </w:rPr>
      </w:pPr>
      <w:r w:rsidRPr="00EF57A6">
        <w:rPr>
          <w:rFonts w:ascii="Arial" w:hAnsi="Arial" w:cs="Arial"/>
          <w:sz w:val="22"/>
          <w:szCs w:val="22"/>
          <w:lang w:eastAsia="en-GB"/>
        </w:rPr>
        <w:t>Price: Institutionalise a process of rigorous, frequent audits of the Aldi Price Match to guarantee its credibility and effectiveness (Wood, 2022).</w:t>
      </w:r>
    </w:p>
    <w:p w14:paraId="69B9C6B6" w14:textId="77777777" w:rsidR="001E2A0C" w:rsidRPr="00EF57A6" w:rsidRDefault="001E2A0C" w:rsidP="00EF57A6">
      <w:pPr>
        <w:spacing w:line="360" w:lineRule="auto"/>
        <w:rPr>
          <w:rFonts w:ascii="Arial" w:hAnsi="Arial" w:cs="Arial"/>
          <w:sz w:val="22"/>
          <w:szCs w:val="22"/>
          <w:lang w:eastAsia="en-GB"/>
        </w:rPr>
      </w:pPr>
      <w:r w:rsidRPr="00EF57A6">
        <w:rPr>
          <w:rFonts w:ascii="Arial" w:hAnsi="Arial" w:cs="Arial"/>
          <w:sz w:val="22"/>
          <w:szCs w:val="22"/>
          <w:lang w:eastAsia="en-GB"/>
        </w:rPr>
        <w:t>Place: Commit significant capital expenditure to expand the "Whoosh" rapid delivery network, recognising it as a critical battleground for the future of convenience (Chaffey and Ellis-Chadwick, 2022; Tesco PLC, 2023).</w:t>
      </w:r>
    </w:p>
    <w:p w14:paraId="17091E12" w14:textId="235D197A" w:rsidR="001E2A0C" w:rsidRPr="00EF57A6" w:rsidRDefault="001E2A0C" w:rsidP="00EF57A6">
      <w:pPr>
        <w:spacing w:line="360" w:lineRule="auto"/>
        <w:rPr>
          <w:rFonts w:ascii="Arial" w:hAnsi="Arial" w:cs="Arial"/>
          <w:sz w:val="22"/>
          <w:szCs w:val="22"/>
          <w:lang w:eastAsia="en-GB"/>
        </w:rPr>
      </w:pPr>
      <w:r w:rsidRPr="00EF57A6">
        <w:rPr>
          <w:rFonts w:ascii="Arial" w:hAnsi="Arial" w:cs="Arial"/>
          <w:sz w:val="22"/>
          <w:szCs w:val="22"/>
          <w:lang w:eastAsia="en-GB"/>
        </w:rPr>
        <w:lastRenderedPageBreak/>
        <w:t xml:space="preserve">Promotion: Rebalance the marketing budget to increase investment in digital, social, and mobile channels to better engage younger demographics and drive app adoption (Chaffey and Ellis-Chadwick, 2022; </w:t>
      </w:r>
      <w:proofErr w:type="spellStart"/>
      <w:r w:rsidR="00DA01C9" w:rsidRPr="00DA01C9">
        <w:rPr>
          <w:rFonts w:ascii="Arial" w:hAnsi="Arial" w:cs="Arial"/>
          <w:sz w:val="22"/>
          <w:szCs w:val="22"/>
          <w:lang w:eastAsia="en-GB"/>
        </w:rPr>
        <w:t>GoodGrowth</w:t>
      </w:r>
      <w:proofErr w:type="spellEnd"/>
      <w:r w:rsidR="00DA01C9" w:rsidRPr="00DA01C9">
        <w:rPr>
          <w:rFonts w:ascii="Arial" w:hAnsi="Arial" w:cs="Arial"/>
          <w:sz w:val="22"/>
          <w:szCs w:val="22"/>
          <w:lang w:eastAsia="en-GB"/>
        </w:rPr>
        <w:t>, 2024</w:t>
      </w:r>
      <w:r w:rsidRPr="00EF57A6">
        <w:rPr>
          <w:rFonts w:ascii="Arial" w:hAnsi="Arial" w:cs="Arial"/>
          <w:sz w:val="22"/>
          <w:szCs w:val="22"/>
          <w:lang w:eastAsia="en-GB"/>
        </w:rPr>
        <w:t>).</w:t>
      </w:r>
    </w:p>
    <w:p w14:paraId="53D345DF" w14:textId="77777777" w:rsidR="001E2A0C" w:rsidRPr="00EF57A6" w:rsidRDefault="001E2A0C" w:rsidP="00EF57A6">
      <w:pPr>
        <w:spacing w:line="360" w:lineRule="auto"/>
        <w:rPr>
          <w:rFonts w:ascii="Arial" w:hAnsi="Arial" w:cs="Arial"/>
          <w:sz w:val="22"/>
          <w:szCs w:val="22"/>
          <w:lang w:eastAsia="en-GB"/>
        </w:rPr>
      </w:pPr>
      <w:r w:rsidRPr="00EF57A6">
        <w:rPr>
          <w:rFonts w:ascii="Arial" w:hAnsi="Arial" w:cs="Arial"/>
          <w:sz w:val="22"/>
          <w:szCs w:val="22"/>
          <w:lang w:eastAsia="en-GB"/>
        </w:rPr>
        <w:t>People &amp; Process: Launch a standardised "Customer First" service excellence programme across all stores and implement a simplified, transparent returns process for non-food items to build trust in these categories (</w:t>
      </w:r>
      <w:proofErr w:type="spellStart"/>
      <w:r w:rsidRPr="00EF57A6">
        <w:rPr>
          <w:rFonts w:ascii="Arial" w:hAnsi="Arial" w:cs="Arial"/>
          <w:sz w:val="22"/>
          <w:szCs w:val="22"/>
          <w:lang w:eastAsia="en-GB"/>
        </w:rPr>
        <w:t>Hollensen</w:t>
      </w:r>
      <w:proofErr w:type="spellEnd"/>
      <w:r w:rsidRPr="00EF57A6">
        <w:rPr>
          <w:rFonts w:ascii="Arial" w:hAnsi="Arial" w:cs="Arial"/>
          <w:sz w:val="22"/>
          <w:szCs w:val="22"/>
          <w:lang w:eastAsia="en-GB"/>
        </w:rPr>
        <w:t>, 2020; McDonald and Wilson, 2011).</w:t>
      </w:r>
    </w:p>
    <w:p w14:paraId="6B2C51BA" w14:textId="77777777" w:rsidR="001E2A0C" w:rsidRPr="00EF57A6" w:rsidRDefault="001E2A0C" w:rsidP="00EF57A6">
      <w:pPr>
        <w:spacing w:line="360" w:lineRule="auto"/>
        <w:rPr>
          <w:rFonts w:ascii="Arial" w:hAnsi="Arial" w:cs="Arial"/>
          <w:sz w:val="22"/>
          <w:szCs w:val="22"/>
          <w:lang w:eastAsia="en-GB"/>
        </w:rPr>
      </w:pPr>
      <w:r w:rsidRPr="00EF57A6">
        <w:rPr>
          <w:rFonts w:ascii="Arial" w:hAnsi="Arial" w:cs="Arial"/>
          <w:sz w:val="22"/>
          <w:szCs w:val="22"/>
          <w:lang w:eastAsia="en-GB"/>
        </w:rPr>
        <w:t>Physical Evidence: Initiate a strategic, multi-year store refresh programme, prioritising the Metro and Express formats, to uniformly elevate the in-store brand experience (Tesco PLC, 2023; Mintel, 2024).</w:t>
      </w:r>
    </w:p>
    <w:p w14:paraId="1E4844FC" w14:textId="77777777" w:rsidR="001E2A0C" w:rsidRPr="00EF57A6" w:rsidRDefault="001E2A0C" w:rsidP="00EF57A6">
      <w:pPr>
        <w:spacing w:line="360" w:lineRule="auto"/>
        <w:rPr>
          <w:rFonts w:ascii="Arial" w:hAnsi="Arial" w:cs="Arial"/>
          <w:b/>
          <w:bCs/>
          <w:sz w:val="22"/>
          <w:szCs w:val="22"/>
          <w:lang w:eastAsia="en-GB"/>
        </w:rPr>
      </w:pPr>
      <w:r w:rsidRPr="00EF57A6">
        <w:rPr>
          <w:rFonts w:ascii="Arial" w:hAnsi="Arial" w:cs="Arial"/>
          <w:sz w:val="22"/>
          <w:szCs w:val="22"/>
          <w:lang w:eastAsia="en-GB"/>
        </w:rPr>
        <w:t>By executing this integrated plan with discipline and a relentless focus on the customer, Tesco can not only defend its market leadership but can also build a more resilient, profitable, and customer-centric business for the future (Kaplan and Norton, 2017; McDonald and Wilson, 2011).</w:t>
      </w:r>
    </w:p>
    <w:p w14:paraId="2BA01ADD" w14:textId="77777777" w:rsidR="00681A0D" w:rsidRDefault="00681A0D" w:rsidP="00681A0D">
      <w:pPr>
        <w:shd w:val="clear" w:color="auto" w:fill="FFFFFF"/>
        <w:spacing w:before="480" w:after="240" w:line="450" w:lineRule="atLeast"/>
        <w:outlineLvl w:val="2"/>
        <w:rPr>
          <w:rFonts w:ascii="Segoe UI" w:eastAsia="Times New Roman" w:hAnsi="Segoe UI" w:cs="Segoe UI"/>
          <w:b/>
          <w:bCs/>
          <w:color w:val="0F1115"/>
          <w:kern w:val="0"/>
          <w:sz w:val="30"/>
          <w:szCs w:val="30"/>
          <w:lang w:eastAsia="en-GB"/>
          <w14:ligatures w14:val="none"/>
        </w:rPr>
      </w:pPr>
    </w:p>
    <w:p w14:paraId="27CE7B8C" w14:textId="77777777" w:rsidR="00681A0D" w:rsidRDefault="00681A0D" w:rsidP="00681A0D">
      <w:pPr>
        <w:shd w:val="clear" w:color="auto" w:fill="FFFFFF"/>
        <w:spacing w:before="480" w:after="240" w:line="450" w:lineRule="atLeast"/>
        <w:outlineLvl w:val="2"/>
        <w:rPr>
          <w:rFonts w:ascii="Segoe UI" w:eastAsia="Times New Roman" w:hAnsi="Segoe UI" w:cs="Segoe UI"/>
          <w:b/>
          <w:bCs/>
          <w:color w:val="0F1115"/>
          <w:kern w:val="0"/>
          <w:sz w:val="30"/>
          <w:szCs w:val="30"/>
          <w:lang w:eastAsia="en-GB"/>
          <w14:ligatures w14:val="none"/>
        </w:rPr>
      </w:pPr>
    </w:p>
    <w:p w14:paraId="721C641A" w14:textId="77777777" w:rsidR="00681A0D" w:rsidRDefault="00681A0D" w:rsidP="00681A0D">
      <w:pPr>
        <w:shd w:val="clear" w:color="auto" w:fill="FFFFFF"/>
        <w:spacing w:before="480" w:after="240" w:line="450" w:lineRule="atLeast"/>
        <w:outlineLvl w:val="2"/>
        <w:rPr>
          <w:rFonts w:ascii="Segoe UI" w:eastAsia="Times New Roman" w:hAnsi="Segoe UI" w:cs="Segoe UI"/>
          <w:b/>
          <w:bCs/>
          <w:color w:val="0F1115"/>
          <w:kern w:val="0"/>
          <w:sz w:val="30"/>
          <w:szCs w:val="30"/>
          <w:lang w:eastAsia="en-GB"/>
          <w14:ligatures w14:val="none"/>
        </w:rPr>
      </w:pPr>
    </w:p>
    <w:p w14:paraId="1C3A48EB" w14:textId="77777777" w:rsidR="00681A0D" w:rsidRDefault="00681A0D" w:rsidP="00681A0D">
      <w:pPr>
        <w:shd w:val="clear" w:color="auto" w:fill="FFFFFF"/>
        <w:spacing w:before="480" w:after="240" w:line="450" w:lineRule="atLeast"/>
        <w:outlineLvl w:val="2"/>
        <w:rPr>
          <w:rFonts w:ascii="Segoe UI" w:eastAsia="Times New Roman" w:hAnsi="Segoe UI" w:cs="Segoe UI"/>
          <w:b/>
          <w:bCs/>
          <w:color w:val="0F1115"/>
          <w:kern w:val="0"/>
          <w:sz w:val="30"/>
          <w:szCs w:val="30"/>
          <w:lang w:eastAsia="en-GB"/>
          <w14:ligatures w14:val="none"/>
        </w:rPr>
      </w:pPr>
    </w:p>
    <w:p w14:paraId="04AE58CE" w14:textId="77777777" w:rsidR="00681A0D" w:rsidRDefault="00681A0D" w:rsidP="00681A0D">
      <w:pPr>
        <w:shd w:val="clear" w:color="auto" w:fill="FFFFFF"/>
        <w:spacing w:before="480" w:after="240" w:line="450" w:lineRule="atLeast"/>
        <w:outlineLvl w:val="2"/>
        <w:rPr>
          <w:rFonts w:ascii="Segoe UI" w:eastAsia="Times New Roman" w:hAnsi="Segoe UI" w:cs="Segoe UI"/>
          <w:b/>
          <w:bCs/>
          <w:color w:val="0F1115"/>
          <w:kern w:val="0"/>
          <w:sz w:val="30"/>
          <w:szCs w:val="30"/>
          <w:lang w:eastAsia="en-GB"/>
          <w14:ligatures w14:val="none"/>
        </w:rPr>
      </w:pPr>
    </w:p>
    <w:p w14:paraId="7D826714" w14:textId="77777777" w:rsidR="00681A0D" w:rsidRDefault="00681A0D" w:rsidP="00681A0D">
      <w:pPr>
        <w:shd w:val="clear" w:color="auto" w:fill="FFFFFF"/>
        <w:spacing w:before="480" w:after="240" w:line="450" w:lineRule="atLeast"/>
        <w:outlineLvl w:val="2"/>
        <w:rPr>
          <w:rFonts w:ascii="Segoe UI" w:eastAsia="Times New Roman" w:hAnsi="Segoe UI" w:cs="Segoe UI"/>
          <w:b/>
          <w:bCs/>
          <w:color w:val="0F1115"/>
          <w:kern w:val="0"/>
          <w:sz w:val="30"/>
          <w:szCs w:val="30"/>
          <w:lang w:eastAsia="en-GB"/>
          <w14:ligatures w14:val="none"/>
        </w:rPr>
      </w:pPr>
    </w:p>
    <w:p w14:paraId="79298B64" w14:textId="7728AAF6" w:rsidR="001E2A0C" w:rsidRDefault="001E2A0C" w:rsidP="00681A0D">
      <w:pPr>
        <w:shd w:val="clear" w:color="auto" w:fill="FFFFFF"/>
        <w:spacing w:before="480" w:after="240" w:line="450" w:lineRule="atLeast"/>
        <w:outlineLvl w:val="2"/>
        <w:rPr>
          <w:rFonts w:ascii="Segoe UI" w:eastAsia="Times New Roman" w:hAnsi="Segoe UI" w:cs="Segoe UI"/>
          <w:b/>
          <w:bCs/>
          <w:color w:val="0F1115"/>
          <w:kern w:val="0"/>
          <w:sz w:val="30"/>
          <w:szCs w:val="30"/>
          <w:lang w:eastAsia="en-GB"/>
          <w14:ligatures w14:val="none"/>
        </w:rPr>
      </w:pPr>
    </w:p>
    <w:p w14:paraId="392AB959" w14:textId="06BEB11E" w:rsidR="00681A0D" w:rsidRPr="00E20CB4" w:rsidRDefault="001E2A0C" w:rsidP="00FA59F3">
      <w:pPr>
        <w:pStyle w:val="Heading1"/>
        <w:rPr>
          <w:rFonts w:ascii="Arial" w:eastAsia="Times New Roman" w:hAnsi="Arial" w:cs="Arial"/>
          <w:b/>
          <w:bCs/>
          <w:color w:val="0F1115"/>
          <w:kern w:val="0"/>
          <w:sz w:val="30"/>
          <w:szCs w:val="30"/>
          <w:lang w:eastAsia="en-GB"/>
          <w14:ligatures w14:val="none"/>
        </w:rPr>
      </w:pPr>
      <w:r>
        <w:rPr>
          <w:rFonts w:ascii="Segoe UI" w:eastAsia="Times New Roman" w:hAnsi="Segoe UI" w:cs="Segoe UI"/>
          <w:b/>
          <w:bCs/>
          <w:color w:val="0F1115"/>
          <w:kern w:val="0"/>
          <w:sz w:val="30"/>
          <w:szCs w:val="30"/>
          <w:lang w:eastAsia="en-GB"/>
          <w14:ligatures w14:val="none"/>
        </w:rPr>
        <w:br w:type="page"/>
      </w:r>
      <w:bookmarkStart w:id="7" w:name="_Toc212964889"/>
      <w:r w:rsidR="00FA59F3">
        <w:rPr>
          <w:rFonts w:ascii="Arial" w:eastAsia="Times New Roman" w:hAnsi="Arial" w:cs="Arial"/>
          <w:lang w:eastAsia="en-GB"/>
        </w:rPr>
        <w:lastRenderedPageBreak/>
        <w:t>6.</w:t>
      </w:r>
      <w:r w:rsidR="00681A0D" w:rsidRPr="00E20CB4">
        <w:rPr>
          <w:rFonts w:ascii="Arial" w:eastAsia="Times New Roman" w:hAnsi="Arial" w:cs="Arial"/>
          <w:lang w:eastAsia="en-GB"/>
        </w:rPr>
        <w:t xml:space="preserve"> </w:t>
      </w:r>
      <w:r w:rsidR="0057134E">
        <w:rPr>
          <w:rFonts w:ascii="Arial" w:eastAsia="Times New Roman" w:hAnsi="Arial" w:cs="Arial"/>
          <w:lang w:eastAsia="en-GB"/>
        </w:rPr>
        <w:t xml:space="preserve"> </w:t>
      </w:r>
      <w:r w:rsidR="00681A0D" w:rsidRPr="00E20CB4">
        <w:rPr>
          <w:rFonts w:ascii="Arial" w:eastAsia="Times New Roman" w:hAnsi="Arial" w:cs="Arial"/>
          <w:lang w:eastAsia="en-GB"/>
        </w:rPr>
        <w:t>References</w:t>
      </w:r>
      <w:bookmarkEnd w:id="7"/>
    </w:p>
    <w:p w14:paraId="77A78D5F" w14:textId="77777777" w:rsidR="001C0E3C" w:rsidRPr="003C6A83" w:rsidRDefault="001C0E3C" w:rsidP="00681A0D">
      <w:pPr>
        <w:shd w:val="clear" w:color="auto" w:fill="FFFFFF"/>
        <w:spacing w:before="240" w:after="240" w:line="420" w:lineRule="atLeast"/>
        <w:rPr>
          <w:rFonts w:ascii="Segoe UI" w:eastAsia="Times New Roman" w:hAnsi="Segoe UI" w:cs="Segoe UI"/>
          <w:color w:val="0F1115"/>
          <w:kern w:val="0"/>
          <w:lang w:eastAsia="en-GB"/>
          <w14:ligatures w14:val="none"/>
        </w:rPr>
      </w:pPr>
      <w:r w:rsidRPr="003C6A83">
        <w:rPr>
          <w:rFonts w:ascii="Segoe UI" w:eastAsia="Times New Roman" w:hAnsi="Segoe UI" w:cs="Segoe UI"/>
          <w:color w:val="0F1115"/>
          <w:kern w:val="0"/>
          <w:lang w:eastAsia="en-GB"/>
          <w14:ligatures w14:val="none"/>
        </w:rPr>
        <w:t>Chaffey, D. and Ellis-Chadwick, F. (2022). </w:t>
      </w:r>
      <w:r w:rsidRPr="003C6A83">
        <w:rPr>
          <w:rFonts w:ascii="Segoe UI" w:eastAsia="Times New Roman" w:hAnsi="Segoe UI" w:cs="Segoe UI"/>
          <w:i/>
          <w:iCs/>
          <w:color w:val="0F1115"/>
          <w:kern w:val="0"/>
          <w:lang w:eastAsia="en-GB"/>
          <w14:ligatures w14:val="none"/>
        </w:rPr>
        <w:t>Digital Marketing: Strategy, Implementation and Practice</w:t>
      </w:r>
      <w:r w:rsidRPr="003C6A83">
        <w:rPr>
          <w:rFonts w:ascii="Segoe UI" w:eastAsia="Times New Roman" w:hAnsi="Segoe UI" w:cs="Segoe UI"/>
          <w:color w:val="0F1115"/>
          <w:kern w:val="0"/>
          <w:lang w:eastAsia="en-GB"/>
          <w14:ligatures w14:val="none"/>
        </w:rPr>
        <w:t>. 8th ed. Harlow: Pearson.</w:t>
      </w:r>
    </w:p>
    <w:p w14:paraId="71E76AEC" w14:textId="77777777" w:rsidR="001C0E3C" w:rsidRPr="003C6A83" w:rsidRDefault="001C0E3C" w:rsidP="00681A0D">
      <w:pPr>
        <w:shd w:val="clear" w:color="auto" w:fill="FFFFFF"/>
        <w:spacing w:before="240" w:after="240" w:line="420" w:lineRule="atLeast"/>
        <w:rPr>
          <w:rFonts w:ascii="Segoe UI" w:eastAsia="Times New Roman" w:hAnsi="Segoe UI" w:cs="Segoe UI"/>
          <w:color w:val="0F1115"/>
          <w:kern w:val="0"/>
          <w:lang w:eastAsia="en-GB"/>
          <w14:ligatures w14:val="none"/>
        </w:rPr>
      </w:pPr>
      <w:proofErr w:type="spellStart"/>
      <w:r w:rsidRPr="003C6A83">
        <w:rPr>
          <w:rFonts w:ascii="Segoe UI" w:eastAsia="Times New Roman" w:hAnsi="Segoe UI" w:cs="Segoe UI"/>
          <w:color w:val="0F1115"/>
          <w:kern w:val="0"/>
          <w:lang w:eastAsia="en-GB"/>
          <w14:ligatures w14:val="none"/>
        </w:rPr>
        <w:t>GoodGrowth</w:t>
      </w:r>
      <w:proofErr w:type="spellEnd"/>
      <w:r w:rsidRPr="003C6A83">
        <w:rPr>
          <w:rFonts w:ascii="Segoe UI" w:eastAsia="Times New Roman" w:hAnsi="Segoe UI" w:cs="Segoe UI"/>
          <w:color w:val="0F1115"/>
          <w:kern w:val="0"/>
          <w:lang w:eastAsia="en-GB"/>
          <w14:ligatures w14:val="none"/>
        </w:rPr>
        <w:t xml:space="preserve"> (2024) The data-driven rise of supermarket loyalty cards and the risk of data blindness. Available at: https://goodgrowth.co.uk/articles/the-data-driven-rise-of-supermarket-loyalty-cards-and-the-risk-of-data-blindness/#:~:text=Tesco%20Clubcard:%20A%20Pioneer%20in,efficient%20and%20enjoyable%20shopping%20experience. (Accessed: 28 October 2025).</w:t>
      </w:r>
    </w:p>
    <w:p w14:paraId="55FDD1D9" w14:textId="77777777" w:rsidR="001C0E3C" w:rsidRPr="003C6A83" w:rsidRDefault="001C0E3C" w:rsidP="00681A0D">
      <w:pPr>
        <w:shd w:val="clear" w:color="auto" w:fill="FFFFFF"/>
        <w:spacing w:before="240" w:after="240" w:line="420" w:lineRule="atLeast"/>
        <w:rPr>
          <w:rFonts w:ascii="Segoe UI" w:eastAsia="Times New Roman" w:hAnsi="Segoe UI" w:cs="Segoe UI"/>
          <w:color w:val="0F1115"/>
          <w:kern w:val="0"/>
          <w:lang w:eastAsia="en-GB"/>
          <w14:ligatures w14:val="none"/>
        </w:rPr>
      </w:pPr>
      <w:proofErr w:type="spellStart"/>
      <w:r w:rsidRPr="003C6A83">
        <w:rPr>
          <w:rFonts w:ascii="Segoe UI" w:eastAsia="Times New Roman" w:hAnsi="Segoe UI" w:cs="Segoe UI"/>
          <w:color w:val="0F1115"/>
          <w:kern w:val="0"/>
          <w:lang w:eastAsia="en-GB"/>
          <w14:ligatures w14:val="none"/>
        </w:rPr>
        <w:t>Hollensen</w:t>
      </w:r>
      <w:proofErr w:type="spellEnd"/>
      <w:r w:rsidRPr="003C6A83">
        <w:rPr>
          <w:rFonts w:ascii="Segoe UI" w:eastAsia="Times New Roman" w:hAnsi="Segoe UI" w:cs="Segoe UI"/>
          <w:color w:val="0F1115"/>
          <w:kern w:val="0"/>
          <w:lang w:eastAsia="en-GB"/>
          <w14:ligatures w14:val="none"/>
        </w:rPr>
        <w:t>, S. (2020). </w:t>
      </w:r>
      <w:r w:rsidRPr="003C6A83">
        <w:rPr>
          <w:rFonts w:ascii="Segoe UI" w:eastAsia="Times New Roman" w:hAnsi="Segoe UI" w:cs="Segoe UI"/>
          <w:i/>
          <w:iCs/>
          <w:color w:val="0F1115"/>
          <w:kern w:val="0"/>
          <w:lang w:eastAsia="en-GB"/>
          <w14:ligatures w14:val="none"/>
        </w:rPr>
        <w:t>Marketing Management: A Relationship Approach</w:t>
      </w:r>
      <w:r w:rsidRPr="003C6A83">
        <w:rPr>
          <w:rFonts w:ascii="Segoe UI" w:eastAsia="Times New Roman" w:hAnsi="Segoe UI" w:cs="Segoe UI"/>
          <w:color w:val="0F1115"/>
          <w:kern w:val="0"/>
          <w:lang w:eastAsia="en-GB"/>
          <w14:ligatures w14:val="none"/>
        </w:rPr>
        <w:t>. 4th ed. Harlow: Pearson.</w:t>
      </w:r>
    </w:p>
    <w:p w14:paraId="05686440" w14:textId="77777777" w:rsidR="001C0E3C" w:rsidRPr="003C6A83" w:rsidRDefault="001C0E3C" w:rsidP="00681A0D">
      <w:pPr>
        <w:shd w:val="clear" w:color="auto" w:fill="FFFFFF"/>
        <w:spacing w:before="240" w:line="420" w:lineRule="atLeast"/>
        <w:rPr>
          <w:rFonts w:ascii="Segoe UI" w:eastAsia="Times New Roman" w:hAnsi="Segoe UI" w:cs="Segoe UI"/>
          <w:color w:val="0F1115"/>
          <w:kern w:val="0"/>
          <w:lang w:eastAsia="en-GB"/>
          <w14:ligatures w14:val="none"/>
        </w:rPr>
      </w:pPr>
      <w:r w:rsidRPr="003C6A83">
        <w:rPr>
          <w:rFonts w:ascii="Segoe UI" w:eastAsia="Times New Roman" w:hAnsi="Segoe UI" w:cs="Segoe UI"/>
          <w:color w:val="0F1115"/>
          <w:kern w:val="0"/>
          <w:lang w:eastAsia="en-GB"/>
          <w14:ligatures w14:val="none"/>
        </w:rPr>
        <w:t xml:space="preserve">Houlton, C. (2023) 'Sainsbury's launches biggest ever rollout of Nectar Prices', Grocery Gazette, 11 April. Available at: https://www.grocerygazette.co.uk/2023/04/11/sainsburys-nectar-prices/. (Accessed: 29 October 2025). </w:t>
      </w:r>
    </w:p>
    <w:p w14:paraId="10DAACBE" w14:textId="77777777" w:rsidR="001C0E3C" w:rsidRPr="003C6A83" w:rsidRDefault="001C0E3C" w:rsidP="00681A0D">
      <w:pPr>
        <w:shd w:val="clear" w:color="auto" w:fill="FFFFFF"/>
        <w:spacing w:before="240" w:after="240" w:line="420" w:lineRule="atLeast"/>
        <w:rPr>
          <w:rFonts w:ascii="Segoe UI" w:eastAsia="Times New Roman" w:hAnsi="Segoe UI" w:cs="Segoe UI"/>
          <w:color w:val="0F1115"/>
          <w:kern w:val="0"/>
          <w:lang w:eastAsia="en-GB"/>
          <w14:ligatures w14:val="none"/>
        </w:rPr>
      </w:pPr>
      <w:r w:rsidRPr="003C6A83">
        <w:rPr>
          <w:rFonts w:ascii="Segoe UI" w:eastAsia="Times New Roman" w:hAnsi="Segoe UI" w:cs="Segoe UI"/>
          <w:color w:val="0F1115"/>
          <w:kern w:val="0"/>
          <w:lang w:eastAsia="en-GB"/>
          <w14:ligatures w14:val="none"/>
        </w:rPr>
        <w:t>Kaplan, R. and Norton, D. (2017). </w:t>
      </w:r>
      <w:r w:rsidRPr="003C6A83">
        <w:rPr>
          <w:rFonts w:ascii="Segoe UI" w:eastAsia="Times New Roman" w:hAnsi="Segoe UI" w:cs="Segoe UI"/>
          <w:i/>
          <w:iCs/>
          <w:color w:val="0F1115"/>
          <w:kern w:val="0"/>
          <w:lang w:eastAsia="en-GB"/>
          <w14:ligatures w14:val="none"/>
        </w:rPr>
        <w:t>The Balanced Scorecard: Measures That Drive Performance</w:t>
      </w:r>
      <w:r w:rsidRPr="003C6A83">
        <w:rPr>
          <w:rFonts w:ascii="Segoe UI" w:eastAsia="Times New Roman" w:hAnsi="Segoe UI" w:cs="Segoe UI"/>
          <w:color w:val="0F1115"/>
          <w:kern w:val="0"/>
          <w:lang w:eastAsia="en-GB"/>
          <w14:ligatures w14:val="none"/>
        </w:rPr>
        <w:t>. Harvard Business Review. Available at: https://hbr.org/2005/07/the-balanced-scorecard-measures-that-drive-performance. (Accessed: 27 October 2025).</w:t>
      </w:r>
    </w:p>
    <w:p w14:paraId="30219F0F" w14:textId="77777777" w:rsidR="001C0E3C" w:rsidRPr="003C6A83" w:rsidRDefault="001C0E3C" w:rsidP="00681A0D">
      <w:pPr>
        <w:shd w:val="clear" w:color="auto" w:fill="FFFFFF"/>
        <w:spacing w:before="240" w:after="240" w:line="420" w:lineRule="atLeast"/>
        <w:rPr>
          <w:rFonts w:ascii="Segoe UI" w:eastAsia="Times New Roman" w:hAnsi="Segoe UI" w:cs="Segoe UI"/>
          <w:color w:val="0F1115"/>
          <w:kern w:val="0"/>
          <w:lang w:eastAsia="en-GB"/>
          <w14:ligatures w14:val="none"/>
        </w:rPr>
      </w:pPr>
      <w:r w:rsidRPr="003C6A83">
        <w:rPr>
          <w:rFonts w:ascii="Segoe UI" w:eastAsia="Times New Roman" w:hAnsi="Segoe UI" w:cs="Segoe UI"/>
          <w:color w:val="0F1115"/>
          <w:kern w:val="0"/>
          <w:lang w:eastAsia="en-GB"/>
          <w14:ligatures w14:val="none"/>
        </w:rPr>
        <w:t xml:space="preserve">Keller, K.L. (2019) ‘Consumer Research Insights on Brands and Branding: A JCR Curation’, </w:t>
      </w:r>
      <w:r w:rsidRPr="003C6A83">
        <w:rPr>
          <w:rFonts w:ascii="Segoe UI" w:eastAsia="Times New Roman" w:hAnsi="Segoe UI" w:cs="Segoe UI"/>
          <w:i/>
          <w:iCs/>
          <w:color w:val="0F1115"/>
          <w:kern w:val="0"/>
          <w:lang w:eastAsia="en-GB"/>
          <w14:ligatures w14:val="none"/>
        </w:rPr>
        <w:t>Journal of Consumer Research</w:t>
      </w:r>
      <w:r w:rsidRPr="003C6A83">
        <w:rPr>
          <w:rFonts w:ascii="Segoe UI" w:eastAsia="Times New Roman" w:hAnsi="Segoe UI" w:cs="Segoe UI"/>
          <w:color w:val="0F1115"/>
          <w:kern w:val="0"/>
          <w:lang w:eastAsia="en-GB"/>
          <w14:ligatures w14:val="none"/>
        </w:rPr>
        <w:t xml:space="preserve">, 46(5), pp. 995-1001. Available at: https://scispace.com/pdf/consumer-research-insights-on-brands-and-branding-a-jcr-1wbq8dkwz0.pdf (Accessed: 26 October 2025). </w:t>
      </w:r>
    </w:p>
    <w:p w14:paraId="14DFD878" w14:textId="77777777" w:rsidR="001C0E3C" w:rsidRPr="003C6A83" w:rsidRDefault="001C0E3C" w:rsidP="00681A0D">
      <w:pPr>
        <w:shd w:val="clear" w:color="auto" w:fill="FFFFFF"/>
        <w:spacing w:before="240" w:after="240" w:line="420" w:lineRule="atLeast"/>
        <w:rPr>
          <w:rFonts w:ascii="Segoe UI" w:eastAsia="Times New Roman" w:hAnsi="Segoe UI" w:cs="Segoe UI"/>
          <w:color w:val="0F1115"/>
          <w:kern w:val="0"/>
          <w:lang w:eastAsia="en-GB"/>
          <w14:ligatures w14:val="none"/>
        </w:rPr>
      </w:pPr>
      <w:r w:rsidRPr="003C6A83">
        <w:rPr>
          <w:rFonts w:ascii="Segoe UI" w:eastAsia="Times New Roman" w:hAnsi="Segoe UI" w:cs="Segoe UI"/>
          <w:color w:val="0F1115"/>
          <w:kern w:val="0"/>
          <w:lang w:eastAsia="en-GB"/>
          <w14:ligatures w14:val="none"/>
        </w:rPr>
        <w:t xml:space="preserve">Kumar, V., Rajan, B., Gupta, S. and </w:t>
      </w:r>
      <w:proofErr w:type="spellStart"/>
      <w:r w:rsidRPr="003C6A83">
        <w:rPr>
          <w:rFonts w:ascii="Segoe UI" w:eastAsia="Times New Roman" w:hAnsi="Segoe UI" w:cs="Segoe UI"/>
          <w:color w:val="0F1115"/>
          <w:kern w:val="0"/>
          <w:lang w:eastAsia="en-GB"/>
          <w14:ligatures w14:val="none"/>
        </w:rPr>
        <w:t>Pozza</w:t>
      </w:r>
      <w:proofErr w:type="spellEnd"/>
      <w:r w:rsidRPr="003C6A83">
        <w:rPr>
          <w:rFonts w:ascii="Segoe UI" w:eastAsia="Times New Roman" w:hAnsi="Segoe UI" w:cs="Segoe UI"/>
          <w:color w:val="0F1115"/>
          <w:kern w:val="0"/>
          <w:lang w:eastAsia="en-GB"/>
          <w14:ligatures w14:val="none"/>
        </w:rPr>
        <w:t>, I.D. (2017). 'Customer Loyalty Management in the Digital Era'. </w:t>
      </w:r>
      <w:r w:rsidRPr="003C6A83">
        <w:rPr>
          <w:rFonts w:ascii="Segoe UI" w:eastAsia="Times New Roman" w:hAnsi="Segoe UI" w:cs="Segoe UI"/>
          <w:i/>
          <w:iCs/>
          <w:color w:val="0F1115"/>
          <w:kern w:val="0"/>
          <w:lang w:eastAsia="en-GB"/>
          <w14:ligatures w14:val="none"/>
        </w:rPr>
        <w:t>Journal of Retailing</w:t>
      </w:r>
      <w:r w:rsidRPr="003C6A83">
        <w:rPr>
          <w:rFonts w:ascii="Segoe UI" w:eastAsia="Times New Roman" w:hAnsi="Segoe UI" w:cs="Segoe UI"/>
          <w:color w:val="0F1115"/>
          <w:kern w:val="0"/>
          <w:lang w:eastAsia="en-GB"/>
          <w14:ligatures w14:val="none"/>
        </w:rPr>
        <w:t>, 97(1), pp. 3-9.</w:t>
      </w:r>
    </w:p>
    <w:p w14:paraId="6A803B26" w14:textId="77777777" w:rsidR="001C0E3C" w:rsidRPr="003C6A83" w:rsidRDefault="001C0E3C" w:rsidP="00681A0D">
      <w:pPr>
        <w:shd w:val="clear" w:color="auto" w:fill="FFFFFF"/>
        <w:spacing w:before="240" w:after="240" w:line="420" w:lineRule="atLeast"/>
        <w:rPr>
          <w:rFonts w:ascii="Segoe UI" w:eastAsia="Times New Roman" w:hAnsi="Segoe UI" w:cs="Segoe UI"/>
          <w:color w:val="0F1115"/>
          <w:kern w:val="0"/>
          <w:lang w:eastAsia="en-GB"/>
          <w14:ligatures w14:val="none"/>
        </w:rPr>
      </w:pPr>
      <w:r w:rsidRPr="003C6A83">
        <w:rPr>
          <w:rFonts w:ascii="Segoe UI" w:eastAsia="Times New Roman" w:hAnsi="Segoe UI" w:cs="Segoe UI"/>
          <w:color w:val="0F1115"/>
          <w:kern w:val="0"/>
          <w:lang w:eastAsia="en-GB"/>
          <w14:ligatures w14:val="none"/>
        </w:rPr>
        <w:t xml:space="preserve">McDonald, M. and Wilson, H. (2011) </w:t>
      </w:r>
      <w:r w:rsidRPr="003C6A83">
        <w:rPr>
          <w:rFonts w:ascii="Segoe UI" w:eastAsia="Times New Roman" w:hAnsi="Segoe UI" w:cs="Segoe UI"/>
          <w:i/>
          <w:iCs/>
          <w:color w:val="0F1115"/>
          <w:kern w:val="0"/>
          <w:lang w:eastAsia="en-GB"/>
          <w14:ligatures w14:val="none"/>
        </w:rPr>
        <w:t>Marketing Plans: How to Prepare Them, How to Use Them</w:t>
      </w:r>
      <w:r w:rsidRPr="003C6A83">
        <w:rPr>
          <w:rFonts w:ascii="Segoe UI" w:eastAsia="Times New Roman" w:hAnsi="Segoe UI" w:cs="Segoe UI"/>
          <w:color w:val="0F1115"/>
          <w:kern w:val="0"/>
          <w:lang w:eastAsia="en-GB"/>
          <w14:ligatures w14:val="none"/>
        </w:rPr>
        <w:t>. New York: John Wiley &amp; Sons</w:t>
      </w:r>
    </w:p>
    <w:p w14:paraId="33BE19C7" w14:textId="77777777" w:rsidR="00B94E4C" w:rsidRPr="003C6A83" w:rsidRDefault="00B94E4C" w:rsidP="00681A0D">
      <w:pPr>
        <w:shd w:val="clear" w:color="auto" w:fill="FFFFFF"/>
        <w:spacing w:before="240" w:after="240" w:line="420" w:lineRule="atLeast"/>
        <w:rPr>
          <w:rFonts w:ascii="Segoe UI" w:eastAsia="Times New Roman" w:hAnsi="Segoe UI" w:cs="Segoe UI"/>
          <w:color w:val="0F1115"/>
          <w:kern w:val="0"/>
          <w:lang w:eastAsia="en-GB"/>
          <w14:ligatures w14:val="none"/>
        </w:rPr>
      </w:pPr>
    </w:p>
    <w:p w14:paraId="546A0C8D" w14:textId="780A0711" w:rsidR="001C0E3C" w:rsidRPr="003C6A83" w:rsidRDefault="001C0E3C" w:rsidP="00681A0D">
      <w:pPr>
        <w:shd w:val="clear" w:color="auto" w:fill="FFFFFF"/>
        <w:spacing w:before="240" w:after="240" w:line="420" w:lineRule="atLeast"/>
        <w:rPr>
          <w:rFonts w:ascii="Segoe UI" w:eastAsia="Times New Roman" w:hAnsi="Segoe UI" w:cs="Segoe UI"/>
          <w:color w:val="0F1115"/>
          <w:kern w:val="0"/>
          <w:lang w:eastAsia="en-GB"/>
          <w14:ligatures w14:val="none"/>
        </w:rPr>
      </w:pPr>
      <w:proofErr w:type="spellStart"/>
      <w:r w:rsidRPr="003C6A83">
        <w:rPr>
          <w:rFonts w:ascii="Segoe UI" w:eastAsia="Times New Roman" w:hAnsi="Segoe UI" w:cs="Segoe UI"/>
          <w:color w:val="0F1115"/>
          <w:kern w:val="0"/>
          <w:lang w:eastAsia="en-GB"/>
          <w14:ligatures w14:val="none"/>
        </w:rPr>
        <w:lastRenderedPageBreak/>
        <w:t>McKevitt</w:t>
      </w:r>
      <w:proofErr w:type="spellEnd"/>
      <w:r w:rsidRPr="003C6A83">
        <w:rPr>
          <w:rFonts w:ascii="Segoe UI" w:eastAsia="Times New Roman" w:hAnsi="Segoe UI" w:cs="Segoe UI"/>
          <w:color w:val="0F1115"/>
          <w:kern w:val="0"/>
          <w:lang w:eastAsia="en-GB"/>
          <w14:ligatures w14:val="none"/>
        </w:rPr>
        <w:t xml:space="preserve">, F. (2025) ‘Brands bounce back as consumers swap meals out for little treats at home’. </w:t>
      </w:r>
      <w:r w:rsidRPr="003C6A83">
        <w:rPr>
          <w:rFonts w:ascii="Segoe UI" w:eastAsia="Times New Roman" w:hAnsi="Segoe UI" w:cs="Segoe UI"/>
          <w:i/>
          <w:iCs/>
          <w:color w:val="0F1115"/>
          <w:kern w:val="0"/>
          <w:lang w:eastAsia="en-GB"/>
          <w14:ligatures w14:val="none"/>
        </w:rPr>
        <w:t>Kantar UK &amp; Ireland</w:t>
      </w:r>
      <w:r w:rsidRPr="003C6A83">
        <w:rPr>
          <w:rFonts w:ascii="Segoe UI" w:eastAsia="Times New Roman" w:hAnsi="Segoe UI" w:cs="Segoe UI"/>
          <w:color w:val="0F1115"/>
          <w:kern w:val="0"/>
          <w:lang w:eastAsia="en-GB"/>
          <w14:ligatures w14:val="none"/>
        </w:rPr>
        <w:t>, 19 August. Available at: https://www.kantar.com/uki/inspiration/fmcg/2025-wp-brands-bounce-back-as-consumers-swap-meals-out-for-little-treats-at-home. (Accessed: 30 October 2025).</w:t>
      </w:r>
    </w:p>
    <w:p w14:paraId="03705EB5" w14:textId="77777777" w:rsidR="001C0E3C" w:rsidRPr="003C6A83" w:rsidRDefault="001C0E3C" w:rsidP="00681A0D">
      <w:pPr>
        <w:shd w:val="clear" w:color="auto" w:fill="FFFFFF"/>
        <w:spacing w:before="240" w:after="240" w:line="420" w:lineRule="atLeast"/>
        <w:rPr>
          <w:rFonts w:ascii="Segoe UI" w:eastAsia="Times New Roman" w:hAnsi="Segoe UI" w:cs="Segoe UI"/>
          <w:color w:val="0F1115"/>
          <w:kern w:val="0"/>
          <w:lang w:eastAsia="en-GB"/>
          <w14:ligatures w14:val="none"/>
        </w:rPr>
      </w:pPr>
      <w:r w:rsidRPr="003C6A83">
        <w:rPr>
          <w:rFonts w:ascii="Segoe UI" w:eastAsia="Times New Roman" w:hAnsi="Segoe UI" w:cs="Segoe UI"/>
          <w:color w:val="0F1115"/>
          <w:kern w:val="0"/>
          <w:lang w:eastAsia="en-GB"/>
          <w14:ligatures w14:val="none"/>
        </w:rPr>
        <w:t>Mintel (2024). </w:t>
      </w:r>
      <w:r w:rsidRPr="003C6A83">
        <w:rPr>
          <w:rFonts w:ascii="Segoe UI" w:eastAsia="Times New Roman" w:hAnsi="Segoe UI" w:cs="Segoe UI"/>
          <w:i/>
          <w:iCs/>
          <w:color w:val="0F1115"/>
          <w:kern w:val="0"/>
          <w:lang w:eastAsia="en-GB"/>
          <w14:ligatures w14:val="none"/>
        </w:rPr>
        <w:t>UK Supermarkets Market Report 2024</w:t>
      </w:r>
      <w:r w:rsidRPr="003C6A83">
        <w:rPr>
          <w:rFonts w:ascii="Segoe UI" w:eastAsia="Times New Roman" w:hAnsi="Segoe UI" w:cs="Segoe UI"/>
          <w:color w:val="0F1115"/>
          <w:kern w:val="0"/>
          <w:lang w:eastAsia="en-GB"/>
          <w14:ligatures w14:val="none"/>
        </w:rPr>
        <w:t>. Mintel Store. Available at: https://store.mintel.com/report/uk-supermarkets-market-report. (Accessed: 26 October 2025).</w:t>
      </w:r>
    </w:p>
    <w:p w14:paraId="08EE054C" w14:textId="77777777" w:rsidR="001C0E3C" w:rsidRPr="003C6A83" w:rsidRDefault="001C0E3C" w:rsidP="00681A0D">
      <w:pPr>
        <w:shd w:val="clear" w:color="auto" w:fill="FFFFFF"/>
        <w:spacing w:before="240" w:line="420" w:lineRule="atLeast"/>
        <w:rPr>
          <w:rFonts w:ascii="Segoe UI" w:eastAsia="Times New Roman" w:hAnsi="Segoe UI" w:cs="Segoe UI"/>
          <w:color w:val="0F1115"/>
          <w:kern w:val="0"/>
          <w:lang w:eastAsia="en-GB"/>
          <w14:ligatures w14:val="none"/>
        </w:rPr>
      </w:pPr>
      <w:r w:rsidRPr="003C6A83">
        <w:rPr>
          <w:rFonts w:ascii="Segoe UI" w:eastAsia="Times New Roman" w:hAnsi="Segoe UI" w:cs="Segoe UI"/>
          <w:color w:val="0F1115"/>
          <w:kern w:val="0"/>
          <w:lang w:eastAsia="en-GB"/>
          <w14:ligatures w14:val="none"/>
        </w:rPr>
        <w:t xml:space="preserve">Neuhaus, T., </w:t>
      </w:r>
      <w:proofErr w:type="spellStart"/>
      <w:r w:rsidRPr="003C6A83">
        <w:rPr>
          <w:rFonts w:ascii="Segoe UI" w:eastAsia="Times New Roman" w:hAnsi="Segoe UI" w:cs="Segoe UI"/>
          <w:color w:val="0F1115"/>
          <w:kern w:val="0"/>
          <w:lang w:eastAsia="en-GB"/>
          <w14:ligatures w14:val="none"/>
        </w:rPr>
        <w:t>Millemann</w:t>
      </w:r>
      <w:proofErr w:type="spellEnd"/>
      <w:r w:rsidRPr="003C6A83">
        <w:rPr>
          <w:rFonts w:ascii="Segoe UI" w:eastAsia="Times New Roman" w:hAnsi="Segoe UI" w:cs="Segoe UI"/>
          <w:color w:val="0F1115"/>
          <w:kern w:val="0"/>
          <w:lang w:eastAsia="en-GB"/>
          <w14:ligatures w14:val="none"/>
        </w:rPr>
        <w:t xml:space="preserve">, J.A. and </w:t>
      </w:r>
      <w:proofErr w:type="spellStart"/>
      <w:r w:rsidRPr="003C6A83">
        <w:rPr>
          <w:rFonts w:ascii="Segoe UI" w:eastAsia="Times New Roman" w:hAnsi="Segoe UI" w:cs="Segoe UI"/>
          <w:color w:val="0F1115"/>
          <w:kern w:val="0"/>
          <w:lang w:eastAsia="en-GB"/>
          <w14:ligatures w14:val="none"/>
        </w:rPr>
        <w:t>Nijssen</w:t>
      </w:r>
      <w:proofErr w:type="spellEnd"/>
      <w:r w:rsidRPr="003C6A83">
        <w:rPr>
          <w:rFonts w:ascii="Segoe UI" w:eastAsia="Times New Roman" w:hAnsi="Segoe UI" w:cs="Segoe UI"/>
          <w:color w:val="0F1115"/>
          <w:kern w:val="0"/>
          <w:lang w:eastAsia="en-GB"/>
          <w14:ligatures w14:val="none"/>
        </w:rPr>
        <w:t>, E. (2022). Bridging the gap between B2B and B2C: Thought leadership in industrial marketing – A systematic literature review and propositions. </w:t>
      </w:r>
      <w:r w:rsidRPr="003C6A83">
        <w:rPr>
          <w:rFonts w:ascii="Segoe UI" w:eastAsia="Times New Roman" w:hAnsi="Segoe UI" w:cs="Segoe UI"/>
          <w:i/>
          <w:iCs/>
          <w:color w:val="0F1115"/>
          <w:kern w:val="0"/>
          <w:lang w:eastAsia="en-GB"/>
          <w14:ligatures w14:val="none"/>
        </w:rPr>
        <w:t>Industrial Marketing Management</w:t>
      </w:r>
      <w:r w:rsidRPr="003C6A83">
        <w:rPr>
          <w:rFonts w:ascii="Segoe UI" w:eastAsia="Times New Roman" w:hAnsi="Segoe UI" w:cs="Segoe UI"/>
          <w:color w:val="0F1115"/>
          <w:kern w:val="0"/>
          <w:lang w:eastAsia="en-GB"/>
          <w14:ligatures w14:val="none"/>
        </w:rPr>
        <w:t>, 106(106), pp.99–111.</w:t>
      </w:r>
    </w:p>
    <w:p w14:paraId="2E4DE949" w14:textId="77777777" w:rsidR="001C0E3C" w:rsidRPr="003C6A83" w:rsidRDefault="001C0E3C" w:rsidP="00681A0D">
      <w:pPr>
        <w:shd w:val="clear" w:color="auto" w:fill="FFFFFF"/>
        <w:spacing w:before="240" w:after="240" w:line="420" w:lineRule="atLeast"/>
        <w:rPr>
          <w:rFonts w:ascii="Segoe UI" w:eastAsia="Times New Roman" w:hAnsi="Segoe UI" w:cs="Segoe UI"/>
          <w:color w:val="0F1115"/>
          <w:kern w:val="0"/>
          <w:lang w:eastAsia="en-GB"/>
          <w14:ligatures w14:val="none"/>
        </w:rPr>
      </w:pPr>
      <w:r w:rsidRPr="003C6A83">
        <w:rPr>
          <w:rFonts w:ascii="Segoe UI" w:eastAsia="Times New Roman" w:hAnsi="Segoe UI" w:cs="Segoe UI"/>
          <w:color w:val="0F1115"/>
          <w:kern w:val="0"/>
          <w:lang w:eastAsia="en-GB"/>
          <w14:ligatures w14:val="none"/>
        </w:rPr>
        <w:t>Quinn, I. (2020). </w:t>
      </w:r>
      <w:r w:rsidRPr="003C6A83">
        <w:rPr>
          <w:rFonts w:ascii="Segoe UI" w:eastAsia="Times New Roman" w:hAnsi="Segoe UI" w:cs="Segoe UI"/>
          <w:i/>
          <w:iCs/>
          <w:color w:val="0F1115"/>
          <w:kern w:val="0"/>
          <w:lang w:eastAsia="en-GB"/>
          <w14:ligatures w14:val="none"/>
        </w:rPr>
        <w:t>Tesco plans major recession price war against the discounters</w:t>
      </w:r>
      <w:r w:rsidRPr="003C6A83">
        <w:rPr>
          <w:rFonts w:ascii="Segoe UI" w:eastAsia="Times New Roman" w:hAnsi="Segoe UI" w:cs="Segoe UI"/>
          <w:color w:val="0F1115"/>
          <w:kern w:val="0"/>
          <w:lang w:eastAsia="en-GB"/>
          <w14:ligatures w14:val="none"/>
        </w:rPr>
        <w:t xml:space="preserve">. The Grocer. Available at: https://www.thegrocer.co.uk/news/tesco-plans-major-recession-price-war-against-the-discounters/645577.article (Accessed: 26 Oct. 2025). </w:t>
      </w:r>
    </w:p>
    <w:p w14:paraId="7DFB6397" w14:textId="77777777" w:rsidR="001C0E3C" w:rsidRPr="003C6A83" w:rsidRDefault="001C0E3C" w:rsidP="00681A0D">
      <w:pPr>
        <w:shd w:val="clear" w:color="auto" w:fill="FFFFFF"/>
        <w:spacing w:before="240" w:after="240" w:line="420" w:lineRule="atLeast"/>
        <w:rPr>
          <w:rFonts w:ascii="Segoe UI" w:eastAsia="Times New Roman" w:hAnsi="Segoe UI" w:cs="Segoe UI"/>
          <w:color w:val="0F1115"/>
          <w:kern w:val="0"/>
          <w:lang w:eastAsia="en-GB"/>
          <w14:ligatures w14:val="none"/>
        </w:rPr>
      </w:pPr>
      <w:r w:rsidRPr="003C6A83">
        <w:rPr>
          <w:rFonts w:ascii="Segoe UI" w:eastAsia="Times New Roman" w:hAnsi="Segoe UI" w:cs="Segoe UI"/>
          <w:color w:val="0F1115"/>
          <w:kern w:val="0"/>
          <w:lang w:eastAsia="en-GB"/>
          <w14:ligatures w14:val="none"/>
        </w:rPr>
        <w:t>Tesco PLC (2023). </w:t>
      </w:r>
      <w:r w:rsidRPr="003C6A83">
        <w:rPr>
          <w:rFonts w:ascii="Segoe UI" w:eastAsia="Times New Roman" w:hAnsi="Segoe UI" w:cs="Segoe UI"/>
          <w:i/>
          <w:iCs/>
          <w:color w:val="0F1115"/>
          <w:kern w:val="0"/>
          <w:lang w:eastAsia="en-GB"/>
          <w14:ligatures w14:val="none"/>
        </w:rPr>
        <w:t>Tesco PLC Annual Report and Financial Statements 2023</w:t>
      </w:r>
      <w:r w:rsidRPr="003C6A83">
        <w:rPr>
          <w:rFonts w:ascii="Segoe UI" w:eastAsia="Times New Roman" w:hAnsi="Segoe UI" w:cs="Segoe UI"/>
          <w:color w:val="0F1115"/>
          <w:kern w:val="0"/>
          <w:lang w:eastAsia="en-GB"/>
          <w14:ligatures w14:val="none"/>
        </w:rPr>
        <w:t>.</w:t>
      </w:r>
    </w:p>
    <w:p w14:paraId="3028A266" w14:textId="77777777" w:rsidR="001C0E3C" w:rsidRPr="003C6A83" w:rsidRDefault="001C0E3C" w:rsidP="00681A0D">
      <w:pPr>
        <w:shd w:val="clear" w:color="auto" w:fill="FFFFFF"/>
        <w:spacing w:before="240" w:after="240" w:line="420" w:lineRule="atLeast"/>
        <w:rPr>
          <w:rFonts w:ascii="Segoe UI" w:eastAsia="Times New Roman" w:hAnsi="Segoe UI" w:cs="Segoe UI"/>
          <w:color w:val="0F1115"/>
          <w:kern w:val="0"/>
          <w:lang w:eastAsia="en-GB"/>
          <w14:ligatures w14:val="none"/>
        </w:rPr>
      </w:pPr>
      <w:proofErr w:type="spellStart"/>
      <w:r w:rsidRPr="003C6A83">
        <w:rPr>
          <w:rFonts w:ascii="Segoe UI" w:eastAsia="Times New Roman" w:hAnsi="Segoe UI" w:cs="Segoe UI"/>
          <w:color w:val="0F1115"/>
          <w:kern w:val="0"/>
          <w:lang w:eastAsia="en-GB"/>
          <w14:ligatures w14:val="none"/>
        </w:rPr>
        <w:t>Varadarajan</w:t>
      </w:r>
      <w:proofErr w:type="spellEnd"/>
      <w:r w:rsidRPr="003C6A83">
        <w:rPr>
          <w:rFonts w:ascii="Segoe UI" w:eastAsia="Times New Roman" w:hAnsi="Segoe UI" w:cs="Segoe UI"/>
          <w:color w:val="0F1115"/>
          <w:kern w:val="0"/>
          <w:lang w:eastAsia="en-GB"/>
          <w14:ligatures w14:val="none"/>
        </w:rPr>
        <w:t xml:space="preserve">, R. (2020). 'Customer information resources advantage, marketing strategy and business performance: A market </w:t>
      </w:r>
      <w:proofErr w:type="gramStart"/>
      <w:r w:rsidRPr="003C6A83">
        <w:rPr>
          <w:rFonts w:ascii="Segoe UI" w:eastAsia="Times New Roman" w:hAnsi="Segoe UI" w:cs="Segoe UI"/>
          <w:color w:val="0F1115"/>
          <w:kern w:val="0"/>
          <w:lang w:eastAsia="en-GB"/>
          <w14:ligatures w14:val="none"/>
        </w:rPr>
        <w:t>resources based</w:t>
      </w:r>
      <w:proofErr w:type="gramEnd"/>
      <w:r w:rsidRPr="003C6A83">
        <w:rPr>
          <w:rFonts w:ascii="Segoe UI" w:eastAsia="Times New Roman" w:hAnsi="Segoe UI" w:cs="Segoe UI"/>
          <w:color w:val="0F1115"/>
          <w:kern w:val="0"/>
          <w:lang w:eastAsia="en-GB"/>
          <w14:ligatures w14:val="none"/>
        </w:rPr>
        <w:t xml:space="preserve"> view'. </w:t>
      </w:r>
      <w:r w:rsidRPr="003C6A83">
        <w:rPr>
          <w:rFonts w:ascii="Segoe UI" w:eastAsia="Times New Roman" w:hAnsi="Segoe UI" w:cs="Segoe UI"/>
          <w:i/>
          <w:iCs/>
          <w:color w:val="0F1115"/>
          <w:kern w:val="0"/>
          <w:lang w:eastAsia="en-GB"/>
          <w14:ligatures w14:val="none"/>
        </w:rPr>
        <w:t>Industrial Marketing Management</w:t>
      </w:r>
      <w:r w:rsidRPr="003C6A83">
        <w:rPr>
          <w:rFonts w:ascii="Segoe UI" w:eastAsia="Times New Roman" w:hAnsi="Segoe UI" w:cs="Segoe UI"/>
          <w:color w:val="0F1115"/>
          <w:kern w:val="0"/>
          <w:lang w:eastAsia="en-GB"/>
          <w14:ligatures w14:val="none"/>
        </w:rPr>
        <w:t>, 89, pp. 89-97.</w:t>
      </w:r>
    </w:p>
    <w:p w14:paraId="21EAF75A" w14:textId="77777777" w:rsidR="001C0E3C" w:rsidRDefault="001C0E3C" w:rsidP="00681A0D">
      <w:pPr>
        <w:shd w:val="clear" w:color="auto" w:fill="FFFFFF"/>
        <w:spacing w:before="240" w:after="240" w:line="420" w:lineRule="atLeast"/>
        <w:rPr>
          <w:rFonts w:ascii="Segoe UI" w:eastAsia="Times New Roman" w:hAnsi="Segoe UI" w:cs="Segoe UI"/>
          <w:color w:val="0F1115"/>
          <w:kern w:val="0"/>
          <w:lang w:eastAsia="en-GB"/>
          <w14:ligatures w14:val="none"/>
        </w:rPr>
      </w:pPr>
      <w:r w:rsidRPr="003C6A83">
        <w:rPr>
          <w:rFonts w:ascii="Segoe UI" w:eastAsia="Times New Roman" w:hAnsi="Segoe UI" w:cs="Segoe UI"/>
          <w:color w:val="0F1115"/>
          <w:kern w:val="0"/>
          <w:lang w:eastAsia="en-GB"/>
          <w14:ligatures w14:val="none"/>
        </w:rPr>
        <w:t>Wood, Zoe (2022). </w:t>
      </w:r>
      <w:r w:rsidRPr="003C6A83">
        <w:rPr>
          <w:rFonts w:ascii="Segoe UI" w:eastAsia="Times New Roman" w:hAnsi="Segoe UI" w:cs="Segoe UI"/>
          <w:i/>
          <w:iCs/>
          <w:color w:val="0F1115"/>
          <w:kern w:val="0"/>
          <w:lang w:eastAsia="en-GB"/>
          <w14:ligatures w14:val="none"/>
        </w:rPr>
        <w:t>‘Big four no more’: where now for UK grocers as Aldi overtakes Morrisons?</w:t>
      </w:r>
      <w:r w:rsidRPr="003C6A83">
        <w:rPr>
          <w:rFonts w:ascii="Segoe UI" w:eastAsia="Times New Roman" w:hAnsi="Segoe UI" w:cs="Segoe UI"/>
          <w:color w:val="0F1115"/>
          <w:kern w:val="0"/>
          <w:lang w:eastAsia="en-GB"/>
          <w14:ligatures w14:val="none"/>
        </w:rPr>
        <w:t xml:space="preserve"> the Guardian. Available at: https://www.theguardian.com/business/2022/sep/17/big-four-uk-grocers-aldi-morrisons-cost-of-living-crisis. (Accessed: 26 October 2025).</w:t>
      </w:r>
    </w:p>
    <w:p w14:paraId="442DE539" w14:textId="77777777" w:rsidR="00FD63DF" w:rsidRDefault="00FD63DF" w:rsidP="00681A0D">
      <w:pPr>
        <w:shd w:val="clear" w:color="auto" w:fill="FFFFFF"/>
        <w:spacing w:before="240" w:line="420" w:lineRule="atLeast"/>
        <w:rPr>
          <w:rFonts w:ascii="Segoe UI" w:eastAsia="Times New Roman" w:hAnsi="Segoe UI" w:cs="Segoe UI"/>
          <w:color w:val="0F1115"/>
          <w:kern w:val="0"/>
          <w:lang w:eastAsia="en-GB"/>
          <w14:ligatures w14:val="none"/>
        </w:rPr>
      </w:pPr>
    </w:p>
    <w:p w14:paraId="21F60372" w14:textId="1D8D50CE" w:rsidR="00312B02" w:rsidRDefault="00312B02" w:rsidP="00681A0D">
      <w:pPr>
        <w:shd w:val="clear" w:color="auto" w:fill="FFFFFF"/>
        <w:spacing w:before="240" w:line="420" w:lineRule="atLeast"/>
        <w:rPr>
          <w:rFonts w:ascii="Segoe UI" w:eastAsia="Times New Roman" w:hAnsi="Segoe UI" w:cs="Segoe UI"/>
          <w:color w:val="0F1115"/>
          <w:kern w:val="0"/>
          <w:lang w:eastAsia="en-GB"/>
          <w14:ligatures w14:val="none"/>
        </w:rPr>
      </w:pPr>
    </w:p>
    <w:p w14:paraId="68FBB4E5" w14:textId="77777777" w:rsidR="00312B02" w:rsidRDefault="00312B02" w:rsidP="00681A0D">
      <w:pPr>
        <w:shd w:val="clear" w:color="auto" w:fill="FFFFFF"/>
        <w:spacing w:before="240" w:line="420" w:lineRule="atLeast"/>
        <w:rPr>
          <w:rFonts w:ascii="Segoe UI" w:eastAsia="Times New Roman" w:hAnsi="Segoe UI" w:cs="Segoe UI"/>
          <w:color w:val="0F1115"/>
          <w:kern w:val="0"/>
          <w:lang w:eastAsia="en-GB"/>
          <w14:ligatures w14:val="none"/>
        </w:rPr>
      </w:pPr>
    </w:p>
    <w:p w14:paraId="238FD222" w14:textId="5AAC9207" w:rsidR="008145B8" w:rsidRDefault="008145B8" w:rsidP="00681A0D"/>
    <w:p w14:paraId="74137CB0" w14:textId="3DFB1FD9" w:rsidR="00920720" w:rsidRDefault="00920720"/>
    <w:sectPr w:rsidR="0092072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AC46A" w14:textId="77777777" w:rsidR="006737D0" w:rsidRDefault="006737D0" w:rsidP="00CE3B22">
      <w:pPr>
        <w:spacing w:after="0" w:line="240" w:lineRule="auto"/>
      </w:pPr>
      <w:r>
        <w:separator/>
      </w:r>
    </w:p>
  </w:endnote>
  <w:endnote w:type="continuationSeparator" w:id="0">
    <w:p w14:paraId="02B2D243" w14:textId="77777777" w:rsidR="006737D0" w:rsidRDefault="006737D0" w:rsidP="00CE3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8478154"/>
      <w:docPartObj>
        <w:docPartGallery w:val="Page Numbers (Bottom of Page)"/>
        <w:docPartUnique/>
      </w:docPartObj>
    </w:sdtPr>
    <w:sdtEndPr>
      <w:rPr>
        <w:noProof/>
      </w:rPr>
    </w:sdtEndPr>
    <w:sdtContent>
      <w:p w14:paraId="70AA0A9E" w14:textId="5E64948D" w:rsidR="00CE3B22" w:rsidRDefault="00CE3B2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D90B3A" w14:textId="77777777" w:rsidR="00CE3B22" w:rsidRDefault="00CE3B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7512B" w14:textId="77777777" w:rsidR="006737D0" w:rsidRDefault="006737D0" w:rsidP="00CE3B22">
      <w:pPr>
        <w:spacing w:after="0" w:line="240" w:lineRule="auto"/>
      </w:pPr>
      <w:r>
        <w:separator/>
      </w:r>
    </w:p>
  </w:footnote>
  <w:footnote w:type="continuationSeparator" w:id="0">
    <w:p w14:paraId="3D8CF20F" w14:textId="77777777" w:rsidR="006737D0" w:rsidRDefault="006737D0" w:rsidP="00CE3B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A5F3E"/>
    <w:multiLevelType w:val="hybridMultilevel"/>
    <w:tmpl w:val="2DA47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5283C"/>
    <w:multiLevelType w:val="hybridMultilevel"/>
    <w:tmpl w:val="50BA7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446D2D"/>
    <w:multiLevelType w:val="multilevel"/>
    <w:tmpl w:val="595A2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5168E7"/>
    <w:multiLevelType w:val="multilevel"/>
    <w:tmpl w:val="59745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FA64BA"/>
    <w:multiLevelType w:val="multilevel"/>
    <w:tmpl w:val="13AC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522395"/>
    <w:multiLevelType w:val="hybridMultilevel"/>
    <w:tmpl w:val="4E544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990921"/>
    <w:multiLevelType w:val="hybridMultilevel"/>
    <w:tmpl w:val="0038B0F0"/>
    <w:lvl w:ilvl="0" w:tplc="5C800DC8">
      <w:start w:val="1"/>
      <w:numFmt w:val="decimal"/>
      <w:lvlText w:val="%1."/>
      <w:lvlJc w:val="left"/>
      <w:pPr>
        <w:ind w:left="810" w:hanging="4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020C9B"/>
    <w:multiLevelType w:val="hybridMultilevel"/>
    <w:tmpl w:val="39468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71071C"/>
    <w:multiLevelType w:val="hybridMultilevel"/>
    <w:tmpl w:val="3AC27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D85035"/>
    <w:multiLevelType w:val="hybridMultilevel"/>
    <w:tmpl w:val="68E80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7B3924"/>
    <w:multiLevelType w:val="multilevel"/>
    <w:tmpl w:val="BA526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4509A0"/>
    <w:multiLevelType w:val="hybridMultilevel"/>
    <w:tmpl w:val="52AC0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576EAC"/>
    <w:multiLevelType w:val="multilevel"/>
    <w:tmpl w:val="083C2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806994"/>
    <w:multiLevelType w:val="multilevel"/>
    <w:tmpl w:val="5E263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CC6E82"/>
    <w:multiLevelType w:val="multilevel"/>
    <w:tmpl w:val="5DDADF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A74178E"/>
    <w:multiLevelType w:val="multilevel"/>
    <w:tmpl w:val="7D884318"/>
    <w:lvl w:ilvl="0">
      <w:start w:val="1"/>
      <w:numFmt w:val="decimal"/>
      <w:lvlText w:val="%1."/>
      <w:lvlJc w:val="left"/>
      <w:pPr>
        <w:ind w:left="810" w:hanging="45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C9406C1"/>
    <w:multiLevelType w:val="multilevel"/>
    <w:tmpl w:val="8954E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E76A1B"/>
    <w:multiLevelType w:val="hybridMultilevel"/>
    <w:tmpl w:val="B5E6C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1A3051"/>
    <w:multiLevelType w:val="multilevel"/>
    <w:tmpl w:val="98EAB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8F19E3"/>
    <w:multiLevelType w:val="multilevel"/>
    <w:tmpl w:val="AD507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D34660"/>
    <w:multiLevelType w:val="hybridMultilevel"/>
    <w:tmpl w:val="26E80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5B58BF"/>
    <w:multiLevelType w:val="multilevel"/>
    <w:tmpl w:val="A2A629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02E5505"/>
    <w:multiLevelType w:val="hybridMultilevel"/>
    <w:tmpl w:val="B3902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837C79"/>
    <w:multiLevelType w:val="multilevel"/>
    <w:tmpl w:val="F0827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E111E84"/>
    <w:multiLevelType w:val="hybridMultilevel"/>
    <w:tmpl w:val="A5EE22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9714232">
    <w:abstractNumId w:val="4"/>
  </w:num>
  <w:num w:numId="2" w16cid:durableId="1796873655">
    <w:abstractNumId w:val="13"/>
  </w:num>
  <w:num w:numId="3" w16cid:durableId="1597178772">
    <w:abstractNumId w:val="2"/>
  </w:num>
  <w:num w:numId="4" w16cid:durableId="1427921210">
    <w:abstractNumId w:val="19"/>
  </w:num>
  <w:num w:numId="5" w16cid:durableId="1357150546">
    <w:abstractNumId w:val="12"/>
  </w:num>
  <w:num w:numId="6" w16cid:durableId="320275253">
    <w:abstractNumId w:val="3"/>
  </w:num>
  <w:num w:numId="7" w16cid:durableId="1427925955">
    <w:abstractNumId w:val="10"/>
  </w:num>
  <w:num w:numId="8" w16cid:durableId="746726517">
    <w:abstractNumId w:val="18"/>
  </w:num>
  <w:num w:numId="9" w16cid:durableId="1661619216">
    <w:abstractNumId w:val="16"/>
  </w:num>
  <w:num w:numId="10" w16cid:durableId="474105210">
    <w:abstractNumId w:val="21"/>
  </w:num>
  <w:num w:numId="11" w16cid:durableId="1734497682">
    <w:abstractNumId w:val="1"/>
  </w:num>
  <w:num w:numId="12" w16cid:durableId="622690224">
    <w:abstractNumId w:val="20"/>
  </w:num>
  <w:num w:numId="13" w16cid:durableId="1972710847">
    <w:abstractNumId w:val="23"/>
  </w:num>
  <w:num w:numId="14" w16cid:durableId="2093163346">
    <w:abstractNumId w:val="14"/>
  </w:num>
  <w:num w:numId="15" w16cid:durableId="756707636">
    <w:abstractNumId w:val="9"/>
  </w:num>
  <w:num w:numId="16" w16cid:durableId="1838575533">
    <w:abstractNumId w:val="24"/>
  </w:num>
  <w:num w:numId="17" w16cid:durableId="436755738">
    <w:abstractNumId w:val="22"/>
  </w:num>
  <w:num w:numId="18" w16cid:durableId="1207987409">
    <w:abstractNumId w:val="17"/>
  </w:num>
  <w:num w:numId="19" w16cid:durableId="253822519">
    <w:abstractNumId w:val="5"/>
  </w:num>
  <w:num w:numId="20" w16cid:durableId="1433893159">
    <w:abstractNumId w:val="7"/>
  </w:num>
  <w:num w:numId="21" w16cid:durableId="1302534325">
    <w:abstractNumId w:val="0"/>
  </w:num>
  <w:num w:numId="22" w16cid:durableId="764620627">
    <w:abstractNumId w:val="11"/>
  </w:num>
  <w:num w:numId="23" w16cid:durableId="974025456">
    <w:abstractNumId w:val="6"/>
  </w:num>
  <w:num w:numId="24" w16cid:durableId="1308168948">
    <w:abstractNumId w:val="15"/>
  </w:num>
  <w:num w:numId="25" w16cid:durableId="1480809508">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A67"/>
    <w:rsid w:val="00042703"/>
    <w:rsid w:val="000536E8"/>
    <w:rsid w:val="00075EBA"/>
    <w:rsid w:val="000860D3"/>
    <w:rsid w:val="000A0354"/>
    <w:rsid w:val="000A1B5C"/>
    <w:rsid w:val="000D4FA1"/>
    <w:rsid w:val="000D71C0"/>
    <w:rsid w:val="000F3602"/>
    <w:rsid w:val="00125E6D"/>
    <w:rsid w:val="001327A9"/>
    <w:rsid w:val="001443AB"/>
    <w:rsid w:val="0015372F"/>
    <w:rsid w:val="00163A78"/>
    <w:rsid w:val="00196178"/>
    <w:rsid w:val="001A6763"/>
    <w:rsid w:val="001C0E3C"/>
    <w:rsid w:val="001C2377"/>
    <w:rsid w:val="001C7F03"/>
    <w:rsid w:val="001D0CA8"/>
    <w:rsid w:val="001E203A"/>
    <w:rsid w:val="001E2A0C"/>
    <w:rsid w:val="002160E3"/>
    <w:rsid w:val="0022336F"/>
    <w:rsid w:val="00236170"/>
    <w:rsid w:val="00240AA3"/>
    <w:rsid w:val="002659A5"/>
    <w:rsid w:val="00272D39"/>
    <w:rsid w:val="002739E3"/>
    <w:rsid w:val="002A75DF"/>
    <w:rsid w:val="002D3217"/>
    <w:rsid w:val="002F2A6A"/>
    <w:rsid w:val="00312B02"/>
    <w:rsid w:val="00324E40"/>
    <w:rsid w:val="00336855"/>
    <w:rsid w:val="003819E5"/>
    <w:rsid w:val="003C6A83"/>
    <w:rsid w:val="003E4B4A"/>
    <w:rsid w:val="004212D9"/>
    <w:rsid w:val="00423D95"/>
    <w:rsid w:val="0044169A"/>
    <w:rsid w:val="0045797A"/>
    <w:rsid w:val="00466F06"/>
    <w:rsid w:val="00477092"/>
    <w:rsid w:val="00477981"/>
    <w:rsid w:val="00483AE7"/>
    <w:rsid w:val="004959BD"/>
    <w:rsid w:val="004A7FE5"/>
    <w:rsid w:val="004C4CEB"/>
    <w:rsid w:val="00517AFC"/>
    <w:rsid w:val="00525B9E"/>
    <w:rsid w:val="0052681B"/>
    <w:rsid w:val="005434D0"/>
    <w:rsid w:val="0056426C"/>
    <w:rsid w:val="0057134E"/>
    <w:rsid w:val="005756A2"/>
    <w:rsid w:val="0059056B"/>
    <w:rsid w:val="005C579F"/>
    <w:rsid w:val="006078C0"/>
    <w:rsid w:val="006155CF"/>
    <w:rsid w:val="00620770"/>
    <w:rsid w:val="00622313"/>
    <w:rsid w:val="00633324"/>
    <w:rsid w:val="0066793B"/>
    <w:rsid w:val="006737D0"/>
    <w:rsid w:val="00681A0D"/>
    <w:rsid w:val="006868CA"/>
    <w:rsid w:val="006F033B"/>
    <w:rsid w:val="006F2B94"/>
    <w:rsid w:val="007066BA"/>
    <w:rsid w:val="00744A57"/>
    <w:rsid w:val="0078751A"/>
    <w:rsid w:val="0079559D"/>
    <w:rsid w:val="007B2C70"/>
    <w:rsid w:val="007C26C8"/>
    <w:rsid w:val="007F4150"/>
    <w:rsid w:val="007F6B5B"/>
    <w:rsid w:val="008145B8"/>
    <w:rsid w:val="00860755"/>
    <w:rsid w:val="00860A9B"/>
    <w:rsid w:val="00867C88"/>
    <w:rsid w:val="00870B0A"/>
    <w:rsid w:val="00872549"/>
    <w:rsid w:val="008940F5"/>
    <w:rsid w:val="008C4E6F"/>
    <w:rsid w:val="008D188D"/>
    <w:rsid w:val="008D31F1"/>
    <w:rsid w:val="00920720"/>
    <w:rsid w:val="00942533"/>
    <w:rsid w:val="00943853"/>
    <w:rsid w:val="009805EC"/>
    <w:rsid w:val="00987CEA"/>
    <w:rsid w:val="0099112A"/>
    <w:rsid w:val="00991C51"/>
    <w:rsid w:val="009A37A3"/>
    <w:rsid w:val="009E2082"/>
    <w:rsid w:val="00A12E44"/>
    <w:rsid w:val="00A44D2D"/>
    <w:rsid w:val="00A70A26"/>
    <w:rsid w:val="00AA0110"/>
    <w:rsid w:val="00AB58D3"/>
    <w:rsid w:val="00AC0C5F"/>
    <w:rsid w:val="00AF4F7B"/>
    <w:rsid w:val="00B10385"/>
    <w:rsid w:val="00B37E3F"/>
    <w:rsid w:val="00B5423F"/>
    <w:rsid w:val="00B55397"/>
    <w:rsid w:val="00B71A43"/>
    <w:rsid w:val="00B94E4C"/>
    <w:rsid w:val="00B969B4"/>
    <w:rsid w:val="00BA186C"/>
    <w:rsid w:val="00BD5697"/>
    <w:rsid w:val="00BE0687"/>
    <w:rsid w:val="00C0622F"/>
    <w:rsid w:val="00C10C44"/>
    <w:rsid w:val="00C200F0"/>
    <w:rsid w:val="00C44C92"/>
    <w:rsid w:val="00C533FC"/>
    <w:rsid w:val="00C53C88"/>
    <w:rsid w:val="00C7354C"/>
    <w:rsid w:val="00C97A67"/>
    <w:rsid w:val="00CB794E"/>
    <w:rsid w:val="00CD3EBD"/>
    <w:rsid w:val="00CE3B22"/>
    <w:rsid w:val="00D01BAB"/>
    <w:rsid w:val="00D0585E"/>
    <w:rsid w:val="00D1770E"/>
    <w:rsid w:val="00D225FB"/>
    <w:rsid w:val="00D30960"/>
    <w:rsid w:val="00D71E96"/>
    <w:rsid w:val="00DA01C9"/>
    <w:rsid w:val="00DA17BF"/>
    <w:rsid w:val="00DC6240"/>
    <w:rsid w:val="00DC75E4"/>
    <w:rsid w:val="00DF4909"/>
    <w:rsid w:val="00DF72D6"/>
    <w:rsid w:val="00E20CB4"/>
    <w:rsid w:val="00E23E75"/>
    <w:rsid w:val="00E35C26"/>
    <w:rsid w:val="00E4278A"/>
    <w:rsid w:val="00E43819"/>
    <w:rsid w:val="00E468CE"/>
    <w:rsid w:val="00E558C8"/>
    <w:rsid w:val="00E832FB"/>
    <w:rsid w:val="00EA04E4"/>
    <w:rsid w:val="00EA0AE4"/>
    <w:rsid w:val="00EE480F"/>
    <w:rsid w:val="00EE6E8F"/>
    <w:rsid w:val="00EF57A6"/>
    <w:rsid w:val="00F32F96"/>
    <w:rsid w:val="00F3509C"/>
    <w:rsid w:val="00F577CF"/>
    <w:rsid w:val="00F630D7"/>
    <w:rsid w:val="00FA59F3"/>
    <w:rsid w:val="00FB05F8"/>
    <w:rsid w:val="00FB494E"/>
    <w:rsid w:val="00FB4E9F"/>
    <w:rsid w:val="00FD505C"/>
    <w:rsid w:val="00FD63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79693"/>
  <w15:chartTrackingRefBased/>
  <w15:docId w15:val="{EC88F600-BCEB-4938-823E-66887F104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7A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7A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7A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7A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7A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7A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7A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7A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7A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7A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97A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7A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7A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7A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7A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7A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7A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7A67"/>
    <w:rPr>
      <w:rFonts w:eastAsiaTheme="majorEastAsia" w:cstheme="majorBidi"/>
      <w:color w:val="272727" w:themeColor="text1" w:themeTint="D8"/>
    </w:rPr>
  </w:style>
  <w:style w:type="paragraph" w:styleId="Title">
    <w:name w:val="Title"/>
    <w:basedOn w:val="Normal"/>
    <w:next w:val="Normal"/>
    <w:link w:val="TitleChar"/>
    <w:uiPriority w:val="10"/>
    <w:qFormat/>
    <w:rsid w:val="00C97A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7A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7A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7A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7A67"/>
    <w:pPr>
      <w:spacing w:before="160"/>
      <w:jc w:val="center"/>
    </w:pPr>
    <w:rPr>
      <w:i/>
      <w:iCs/>
      <w:color w:val="404040" w:themeColor="text1" w:themeTint="BF"/>
    </w:rPr>
  </w:style>
  <w:style w:type="character" w:customStyle="1" w:styleId="QuoteChar">
    <w:name w:val="Quote Char"/>
    <w:basedOn w:val="DefaultParagraphFont"/>
    <w:link w:val="Quote"/>
    <w:uiPriority w:val="29"/>
    <w:rsid w:val="00C97A67"/>
    <w:rPr>
      <w:i/>
      <w:iCs/>
      <w:color w:val="404040" w:themeColor="text1" w:themeTint="BF"/>
    </w:rPr>
  </w:style>
  <w:style w:type="paragraph" w:styleId="ListParagraph">
    <w:name w:val="List Paragraph"/>
    <w:basedOn w:val="Normal"/>
    <w:uiPriority w:val="34"/>
    <w:qFormat/>
    <w:rsid w:val="00C97A67"/>
    <w:pPr>
      <w:ind w:left="720"/>
      <w:contextualSpacing/>
    </w:pPr>
  </w:style>
  <w:style w:type="character" w:styleId="IntenseEmphasis">
    <w:name w:val="Intense Emphasis"/>
    <w:basedOn w:val="DefaultParagraphFont"/>
    <w:uiPriority w:val="21"/>
    <w:qFormat/>
    <w:rsid w:val="00C97A67"/>
    <w:rPr>
      <w:i/>
      <w:iCs/>
      <w:color w:val="0F4761" w:themeColor="accent1" w:themeShade="BF"/>
    </w:rPr>
  </w:style>
  <w:style w:type="paragraph" w:styleId="IntenseQuote">
    <w:name w:val="Intense Quote"/>
    <w:basedOn w:val="Normal"/>
    <w:next w:val="Normal"/>
    <w:link w:val="IntenseQuoteChar"/>
    <w:uiPriority w:val="30"/>
    <w:qFormat/>
    <w:rsid w:val="00C97A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7A67"/>
    <w:rPr>
      <w:i/>
      <w:iCs/>
      <w:color w:val="0F4761" w:themeColor="accent1" w:themeShade="BF"/>
    </w:rPr>
  </w:style>
  <w:style w:type="character" w:styleId="IntenseReference">
    <w:name w:val="Intense Reference"/>
    <w:basedOn w:val="DefaultParagraphFont"/>
    <w:uiPriority w:val="32"/>
    <w:qFormat/>
    <w:rsid w:val="00C97A67"/>
    <w:rPr>
      <w:b/>
      <w:bCs/>
      <w:smallCaps/>
      <w:color w:val="0F4761" w:themeColor="accent1" w:themeShade="BF"/>
      <w:spacing w:val="5"/>
    </w:rPr>
  </w:style>
  <w:style w:type="table" w:styleId="TableGrid">
    <w:name w:val="Table Grid"/>
    <w:basedOn w:val="TableNormal"/>
    <w:uiPriority w:val="39"/>
    <w:rsid w:val="00E23E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23E7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E23E7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8145B8"/>
    <w:rPr>
      <w:color w:val="467886" w:themeColor="hyperlink"/>
      <w:u w:val="single"/>
    </w:rPr>
  </w:style>
  <w:style w:type="character" w:styleId="UnresolvedMention">
    <w:name w:val="Unresolved Mention"/>
    <w:basedOn w:val="DefaultParagraphFont"/>
    <w:uiPriority w:val="99"/>
    <w:semiHidden/>
    <w:unhideWhenUsed/>
    <w:rsid w:val="008145B8"/>
    <w:rPr>
      <w:color w:val="605E5C"/>
      <w:shd w:val="clear" w:color="auto" w:fill="E1DFDD"/>
    </w:rPr>
  </w:style>
  <w:style w:type="character" w:styleId="FollowedHyperlink">
    <w:name w:val="FollowedHyperlink"/>
    <w:basedOn w:val="DefaultParagraphFont"/>
    <w:uiPriority w:val="99"/>
    <w:semiHidden/>
    <w:unhideWhenUsed/>
    <w:rsid w:val="005C579F"/>
    <w:rPr>
      <w:color w:val="96607D" w:themeColor="followedHyperlink"/>
      <w:u w:val="single"/>
    </w:rPr>
  </w:style>
  <w:style w:type="paragraph" w:styleId="Header">
    <w:name w:val="header"/>
    <w:basedOn w:val="Normal"/>
    <w:link w:val="HeaderChar"/>
    <w:uiPriority w:val="99"/>
    <w:unhideWhenUsed/>
    <w:rsid w:val="00CE3B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3B22"/>
  </w:style>
  <w:style w:type="paragraph" w:styleId="Footer">
    <w:name w:val="footer"/>
    <w:basedOn w:val="Normal"/>
    <w:link w:val="FooterChar"/>
    <w:uiPriority w:val="99"/>
    <w:unhideWhenUsed/>
    <w:rsid w:val="00CE3B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3B22"/>
  </w:style>
  <w:style w:type="paragraph" w:styleId="TOCHeading">
    <w:name w:val="TOC Heading"/>
    <w:basedOn w:val="Heading1"/>
    <w:next w:val="Normal"/>
    <w:uiPriority w:val="39"/>
    <w:unhideWhenUsed/>
    <w:qFormat/>
    <w:rsid w:val="00CE3B2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E3B22"/>
    <w:pPr>
      <w:spacing w:after="100"/>
    </w:pPr>
  </w:style>
  <w:style w:type="paragraph" w:styleId="TOC3">
    <w:name w:val="toc 3"/>
    <w:basedOn w:val="Normal"/>
    <w:next w:val="Normal"/>
    <w:autoRedefine/>
    <w:uiPriority w:val="39"/>
    <w:unhideWhenUsed/>
    <w:rsid w:val="00CE3B22"/>
    <w:pPr>
      <w:spacing w:after="100"/>
      <w:ind w:left="480"/>
    </w:pPr>
  </w:style>
  <w:style w:type="paragraph" w:styleId="TOC2">
    <w:name w:val="toc 2"/>
    <w:basedOn w:val="Normal"/>
    <w:next w:val="Normal"/>
    <w:autoRedefine/>
    <w:uiPriority w:val="39"/>
    <w:unhideWhenUsed/>
    <w:rsid w:val="00CE3B2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936238">
      <w:bodyDiv w:val="1"/>
      <w:marLeft w:val="0"/>
      <w:marRight w:val="0"/>
      <w:marTop w:val="0"/>
      <w:marBottom w:val="0"/>
      <w:divBdr>
        <w:top w:val="none" w:sz="0" w:space="0" w:color="auto"/>
        <w:left w:val="none" w:sz="0" w:space="0" w:color="auto"/>
        <w:bottom w:val="none" w:sz="0" w:space="0" w:color="auto"/>
        <w:right w:val="none" w:sz="0" w:space="0" w:color="auto"/>
      </w:divBdr>
    </w:div>
    <w:div w:id="213347878">
      <w:bodyDiv w:val="1"/>
      <w:marLeft w:val="0"/>
      <w:marRight w:val="0"/>
      <w:marTop w:val="0"/>
      <w:marBottom w:val="0"/>
      <w:divBdr>
        <w:top w:val="none" w:sz="0" w:space="0" w:color="auto"/>
        <w:left w:val="none" w:sz="0" w:space="0" w:color="auto"/>
        <w:bottom w:val="none" w:sz="0" w:space="0" w:color="auto"/>
        <w:right w:val="none" w:sz="0" w:space="0" w:color="auto"/>
      </w:divBdr>
    </w:div>
    <w:div w:id="320277277">
      <w:bodyDiv w:val="1"/>
      <w:marLeft w:val="0"/>
      <w:marRight w:val="0"/>
      <w:marTop w:val="0"/>
      <w:marBottom w:val="0"/>
      <w:divBdr>
        <w:top w:val="none" w:sz="0" w:space="0" w:color="auto"/>
        <w:left w:val="none" w:sz="0" w:space="0" w:color="auto"/>
        <w:bottom w:val="none" w:sz="0" w:space="0" w:color="auto"/>
        <w:right w:val="none" w:sz="0" w:space="0" w:color="auto"/>
      </w:divBdr>
    </w:div>
    <w:div w:id="354693817">
      <w:bodyDiv w:val="1"/>
      <w:marLeft w:val="0"/>
      <w:marRight w:val="0"/>
      <w:marTop w:val="0"/>
      <w:marBottom w:val="0"/>
      <w:divBdr>
        <w:top w:val="none" w:sz="0" w:space="0" w:color="auto"/>
        <w:left w:val="none" w:sz="0" w:space="0" w:color="auto"/>
        <w:bottom w:val="none" w:sz="0" w:space="0" w:color="auto"/>
        <w:right w:val="none" w:sz="0" w:space="0" w:color="auto"/>
      </w:divBdr>
    </w:div>
    <w:div w:id="379746368">
      <w:bodyDiv w:val="1"/>
      <w:marLeft w:val="0"/>
      <w:marRight w:val="0"/>
      <w:marTop w:val="0"/>
      <w:marBottom w:val="0"/>
      <w:divBdr>
        <w:top w:val="none" w:sz="0" w:space="0" w:color="auto"/>
        <w:left w:val="none" w:sz="0" w:space="0" w:color="auto"/>
        <w:bottom w:val="none" w:sz="0" w:space="0" w:color="auto"/>
        <w:right w:val="none" w:sz="0" w:space="0" w:color="auto"/>
      </w:divBdr>
      <w:divsChild>
        <w:div w:id="792864177">
          <w:marLeft w:val="0"/>
          <w:marRight w:val="0"/>
          <w:marTop w:val="0"/>
          <w:marBottom w:val="0"/>
          <w:divBdr>
            <w:top w:val="none" w:sz="0" w:space="0" w:color="auto"/>
            <w:left w:val="none" w:sz="0" w:space="0" w:color="auto"/>
            <w:bottom w:val="none" w:sz="0" w:space="0" w:color="auto"/>
            <w:right w:val="none" w:sz="0" w:space="0" w:color="auto"/>
          </w:divBdr>
          <w:divsChild>
            <w:div w:id="53492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206046">
      <w:bodyDiv w:val="1"/>
      <w:marLeft w:val="0"/>
      <w:marRight w:val="0"/>
      <w:marTop w:val="0"/>
      <w:marBottom w:val="0"/>
      <w:divBdr>
        <w:top w:val="none" w:sz="0" w:space="0" w:color="auto"/>
        <w:left w:val="none" w:sz="0" w:space="0" w:color="auto"/>
        <w:bottom w:val="none" w:sz="0" w:space="0" w:color="auto"/>
        <w:right w:val="none" w:sz="0" w:space="0" w:color="auto"/>
      </w:divBdr>
    </w:div>
    <w:div w:id="685863551">
      <w:bodyDiv w:val="1"/>
      <w:marLeft w:val="0"/>
      <w:marRight w:val="0"/>
      <w:marTop w:val="0"/>
      <w:marBottom w:val="0"/>
      <w:divBdr>
        <w:top w:val="none" w:sz="0" w:space="0" w:color="auto"/>
        <w:left w:val="none" w:sz="0" w:space="0" w:color="auto"/>
        <w:bottom w:val="none" w:sz="0" w:space="0" w:color="auto"/>
        <w:right w:val="none" w:sz="0" w:space="0" w:color="auto"/>
      </w:divBdr>
    </w:div>
    <w:div w:id="731271486">
      <w:bodyDiv w:val="1"/>
      <w:marLeft w:val="0"/>
      <w:marRight w:val="0"/>
      <w:marTop w:val="0"/>
      <w:marBottom w:val="0"/>
      <w:divBdr>
        <w:top w:val="none" w:sz="0" w:space="0" w:color="auto"/>
        <w:left w:val="none" w:sz="0" w:space="0" w:color="auto"/>
        <w:bottom w:val="none" w:sz="0" w:space="0" w:color="auto"/>
        <w:right w:val="none" w:sz="0" w:space="0" w:color="auto"/>
      </w:divBdr>
    </w:div>
    <w:div w:id="839344493">
      <w:bodyDiv w:val="1"/>
      <w:marLeft w:val="0"/>
      <w:marRight w:val="0"/>
      <w:marTop w:val="0"/>
      <w:marBottom w:val="0"/>
      <w:divBdr>
        <w:top w:val="none" w:sz="0" w:space="0" w:color="auto"/>
        <w:left w:val="none" w:sz="0" w:space="0" w:color="auto"/>
        <w:bottom w:val="none" w:sz="0" w:space="0" w:color="auto"/>
        <w:right w:val="none" w:sz="0" w:space="0" w:color="auto"/>
      </w:divBdr>
      <w:divsChild>
        <w:div w:id="144395162">
          <w:marLeft w:val="0"/>
          <w:marRight w:val="0"/>
          <w:marTop w:val="0"/>
          <w:marBottom w:val="0"/>
          <w:divBdr>
            <w:top w:val="none" w:sz="0" w:space="0" w:color="auto"/>
            <w:left w:val="none" w:sz="0" w:space="0" w:color="auto"/>
            <w:bottom w:val="none" w:sz="0" w:space="0" w:color="auto"/>
            <w:right w:val="none" w:sz="0" w:space="0" w:color="auto"/>
          </w:divBdr>
          <w:divsChild>
            <w:div w:id="1188719714">
              <w:marLeft w:val="0"/>
              <w:marRight w:val="0"/>
              <w:marTop w:val="0"/>
              <w:marBottom w:val="0"/>
              <w:divBdr>
                <w:top w:val="none" w:sz="0" w:space="0" w:color="auto"/>
                <w:left w:val="none" w:sz="0" w:space="0" w:color="auto"/>
                <w:bottom w:val="none" w:sz="0" w:space="0" w:color="auto"/>
                <w:right w:val="none" w:sz="0" w:space="0" w:color="auto"/>
              </w:divBdr>
            </w:div>
          </w:divsChild>
        </w:div>
        <w:div w:id="335424397">
          <w:marLeft w:val="0"/>
          <w:marRight w:val="0"/>
          <w:marTop w:val="0"/>
          <w:marBottom w:val="0"/>
          <w:divBdr>
            <w:top w:val="none" w:sz="0" w:space="0" w:color="auto"/>
            <w:left w:val="none" w:sz="0" w:space="0" w:color="auto"/>
            <w:bottom w:val="none" w:sz="0" w:space="0" w:color="auto"/>
            <w:right w:val="none" w:sz="0" w:space="0" w:color="auto"/>
          </w:divBdr>
          <w:divsChild>
            <w:div w:id="768693958">
              <w:marLeft w:val="0"/>
              <w:marRight w:val="0"/>
              <w:marTop w:val="0"/>
              <w:marBottom w:val="0"/>
              <w:divBdr>
                <w:top w:val="none" w:sz="0" w:space="0" w:color="auto"/>
                <w:left w:val="none" w:sz="0" w:space="0" w:color="auto"/>
                <w:bottom w:val="none" w:sz="0" w:space="0" w:color="auto"/>
                <w:right w:val="none" w:sz="0" w:space="0" w:color="auto"/>
              </w:divBdr>
            </w:div>
          </w:divsChild>
        </w:div>
        <w:div w:id="1500194969">
          <w:marLeft w:val="0"/>
          <w:marRight w:val="0"/>
          <w:marTop w:val="0"/>
          <w:marBottom w:val="0"/>
          <w:divBdr>
            <w:top w:val="none" w:sz="0" w:space="0" w:color="auto"/>
            <w:left w:val="none" w:sz="0" w:space="0" w:color="auto"/>
            <w:bottom w:val="none" w:sz="0" w:space="0" w:color="auto"/>
            <w:right w:val="none" w:sz="0" w:space="0" w:color="auto"/>
          </w:divBdr>
          <w:divsChild>
            <w:div w:id="1873688302">
              <w:marLeft w:val="0"/>
              <w:marRight w:val="0"/>
              <w:marTop w:val="0"/>
              <w:marBottom w:val="0"/>
              <w:divBdr>
                <w:top w:val="none" w:sz="0" w:space="0" w:color="auto"/>
                <w:left w:val="none" w:sz="0" w:space="0" w:color="auto"/>
                <w:bottom w:val="none" w:sz="0" w:space="0" w:color="auto"/>
                <w:right w:val="none" w:sz="0" w:space="0" w:color="auto"/>
              </w:divBdr>
            </w:div>
          </w:divsChild>
        </w:div>
        <w:div w:id="1313103649">
          <w:marLeft w:val="0"/>
          <w:marRight w:val="0"/>
          <w:marTop w:val="0"/>
          <w:marBottom w:val="0"/>
          <w:divBdr>
            <w:top w:val="none" w:sz="0" w:space="0" w:color="auto"/>
            <w:left w:val="none" w:sz="0" w:space="0" w:color="auto"/>
            <w:bottom w:val="none" w:sz="0" w:space="0" w:color="auto"/>
            <w:right w:val="none" w:sz="0" w:space="0" w:color="auto"/>
          </w:divBdr>
          <w:divsChild>
            <w:div w:id="2060811675">
              <w:marLeft w:val="0"/>
              <w:marRight w:val="0"/>
              <w:marTop w:val="0"/>
              <w:marBottom w:val="0"/>
              <w:divBdr>
                <w:top w:val="none" w:sz="0" w:space="0" w:color="auto"/>
                <w:left w:val="none" w:sz="0" w:space="0" w:color="auto"/>
                <w:bottom w:val="none" w:sz="0" w:space="0" w:color="auto"/>
                <w:right w:val="none" w:sz="0" w:space="0" w:color="auto"/>
              </w:divBdr>
            </w:div>
          </w:divsChild>
        </w:div>
        <w:div w:id="426921588">
          <w:marLeft w:val="0"/>
          <w:marRight w:val="0"/>
          <w:marTop w:val="0"/>
          <w:marBottom w:val="0"/>
          <w:divBdr>
            <w:top w:val="none" w:sz="0" w:space="0" w:color="auto"/>
            <w:left w:val="none" w:sz="0" w:space="0" w:color="auto"/>
            <w:bottom w:val="none" w:sz="0" w:space="0" w:color="auto"/>
            <w:right w:val="none" w:sz="0" w:space="0" w:color="auto"/>
          </w:divBdr>
          <w:divsChild>
            <w:div w:id="1339847742">
              <w:marLeft w:val="0"/>
              <w:marRight w:val="0"/>
              <w:marTop w:val="0"/>
              <w:marBottom w:val="0"/>
              <w:divBdr>
                <w:top w:val="none" w:sz="0" w:space="0" w:color="auto"/>
                <w:left w:val="none" w:sz="0" w:space="0" w:color="auto"/>
                <w:bottom w:val="none" w:sz="0" w:space="0" w:color="auto"/>
                <w:right w:val="none" w:sz="0" w:space="0" w:color="auto"/>
              </w:divBdr>
            </w:div>
          </w:divsChild>
        </w:div>
        <w:div w:id="922765938">
          <w:marLeft w:val="0"/>
          <w:marRight w:val="0"/>
          <w:marTop w:val="0"/>
          <w:marBottom w:val="0"/>
          <w:divBdr>
            <w:top w:val="none" w:sz="0" w:space="0" w:color="auto"/>
            <w:left w:val="none" w:sz="0" w:space="0" w:color="auto"/>
            <w:bottom w:val="none" w:sz="0" w:space="0" w:color="auto"/>
            <w:right w:val="none" w:sz="0" w:space="0" w:color="auto"/>
          </w:divBdr>
          <w:divsChild>
            <w:div w:id="6291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107531">
      <w:bodyDiv w:val="1"/>
      <w:marLeft w:val="0"/>
      <w:marRight w:val="0"/>
      <w:marTop w:val="0"/>
      <w:marBottom w:val="0"/>
      <w:divBdr>
        <w:top w:val="none" w:sz="0" w:space="0" w:color="auto"/>
        <w:left w:val="none" w:sz="0" w:space="0" w:color="auto"/>
        <w:bottom w:val="none" w:sz="0" w:space="0" w:color="auto"/>
        <w:right w:val="none" w:sz="0" w:space="0" w:color="auto"/>
      </w:divBdr>
    </w:div>
    <w:div w:id="999768237">
      <w:bodyDiv w:val="1"/>
      <w:marLeft w:val="0"/>
      <w:marRight w:val="0"/>
      <w:marTop w:val="0"/>
      <w:marBottom w:val="0"/>
      <w:divBdr>
        <w:top w:val="none" w:sz="0" w:space="0" w:color="auto"/>
        <w:left w:val="none" w:sz="0" w:space="0" w:color="auto"/>
        <w:bottom w:val="none" w:sz="0" w:space="0" w:color="auto"/>
        <w:right w:val="none" w:sz="0" w:space="0" w:color="auto"/>
      </w:divBdr>
      <w:divsChild>
        <w:div w:id="1797486192">
          <w:marLeft w:val="0"/>
          <w:marRight w:val="0"/>
          <w:marTop w:val="0"/>
          <w:marBottom w:val="0"/>
          <w:divBdr>
            <w:top w:val="none" w:sz="0" w:space="0" w:color="auto"/>
            <w:left w:val="none" w:sz="0" w:space="0" w:color="auto"/>
            <w:bottom w:val="none" w:sz="0" w:space="0" w:color="auto"/>
            <w:right w:val="none" w:sz="0" w:space="0" w:color="auto"/>
          </w:divBdr>
          <w:divsChild>
            <w:div w:id="33654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544450">
      <w:bodyDiv w:val="1"/>
      <w:marLeft w:val="0"/>
      <w:marRight w:val="0"/>
      <w:marTop w:val="0"/>
      <w:marBottom w:val="0"/>
      <w:divBdr>
        <w:top w:val="none" w:sz="0" w:space="0" w:color="auto"/>
        <w:left w:val="none" w:sz="0" w:space="0" w:color="auto"/>
        <w:bottom w:val="none" w:sz="0" w:space="0" w:color="auto"/>
        <w:right w:val="none" w:sz="0" w:space="0" w:color="auto"/>
      </w:divBdr>
    </w:div>
    <w:div w:id="1146555626">
      <w:bodyDiv w:val="1"/>
      <w:marLeft w:val="0"/>
      <w:marRight w:val="0"/>
      <w:marTop w:val="0"/>
      <w:marBottom w:val="0"/>
      <w:divBdr>
        <w:top w:val="none" w:sz="0" w:space="0" w:color="auto"/>
        <w:left w:val="none" w:sz="0" w:space="0" w:color="auto"/>
        <w:bottom w:val="none" w:sz="0" w:space="0" w:color="auto"/>
        <w:right w:val="none" w:sz="0" w:space="0" w:color="auto"/>
      </w:divBdr>
    </w:div>
    <w:div w:id="1265653288">
      <w:bodyDiv w:val="1"/>
      <w:marLeft w:val="0"/>
      <w:marRight w:val="0"/>
      <w:marTop w:val="0"/>
      <w:marBottom w:val="0"/>
      <w:divBdr>
        <w:top w:val="none" w:sz="0" w:space="0" w:color="auto"/>
        <w:left w:val="none" w:sz="0" w:space="0" w:color="auto"/>
        <w:bottom w:val="none" w:sz="0" w:space="0" w:color="auto"/>
        <w:right w:val="none" w:sz="0" w:space="0" w:color="auto"/>
      </w:divBdr>
    </w:div>
    <w:div w:id="1297448336">
      <w:bodyDiv w:val="1"/>
      <w:marLeft w:val="0"/>
      <w:marRight w:val="0"/>
      <w:marTop w:val="0"/>
      <w:marBottom w:val="0"/>
      <w:divBdr>
        <w:top w:val="none" w:sz="0" w:space="0" w:color="auto"/>
        <w:left w:val="none" w:sz="0" w:space="0" w:color="auto"/>
        <w:bottom w:val="none" w:sz="0" w:space="0" w:color="auto"/>
        <w:right w:val="none" w:sz="0" w:space="0" w:color="auto"/>
      </w:divBdr>
    </w:div>
    <w:div w:id="1381592407">
      <w:bodyDiv w:val="1"/>
      <w:marLeft w:val="0"/>
      <w:marRight w:val="0"/>
      <w:marTop w:val="0"/>
      <w:marBottom w:val="0"/>
      <w:divBdr>
        <w:top w:val="none" w:sz="0" w:space="0" w:color="auto"/>
        <w:left w:val="none" w:sz="0" w:space="0" w:color="auto"/>
        <w:bottom w:val="none" w:sz="0" w:space="0" w:color="auto"/>
        <w:right w:val="none" w:sz="0" w:space="0" w:color="auto"/>
      </w:divBdr>
    </w:div>
    <w:div w:id="1628312910">
      <w:bodyDiv w:val="1"/>
      <w:marLeft w:val="0"/>
      <w:marRight w:val="0"/>
      <w:marTop w:val="0"/>
      <w:marBottom w:val="0"/>
      <w:divBdr>
        <w:top w:val="none" w:sz="0" w:space="0" w:color="auto"/>
        <w:left w:val="none" w:sz="0" w:space="0" w:color="auto"/>
        <w:bottom w:val="none" w:sz="0" w:space="0" w:color="auto"/>
        <w:right w:val="none" w:sz="0" w:space="0" w:color="auto"/>
      </w:divBdr>
    </w:div>
    <w:div w:id="1636329106">
      <w:bodyDiv w:val="1"/>
      <w:marLeft w:val="0"/>
      <w:marRight w:val="0"/>
      <w:marTop w:val="0"/>
      <w:marBottom w:val="0"/>
      <w:divBdr>
        <w:top w:val="none" w:sz="0" w:space="0" w:color="auto"/>
        <w:left w:val="none" w:sz="0" w:space="0" w:color="auto"/>
        <w:bottom w:val="none" w:sz="0" w:space="0" w:color="auto"/>
        <w:right w:val="none" w:sz="0" w:space="0" w:color="auto"/>
      </w:divBdr>
    </w:div>
    <w:div w:id="1779177358">
      <w:bodyDiv w:val="1"/>
      <w:marLeft w:val="0"/>
      <w:marRight w:val="0"/>
      <w:marTop w:val="0"/>
      <w:marBottom w:val="0"/>
      <w:divBdr>
        <w:top w:val="none" w:sz="0" w:space="0" w:color="auto"/>
        <w:left w:val="none" w:sz="0" w:space="0" w:color="auto"/>
        <w:bottom w:val="none" w:sz="0" w:space="0" w:color="auto"/>
        <w:right w:val="none" w:sz="0" w:space="0" w:color="auto"/>
      </w:divBdr>
      <w:divsChild>
        <w:div w:id="1878152078">
          <w:marLeft w:val="0"/>
          <w:marRight w:val="0"/>
          <w:marTop w:val="0"/>
          <w:marBottom w:val="0"/>
          <w:divBdr>
            <w:top w:val="none" w:sz="0" w:space="0" w:color="auto"/>
            <w:left w:val="none" w:sz="0" w:space="0" w:color="auto"/>
            <w:bottom w:val="none" w:sz="0" w:space="0" w:color="auto"/>
            <w:right w:val="none" w:sz="0" w:space="0" w:color="auto"/>
          </w:divBdr>
          <w:divsChild>
            <w:div w:id="92596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276440">
      <w:bodyDiv w:val="1"/>
      <w:marLeft w:val="0"/>
      <w:marRight w:val="0"/>
      <w:marTop w:val="0"/>
      <w:marBottom w:val="0"/>
      <w:divBdr>
        <w:top w:val="none" w:sz="0" w:space="0" w:color="auto"/>
        <w:left w:val="none" w:sz="0" w:space="0" w:color="auto"/>
        <w:bottom w:val="none" w:sz="0" w:space="0" w:color="auto"/>
        <w:right w:val="none" w:sz="0" w:space="0" w:color="auto"/>
      </w:divBdr>
    </w:div>
    <w:div w:id="1804889080">
      <w:bodyDiv w:val="1"/>
      <w:marLeft w:val="0"/>
      <w:marRight w:val="0"/>
      <w:marTop w:val="0"/>
      <w:marBottom w:val="0"/>
      <w:divBdr>
        <w:top w:val="none" w:sz="0" w:space="0" w:color="auto"/>
        <w:left w:val="none" w:sz="0" w:space="0" w:color="auto"/>
        <w:bottom w:val="none" w:sz="0" w:space="0" w:color="auto"/>
        <w:right w:val="none" w:sz="0" w:space="0" w:color="auto"/>
      </w:divBdr>
    </w:div>
    <w:div w:id="1858538705">
      <w:bodyDiv w:val="1"/>
      <w:marLeft w:val="0"/>
      <w:marRight w:val="0"/>
      <w:marTop w:val="0"/>
      <w:marBottom w:val="0"/>
      <w:divBdr>
        <w:top w:val="none" w:sz="0" w:space="0" w:color="auto"/>
        <w:left w:val="none" w:sz="0" w:space="0" w:color="auto"/>
        <w:bottom w:val="none" w:sz="0" w:space="0" w:color="auto"/>
        <w:right w:val="none" w:sz="0" w:space="0" w:color="auto"/>
      </w:divBdr>
      <w:divsChild>
        <w:div w:id="2037461552">
          <w:marLeft w:val="660"/>
          <w:marRight w:val="660"/>
          <w:marTop w:val="0"/>
          <w:marBottom w:val="360"/>
          <w:divBdr>
            <w:top w:val="none" w:sz="0" w:space="0" w:color="auto"/>
            <w:left w:val="none" w:sz="0" w:space="0" w:color="auto"/>
            <w:bottom w:val="none" w:sz="0" w:space="0" w:color="auto"/>
            <w:right w:val="none" w:sz="0" w:space="0" w:color="auto"/>
          </w:divBdr>
          <w:divsChild>
            <w:div w:id="922226605">
              <w:marLeft w:val="0"/>
              <w:marRight w:val="0"/>
              <w:marTop w:val="0"/>
              <w:marBottom w:val="0"/>
              <w:divBdr>
                <w:top w:val="none" w:sz="0" w:space="0" w:color="auto"/>
                <w:left w:val="none" w:sz="0" w:space="0" w:color="auto"/>
                <w:bottom w:val="none" w:sz="0" w:space="0" w:color="auto"/>
                <w:right w:val="none" w:sz="0" w:space="0" w:color="auto"/>
              </w:divBdr>
              <w:divsChild>
                <w:div w:id="354381062">
                  <w:marLeft w:val="0"/>
                  <w:marRight w:val="0"/>
                  <w:marTop w:val="0"/>
                  <w:marBottom w:val="0"/>
                  <w:divBdr>
                    <w:top w:val="none" w:sz="0" w:space="0" w:color="auto"/>
                    <w:left w:val="none" w:sz="0" w:space="0" w:color="auto"/>
                    <w:bottom w:val="none" w:sz="0" w:space="0" w:color="auto"/>
                    <w:right w:val="none" w:sz="0" w:space="0" w:color="auto"/>
                  </w:divBdr>
                  <w:divsChild>
                    <w:div w:id="485053983">
                      <w:marLeft w:val="0"/>
                      <w:marRight w:val="0"/>
                      <w:marTop w:val="0"/>
                      <w:marBottom w:val="0"/>
                      <w:divBdr>
                        <w:top w:val="none" w:sz="0" w:space="0" w:color="auto"/>
                        <w:left w:val="none" w:sz="0" w:space="0" w:color="auto"/>
                        <w:bottom w:val="none" w:sz="0" w:space="0" w:color="auto"/>
                        <w:right w:val="none" w:sz="0" w:space="0" w:color="auto"/>
                      </w:divBdr>
                      <w:divsChild>
                        <w:div w:id="22545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1531500">
      <w:bodyDiv w:val="1"/>
      <w:marLeft w:val="0"/>
      <w:marRight w:val="0"/>
      <w:marTop w:val="0"/>
      <w:marBottom w:val="0"/>
      <w:divBdr>
        <w:top w:val="none" w:sz="0" w:space="0" w:color="auto"/>
        <w:left w:val="none" w:sz="0" w:space="0" w:color="auto"/>
        <w:bottom w:val="none" w:sz="0" w:space="0" w:color="auto"/>
        <w:right w:val="none" w:sz="0" w:space="0" w:color="auto"/>
      </w:divBdr>
      <w:divsChild>
        <w:div w:id="395934101">
          <w:marLeft w:val="0"/>
          <w:marRight w:val="0"/>
          <w:marTop w:val="0"/>
          <w:marBottom w:val="0"/>
          <w:divBdr>
            <w:top w:val="none" w:sz="0" w:space="0" w:color="auto"/>
            <w:left w:val="none" w:sz="0" w:space="0" w:color="auto"/>
            <w:bottom w:val="none" w:sz="0" w:space="0" w:color="auto"/>
            <w:right w:val="none" w:sz="0" w:space="0" w:color="auto"/>
          </w:divBdr>
          <w:divsChild>
            <w:div w:id="109563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874465">
      <w:bodyDiv w:val="1"/>
      <w:marLeft w:val="0"/>
      <w:marRight w:val="0"/>
      <w:marTop w:val="0"/>
      <w:marBottom w:val="0"/>
      <w:divBdr>
        <w:top w:val="none" w:sz="0" w:space="0" w:color="auto"/>
        <w:left w:val="none" w:sz="0" w:space="0" w:color="auto"/>
        <w:bottom w:val="none" w:sz="0" w:space="0" w:color="auto"/>
        <w:right w:val="none" w:sz="0" w:space="0" w:color="auto"/>
      </w:divBdr>
    </w:div>
    <w:div w:id="1991403854">
      <w:bodyDiv w:val="1"/>
      <w:marLeft w:val="0"/>
      <w:marRight w:val="0"/>
      <w:marTop w:val="0"/>
      <w:marBottom w:val="0"/>
      <w:divBdr>
        <w:top w:val="none" w:sz="0" w:space="0" w:color="auto"/>
        <w:left w:val="none" w:sz="0" w:space="0" w:color="auto"/>
        <w:bottom w:val="none" w:sz="0" w:space="0" w:color="auto"/>
        <w:right w:val="none" w:sz="0" w:space="0" w:color="auto"/>
      </w:divBdr>
      <w:divsChild>
        <w:div w:id="90011442">
          <w:marLeft w:val="0"/>
          <w:marRight w:val="0"/>
          <w:marTop w:val="0"/>
          <w:marBottom w:val="0"/>
          <w:divBdr>
            <w:top w:val="none" w:sz="0" w:space="0" w:color="auto"/>
            <w:left w:val="none" w:sz="0" w:space="0" w:color="auto"/>
            <w:bottom w:val="none" w:sz="0" w:space="0" w:color="auto"/>
            <w:right w:val="none" w:sz="0" w:space="0" w:color="auto"/>
          </w:divBdr>
          <w:divsChild>
            <w:div w:id="160705793">
              <w:marLeft w:val="0"/>
              <w:marRight w:val="0"/>
              <w:marTop w:val="0"/>
              <w:marBottom w:val="0"/>
              <w:divBdr>
                <w:top w:val="none" w:sz="0" w:space="0" w:color="auto"/>
                <w:left w:val="none" w:sz="0" w:space="0" w:color="auto"/>
                <w:bottom w:val="none" w:sz="0" w:space="0" w:color="auto"/>
                <w:right w:val="none" w:sz="0" w:space="0" w:color="auto"/>
              </w:divBdr>
            </w:div>
          </w:divsChild>
        </w:div>
        <w:div w:id="1024743109">
          <w:marLeft w:val="0"/>
          <w:marRight w:val="0"/>
          <w:marTop w:val="0"/>
          <w:marBottom w:val="0"/>
          <w:divBdr>
            <w:top w:val="none" w:sz="0" w:space="0" w:color="auto"/>
            <w:left w:val="none" w:sz="0" w:space="0" w:color="auto"/>
            <w:bottom w:val="none" w:sz="0" w:space="0" w:color="auto"/>
            <w:right w:val="none" w:sz="0" w:space="0" w:color="auto"/>
          </w:divBdr>
          <w:divsChild>
            <w:div w:id="1465343111">
              <w:marLeft w:val="0"/>
              <w:marRight w:val="0"/>
              <w:marTop w:val="0"/>
              <w:marBottom w:val="0"/>
              <w:divBdr>
                <w:top w:val="none" w:sz="0" w:space="0" w:color="auto"/>
                <w:left w:val="none" w:sz="0" w:space="0" w:color="auto"/>
                <w:bottom w:val="none" w:sz="0" w:space="0" w:color="auto"/>
                <w:right w:val="none" w:sz="0" w:space="0" w:color="auto"/>
              </w:divBdr>
            </w:div>
          </w:divsChild>
        </w:div>
        <w:div w:id="528102872">
          <w:marLeft w:val="0"/>
          <w:marRight w:val="0"/>
          <w:marTop w:val="0"/>
          <w:marBottom w:val="0"/>
          <w:divBdr>
            <w:top w:val="none" w:sz="0" w:space="0" w:color="auto"/>
            <w:left w:val="none" w:sz="0" w:space="0" w:color="auto"/>
            <w:bottom w:val="none" w:sz="0" w:space="0" w:color="auto"/>
            <w:right w:val="none" w:sz="0" w:space="0" w:color="auto"/>
          </w:divBdr>
          <w:divsChild>
            <w:div w:id="231505703">
              <w:marLeft w:val="0"/>
              <w:marRight w:val="0"/>
              <w:marTop w:val="0"/>
              <w:marBottom w:val="0"/>
              <w:divBdr>
                <w:top w:val="none" w:sz="0" w:space="0" w:color="auto"/>
                <w:left w:val="none" w:sz="0" w:space="0" w:color="auto"/>
                <w:bottom w:val="none" w:sz="0" w:space="0" w:color="auto"/>
                <w:right w:val="none" w:sz="0" w:space="0" w:color="auto"/>
              </w:divBdr>
            </w:div>
          </w:divsChild>
        </w:div>
        <w:div w:id="495458684">
          <w:marLeft w:val="0"/>
          <w:marRight w:val="0"/>
          <w:marTop w:val="0"/>
          <w:marBottom w:val="0"/>
          <w:divBdr>
            <w:top w:val="none" w:sz="0" w:space="0" w:color="auto"/>
            <w:left w:val="none" w:sz="0" w:space="0" w:color="auto"/>
            <w:bottom w:val="none" w:sz="0" w:space="0" w:color="auto"/>
            <w:right w:val="none" w:sz="0" w:space="0" w:color="auto"/>
          </w:divBdr>
          <w:divsChild>
            <w:div w:id="599531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E8226-C494-44ED-800D-D0DFF277D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4152</Words>
  <Characters>23669</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Shazad Shah</dc:creator>
  <cp:keywords/>
  <dc:description/>
  <cp:lastModifiedBy>Shazad Shah</cp:lastModifiedBy>
  <cp:revision>2</cp:revision>
  <cp:lastPrinted>2025-10-29T20:25:00Z</cp:lastPrinted>
  <dcterms:created xsi:type="dcterms:W3CDTF">2025-11-02T21:16:00Z</dcterms:created>
  <dcterms:modified xsi:type="dcterms:W3CDTF">2025-11-02T21:16:00Z</dcterms:modified>
</cp:coreProperties>
</file>