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1E7384" w14:textId="3E35F4C0" w:rsidR="00B903F8" w:rsidRDefault="00000000">
      <w:pPr>
        <w:spacing w:line="360" w:lineRule="auto"/>
      </w:pPr>
      <w:r>
        <w:t>NAME:</w:t>
      </w:r>
      <w:r w:rsidR="0020662C">
        <w:t xml:space="preserve"> Fred Ninsiima</w:t>
      </w:r>
    </w:p>
    <w:p w14:paraId="0D427875" w14:textId="77777777" w:rsidR="00B903F8" w:rsidRDefault="00B903F8">
      <w:pPr>
        <w:spacing w:line="360" w:lineRule="auto"/>
      </w:pPr>
    </w:p>
    <w:p w14:paraId="4A13CA63" w14:textId="77777777" w:rsidR="00B903F8" w:rsidRDefault="00B903F8">
      <w:pPr>
        <w:spacing w:line="360" w:lineRule="auto"/>
      </w:pPr>
    </w:p>
    <w:p w14:paraId="74482668" w14:textId="395126B9" w:rsidR="00B903F8" w:rsidRDefault="00000000">
      <w:pPr>
        <w:spacing w:line="360" w:lineRule="auto"/>
      </w:pPr>
      <w:r>
        <w:t>STUDENT NUMBER:</w:t>
      </w:r>
      <w:r w:rsidR="0020662C">
        <w:t xml:space="preserve"> 2419430</w:t>
      </w:r>
    </w:p>
    <w:p w14:paraId="0EF659F2" w14:textId="77777777" w:rsidR="00B903F8" w:rsidRDefault="00B903F8">
      <w:pPr>
        <w:spacing w:line="360" w:lineRule="auto"/>
      </w:pPr>
    </w:p>
    <w:p w14:paraId="1BE55DA0" w14:textId="77777777" w:rsidR="00B903F8" w:rsidRDefault="00B903F8">
      <w:pPr>
        <w:spacing w:line="360" w:lineRule="auto"/>
      </w:pPr>
    </w:p>
    <w:p w14:paraId="49458C41" w14:textId="77777777" w:rsidR="00B903F8" w:rsidRDefault="00000000">
      <w:pPr>
        <w:spacing w:line="360" w:lineRule="auto"/>
      </w:pPr>
      <w:r>
        <w:t>MODULE CODE: BMHP5014</w:t>
      </w:r>
    </w:p>
    <w:p w14:paraId="0C227E3F" w14:textId="77777777" w:rsidR="00B903F8" w:rsidRDefault="00B903F8">
      <w:pPr>
        <w:spacing w:line="360" w:lineRule="auto"/>
      </w:pPr>
    </w:p>
    <w:p w14:paraId="2251E831" w14:textId="77777777" w:rsidR="00B903F8" w:rsidRDefault="00B903F8">
      <w:pPr>
        <w:spacing w:line="360" w:lineRule="auto"/>
      </w:pPr>
    </w:p>
    <w:p w14:paraId="3B456735" w14:textId="77777777" w:rsidR="00B903F8" w:rsidRDefault="00000000">
      <w:pPr>
        <w:spacing w:line="360" w:lineRule="auto"/>
      </w:pPr>
      <w:r>
        <w:t>MODULE TITLE: CHANGEMAKERS: CREATIVITY AND VALUE CREATION</w:t>
      </w:r>
    </w:p>
    <w:p w14:paraId="70953A10" w14:textId="77777777" w:rsidR="00B903F8" w:rsidRDefault="00B903F8">
      <w:pPr>
        <w:spacing w:line="360" w:lineRule="auto"/>
      </w:pPr>
    </w:p>
    <w:p w14:paraId="27E1618A" w14:textId="77777777" w:rsidR="00B903F8" w:rsidRDefault="00B903F8">
      <w:pPr>
        <w:spacing w:line="360" w:lineRule="auto"/>
      </w:pPr>
    </w:p>
    <w:p w14:paraId="0C67AA00" w14:textId="2CE168FD" w:rsidR="00B903F8" w:rsidRDefault="00000000">
      <w:pPr>
        <w:spacing w:line="360" w:lineRule="auto"/>
      </w:pPr>
      <w:r>
        <w:t>LECTURER’S NAME:</w:t>
      </w:r>
      <w:r w:rsidR="0020662C">
        <w:t xml:space="preserve"> Laila Surani</w:t>
      </w:r>
    </w:p>
    <w:p w14:paraId="7FF184AF" w14:textId="77777777" w:rsidR="00B903F8" w:rsidRDefault="00B903F8">
      <w:pPr>
        <w:spacing w:line="360" w:lineRule="auto"/>
      </w:pPr>
    </w:p>
    <w:p w14:paraId="6F7C20BD" w14:textId="77777777" w:rsidR="00B903F8" w:rsidRDefault="00B903F8">
      <w:pPr>
        <w:spacing w:line="360" w:lineRule="auto"/>
      </w:pPr>
    </w:p>
    <w:p w14:paraId="0800D38C" w14:textId="77777777" w:rsidR="00B903F8" w:rsidRDefault="00000000">
      <w:pPr>
        <w:spacing w:line="360" w:lineRule="auto"/>
      </w:pPr>
      <w:r>
        <w:t>ASSIGNMENT TITLE: THE DIGITAL HEALTH AMBASSADOR PROGRAMME</w:t>
      </w:r>
    </w:p>
    <w:p w14:paraId="22C05018" w14:textId="77777777" w:rsidR="00B903F8" w:rsidRDefault="00B903F8">
      <w:pPr>
        <w:spacing w:line="360" w:lineRule="auto"/>
      </w:pPr>
    </w:p>
    <w:p w14:paraId="46CD5EF7" w14:textId="77777777" w:rsidR="00B903F8" w:rsidRDefault="00B903F8">
      <w:pPr>
        <w:spacing w:line="360" w:lineRule="auto"/>
      </w:pPr>
    </w:p>
    <w:p w14:paraId="4FC1170D" w14:textId="77777777" w:rsidR="00B903F8" w:rsidRDefault="00B903F8">
      <w:pPr>
        <w:spacing w:line="360" w:lineRule="auto"/>
      </w:pPr>
    </w:p>
    <w:p w14:paraId="3D9E2816" w14:textId="77777777" w:rsidR="00B903F8" w:rsidRDefault="00B903F8">
      <w:pPr>
        <w:spacing w:line="360" w:lineRule="auto"/>
      </w:pPr>
    </w:p>
    <w:p w14:paraId="7774B013" w14:textId="77777777" w:rsidR="00B903F8" w:rsidRDefault="00B903F8">
      <w:pPr>
        <w:spacing w:line="360" w:lineRule="auto"/>
      </w:pPr>
    </w:p>
    <w:p w14:paraId="5293D22C" w14:textId="77777777" w:rsidR="00B903F8" w:rsidRDefault="00B903F8">
      <w:pPr>
        <w:spacing w:line="360" w:lineRule="auto"/>
      </w:pPr>
    </w:p>
    <w:p w14:paraId="0BF2B2D6" w14:textId="77777777" w:rsidR="00B903F8" w:rsidRDefault="00B903F8">
      <w:pPr>
        <w:spacing w:line="360" w:lineRule="auto"/>
      </w:pPr>
    </w:p>
    <w:p w14:paraId="78C36ED7" w14:textId="77777777" w:rsidR="00B903F8" w:rsidRDefault="00B903F8">
      <w:pPr>
        <w:spacing w:line="360" w:lineRule="auto"/>
      </w:pPr>
    </w:p>
    <w:p w14:paraId="7C8029A9" w14:textId="77777777" w:rsidR="00B903F8" w:rsidRDefault="00B903F8">
      <w:pPr>
        <w:spacing w:line="360" w:lineRule="auto"/>
      </w:pPr>
    </w:p>
    <w:p w14:paraId="5BCB2676" w14:textId="77777777" w:rsidR="00B903F8" w:rsidRDefault="00B903F8">
      <w:pPr>
        <w:spacing w:line="360" w:lineRule="auto"/>
      </w:pPr>
    </w:p>
    <w:p w14:paraId="1B8F76A1" w14:textId="77777777" w:rsidR="00B903F8" w:rsidRDefault="00B903F8">
      <w:pPr>
        <w:spacing w:line="360" w:lineRule="auto"/>
      </w:pPr>
    </w:p>
    <w:p w14:paraId="69C6B855" w14:textId="77777777" w:rsidR="00B903F8" w:rsidRDefault="00B903F8">
      <w:pPr>
        <w:spacing w:line="360" w:lineRule="auto"/>
      </w:pPr>
    </w:p>
    <w:p w14:paraId="079A776A" w14:textId="77777777" w:rsidR="00B903F8" w:rsidRDefault="00B903F8">
      <w:pPr>
        <w:spacing w:line="360" w:lineRule="auto"/>
      </w:pPr>
    </w:p>
    <w:p w14:paraId="4BE3CB83" w14:textId="77777777" w:rsidR="00B903F8" w:rsidRDefault="00B903F8">
      <w:pPr>
        <w:spacing w:line="360" w:lineRule="auto"/>
      </w:pPr>
    </w:p>
    <w:p w14:paraId="7D034EA8" w14:textId="77777777" w:rsidR="00B903F8" w:rsidRDefault="00B903F8">
      <w:pPr>
        <w:spacing w:line="360" w:lineRule="auto"/>
      </w:pPr>
    </w:p>
    <w:p w14:paraId="02ED7CB8" w14:textId="77777777" w:rsidR="00B903F8" w:rsidRDefault="00B903F8">
      <w:pPr>
        <w:spacing w:line="360" w:lineRule="auto"/>
      </w:pPr>
    </w:p>
    <w:p w14:paraId="6BD651B8" w14:textId="77777777" w:rsidR="00B903F8" w:rsidRDefault="00B903F8">
      <w:pPr>
        <w:spacing w:line="360" w:lineRule="auto"/>
      </w:pPr>
    </w:p>
    <w:p w14:paraId="1809E680" w14:textId="77777777" w:rsidR="00B903F8" w:rsidRDefault="00B903F8">
      <w:pPr>
        <w:spacing w:line="360" w:lineRule="auto"/>
      </w:pPr>
    </w:p>
    <w:p w14:paraId="4EDC8135" w14:textId="77777777" w:rsidR="00B903F8" w:rsidRDefault="00B903F8">
      <w:pPr>
        <w:spacing w:line="360" w:lineRule="auto"/>
      </w:pPr>
    </w:p>
    <w:p w14:paraId="7C55BDBE" w14:textId="77777777" w:rsidR="00B903F8" w:rsidRDefault="00B903F8">
      <w:pPr>
        <w:spacing w:line="360" w:lineRule="auto"/>
      </w:pPr>
    </w:p>
    <w:p w14:paraId="005D2D05" w14:textId="77777777" w:rsidR="00B903F8" w:rsidRDefault="00B903F8">
      <w:pPr>
        <w:spacing w:line="360" w:lineRule="auto"/>
      </w:pPr>
    </w:p>
    <w:p w14:paraId="1194CA33" w14:textId="77777777" w:rsidR="00B903F8" w:rsidRDefault="00000000">
      <w:pPr>
        <w:spacing w:line="360" w:lineRule="auto"/>
      </w:pPr>
      <w:r>
        <w:rPr>
          <w:noProof/>
        </w:rPr>
        <w:lastRenderedPageBreak/>
        <w:drawing>
          <wp:inline distT="114300" distB="114300" distL="114300" distR="114300" wp14:anchorId="3C8C4D4F" wp14:editId="6D7E9C59">
            <wp:extent cx="6348413" cy="897705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6348413" cy="8977052"/>
                    </a:xfrm>
                    <a:prstGeom prst="rect">
                      <a:avLst/>
                    </a:prstGeom>
                    <a:ln/>
                  </pic:spPr>
                </pic:pic>
              </a:graphicData>
            </a:graphic>
          </wp:inline>
        </w:drawing>
      </w:r>
    </w:p>
    <w:p w14:paraId="141DAE8B" w14:textId="77777777" w:rsidR="00B903F8" w:rsidRDefault="00000000">
      <w:pPr>
        <w:spacing w:line="360" w:lineRule="auto"/>
        <w:jc w:val="center"/>
      </w:pPr>
      <w:r>
        <w:rPr>
          <w:b/>
          <w:bCs/>
        </w:rPr>
        <w:lastRenderedPageBreak/>
        <w:t>THE DIGITAL HEALTH AMBASSADOR PITCH</w:t>
      </w:r>
    </w:p>
    <w:p w14:paraId="51BDCC30" w14:textId="77777777" w:rsidR="00B903F8" w:rsidRDefault="00000000">
      <w:pPr>
        <w:spacing w:line="360" w:lineRule="auto"/>
        <w:jc w:val="both"/>
        <w:rPr>
          <w:b/>
          <w:bCs/>
        </w:rPr>
      </w:pPr>
      <w:r>
        <w:rPr>
          <w:b/>
          <w:bCs/>
        </w:rPr>
        <w:t>INTRODUCTION</w:t>
      </w:r>
    </w:p>
    <w:p w14:paraId="794F3A96" w14:textId="77777777" w:rsidR="00B903F8" w:rsidRDefault="00000000">
      <w:pPr>
        <w:spacing w:line="360" w:lineRule="auto"/>
        <w:jc w:val="both"/>
      </w:pPr>
      <w:r>
        <w:t xml:space="preserve">Lack of internet access or use is strongly linked to poor health and wellbeing, according to research (Watts, 2020). Like health services in other developed nations, the NHS is dedicated to providing services digitally, which exacerbates the digital divide between those who can and cannot access digital services, leading to health disparities that disadvantage those who do not use the Internet (Ueno et al., 2023). Due to this, there has been ongoing research and discussions on how to bridge the digital gap. This is where the digital health ambassador innovation program comes in. It is designed to help bridge the digital exclusion gap by creating a platform where individuals such as the older adults, those with learning difficulty, less income homes will have access to help using digital resources like the NHS App, repeat prescription, appointment setting and many others. </w:t>
      </w:r>
    </w:p>
    <w:p w14:paraId="6F878726" w14:textId="77777777" w:rsidR="00B903F8" w:rsidRDefault="00B903F8">
      <w:pPr>
        <w:spacing w:line="360" w:lineRule="auto"/>
        <w:jc w:val="both"/>
      </w:pPr>
    </w:p>
    <w:p w14:paraId="3D58A3FB" w14:textId="77777777" w:rsidR="00B903F8" w:rsidRDefault="00000000">
      <w:pPr>
        <w:spacing w:line="360" w:lineRule="auto"/>
        <w:jc w:val="both"/>
        <w:rPr>
          <w:b/>
          <w:bCs/>
        </w:rPr>
      </w:pPr>
      <w:r>
        <w:rPr>
          <w:b/>
          <w:bCs/>
        </w:rPr>
        <w:t>BACKGROUND</w:t>
      </w:r>
    </w:p>
    <w:p w14:paraId="0C97B2AC" w14:textId="263A89DD" w:rsidR="00B903F8" w:rsidRDefault="00000000">
      <w:pPr>
        <w:spacing w:line="360" w:lineRule="auto"/>
        <w:jc w:val="both"/>
      </w:pPr>
      <w:r>
        <w:t xml:space="preserve">Digital exclusion—the occurrence in which people are excluded from digital technologies due to a lack of access, skills, motivation, and other factors—has become a major contributor to health disparities with the widespread adoption of digital technologies in healthcare (Xue et al., 2026). The population segments that stand to gain the most from the digital health transition run the danger of being excluded or disadvantaged, which might lead to a new source of inequality rather than improving population health (Badr et al., 2024). According to Center for Care (2025) approximately 2.4 million people in the UK are unable to do even the most fundamental internet-related tasks, such as opening an internet browser, and 1.7 million families lack mobile or broadband internet at home. According to these figures, there is a 1.5-fold increase in the likelihood of belonging to an ethnic minority, an 8-fold increase in the likelihood of being over 65, and a 4-fold increase in the likelihood of being from low-income households. </w:t>
      </w:r>
      <w:proofErr w:type="gramStart"/>
      <w:r w:rsidR="000517B4">
        <w:t>A research</w:t>
      </w:r>
      <w:proofErr w:type="gramEnd"/>
      <w:r>
        <w:t xml:space="preserve"> by </w:t>
      </w:r>
      <w:r w:rsidR="000517B4">
        <w:t>Ofcom (</w:t>
      </w:r>
      <w:r>
        <w:t xml:space="preserve">2019) also shows that persons with disabilities may also be excluded from the digital world: 53% of handicapped persons own a smartphone, compared to 81% of non-disabled people, and 92% of non-disabled adults use the internet, compared to 67% of disabled people. All these clearly show that there is a need to </w:t>
      </w:r>
      <w:proofErr w:type="gramStart"/>
      <w:r>
        <w:t>look into</w:t>
      </w:r>
      <w:proofErr w:type="gramEnd"/>
      <w:r>
        <w:t xml:space="preserve"> bridging this digital exclusion gap and making sure that all individuals can benefit from the digital evolution.</w:t>
      </w:r>
    </w:p>
    <w:p w14:paraId="32AE25D6" w14:textId="77777777" w:rsidR="00B903F8" w:rsidRDefault="00B903F8">
      <w:pPr>
        <w:spacing w:line="360" w:lineRule="auto"/>
        <w:jc w:val="both"/>
      </w:pPr>
    </w:p>
    <w:p w14:paraId="5DEE42CE" w14:textId="77777777" w:rsidR="00B903F8" w:rsidRDefault="00000000">
      <w:pPr>
        <w:spacing w:line="360" w:lineRule="auto"/>
        <w:jc w:val="both"/>
        <w:rPr>
          <w:b/>
          <w:bCs/>
        </w:rPr>
      </w:pPr>
      <w:r>
        <w:rPr>
          <w:b/>
          <w:bCs/>
        </w:rPr>
        <w:t>INNOVATION DESCRIPTION</w:t>
      </w:r>
    </w:p>
    <w:p w14:paraId="1885BE4B" w14:textId="77777777" w:rsidR="00B903F8" w:rsidRDefault="00000000">
      <w:pPr>
        <w:spacing w:line="360" w:lineRule="auto"/>
        <w:jc w:val="both"/>
      </w:pPr>
      <w:r>
        <w:t xml:space="preserve">Over the years, there has been a lot of innovations done by the NHS to combat digital exclusion and promote digital inclusivity, they include: launching a new Digital Inclusion Innovation Fund to support and expand local community initiatives to get people online, collaborating with the Digital Poverty Alliance to pilot a ground-breaking multi-department device donation scheme to provide repurposed government laptops to those in need, and </w:t>
      </w:r>
      <w:r>
        <w:lastRenderedPageBreak/>
        <w:t xml:space="preserve">collecting opinions from those who are providing essential services and working directly with people who are digitally excluded (Department for Science, Innovation and Technology, 2025). These are good, but no solution brings up working directly with those affected, giving them digital support physically step by step; this is what the Digital Health Ambassador Program does. It does not just propose having information available to those affected by the digital exclusion, it proposes working with them directly to help them understand the digital systems. This innovation will look into employing experienced professionals to be stationed in prominent parts of health and social care like the GPs, Pharmacies, Libraries and community </w:t>
      </w:r>
      <w:proofErr w:type="spellStart"/>
      <w:r>
        <w:t>centers</w:t>
      </w:r>
      <w:proofErr w:type="spellEnd"/>
      <w:r>
        <w:t xml:space="preserve">, where they will help anyone in need of digital help in areas such as accessing NHS Apps, booking appointments, getting medication prescription, checking test results and other important health information. By doing so, they get physical help and encouragement that helps them wish to learn better </w:t>
      </w:r>
      <w:proofErr w:type="gramStart"/>
      <w:r>
        <w:t>and also</w:t>
      </w:r>
      <w:proofErr w:type="gramEnd"/>
      <w:r>
        <w:t xml:space="preserve"> understand the need to use digital help.</w:t>
      </w:r>
    </w:p>
    <w:p w14:paraId="5DE1F479" w14:textId="77777777" w:rsidR="00B903F8" w:rsidRDefault="00B903F8">
      <w:pPr>
        <w:spacing w:line="360" w:lineRule="auto"/>
        <w:jc w:val="both"/>
      </w:pPr>
    </w:p>
    <w:p w14:paraId="406CACC2" w14:textId="77777777" w:rsidR="00B903F8" w:rsidRDefault="00000000">
      <w:pPr>
        <w:spacing w:line="360" w:lineRule="auto"/>
        <w:jc w:val="both"/>
        <w:rPr>
          <w:b/>
          <w:bCs/>
        </w:rPr>
      </w:pPr>
      <w:r>
        <w:rPr>
          <w:b/>
          <w:bCs/>
        </w:rPr>
        <w:t>IMPACT OF THE DIGITAL HEALTH AMBASSADOR PROGRAM ON HEALTH AND SOCIAL CARE</w:t>
      </w:r>
    </w:p>
    <w:p w14:paraId="242C7069" w14:textId="77777777" w:rsidR="00B903F8" w:rsidRDefault="00000000">
      <w:pPr>
        <w:spacing w:line="360" w:lineRule="auto"/>
        <w:jc w:val="both"/>
      </w:pPr>
      <w:r>
        <w:t xml:space="preserve">Local governments of all levels and kinds may lessen poverty, loneliness, and other socioeconomic issues while enhancing civic involvement and skill sets by tackling digital exclusion (Local Government Association, 2025). The group of people who will benefit from this innovation include but are not limited to: Older adults 65 and above, those with visual impairments, those in </w:t>
      </w:r>
      <w:proofErr w:type="gramStart"/>
      <w:r>
        <w:t>low income</w:t>
      </w:r>
      <w:proofErr w:type="gramEnd"/>
      <w:r>
        <w:t xml:space="preserve"> families, those with any form of disability including learning difficulties. By utilising the Digital Health Ambassador program, digital inclusion may transform the way healthcare is provided, enhancing efficiency and making health and care services more person-centred, adaptable, and accessible for both patients and staff (The King's Fund, 2023). According to NHS England (2023) many people can benefit from more freedom, choice, and control as well as improved health and well-being thanks to digital and assistive technology, which is the adaptation of technical products for persons with disabilities. For example, 78% of individuals with disabilities believe that having access to digital technologies is beneficial or extremely beneficial. By guaranteeing fair access to digital resources that help with treatments, this innovation will not only improve the quality of care but also lessen the administrative burden on healthcare systems and facilitate improved self-management of chronic illnesses. </w:t>
      </w:r>
    </w:p>
    <w:p w14:paraId="57E12F21" w14:textId="77777777" w:rsidR="00B903F8" w:rsidRDefault="00B903F8">
      <w:pPr>
        <w:spacing w:line="360" w:lineRule="auto"/>
        <w:jc w:val="both"/>
      </w:pPr>
    </w:p>
    <w:p w14:paraId="74D9EDA9" w14:textId="77777777" w:rsidR="00B903F8" w:rsidRDefault="00000000">
      <w:pPr>
        <w:spacing w:line="360" w:lineRule="auto"/>
        <w:jc w:val="both"/>
        <w:rPr>
          <w:b/>
          <w:bCs/>
        </w:rPr>
      </w:pPr>
      <w:r>
        <w:rPr>
          <w:b/>
          <w:bCs/>
        </w:rPr>
        <w:t>PUBLIC AND STAKEHOLDER INVOLVEMENT</w:t>
      </w:r>
    </w:p>
    <w:p w14:paraId="677F6314" w14:textId="2CC606F7" w:rsidR="00B903F8" w:rsidRDefault="00000000">
      <w:pPr>
        <w:spacing w:line="360" w:lineRule="auto"/>
        <w:jc w:val="both"/>
      </w:pPr>
      <w:r>
        <w:t xml:space="preserve">To bring this innovation to life and ensure it is well received and tailored towards those who </w:t>
      </w:r>
      <w:r w:rsidR="00D73D81">
        <w:t>need</w:t>
      </w:r>
      <w:r>
        <w:t xml:space="preserve"> it, there will be involvement of different Integrated Care Systems. Starting from the hospital, especially the receptions, Local councils across England, community </w:t>
      </w:r>
      <w:r w:rsidR="00D73D81">
        <w:t>centres</w:t>
      </w:r>
      <w:r>
        <w:t xml:space="preserve">, GPs, Pharmacies, Libraries, Voluntary organisation, charity and </w:t>
      </w:r>
      <w:r w:rsidR="00D73D81">
        <w:t>non-government</w:t>
      </w:r>
      <w:r>
        <w:t xml:space="preserve"> associations. It is </w:t>
      </w:r>
      <w:r>
        <w:lastRenderedPageBreak/>
        <w:t xml:space="preserve">also crucial that the policy makers are also involved so there is protection for the innovation especially in terms of data use and processing in the course of helping those in need of digital inclusion. The education </w:t>
      </w:r>
      <w:r w:rsidR="004059ED">
        <w:t>and skills</w:t>
      </w:r>
      <w:r>
        <w:t xml:space="preserve"> department will also be involved, because learning from the education sectors is a way to build digital skills and capabilities from the foundation.</w:t>
      </w:r>
    </w:p>
    <w:p w14:paraId="1D08EBAE" w14:textId="77777777" w:rsidR="00B903F8" w:rsidRDefault="00B903F8">
      <w:pPr>
        <w:spacing w:line="360" w:lineRule="auto"/>
        <w:jc w:val="both"/>
      </w:pPr>
    </w:p>
    <w:p w14:paraId="7A463DE3" w14:textId="77777777" w:rsidR="00B903F8" w:rsidRDefault="00000000">
      <w:pPr>
        <w:spacing w:line="360" w:lineRule="auto"/>
        <w:jc w:val="both"/>
        <w:rPr>
          <w:b/>
          <w:bCs/>
        </w:rPr>
      </w:pPr>
      <w:r>
        <w:rPr>
          <w:b/>
          <w:bCs/>
        </w:rPr>
        <w:t>POLICIES, SERVICES AND PROFESSIONAL LINKS</w:t>
      </w:r>
    </w:p>
    <w:p w14:paraId="73C118D6" w14:textId="353EE580" w:rsidR="00B903F8" w:rsidRDefault="00000000">
      <w:pPr>
        <w:spacing w:line="360" w:lineRule="auto"/>
        <w:jc w:val="both"/>
      </w:pPr>
      <w:r>
        <w:t xml:space="preserve">The Digital Health Ambassador Program promotes the Care Act 2014 by assisting individuals in freely accessing health and care information especially with its focus on individual wellbeing. By lowering obstacles to digital healthcare access, it also complies with the Equality Act of 2010 which includes the need to provide reasonable accommodations for those with disabilities. Through partnerships with GP practices, social care teams, local government agencies and </w:t>
      </w:r>
      <w:r w:rsidR="004059ED">
        <w:t>nonprofit</w:t>
      </w:r>
      <w:r>
        <w:t xml:space="preserve"> groups, the initiative would supplement current services. Professionals such as nurses can help recognise individuals in need with help on digital services or those excluded online and recommend them to the program. This multidiscipline approach will help strengthen the current health and social care methods to digital inclusion while also promoting independence, empowerment, equitable access and person-centred care. The initiative will also be governed by the GDPR legislation to ensure that all data is processed safely and confidentiality is ensured.</w:t>
      </w:r>
    </w:p>
    <w:p w14:paraId="51E2AED2" w14:textId="77777777" w:rsidR="00B903F8" w:rsidRDefault="00B903F8">
      <w:pPr>
        <w:spacing w:line="360" w:lineRule="auto"/>
        <w:jc w:val="both"/>
      </w:pPr>
    </w:p>
    <w:p w14:paraId="0059897B" w14:textId="77777777" w:rsidR="00B903F8" w:rsidRDefault="00000000">
      <w:pPr>
        <w:spacing w:line="360" w:lineRule="auto"/>
        <w:jc w:val="both"/>
        <w:rPr>
          <w:b/>
          <w:bCs/>
        </w:rPr>
      </w:pPr>
      <w:r>
        <w:rPr>
          <w:b/>
          <w:bCs/>
        </w:rPr>
        <w:t>CONCLUSION</w:t>
      </w:r>
    </w:p>
    <w:p w14:paraId="05FBE956" w14:textId="1FC93307" w:rsidR="00B903F8" w:rsidRDefault="004059ED">
      <w:pPr>
        <w:spacing w:line="360" w:lineRule="auto"/>
        <w:jc w:val="both"/>
      </w:pPr>
      <w:r>
        <w:t xml:space="preserve">In order to </w:t>
      </w:r>
      <w:r w:rsidR="00000000">
        <w:t xml:space="preserve">prevent vulnerable and digitally excluded people from being left behind, customised assistance is crucial as NHS services become more digitally inclined. Through the use of trained ambassadors inside the NHs and community services, the Digital Health Ambassador Program offers a workable and feasible approach. The initiative might help lessen disparities and advance more equitable, person-centred care by enhancing digital confidence, independence and access to healthcare. It is a practical and </w:t>
      </w:r>
      <w:proofErr w:type="gramStart"/>
      <w:r w:rsidR="00000000">
        <w:t>long term</w:t>
      </w:r>
      <w:proofErr w:type="gramEnd"/>
      <w:r w:rsidR="00000000">
        <w:t xml:space="preserve"> way to assist an increasingly digital NHS because of its proposed connection with GP offices, libraries and community groups.</w:t>
      </w:r>
    </w:p>
    <w:p w14:paraId="2C333DD2" w14:textId="77777777" w:rsidR="00B903F8" w:rsidRDefault="00B903F8">
      <w:pPr>
        <w:spacing w:line="360" w:lineRule="auto"/>
        <w:jc w:val="both"/>
      </w:pPr>
    </w:p>
    <w:p w14:paraId="44D75E44" w14:textId="77777777" w:rsidR="00B903F8" w:rsidRDefault="00B903F8">
      <w:pPr>
        <w:spacing w:line="360" w:lineRule="auto"/>
        <w:jc w:val="both"/>
      </w:pPr>
    </w:p>
    <w:p w14:paraId="15483A79" w14:textId="77777777" w:rsidR="00B903F8" w:rsidRDefault="00B903F8">
      <w:pPr>
        <w:spacing w:line="360" w:lineRule="auto"/>
        <w:jc w:val="both"/>
      </w:pPr>
    </w:p>
    <w:p w14:paraId="0EF7F500" w14:textId="77777777" w:rsidR="00B903F8" w:rsidRDefault="00B903F8">
      <w:pPr>
        <w:spacing w:line="360" w:lineRule="auto"/>
        <w:jc w:val="both"/>
      </w:pPr>
    </w:p>
    <w:p w14:paraId="597EA796" w14:textId="77777777" w:rsidR="00B903F8" w:rsidRDefault="00B903F8">
      <w:pPr>
        <w:spacing w:line="360" w:lineRule="auto"/>
        <w:jc w:val="both"/>
      </w:pPr>
    </w:p>
    <w:p w14:paraId="6AF0143C" w14:textId="77777777" w:rsidR="00B903F8" w:rsidRDefault="00B903F8">
      <w:pPr>
        <w:spacing w:line="360" w:lineRule="auto"/>
        <w:jc w:val="both"/>
      </w:pPr>
    </w:p>
    <w:p w14:paraId="17452D79" w14:textId="77777777" w:rsidR="00B903F8" w:rsidRDefault="00000000">
      <w:pPr>
        <w:spacing w:line="360" w:lineRule="auto"/>
        <w:jc w:val="both"/>
      </w:pPr>
      <w:r>
        <w:rPr>
          <w:b/>
          <w:bCs/>
        </w:rPr>
        <w:t>REFERENCES</w:t>
      </w:r>
      <w:r>
        <w:t xml:space="preserve"> </w:t>
      </w:r>
    </w:p>
    <w:p w14:paraId="53EE2F2E" w14:textId="77777777" w:rsidR="00B903F8" w:rsidRDefault="00B903F8">
      <w:pPr>
        <w:spacing w:line="360" w:lineRule="auto"/>
        <w:jc w:val="both"/>
      </w:pPr>
    </w:p>
    <w:p w14:paraId="7394E8B3" w14:textId="77777777" w:rsidR="00B903F8" w:rsidRDefault="00000000">
      <w:pPr>
        <w:spacing w:line="360" w:lineRule="auto"/>
        <w:jc w:val="both"/>
      </w:pPr>
      <w:r>
        <w:lastRenderedPageBreak/>
        <w:t>Akiko Ueno, Charles Dennis, Georgios A. Dafoulas (2023) Digital exclusion and relative digital deprivation: Exploring factors and moderators of internet non-use in the UK. Technological Forecasting and Social Change,</w:t>
      </w:r>
    </w:p>
    <w:p w14:paraId="32B017EF" w14:textId="77777777" w:rsidR="00B903F8" w:rsidRDefault="00000000">
      <w:pPr>
        <w:spacing w:line="360" w:lineRule="auto"/>
        <w:jc w:val="both"/>
      </w:pPr>
      <w:r>
        <w:t xml:space="preserve">Volume 197. Available at: </w:t>
      </w:r>
      <w:hyperlink r:id="rId5">
        <w:r>
          <w:rPr>
            <w:color w:val="1155CC"/>
            <w:u w:val="single"/>
          </w:rPr>
          <w:t>https://doi.org/10.1016/j.techfore.2023.122935</w:t>
        </w:r>
      </w:hyperlink>
      <w:r>
        <w:t>. [Accessed 28 July 2026]</w:t>
      </w:r>
    </w:p>
    <w:p w14:paraId="2892FDDF" w14:textId="77777777" w:rsidR="00B903F8" w:rsidRDefault="00B903F8">
      <w:pPr>
        <w:spacing w:line="360" w:lineRule="auto"/>
        <w:jc w:val="both"/>
      </w:pPr>
    </w:p>
    <w:p w14:paraId="2A2229E2" w14:textId="77777777" w:rsidR="00B903F8" w:rsidRDefault="00000000">
      <w:pPr>
        <w:spacing w:line="360" w:lineRule="auto"/>
        <w:jc w:val="both"/>
      </w:pPr>
      <w:r>
        <w:t xml:space="preserve">Care Act (2014) Available at: </w:t>
      </w:r>
      <w:hyperlink r:id="rId6">
        <w:r>
          <w:rPr>
            <w:color w:val="1155CC"/>
            <w:u w:val="single"/>
          </w:rPr>
          <w:t>https://www.legislation.gov.uk/ukpga/2014/23/contents</w:t>
        </w:r>
      </w:hyperlink>
      <w:r>
        <w:t xml:space="preserve"> [Accessed 27 July 2026]</w:t>
      </w:r>
    </w:p>
    <w:p w14:paraId="7BAD7CB8" w14:textId="77777777" w:rsidR="00B903F8" w:rsidRDefault="00B903F8">
      <w:pPr>
        <w:spacing w:line="360" w:lineRule="auto"/>
        <w:jc w:val="both"/>
      </w:pPr>
    </w:p>
    <w:p w14:paraId="499692D5" w14:textId="77777777" w:rsidR="00B903F8" w:rsidRDefault="00000000">
      <w:pPr>
        <w:spacing w:line="360" w:lineRule="auto"/>
        <w:jc w:val="both"/>
        <w:rPr>
          <w:i/>
          <w:iCs/>
        </w:rPr>
      </w:pPr>
      <w:r>
        <w:t xml:space="preserve">Center for Care (2025) </w:t>
      </w:r>
      <w:r>
        <w:rPr>
          <w:i/>
          <w:iCs/>
        </w:rPr>
        <w:t>Digital Exclusion and Social Care:</w:t>
      </w:r>
    </w:p>
    <w:p w14:paraId="308BD61D" w14:textId="77777777" w:rsidR="00B903F8" w:rsidRDefault="00000000">
      <w:pPr>
        <w:spacing w:line="360" w:lineRule="auto"/>
        <w:jc w:val="both"/>
      </w:pPr>
      <w:r>
        <w:rPr>
          <w:i/>
          <w:iCs/>
        </w:rPr>
        <w:t>Evidence Briefing.</w:t>
      </w:r>
      <w:r>
        <w:t xml:space="preserve"> Available at: </w:t>
      </w:r>
      <w:hyperlink r:id="rId7">
        <w:r>
          <w:rPr>
            <w:color w:val="1155CC"/>
            <w:u w:val="single"/>
          </w:rPr>
          <w:t>https://centreforcare.ac.uk/wp-content/uploads/2025/11/DIGITAL-EXCLUSION-briefing-Nov-2025-FINAL-resized.pdf</w:t>
        </w:r>
      </w:hyperlink>
      <w:r>
        <w:t xml:space="preserve">  [Accessed 26 July 2026]</w:t>
      </w:r>
    </w:p>
    <w:p w14:paraId="7FA1DD1D" w14:textId="77777777" w:rsidR="00B903F8" w:rsidRDefault="00B903F8">
      <w:pPr>
        <w:spacing w:line="360" w:lineRule="auto"/>
        <w:jc w:val="both"/>
      </w:pPr>
    </w:p>
    <w:p w14:paraId="7FACA5C8" w14:textId="77777777" w:rsidR="00B903F8" w:rsidRDefault="00000000">
      <w:pPr>
        <w:spacing w:line="360" w:lineRule="auto"/>
        <w:jc w:val="both"/>
      </w:pPr>
      <w:r>
        <w:t xml:space="preserve">Department for Science, Innovation and Technology (2025) </w:t>
      </w:r>
      <w:r>
        <w:rPr>
          <w:i/>
          <w:iCs/>
        </w:rPr>
        <w:t>Policy Paper:Digital Inclusion Action Plan: First Steps</w:t>
      </w:r>
      <w:r>
        <w:t xml:space="preserve">. Available at: </w:t>
      </w:r>
      <w:hyperlink r:id="rId8">
        <w:r>
          <w:rPr>
            <w:color w:val="1155CC"/>
            <w:u w:val="single"/>
          </w:rPr>
          <w:t>https://www.gov.uk/government/publications/digital-inclusion-action-plan-first-steps/digital-inclusion-action-plan-first-steps</w:t>
        </w:r>
      </w:hyperlink>
      <w:r>
        <w:t xml:space="preserve">  [Accessed 26 July 2026]</w:t>
      </w:r>
    </w:p>
    <w:p w14:paraId="1D60DA6D" w14:textId="77777777" w:rsidR="00B903F8" w:rsidRDefault="00B903F8">
      <w:pPr>
        <w:spacing w:line="360" w:lineRule="auto"/>
        <w:jc w:val="both"/>
      </w:pPr>
    </w:p>
    <w:p w14:paraId="27A84950" w14:textId="77777777" w:rsidR="00B903F8" w:rsidRDefault="00000000">
      <w:pPr>
        <w:spacing w:line="360" w:lineRule="auto"/>
        <w:jc w:val="both"/>
      </w:pPr>
      <w:r>
        <w:t xml:space="preserve">Equality Act (2010) Available at: </w:t>
      </w:r>
      <w:hyperlink r:id="rId9">
        <w:r>
          <w:rPr>
            <w:color w:val="1155CC"/>
            <w:u w:val="single"/>
          </w:rPr>
          <w:t>https://www.legislation.gov.uk/ukpga/2010/15/section/20</w:t>
        </w:r>
      </w:hyperlink>
      <w:r>
        <w:t xml:space="preserve">  [Accessed 27 July 2026]</w:t>
      </w:r>
    </w:p>
    <w:p w14:paraId="7E114100" w14:textId="77777777" w:rsidR="00B903F8" w:rsidRDefault="00B903F8">
      <w:pPr>
        <w:spacing w:line="360" w:lineRule="auto"/>
        <w:jc w:val="both"/>
      </w:pPr>
    </w:p>
    <w:p w14:paraId="76F78D04" w14:textId="77777777" w:rsidR="00B903F8" w:rsidRDefault="00000000">
      <w:pPr>
        <w:spacing w:line="360" w:lineRule="auto"/>
        <w:jc w:val="both"/>
      </w:pPr>
      <w:r>
        <w:t xml:space="preserve">Geoff Watts (2020) </w:t>
      </w:r>
      <w:r>
        <w:rPr>
          <w:i/>
          <w:iCs/>
        </w:rPr>
        <w:t>COVID-19 and the digital divide in the UK, The Lancet Digital Health</w:t>
      </w:r>
      <w:r>
        <w:t xml:space="preserve">, Volume 2, Issue </w:t>
      </w:r>
      <w:proofErr w:type="gramStart"/>
      <w:r>
        <w:t>8,Pages</w:t>
      </w:r>
      <w:proofErr w:type="gramEnd"/>
      <w:r>
        <w:t xml:space="preserve"> e395-e396. Available at: </w:t>
      </w:r>
      <w:hyperlink r:id="rId10">
        <w:r>
          <w:rPr>
            <w:color w:val="1155CC"/>
            <w:u w:val="single"/>
          </w:rPr>
          <w:t>https://doi.org/10.1016/S2589-7500(20)30169-2</w:t>
        </w:r>
      </w:hyperlink>
      <w:r>
        <w:t xml:space="preserve">. </w:t>
      </w:r>
    </w:p>
    <w:p w14:paraId="11E9C193" w14:textId="77777777" w:rsidR="00B903F8" w:rsidRDefault="00000000">
      <w:pPr>
        <w:spacing w:line="360" w:lineRule="auto"/>
        <w:jc w:val="both"/>
      </w:pPr>
      <w:r>
        <w:t>[Accessed 26 July 2026]</w:t>
      </w:r>
    </w:p>
    <w:p w14:paraId="4FB3E644" w14:textId="77777777" w:rsidR="00B903F8" w:rsidRDefault="00B903F8">
      <w:pPr>
        <w:spacing w:line="360" w:lineRule="auto"/>
        <w:jc w:val="both"/>
      </w:pPr>
    </w:p>
    <w:p w14:paraId="43958B94" w14:textId="77777777" w:rsidR="00B903F8" w:rsidRDefault="00000000">
      <w:pPr>
        <w:spacing w:line="360" w:lineRule="auto"/>
        <w:jc w:val="both"/>
      </w:pPr>
      <w:r>
        <w:t xml:space="preserve">Janine Badr, Aude Motulsky, Jean-Louis Denis (2024) Digital health technologies and inequalities: A scoping review of potential impacts and policy recommendations, Health Policy. Available at: </w:t>
      </w:r>
      <w:hyperlink r:id="rId11">
        <w:r>
          <w:rPr>
            <w:color w:val="1155CC"/>
            <w:u w:val="single"/>
          </w:rPr>
          <w:t>https://doi.org/10.1016/j.healthpol.2024.105122</w:t>
        </w:r>
      </w:hyperlink>
      <w:r>
        <w:t>.  [Accessed 25 July 2026]</w:t>
      </w:r>
    </w:p>
    <w:p w14:paraId="5B18948A" w14:textId="77777777" w:rsidR="00B903F8" w:rsidRDefault="00B903F8">
      <w:pPr>
        <w:spacing w:line="360" w:lineRule="auto"/>
        <w:jc w:val="both"/>
      </w:pPr>
    </w:p>
    <w:p w14:paraId="590761ED" w14:textId="77777777" w:rsidR="00B903F8" w:rsidRDefault="00000000">
      <w:pPr>
        <w:spacing w:line="360" w:lineRule="auto"/>
        <w:jc w:val="both"/>
      </w:pPr>
      <w:r>
        <w:t xml:space="preserve">Local Government Association (2025) </w:t>
      </w:r>
      <w:r>
        <w:rPr>
          <w:i/>
          <w:iCs/>
        </w:rPr>
        <w:t>Digital Inclusion Hub.</w:t>
      </w:r>
      <w:r>
        <w:t xml:space="preserve"> Available at: </w:t>
      </w:r>
      <w:hyperlink r:id="rId12">
        <w:r>
          <w:rPr>
            <w:color w:val="1155CC"/>
            <w:u w:val="single"/>
          </w:rPr>
          <w:t>https://www.local.gov.uk/our-support/cyber-digital-and-technology/digital-inclusion-hub</w:t>
        </w:r>
      </w:hyperlink>
      <w:r>
        <w:t xml:space="preserve">  [Accessed 25 July 2026]</w:t>
      </w:r>
    </w:p>
    <w:p w14:paraId="0B449B3D" w14:textId="77777777" w:rsidR="00B903F8" w:rsidRDefault="00B903F8">
      <w:pPr>
        <w:spacing w:line="360" w:lineRule="auto"/>
        <w:jc w:val="both"/>
      </w:pPr>
    </w:p>
    <w:p w14:paraId="62043A57" w14:textId="77777777" w:rsidR="00B903F8" w:rsidRDefault="00000000">
      <w:pPr>
        <w:spacing w:line="360" w:lineRule="auto"/>
        <w:jc w:val="both"/>
      </w:pPr>
      <w:r>
        <w:lastRenderedPageBreak/>
        <w:t xml:space="preserve">NHS England (2023) </w:t>
      </w:r>
      <w:r>
        <w:rPr>
          <w:i/>
          <w:iCs/>
        </w:rPr>
        <w:t>Inclusive digital healthcare: a framework for NHS action on digital inclusion.</w:t>
      </w:r>
      <w:r>
        <w:t xml:space="preserve"> Available at: </w:t>
      </w:r>
      <w:hyperlink r:id="rId13">
        <w:r>
          <w:rPr>
            <w:color w:val="1155CC"/>
            <w:u w:val="single"/>
          </w:rPr>
          <w:t>https://www.england.nhs.uk/long-read/inclusive-digital-healthcare-a-framework-for-nhs-action-on-digital-inclusion/</w:t>
        </w:r>
      </w:hyperlink>
      <w:r>
        <w:t xml:space="preserve">  [Accessed 28 July 2026]</w:t>
      </w:r>
    </w:p>
    <w:p w14:paraId="573F0ADF" w14:textId="77777777" w:rsidR="00B903F8" w:rsidRDefault="00B903F8">
      <w:pPr>
        <w:spacing w:line="360" w:lineRule="auto"/>
        <w:jc w:val="both"/>
      </w:pPr>
    </w:p>
    <w:p w14:paraId="2891031A" w14:textId="77777777" w:rsidR="00B903F8" w:rsidRDefault="00000000">
      <w:pPr>
        <w:spacing w:line="360" w:lineRule="auto"/>
        <w:jc w:val="both"/>
        <w:rPr>
          <w:i/>
          <w:iCs/>
        </w:rPr>
      </w:pPr>
      <w:r>
        <w:t xml:space="preserve">Ofcom (2019) </w:t>
      </w:r>
      <w:r>
        <w:rPr>
          <w:i/>
          <w:iCs/>
        </w:rPr>
        <w:t>Disabled users access to and use of communication devices</w:t>
      </w:r>
    </w:p>
    <w:p w14:paraId="5E30BA1C" w14:textId="77777777" w:rsidR="00B903F8" w:rsidRDefault="00000000">
      <w:pPr>
        <w:spacing w:line="360" w:lineRule="auto"/>
        <w:jc w:val="both"/>
      </w:pPr>
      <w:r>
        <w:rPr>
          <w:i/>
          <w:iCs/>
        </w:rPr>
        <w:t>and services</w:t>
      </w:r>
      <w:r>
        <w:t xml:space="preserve">. Available at: </w:t>
      </w:r>
      <w:hyperlink r:id="rId14">
        <w:r>
          <w:rPr>
            <w:color w:val="1155CC"/>
            <w:u w:val="single"/>
          </w:rPr>
          <w:t>https://www.ofcom.org.uk/siteassets/resources/documents/research-and-data/multi-sector/access-and-inclusion/2018/research-summary-all-disabilities.pdf?v=321473</w:t>
        </w:r>
      </w:hyperlink>
      <w:r>
        <w:t xml:space="preserve">  [Accessed 27 July 2026]</w:t>
      </w:r>
    </w:p>
    <w:p w14:paraId="0E60B0D2" w14:textId="77777777" w:rsidR="00B903F8" w:rsidRDefault="00B903F8">
      <w:pPr>
        <w:spacing w:line="360" w:lineRule="auto"/>
        <w:jc w:val="both"/>
      </w:pPr>
    </w:p>
    <w:p w14:paraId="2E6C2A4D" w14:textId="77777777" w:rsidR="00B903F8" w:rsidRDefault="00000000">
      <w:pPr>
        <w:spacing w:line="360" w:lineRule="auto"/>
        <w:jc w:val="both"/>
      </w:pPr>
      <w:r>
        <w:t xml:space="preserve">The King's Fund (2023) </w:t>
      </w:r>
      <w:r>
        <w:rPr>
          <w:i/>
          <w:iCs/>
        </w:rPr>
        <w:t>Moving from exclusion to inclusion in digital health and care</w:t>
      </w:r>
      <w:r>
        <w:t xml:space="preserve">. Available at: </w:t>
      </w:r>
      <w:hyperlink r:id="rId15">
        <w:r>
          <w:rPr>
            <w:color w:val="1155CC"/>
            <w:u w:val="single"/>
          </w:rPr>
          <w:t>https://www.kingsfund.org.uk/insight-and-analysis/long-reads/exclusion-inclusion-digital-health-care</w:t>
        </w:r>
      </w:hyperlink>
      <w:r>
        <w:t xml:space="preserve">  [Accessed July 25</w:t>
      </w:r>
      <w:proofErr w:type="gramStart"/>
      <w:r>
        <w:t xml:space="preserve"> 2026</w:t>
      </w:r>
      <w:proofErr w:type="gramEnd"/>
      <w:r>
        <w:t>]</w:t>
      </w:r>
    </w:p>
    <w:p w14:paraId="069FA6CA" w14:textId="77777777" w:rsidR="00B903F8" w:rsidRDefault="00B903F8">
      <w:pPr>
        <w:spacing w:line="360" w:lineRule="auto"/>
        <w:jc w:val="both"/>
      </w:pPr>
    </w:p>
    <w:p w14:paraId="35CE4C8E" w14:textId="77777777" w:rsidR="00B903F8" w:rsidRDefault="00000000">
      <w:pPr>
        <w:spacing w:line="360" w:lineRule="auto"/>
        <w:jc w:val="both"/>
      </w:pPr>
      <w:r>
        <w:t xml:space="preserve">Wale A, Everitt J, Ayres T, Okolie C, Morgan HE, Shaw H, Cooper A, Edwards A, Lewis R. (2025) Effectiveness of Interventions for Addressing Digital Exclusion in Older Adults in the Social Care Domain: Rapid Review. JMIR Aging. e70377. </w:t>
      </w:r>
      <w:proofErr w:type="spellStart"/>
      <w:r>
        <w:t>doi</w:t>
      </w:r>
      <w:proofErr w:type="spellEnd"/>
      <w:r>
        <w:t>: 10.2196/70377. PMID: 41468583; PMCID: PMC12826648.</w:t>
      </w:r>
    </w:p>
    <w:p w14:paraId="465BADC4" w14:textId="77777777" w:rsidR="00B903F8" w:rsidRDefault="00B903F8">
      <w:pPr>
        <w:spacing w:line="360" w:lineRule="auto"/>
        <w:jc w:val="both"/>
      </w:pPr>
    </w:p>
    <w:p w14:paraId="46260B4C" w14:textId="77777777" w:rsidR="00B903F8" w:rsidRDefault="00000000">
      <w:pPr>
        <w:spacing w:line="360" w:lineRule="auto"/>
        <w:jc w:val="both"/>
      </w:pPr>
      <w:r>
        <w:t xml:space="preserve">Xue, Z., Zhou, N., Wu, Y. et al. (2026) Digital exclusion in healthcare services: a scoping review. Int J Equity Health 25, 37. Available at: </w:t>
      </w:r>
      <w:hyperlink r:id="rId16">
        <w:r>
          <w:rPr>
            <w:color w:val="1155CC"/>
            <w:u w:val="single"/>
          </w:rPr>
          <w:t>https://doi.org/10.1186/s12939-025-02755-1</w:t>
        </w:r>
      </w:hyperlink>
      <w:r>
        <w:t xml:space="preserve">  [Accessed 27 July 2026]</w:t>
      </w:r>
    </w:p>
    <w:sectPr w:rsidR="00B903F8">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C784F9E-47F9-4C43-A841-2CF8DF31B4B6}"/>
  </w:font>
  <w:font w:name="Cambria">
    <w:panose1 w:val="02040503050406030204"/>
    <w:charset w:val="00"/>
    <w:family w:val="roman"/>
    <w:pitch w:val="variable"/>
    <w:sig w:usb0="E00006FF" w:usb1="420024FF" w:usb2="02000000" w:usb3="00000000" w:csb0="0000019F" w:csb1="00000000"/>
    <w:embedRegular r:id="rId2" w:fontKey="{7F634049-AC4E-48BC-8B80-FAC243228BC7}"/>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03F8"/>
    <w:rsid w:val="000517B4"/>
    <w:rsid w:val="0020662C"/>
    <w:rsid w:val="002C3D22"/>
    <w:rsid w:val="004059ED"/>
    <w:rsid w:val="00B903F8"/>
    <w:rsid w:val="00D73D81"/>
    <w:rsid w:val="00DD1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C0134"/>
  <w15:docId w15:val="{5F553393-9297-4F6B-A8B5-BD7ABEF05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digital-inclusion-action-plan-first-steps/digital-inclusion-action-plan-first-steps" TargetMode="External"/><Relationship Id="rId13" Type="http://schemas.openxmlformats.org/officeDocument/2006/relationships/hyperlink" Target="https://www.england.nhs.uk/long-read/inclusive-digital-healthcare-a-framework-for-nhs-action-on-digital-inclusio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centreforcare.ac.uk/wp-content/uploads/2025/11/DIGITAL-EXCLUSION-briefing-Nov-2025-FINAL-resized.pdf" TargetMode="External"/><Relationship Id="rId12" Type="http://schemas.openxmlformats.org/officeDocument/2006/relationships/hyperlink" Target="https://www.local.gov.uk/our-support/cyber-digital-and-technology/digital-inclusion-hub"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186/s12939-025-02755-1" TargetMode="External"/><Relationship Id="rId1" Type="http://schemas.openxmlformats.org/officeDocument/2006/relationships/styles" Target="styles.xml"/><Relationship Id="rId6" Type="http://schemas.openxmlformats.org/officeDocument/2006/relationships/hyperlink" Target="https://www.legislation.gov.uk/ukpga/2014/23/contents" TargetMode="External"/><Relationship Id="rId11" Type="http://schemas.openxmlformats.org/officeDocument/2006/relationships/hyperlink" Target="https://doi.org/10.1016/j.healthpol.2024.105122" TargetMode="External"/><Relationship Id="rId5" Type="http://schemas.openxmlformats.org/officeDocument/2006/relationships/hyperlink" Target="https://doi.org/10.1016/j.techfore.2023.122935" TargetMode="External"/><Relationship Id="rId15" Type="http://schemas.openxmlformats.org/officeDocument/2006/relationships/hyperlink" Target="https://www.kingsfund.org.uk/insight-and-analysis/long-reads/exclusion-inclusion-digital-health-care" TargetMode="External"/><Relationship Id="rId10" Type="http://schemas.openxmlformats.org/officeDocument/2006/relationships/hyperlink" Target="https://doi.org/10.1016/S2589-7500(20)30169-2" TargetMode="External"/><Relationship Id="rId4" Type="http://schemas.openxmlformats.org/officeDocument/2006/relationships/image" Target="media/image1.png"/><Relationship Id="rId9" Type="http://schemas.openxmlformats.org/officeDocument/2006/relationships/hyperlink" Target="https://www.legislation.gov.uk/ukpga/2010/15/section/20" TargetMode="External"/><Relationship Id="rId14" Type="http://schemas.openxmlformats.org/officeDocument/2006/relationships/hyperlink" Target="https://www.ofcom.org.uk/siteassets/resources/documents/research-and-data/multi-sector/access-and-inclusion/2018/research-summary-all-disabilities.pdf?v=321473"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7</Pages>
  <Words>1857</Words>
  <Characters>10585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Fred Ninsiima</cp:lastModifiedBy>
  <cp:revision>2</cp:revision>
  <dcterms:created xsi:type="dcterms:W3CDTF">2026-07-29T21:48:00Z</dcterms:created>
  <dcterms:modified xsi:type="dcterms:W3CDTF">2026-07-29T21:48:00Z</dcterms:modified>
</cp:coreProperties>
</file>