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sz w:val="24"/>
          <w:szCs w:val="24"/>
        </w:rPr>
        <w:id w:val="477396581"/>
        <w:docPartObj>
          <w:docPartGallery w:val="Cover Pages"/>
          <w:docPartUnique/>
        </w:docPartObj>
      </w:sdtPr>
      <w:sdtEndPr>
        <w:rPr>
          <w:rFonts w:asciiTheme="minorHAnsi" w:hAnsiTheme="minorHAnsi" w:cstheme="minorBidi"/>
          <w:sz w:val="22"/>
          <w:szCs w:val="22"/>
        </w:rPr>
      </w:sdtEndPr>
      <w:sdtContent>
        <w:p w:rsidR="0081211E" w:rsidRPr="00694D17" w:rsidRDefault="006B55ED" w:rsidP="00694D17">
          <w:pPr>
            <w:spacing w:line="360" w:lineRule="auto"/>
            <w:jc w:val="both"/>
            <w:rPr>
              <w:rFonts w:ascii="Arial" w:hAnsi="Arial" w:cs="Arial"/>
              <w:sz w:val="24"/>
              <w:szCs w:val="24"/>
            </w:rPr>
          </w:pPr>
          <w:r>
            <w:rPr>
              <w:rFonts w:ascii="Arial" w:hAnsi="Arial" w:cs="Arial"/>
              <w:noProof/>
              <w:sz w:val="24"/>
              <w:szCs w:val="24"/>
              <w:lang w:eastAsia="zh-TW"/>
            </w:rPr>
            <w:pict>
              <v:group id="_x0000_s1026" style="position:absolute;left:0;text-align:left;margin-left:-12.5pt;margin-top:-44.9pt;width:631.6pt;height:551.1pt;z-index:251660288;mso-position-horizontal-relative:page;mso-position-vertical-relative:margin;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1225;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81211E" w:rsidRDefault="0081211E">
                        <w:pPr>
                          <w:spacing w:after="0"/>
                          <w:rPr>
                            <w:b/>
                            <w:bCs/>
                            <w:color w:val="808080" w:themeColor="text1" w:themeTint="7F"/>
                            <w:sz w:val="32"/>
                            <w:szCs w:val="32"/>
                          </w:rPr>
                        </w:pPr>
                      </w:p>
                      <w:p w:rsidR="0081211E" w:rsidRDefault="0081211E">
                        <w:pPr>
                          <w:spacing w:after="0"/>
                          <w:rPr>
                            <w:b/>
                            <w:bCs/>
                            <w:color w:val="808080" w:themeColor="text1" w:themeTint="7F"/>
                            <w:sz w:val="32"/>
                            <w:szCs w:val="32"/>
                          </w:rPr>
                        </w:pPr>
                      </w:p>
                    </w:txbxContent>
                  </v:textbox>
                </v:rect>
                <v:rect id="_x0000_s1039" style="position:absolute;left:6494;top:11161;width:4998;height:1989;mso-position-horizontal-relative:margin;mso-position-vertical-relative:margin" filled="f" stroked="f">
                  <v:textbox style="mso-next-textbox:#_x0000_s1039;mso-fit-shape-to-text:t">
                    <w:txbxContent>
                      <w:p w:rsidR="0081211E" w:rsidRDefault="0081211E">
                        <w:pPr>
                          <w:jc w:val="right"/>
                          <w:rPr>
                            <w:sz w:val="96"/>
                            <w:szCs w:val="96"/>
                          </w:rPr>
                        </w:pPr>
                      </w:p>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p w:rsidR="0081211E" w:rsidRDefault="0081211E">
                        <w:pPr>
                          <w:spacing w:after="0"/>
                          <w:rPr>
                            <w:b/>
                            <w:bCs/>
                            <w:color w:val="1F497D" w:themeColor="text2"/>
                            <w:sz w:val="72"/>
                            <w:szCs w:val="72"/>
                          </w:rPr>
                        </w:pPr>
                      </w:p>
                      <w:sdt>
                        <w:sdtPr>
                          <w:rPr>
                            <w:sz w:val="96"/>
                            <w:szCs w:val="96"/>
                          </w:rPr>
                          <w:alias w:val="Title"/>
                          <w:id w:val="477396629"/>
                          <w:dataBinding w:prefixMappings="xmlns:ns0='http://schemas.openxmlformats.org/package/2006/metadata/core-properties' xmlns:ns1='http://purl.org/dc/elements/1.1/'" w:xpath="/ns0:coreProperties[1]/ns1:title[1]" w:storeItemID="{6C3C8BC8-F283-45AE-878A-BAB7291924A1}"/>
                          <w:text/>
                        </w:sdtPr>
                        <w:sdtContent>
                          <w:p w:rsidR="00F02EEA" w:rsidRDefault="00B33A7D" w:rsidP="00F02EEA">
                            <w:pPr>
                              <w:spacing w:after="0"/>
                              <w:rPr>
                                <w:b/>
                                <w:bCs/>
                                <w:color w:val="1F497D" w:themeColor="text2"/>
                                <w:sz w:val="72"/>
                                <w:szCs w:val="72"/>
                              </w:rPr>
                            </w:pPr>
                            <w:r>
                              <w:rPr>
                                <w:sz w:val="96"/>
                                <w:szCs w:val="96"/>
                              </w:rPr>
                              <w:t xml:space="preserve"> </w:t>
                            </w:r>
                            <w:r w:rsidR="00F02EEA" w:rsidRPr="00F02EEA">
                              <w:rPr>
                                <w:sz w:val="96"/>
                                <w:szCs w:val="96"/>
                              </w:rPr>
                              <w:t>Student Learning Log</w:t>
                            </w:r>
                          </w:p>
                        </w:sdtContent>
                      </w:sdt>
                      <w:p w:rsidR="00F02EEA" w:rsidRDefault="00F02EEA" w:rsidP="00F02EEA">
                        <w:pPr>
                          <w:jc w:val="center"/>
                          <w:rPr>
                            <w:rFonts w:ascii="Arial" w:hAnsi="Arial" w:cs="Arial"/>
                            <w:b/>
                            <w:color w:val="000000" w:themeColor="text1"/>
                            <w:sz w:val="24"/>
                            <w:szCs w:val="24"/>
                          </w:rPr>
                        </w:pPr>
                      </w:p>
                      <w:p w:rsidR="00F02EEA" w:rsidRDefault="00F02EEA" w:rsidP="00F02EEA">
                        <w:pPr>
                          <w:jc w:val="center"/>
                          <w:rPr>
                            <w:rFonts w:ascii="Arial" w:hAnsi="Arial" w:cs="Arial"/>
                            <w:b/>
                            <w:color w:val="000000" w:themeColor="text1"/>
                            <w:sz w:val="24"/>
                            <w:szCs w:val="24"/>
                          </w:rPr>
                        </w:pPr>
                      </w:p>
                      <w:p w:rsidR="007F3B5D" w:rsidRDefault="007F3B5D" w:rsidP="00F02EEA">
                        <w:pPr>
                          <w:jc w:val="center"/>
                          <w:rPr>
                            <w:rFonts w:ascii="Arial" w:hAnsi="Arial" w:cs="Arial"/>
                            <w:b/>
                            <w:color w:val="000000" w:themeColor="text1"/>
                            <w:sz w:val="24"/>
                            <w:szCs w:val="24"/>
                          </w:rPr>
                        </w:pPr>
                      </w:p>
                      <w:p w:rsidR="00F02EEA" w:rsidRPr="00F02EEA" w:rsidRDefault="00F02EEA" w:rsidP="00F02EEA">
                        <w:pPr>
                          <w:jc w:val="center"/>
                          <w:rPr>
                            <w:rFonts w:ascii="Arial" w:hAnsi="Arial" w:cs="Arial"/>
                            <w:b/>
                            <w:color w:val="000000" w:themeColor="text1"/>
                            <w:sz w:val="24"/>
                            <w:szCs w:val="24"/>
                          </w:rPr>
                        </w:pPr>
                        <w:r w:rsidRPr="00F02EEA">
                          <w:rPr>
                            <w:rFonts w:ascii="Arial" w:hAnsi="Arial" w:cs="Arial"/>
                            <w:b/>
                            <w:color w:val="000000" w:themeColor="text1"/>
                            <w:sz w:val="24"/>
                            <w:szCs w:val="24"/>
                          </w:rPr>
                          <w:t>Managing Food &amp; Beverage Operations</w:t>
                        </w:r>
                      </w:p>
                      <w:p w:rsidR="00F02EEA" w:rsidRPr="00F02EEA" w:rsidRDefault="00F02EEA" w:rsidP="00F02EEA">
                        <w:pPr>
                          <w:jc w:val="center"/>
                          <w:rPr>
                            <w:rFonts w:ascii="Arial" w:hAnsi="Arial" w:cs="Arial"/>
                            <w:b/>
                            <w:color w:val="000000" w:themeColor="text1"/>
                            <w:sz w:val="24"/>
                            <w:szCs w:val="24"/>
                          </w:rPr>
                        </w:pPr>
                        <w:r w:rsidRPr="00F02EEA">
                          <w:rPr>
                            <w:rFonts w:ascii="Arial" w:hAnsi="Arial" w:cs="Arial"/>
                            <w:b/>
                            <w:color w:val="000000" w:themeColor="text1"/>
                            <w:sz w:val="24"/>
                            <w:szCs w:val="24"/>
                          </w:rPr>
                          <w:t>BMIH6002</w:t>
                        </w:r>
                      </w:p>
                      <w:p w:rsidR="00F02EEA" w:rsidRPr="00F02EEA" w:rsidRDefault="00F02EEA" w:rsidP="00F02EEA">
                        <w:pPr>
                          <w:jc w:val="center"/>
                          <w:rPr>
                            <w:rFonts w:ascii="Arial" w:hAnsi="Arial" w:cs="Arial"/>
                            <w:b/>
                            <w:color w:val="000000" w:themeColor="text1"/>
                            <w:sz w:val="24"/>
                            <w:szCs w:val="24"/>
                          </w:rPr>
                        </w:pPr>
                        <w:r w:rsidRPr="00F02EEA">
                          <w:rPr>
                            <w:rFonts w:ascii="Arial" w:hAnsi="Arial" w:cs="Arial"/>
                            <w:b/>
                            <w:bCs/>
                            <w:color w:val="000000" w:themeColor="text1"/>
                            <w:sz w:val="24"/>
                            <w:szCs w:val="24"/>
                          </w:rPr>
                          <w:t>Lecturer:</w:t>
                        </w:r>
                        <w:r w:rsidRPr="00F02EEA">
                          <w:rPr>
                            <w:rFonts w:ascii="Arial" w:hAnsi="Arial" w:cs="Arial"/>
                            <w:b/>
                            <w:color w:val="000000" w:themeColor="text1"/>
                            <w:sz w:val="24"/>
                            <w:szCs w:val="24"/>
                          </w:rPr>
                          <w:t xml:space="preserve"> Jessica Newport</w:t>
                        </w:r>
                      </w:p>
                      <w:p w:rsidR="0081211E" w:rsidRPr="00F02EEA" w:rsidRDefault="005B7CEC" w:rsidP="00F02EEA">
                        <w:pPr>
                          <w:jc w:val="center"/>
                          <w:rPr>
                            <w:rFonts w:ascii="Arial" w:hAnsi="Arial" w:cs="Arial"/>
                            <w:b/>
                            <w:bCs/>
                            <w:color w:val="000000" w:themeColor="text1"/>
                            <w:sz w:val="24"/>
                            <w:szCs w:val="24"/>
                          </w:rPr>
                        </w:pPr>
                        <w:r>
                          <w:rPr>
                            <w:rFonts w:ascii="Arial" w:hAnsi="Arial" w:cs="Arial"/>
                            <w:b/>
                            <w:color w:val="000000" w:themeColor="text1"/>
                            <w:sz w:val="24"/>
                            <w:szCs w:val="24"/>
                          </w:rPr>
                          <w:t>Student</w:t>
                        </w:r>
                        <w:r w:rsidR="00F02EEA" w:rsidRPr="00F02EEA">
                          <w:rPr>
                            <w:rFonts w:ascii="Arial" w:hAnsi="Arial" w:cs="Arial"/>
                            <w:b/>
                            <w:color w:val="000000" w:themeColor="text1"/>
                            <w:sz w:val="24"/>
                            <w:szCs w:val="24"/>
                          </w:rPr>
                          <w:t xml:space="preserve">:  </w:t>
                        </w:r>
                        <w:proofErr w:type="spellStart"/>
                        <w:r w:rsidR="00F02EEA" w:rsidRPr="00F02EEA">
                          <w:rPr>
                            <w:rFonts w:ascii="Arial" w:hAnsi="Arial" w:cs="Arial"/>
                            <w:b/>
                            <w:color w:val="000000" w:themeColor="text1"/>
                            <w:sz w:val="24"/>
                            <w:szCs w:val="24"/>
                          </w:rPr>
                          <w:t>Razvan</w:t>
                        </w:r>
                        <w:proofErr w:type="spellEnd"/>
                        <w:r w:rsidR="00F02EEA" w:rsidRPr="00F02EEA">
                          <w:rPr>
                            <w:rFonts w:ascii="Arial" w:hAnsi="Arial" w:cs="Arial"/>
                            <w:b/>
                            <w:color w:val="000000" w:themeColor="text1"/>
                            <w:sz w:val="24"/>
                            <w:szCs w:val="24"/>
                          </w:rPr>
                          <w:t xml:space="preserve"> </w:t>
                        </w:r>
                        <w:proofErr w:type="spellStart"/>
                        <w:r w:rsidR="00F02EEA" w:rsidRPr="00F02EEA">
                          <w:rPr>
                            <w:rFonts w:ascii="Arial" w:hAnsi="Arial" w:cs="Arial"/>
                            <w:b/>
                            <w:color w:val="000000" w:themeColor="text1"/>
                            <w:sz w:val="24"/>
                            <w:szCs w:val="24"/>
                          </w:rPr>
                          <w:t>Cristian</w:t>
                        </w:r>
                        <w:proofErr w:type="spellEnd"/>
                        <w:r w:rsidR="00F02EEA" w:rsidRPr="00F02EEA">
                          <w:rPr>
                            <w:rFonts w:ascii="Arial" w:hAnsi="Arial" w:cs="Arial"/>
                            <w:b/>
                            <w:color w:val="000000" w:themeColor="text1"/>
                            <w:sz w:val="24"/>
                            <w:szCs w:val="24"/>
                          </w:rPr>
                          <w:t xml:space="preserve"> </w:t>
                        </w:r>
                        <w:proofErr w:type="spellStart"/>
                        <w:r w:rsidR="00F02EEA" w:rsidRPr="00F02EEA">
                          <w:rPr>
                            <w:rFonts w:ascii="Arial" w:hAnsi="Arial" w:cs="Arial"/>
                            <w:b/>
                            <w:color w:val="000000" w:themeColor="text1"/>
                            <w:sz w:val="24"/>
                            <w:szCs w:val="24"/>
                          </w:rPr>
                          <w:t>Nicolae</w:t>
                        </w:r>
                        <w:proofErr w:type="spellEnd"/>
                        <w:r w:rsidR="00F02EEA" w:rsidRPr="00F02EEA">
                          <w:rPr>
                            <w:rFonts w:ascii="Arial" w:hAnsi="Arial" w:cs="Arial"/>
                            <w:b/>
                            <w:color w:val="000000" w:themeColor="text1"/>
                            <w:sz w:val="24"/>
                            <w:szCs w:val="24"/>
                          </w:rPr>
                          <w:t xml:space="preserve">                                                                                                                                                Student ID: 2222787</w:t>
                        </w:r>
                      </w:p>
                      <w:p w:rsidR="0081211E" w:rsidRDefault="0081211E">
                        <w:pPr>
                          <w:rPr>
                            <w:b/>
                            <w:bCs/>
                            <w:color w:val="808080" w:themeColor="text1" w:themeTint="7F"/>
                            <w:sz w:val="32"/>
                            <w:szCs w:val="32"/>
                          </w:rPr>
                        </w:pPr>
                      </w:p>
                      <w:p w:rsidR="0081211E" w:rsidRDefault="0081211E">
                        <w:pPr>
                          <w:rPr>
                            <w:b/>
                            <w:bCs/>
                            <w:color w:val="808080" w:themeColor="text1" w:themeTint="7F"/>
                            <w:sz w:val="32"/>
                            <w:szCs w:val="32"/>
                          </w:rPr>
                        </w:pPr>
                      </w:p>
                    </w:txbxContent>
                  </v:textbox>
                </v:rect>
                <w10:wrap anchorx="page" anchory="margin"/>
              </v:group>
            </w:pict>
          </w:r>
        </w:p>
        <w:p w:rsidR="0081211E" w:rsidRPr="00694D17" w:rsidRDefault="0081211E"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p>
        <w:p w:rsidR="00C96A2F" w:rsidRPr="00694D17" w:rsidRDefault="00C96A2F" w:rsidP="00694D17">
          <w:pPr>
            <w:spacing w:line="360" w:lineRule="auto"/>
            <w:jc w:val="both"/>
            <w:rPr>
              <w:rFonts w:ascii="Arial" w:hAnsi="Arial" w:cs="Arial"/>
              <w:sz w:val="24"/>
              <w:szCs w:val="24"/>
            </w:rPr>
          </w:pPr>
          <w:r w:rsidRPr="00694D17">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 xml:space="preserve">This student log will show a significant service failure I personally experienced during my placement at The </w:t>
          </w:r>
          <w:proofErr w:type="spellStart"/>
          <w:r w:rsidRPr="00694D17">
            <w:rPr>
              <w:rFonts w:ascii="Arial" w:hAnsi="Arial" w:cs="Arial"/>
              <w:sz w:val="24"/>
              <w:szCs w:val="24"/>
            </w:rPr>
            <w:t>Harboro</w:t>
          </w:r>
          <w:proofErr w:type="spellEnd"/>
          <w:r w:rsidRPr="00694D17">
            <w:rPr>
              <w:rFonts w:ascii="Arial" w:hAnsi="Arial" w:cs="Arial"/>
              <w:sz w:val="24"/>
              <w:szCs w:val="24"/>
            </w:rPr>
            <w:t xml:space="preserve"> Hotel. The hotel has cultivated a strong market reputation as the premier venue for functions and events in Melton </w:t>
          </w:r>
          <w:proofErr w:type="spellStart"/>
          <w:r w:rsidRPr="00694D17">
            <w:rPr>
              <w:rFonts w:ascii="Arial" w:hAnsi="Arial" w:cs="Arial"/>
              <w:sz w:val="24"/>
              <w:szCs w:val="24"/>
            </w:rPr>
            <w:t>Mowbray</w:t>
          </w:r>
          <w:proofErr w:type="spellEnd"/>
          <w:r w:rsidRPr="00694D17">
            <w:rPr>
              <w:rFonts w:ascii="Arial" w:hAnsi="Arial" w:cs="Arial"/>
              <w:sz w:val="24"/>
              <w:szCs w:val="24"/>
            </w:rPr>
            <w:t xml:space="preserve">, built on a brand promise of offering exceptional, </w:t>
          </w:r>
          <w:proofErr w:type="spellStart"/>
          <w:r w:rsidRPr="00694D17">
            <w:rPr>
              <w:rFonts w:ascii="Arial" w:hAnsi="Arial" w:cs="Arial"/>
              <w:sz w:val="24"/>
              <w:szCs w:val="24"/>
            </w:rPr>
            <w:t>personalised</w:t>
          </w:r>
          <w:proofErr w:type="spellEnd"/>
          <w:r w:rsidRPr="00694D17">
            <w:rPr>
              <w:rFonts w:ascii="Arial" w:hAnsi="Arial" w:cs="Arial"/>
              <w:sz w:val="24"/>
              <w:szCs w:val="24"/>
            </w:rPr>
            <w:t xml:space="preserve"> service at a superior value-for-price point. This reputation creates an incredibly high level of guest expectation, which I felt acutely as a front-line staff member.</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The purpose of this log is to apply the service quality models I have studied to deconstruct a "moment of truth" I had to manage. This analysis is my attempt to move beyond a simple, descriptive account of "what happened" (which would be a Level 4 approach) and to instead provide a deeper, Level 6-style analysis of a management failure, its consequences, and what improvement I can bring to the hotel.</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My most profound learning experience came from witnessing a "moment of truth" where managerial performance failed to meet any standard of service excellence, putting me in an impossible position as an employee.</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The incident began when I served a fish dish to a guest. The guest called me over and complained that the fish was "watery." This initial complaint represents a failure in Technical Quality (</w:t>
          </w:r>
          <w:proofErr w:type="spellStart"/>
          <w:r w:rsidRPr="00694D17">
            <w:rPr>
              <w:rFonts w:ascii="Arial" w:hAnsi="Arial" w:cs="Arial"/>
              <w:sz w:val="24"/>
              <w:szCs w:val="24"/>
            </w:rPr>
            <w:t>Grönroos</w:t>
          </w:r>
          <w:proofErr w:type="spellEnd"/>
          <w:r w:rsidRPr="00694D17">
            <w:rPr>
              <w:rFonts w:ascii="Arial" w:hAnsi="Arial" w:cs="Arial"/>
              <w:sz w:val="24"/>
              <w:szCs w:val="24"/>
            </w:rPr>
            <w:t xml:space="preserve">, 1984), where the core product itself did not meet the standard expected. As a student of F&amp;B operations, I </w:t>
          </w:r>
          <w:proofErr w:type="spellStart"/>
          <w:r w:rsidRPr="00694D17">
            <w:rPr>
              <w:rFonts w:ascii="Arial" w:hAnsi="Arial" w:cs="Arial"/>
              <w:sz w:val="24"/>
              <w:szCs w:val="24"/>
            </w:rPr>
            <w:t>recognised</w:t>
          </w:r>
          <w:proofErr w:type="spellEnd"/>
          <w:r w:rsidRPr="00694D17">
            <w:rPr>
              <w:rFonts w:ascii="Arial" w:hAnsi="Arial" w:cs="Arial"/>
              <w:sz w:val="24"/>
              <w:szCs w:val="24"/>
            </w:rPr>
            <w:t xml:space="preserve"> that a watery texture in cooked fish is a common sign of poor preparation, such as being cooked directly from frozen or improper defrosting. This is a failure in the basic "food production techniques and skills" that are supposed to underpin our service (Davis et al., 2018).</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 xml:space="preserve">Following my training, I correctly escalated the complaint to the duty manager, Liam. The manager's response, however, turned a minor product issue into a critical service </w:t>
          </w:r>
          <w:r w:rsidRPr="00694D17">
            <w:rPr>
              <w:rFonts w:ascii="Arial" w:hAnsi="Arial" w:cs="Arial"/>
              <w:sz w:val="24"/>
              <w:szCs w:val="24"/>
            </w:rPr>
            <w:lastRenderedPageBreak/>
            <w:t>failure that I had to stand and watch. He dismissively told the guest that even if a new dish was cooked, it "would be the same." He then took the plate, declared it "ok," and returned it to the guest, offering no apology or alternative. This action was not just poor service; it was actively defensive and dismissive. The guest, understandably, did not touch the food for the rest of the meal. I was the one who later had to clear the full, untouched plate, which I then saw being sent for recycling—a 100% financial loss on the dish and a guaranteed dissatisfied customer.</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This incident is a perfect illustration of the Gaps Model of Service Quality (</w:t>
          </w:r>
          <w:proofErr w:type="spellStart"/>
          <w:r w:rsidRPr="00694D17">
            <w:rPr>
              <w:rFonts w:ascii="Arial" w:hAnsi="Arial" w:cs="Arial"/>
              <w:sz w:val="24"/>
              <w:szCs w:val="24"/>
            </w:rPr>
            <w:t>Zeithaml</w:t>
          </w:r>
          <w:proofErr w:type="spellEnd"/>
          <w:r w:rsidRPr="00694D17">
            <w:rPr>
              <w:rFonts w:ascii="Arial" w:hAnsi="Arial" w:cs="Arial"/>
              <w:sz w:val="24"/>
              <w:szCs w:val="24"/>
            </w:rPr>
            <w:t xml:space="preserve"> et al., 2018).</w:t>
          </w:r>
        </w:p>
        <w:p w:rsidR="00F85DF4" w:rsidRPr="00694D17" w:rsidRDefault="00F85DF4" w:rsidP="00694D17">
          <w:pPr>
            <w:numPr>
              <w:ilvl w:val="0"/>
              <w:numId w:val="1"/>
            </w:numPr>
            <w:spacing w:after="160" w:line="360" w:lineRule="auto"/>
            <w:jc w:val="both"/>
            <w:rPr>
              <w:rFonts w:ascii="Arial" w:hAnsi="Arial" w:cs="Arial"/>
              <w:sz w:val="24"/>
              <w:szCs w:val="24"/>
            </w:rPr>
          </w:pPr>
          <w:r w:rsidRPr="00694D17">
            <w:rPr>
              <w:rFonts w:ascii="Arial" w:hAnsi="Arial" w:cs="Arial"/>
              <w:sz w:val="24"/>
              <w:szCs w:val="24"/>
            </w:rPr>
            <w:t>Gap 1 - The Communication Gap: The hotel’s brand promise (renowned for "best services") created an expectation that was completely shattered by the manager's actions. The gap between the external promise and the actual delivery I was part of was immense.</w:t>
          </w:r>
        </w:p>
        <w:p w:rsidR="00F85DF4" w:rsidRPr="00694D17" w:rsidRDefault="00F85DF4" w:rsidP="00694D17">
          <w:pPr>
            <w:numPr>
              <w:ilvl w:val="0"/>
              <w:numId w:val="1"/>
            </w:numPr>
            <w:spacing w:after="160" w:line="360" w:lineRule="auto"/>
            <w:jc w:val="both"/>
            <w:rPr>
              <w:rFonts w:ascii="Arial" w:hAnsi="Arial" w:cs="Arial"/>
              <w:sz w:val="24"/>
              <w:szCs w:val="24"/>
            </w:rPr>
          </w:pPr>
          <w:r w:rsidRPr="00694D17">
            <w:rPr>
              <w:rFonts w:ascii="Arial" w:hAnsi="Arial" w:cs="Arial"/>
              <w:sz w:val="24"/>
              <w:szCs w:val="24"/>
            </w:rPr>
            <w:t xml:space="preserve">Gap 2 - The Knowledge Gap: The manager, Liam, demonstrated that he did not understand (or did not care to understand) the customer's expectation of quality. His excuse that other diners "did not complain" is a classic operational fallacy. As complaint </w:t>
          </w:r>
          <w:proofErr w:type="spellStart"/>
          <w:r w:rsidRPr="00694D17">
            <w:rPr>
              <w:rFonts w:ascii="Arial" w:hAnsi="Arial" w:cs="Arial"/>
              <w:sz w:val="24"/>
              <w:szCs w:val="24"/>
            </w:rPr>
            <w:t>behaviour</w:t>
          </w:r>
          <w:proofErr w:type="spellEnd"/>
          <w:r w:rsidRPr="00694D17">
            <w:rPr>
              <w:rFonts w:ascii="Arial" w:hAnsi="Arial" w:cs="Arial"/>
              <w:sz w:val="24"/>
              <w:szCs w:val="24"/>
            </w:rPr>
            <w:t xml:space="preserve"> research shows, for every customer who complains, many more remain silent but will never return (Lovelock and </w:t>
          </w:r>
          <w:proofErr w:type="spellStart"/>
          <w:r w:rsidRPr="00694D17">
            <w:rPr>
              <w:rFonts w:ascii="Arial" w:hAnsi="Arial" w:cs="Arial"/>
              <w:sz w:val="24"/>
              <w:szCs w:val="24"/>
            </w:rPr>
            <w:t>Wirtz</w:t>
          </w:r>
          <w:proofErr w:type="spellEnd"/>
          <w:r w:rsidRPr="00694D17">
            <w:rPr>
              <w:rFonts w:ascii="Arial" w:hAnsi="Arial" w:cs="Arial"/>
              <w:sz w:val="24"/>
              <w:szCs w:val="24"/>
            </w:rPr>
            <w:t>, 2022). Liam mistook silence for satisfaction.</w:t>
          </w:r>
        </w:p>
        <w:p w:rsidR="00F85DF4" w:rsidRPr="00694D17" w:rsidRDefault="00F85DF4" w:rsidP="00694D17">
          <w:pPr>
            <w:numPr>
              <w:ilvl w:val="0"/>
              <w:numId w:val="1"/>
            </w:numPr>
            <w:spacing w:after="160" w:line="360" w:lineRule="auto"/>
            <w:jc w:val="both"/>
            <w:rPr>
              <w:rFonts w:ascii="Arial" w:hAnsi="Arial" w:cs="Arial"/>
              <w:sz w:val="24"/>
              <w:szCs w:val="24"/>
            </w:rPr>
          </w:pPr>
          <w:r w:rsidRPr="00694D17">
            <w:rPr>
              <w:rFonts w:ascii="Arial" w:hAnsi="Arial" w:cs="Arial"/>
              <w:sz w:val="24"/>
              <w:szCs w:val="24"/>
            </w:rPr>
            <w:t xml:space="preserve">Gap 3 - The Service Performance Gap: Even if the hotel had internal standards for complaint handling, the manager failed to deliver on them. His lack of empathy, apology, and resolution was a catastrophic failure in his own </w:t>
          </w:r>
          <w:r w:rsidRPr="00694D17">
            <w:rPr>
              <w:rFonts w:ascii="Arial" w:hAnsi="Arial" w:cs="Arial"/>
              <w:i/>
              <w:iCs/>
              <w:sz w:val="24"/>
              <w:szCs w:val="24"/>
            </w:rPr>
            <w:t>personal</w:t>
          </w:r>
          <w:r w:rsidRPr="00694D17">
            <w:rPr>
              <w:rFonts w:ascii="Arial" w:hAnsi="Arial" w:cs="Arial"/>
              <w:sz w:val="24"/>
              <w:szCs w:val="24"/>
            </w:rPr>
            <w:t xml:space="preserve"> service performance, which completely undermined my front-line role.</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 xml:space="preserve">A customer complaint is a "gift," offering the business a chance to recover. Effective recovery is often </w:t>
          </w:r>
          <w:proofErr w:type="spellStart"/>
          <w:r w:rsidRPr="00694D17">
            <w:rPr>
              <w:rFonts w:ascii="Arial" w:hAnsi="Arial" w:cs="Arial"/>
              <w:sz w:val="24"/>
              <w:szCs w:val="24"/>
            </w:rPr>
            <w:t>analysed</w:t>
          </w:r>
          <w:proofErr w:type="spellEnd"/>
          <w:r w:rsidRPr="00694D17">
            <w:rPr>
              <w:rFonts w:ascii="Arial" w:hAnsi="Arial" w:cs="Arial"/>
              <w:sz w:val="24"/>
              <w:szCs w:val="24"/>
            </w:rPr>
            <w:t xml:space="preserve"> using Service Justice Theory, which states that a customer's satisfaction with recovery depends on three forms of justice (Lovelock and </w:t>
          </w:r>
          <w:proofErr w:type="spellStart"/>
          <w:r w:rsidRPr="00694D17">
            <w:rPr>
              <w:rFonts w:ascii="Arial" w:hAnsi="Arial" w:cs="Arial"/>
              <w:sz w:val="24"/>
              <w:szCs w:val="24"/>
            </w:rPr>
            <w:t>Wirtz</w:t>
          </w:r>
          <w:proofErr w:type="spellEnd"/>
          <w:r w:rsidRPr="00694D17">
            <w:rPr>
              <w:rFonts w:ascii="Arial" w:hAnsi="Arial" w:cs="Arial"/>
              <w:sz w:val="24"/>
              <w:szCs w:val="24"/>
            </w:rPr>
            <w:t>, 2022). Liam's response, which I witnessed, failed on all three counts:</w:t>
          </w:r>
        </w:p>
        <w:p w:rsidR="00F85DF4" w:rsidRPr="00694D17" w:rsidRDefault="00F85DF4" w:rsidP="00694D17">
          <w:pPr>
            <w:numPr>
              <w:ilvl w:val="0"/>
              <w:numId w:val="2"/>
            </w:numPr>
            <w:spacing w:after="160" w:line="360" w:lineRule="auto"/>
            <w:jc w:val="both"/>
            <w:rPr>
              <w:rFonts w:ascii="Arial" w:hAnsi="Arial" w:cs="Arial"/>
              <w:sz w:val="24"/>
              <w:szCs w:val="24"/>
            </w:rPr>
          </w:pPr>
          <w:r w:rsidRPr="00694D17">
            <w:rPr>
              <w:rFonts w:ascii="Arial" w:hAnsi="Arial" w:cs="Arial"/>
              <w:sz w:val="24"/>
              <w:szCs w:val="24"/>
            </w:rPr>
            <w:t xml:space="preserve">Distributive Justice (The Outcome): The customer received nothing. They paid for a dish they could not eat. My own instinct—to replace the meal and offer a </w:t>
          </w:r>
          <w:r w:rsidRPr="00694D17">
            <w:rPr>
              <w:rFonts w:ascii="Arial" w:hAnsi="Arial" w:cs="Arial"/>
              <w:sz w:val="24"/>
              <w:szCs w:val="24"/>
            </w:rPr>
            <w:lastRenderedPageBreak/>
            <w:t>free dessert—would have satisfied this dimension by providing fair compensation for the failure.</w:t>
          </w:r>
        </w:p>
        <w:p w:rsidR="00F85DF4" w:rsidRPr="00694D17" w:rsidRDefault="00F85DF4" w:rsidP="00694D17">
          <w:pPr>
            <w:numPr>
              <w:ilvl w:val="0"/>
              <w:numId w:val="2"/>
            </w:numPr>
            <w:spacing w:after="160" w:line="360" w:lineRule="auto"/>
            <w:jc w:val="both"/>
            <w:rPr>
              <w:rFonts w:ascii="Arial" w:hAnsi="Arial" w:cs="Arial"/>
              <w:sz w:val="24"/>
              <w:szCs w:val="24"/>
            </w:rPr>
          </w:pPr>
          <w:r w:rsidRPr="00694D17">
            <w:rPr>
              <w:rFonts w:ascii="Arial" w:hAnsi="Arial" w:cs="Arial"/>
              <w:sz w:val="24"/>
              <w:szCs w:val="24"/>
            </w:rPr>
            <w:t xml:space="preserve">Procedural Justice (The Process): The customer was offered no process for resolution. The manager's "process" was to deny the problem and walk away. A fair procedure, which I had hoped for, would have been to investigate the issue (i.e., take the dish to the chef to find out </w:t>
          </w:r>
          <w:r w:rsidRPr="00694D17">
            <w:rPr>
              <w:rFonts w:ascii="Arial" w:hAnsi="Arial" w:cs="Arial"/>
              <w:i/>
              <w:iCs/>
              <w:sz w:val="24"/>
              <w:szCs w:val="24"/>
            </w:rPr>
            <w:t>why</w:t>
          </w:r>
          <w:r w:rsidRPr="00694D17">
            <w:rPr>
              <w:rFonts w:ascii="Arial" w:hAnsi="Arial" w:cs="Arial"/>
              <w:sz w:val="24"/>
              <w:szCs w:val="24"/>
            </w:rPr>
            <w:t xml:space="preserve"> it was watery).</w:t>
          </w:r>
        </w:p>
        <w:p w:rsidR="00F85DF4" w:rsidRPr="00694D17" w:rsidRDefault="00F85DF4" w:rsidP="00694D17">
          <w:pPr>
            <w:numPr>
              <w:ilvl w:val="0"/>
              <w:numId w:val="2"/>
            </w:numPr>
            <w:spacing w:after="160" w:line="360" w:lineRule="auto"/>
            <w:jc w:val="both"/>
            <w:rPr>
              <w:rFonts w:ascii="Arial" w:hAnsi="Arial" w:cs="Arial"/>
              <w:sz w:val="24"/>
              <w:szCs w:val="24"/>
            </w:rPr>
          </w:pPr>
          <w:r w:rsidRPr="00694D17">
            <w:rPr>
              <w:rFonts w:ascii="Arial" w:hAnsi="Arial" w:cs="Arial"/>
              <w:sz w:val="24"/>
              <w:szCs w:val="24"/>
            </w:rPr>
            <w:t xml:space="preserve">Interactional Justice (The Human Element): This was the most severe failure. The manager was rude, dismissive, and made the guest feels foolish. This lack of courtesy and respect is often more damaging than the initial product failure itself (Lovelock and </w:t>
          </w:r>
          <w:proofErr w:type="spellStart"/>
          <w:r w:rsidRPr="00694D17">
            <w:rPr>
              <w:rFonts w:ascii="Arial" w:hAnsi="Arial" w:cs="Arial"/>
              <w:sz w:val="24"/>
              <w:szCs w:val="24"/>
            </w:rPr>
            <w:t>Wirtz</w:t>
          </w:r>
          <w:proofErr w:type="spellEnd"/>
          <w:r w:rsidRPr="00694D17">
            <w:rPr>
              <w:rFonts w:ascii="Arial" w:hAnsi="Arial" w:cs="Arial"/>
              <w:sz w:val="24"/>
              <w:szCs w:val="24"/>
            </w:rPr>
            <w:t>, 2022).</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 xml:space="preserve">By failing so completely, the manager missed the opportunity to create a "Service Recovery Paradox," a phenomenon where a customer who experiences a </w:t>
          </w:r>
          <w:r w:rsidRPr="00694D17">
            <w:rPr>
              <w:rFonts w:ascii="Arial" w:hAnsi="Arial" w:cs="Arial"/>
              <w:i/>
              <w:iCs/>
              <w:sz w:val="24"/>
              <w:szCs w:val="24"/>
            </w:rPr>
            <w:t>brilliantly handled</w:t>
          </w:r>
          <w:r w:rsidRPr="00694D17">
            <w:rPr>
              <w:rFonts w:ascii="Arial" w:hAnsi="Arial" w:cs="Arial"/>
              <w:sz w:val="24"/>
              <w:szCs w:val="24"/>
            </w:rPr>
            <w:t xml:space="preserve"> failure becomes even more loyal than if no failure had occurred (Hart et al., 1990). Instead, Liam guaranteed the hotel would lose this customer forever.</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 xml:space="preserve">This incident, which I was at the centre of, encapsulates the difference between Level 4 and Level 6 thinking. At Level 4, I would have focused on the food ("the fish was bad") and felt awkward about the "difficult customer" and my own failure to handle it. At Level 6, I now </w:t>
          </w:r>
          <w:proofErr w:type="spellStart"/>
          <w:r w:rsidRPr="00694D17">
            <w:rPr>
              <w:rFonts w:ascii="Arial" w:hAnsi="Arial" w:cs="Arial"/>
              <w:sz w:val="24"/>
              <w:szCs w:val="24"/>
            </w:rPr>
            <w:t>analyse</w:t>
          </w:r>
          <w:proofErr w:type="spellEnd"/>
          <w:r w:rsidRPr="00694D17">
            <w:rPr>
              <w:rFonts w:ascii="Arial" w:hAnsi="Arial" w:cs="Arial"/>
              <w:sz w:val="24"/>
              <w:szCs w:val="24"/>
            </w:rPr>
            <w:t xml:space="preserve"> this as a catastrophic management failure. The </w:t>
          </w:r>
          <w:r w:rsidRPr="00694D17">
            <w:rPr>
              <w:rFonts w:ascii="Arial" w:hAnsi="Arial" w:cs="Arial"/>
              <w:i/>
              <w:iCs/>
              <w:sz w:val="24"/>
              <w:szCs w:val="24"/>
            </w:rPr>
            <w:t>product</w:t>
          </w:r>
          <w:r w:rsidRPr="00694D17">
            <w:rPr>
              <w:rFonts w:ascii="Arial" w:hAnsi="Arial" w:cs="Arial"/>
              <w:sz w:val="24"/>
              <w:szCs w:val="24"/>
            </w:rPr>
            <w:t xml:space="preserve"> was a minor issue; the </w:t>
          </w:r>
          <w:r w:rsidRPr="00694D17">
            <w:rPr>
              <w:rFonts w:ascii="Arial" w:hAnsi="Arial" w:cs="Arial"/>
              <w:i/>
              <w:iCs/>
              <w:sz w:val="24"/>
              <w:szCs w:val="24"/>
            </w:rPr>
            <w:t>manager</w:t>
          </w:r>
          <w:r w:rsidRPr="00694D17">
            <w:rPr>
              <w:rFonts w:ascii="Arial" w:hAnsi="Arial" w:cs="Arial"/>
              <w:sz w:val="24"/>
              <w:szCs w:val="24"/>
            </w:rPr>
            <w:t xml:space="preserve"> was the major problem. His single interaction cost the hotel money (the wasted food), damaged the brand's premium reputation, and, critically, </w:t>
          </w:r>
          <w:proofErr w:type="spellStart"/>
          <w:r w:rsidRPr="00694D17">
            <w:rPr>
              <w:rFonts w:ascii="Arial" w:hAnsi="Arial" w:cs="Arial"/>
              <w:sz w:val="24"/>
              <w:szCs w:val="24"/>
            </w:rPr>
            <w:t>demotivated</w:t>
          </w:r>
          <w:proofErr w:type="spellEnd"/>
          <w:r w:rsidRPr="00694D17">
            <w:rPr>
              <w:rFonts w:ascii="Arial" w:hAnsi="Arial" w:cs="Arial"/>
              <w:sz w:val="24"/>
              <w:szCs w:val="24"/>
            </w:rPr>
            <w:t xml:space="preserve"> </w:t>
          </w:r>
          <w:r w:rsidRPr="00694D17">
            <w:rPr>
              <w:rFonts w:ascii="Arial" w:hAnsi="Arial" w:cs="Arial"/>
              <w:i/>
              <w:iCs/>
              <w:sz w:val="24"/>
              <w:szCs w:val="24"/>
            </w:rPr>
            <w:t>me</w:t>
          </w:r>
          <w:r w:rsidRPr="00694D17">
            <w:rPr>
              <w:rFonts w:ascii="Arial" w:hAnsi="Arial" w:cs="Arial"/>
              <w:sz w:val="24"/>
              <w:szCs w:val="24"/>
            </w:rPr>
            <w:t>, as I knew the correct, professional response but was overruled. This failure in "communication" and "problem solving" from a management level is a clear liability to the business.</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 xml:space="preserve">The incident I experienced was not just a case of poor customer service; it was a systemic failure in management that directly threatens the </w:t>
          </w:r>
          <w:proofErr w:type="spellStart"/>
          <w:r w:rsidRPr="00694D17">
            <w:rPr>
              <w:rFonts w:ascii="Arial" w:hAnsi="Arial" w:cs="Arial"/>
              <w:sz w:val="24"/>
              <w:szCs w:val="24"/>
            </w:rPr>
            <w:t>Harboro</w:t>
          </w:r>
          <w:proofErr w:type="spellEnd"/>
          <w:r w:rsidRPr="00694D17">
            <w:rPr>
              <w:rFonts w:ascii="Arial" w:hAnsi="Arial" w:cs="Arial"/>
              <w:sz w:val="24"/>
              <w:szCs w:val="24"/>
            </w:rPr>
            <w:t xml:space="preserve"> Hotel's reputation as a premium event venue. The manager's response failed to address the initial product </w:t>
          </w:r>
          <w:proofErr w:type="gramStart"/>
          <w:r w:rsidRPr="00694D17">
            <w:rPr>
              <w:rFonts w:ascii="Arial" w:hAnsi="Arial" w:cs="Arial"/>
              <w:sz w:val="24"/>
              <w:szCs w:val="24"/>
            </w:rPr>
            <w:t>defect,</w:t>
          </w:r>
          <w:proofErr w:type="gramEnd"/>
          <w:r w:rsidRPr="00694D17">
            <w:rPr>
              <w:rFonts w:ascii="Arial" w:hAnsi="Arial" w:cs="Arial"/>
              <w:sz w:val="24"/>
              <w:szCs w:val="24"/>
            </w:rPr>
            <w:t xml:space="preserve"> and his subsequent lack of empathy and professionalism violated all three principles of Service Justice Theory (Lovelock and </w:t>
          </w:r>
          <w:proofErr w:type="spellStart"/>
          <w:r w:rsidRPr="00694D17">
            <w:rPr>
              <w:rFonts w:ascii="Arial" w:hAnsi="Arial" w:cs="Arial"/>
              <w:sz w:val="24"/>
              <w:szCs w:val="24"/>
            </w:rPr>
            <w:t>Wirtz</w:t>
          </w:r>
          <w:proofErr w:type="spellEnd"/>
          <w:r w:rsidRPr="00694D17">
            <w:rPr>
              <w:rFonts w:ascii="Arial" w:hAnsi="Arial" w:cs="Arial"/>
              <w:sz w:val="24"/>
              <w:szCs w:val="24"/>
            </w:rPr>
            <w:t xml:space="preserve">, 2022). This widened the </w:t>
          </w:r>
          <w:r w:rsidRPr="00694D17">
            <w:rPr>
              <w:rFonts w:ascii="Arial" w:hAnsi="Arial" w:cs="Arial"/>
              <w:sz w:val="24"/>
              <w:szCs w:val="24"/>
            </w:rPr>
            <w:lastRenderedPageBreak/>
            <w:t>service quality gaps (</w:t>
          </w:r>
          <w:proofErr w:type="spellStart"/>
          <w:r w:rsidRPr="00694D17">
            <w:rPr>
              <w:rFonts w:ascii="Arial" w:hAnsi="Arial" w:cs="Arial"/>
              <w:sz w:val="24"/>
              <w:szCs w:val="24"/>
            </w:rPr>
            <w:t>Zeithaml</w:t>
          </w:r>
          <w:proofErr w:type="spellEnd"/>
          <w:r w:rsidRPr="00694D17">
            <w:rPr>
              <w:rFonts w:ascii="Arial" w:hAnsi="Arial" w:cs="Arial"/>
              <w:sz w:val="24"/>
              <w:szCs w:val="24"/>
            </w:rPr>
            <w:t xml:space="preserve"> et al., 2018), resulting in financial loss and a dissatisfied customer.</w:t>
          </w:r>
        </w:p>
        <w:p w:rsidR="00F85DF4" w:rsidRPr="00694D17" w:rsidRDefault="00F85DF4" w:rsidP="00694D17">
          <w:pPr>
            <w:spacing w:line="360" w:lineRule="auto"/>
            <w:jc w:val="both"/>
            <w:rPr>
              <w:rFonts w:ascii="Arial" w:hAnsi="Arial" w:cs="Arial"/>
              <w:sz w:val="24"/>
              <w:szCs w:val="24"/>
            </w:rPr>
          </w:pPr>
          <w:r w:rsidRPr="00694D17">
            <w:rPr>
              <w:rFonts w:ascii="Arial" w:hAnsi="Arial" w:cs="Arial"/>
              <w:sz w:val="24"/>
              <w:szCs w:val="24"/>
            </w:rPr>
            <w:t>My recommendations are focused on building systemic competence:</w:t>
          </w:r>
        </w:p>
        <w:p w:rsidR="00F85DF4" w:rsidRPr="00694D17" w:rsidRDefault="00F85DF4" w:rsidP="00694D17">
          <w:pPr>
            <w:numPr>
              <w:ilvl w:val="0"/>
              <w:numId w:val="3"/>
            </w:numPr>
            <w:spacing w:after="160" w:line="360" w:lineRule="auto"/>
            <w:jc w:val="both"/>
            <w:rPr>
              <w:rFonts w:ascii="Arial" w:hAnsi="Arial" w:cs="Arial"/>
              <w:sz w:val="24"/>
              <w:szCs w:val="24"/>
            </w:rPr>
          </w:pPr>
          <w:r w:rsidRPr="00694D17">
            <w:rPr>
              <w:rFonts w:ascii="Arial" w:hAnsi="Arial" w:cs="Arial"/>
              <w:sz w:val="24"/>
              <w:szCs w:val="24"/>
            </w:rPr>
            <w:t xml:space="preserve">People (Training): Implement mandatory Service Recovery Training for all managers. This must empower front-line staff like me with the autonomy to resolve issues on the spot, using a clear framework (e.g., Listen, </w:t>
          </w:r>
          <w:proofErr w:type="spellStart"/>
          <w:r w:rsidRPr="00694D17">
            <w:rPr>
              <w:rFonts w:ascii="Arial" w:hAnsi="Arial" w:cs="Arial"/>
              <w:sz w:val="24"/>
              <w:szCs w:val="24"/>
            </w:rPr>
            <w:t>Empathise</w:t>
          </w:r>
          <w:proofErr w:type="spellEnd"/>
          <w:r w:rsidRPr="00694D17">
            <w:rPr>
              <w:rFonts w:ascii="Arial" w:hAnsi="Arial" w:cs="Arial"/>
              <w:sz w:val="24"/>
              <w:szCs w:val="24"/>
            </w:rPr>
            <w:t xml:space="preserve">, </w:t>
          </w:r>
          <w:proofErr w:type="spellStart"/>
          <w:r w:rsidRPr="00694D17">
            <w:rPr>
              <w:rFonts w:ascii="Arial" w:hAnsi="Arial" w:cs="Arial"/>
              <w:sz w:val="24"/>
              <w:szCs w:val="24"/>
            </w:rPr>
            <w:t>Apologise</w:t>
          </w:r>
          <w:proofErr w:type="spellEnd"/>
          <w:r w:rsidRPr="00694D17">
            <w:rPr>
              <w:rFonts w:ascii="Arial" w:hAnsi="Arial" w:cs="Arial"/>
              <w:sz w:val="24"/>
              <w:szCs w:val="24"/>
            </w:rPr>
            <w:t>, React, Notify) to ensure Interactional Justice is always delivered.</w:t>
          </w:r>
        </w:p>
        <w:p w:rsidR="00F85DF4" w:rsidRPr="00694D17" w:rsidRDefault="00F85DF4" w:rsidP="00694D17">
          <w:pPr>
            <w:numPr>
              <w:ilvl w:val="0"/>
              <w:numId w:val="3"/>
            </w:numPr>
            <w:spacing w:after="160" w:line="360" w:lineRule="auto"/>
            <w:jc w:val="both"/>
            <w:rPr>
              <w:rFonts w:ascii="Arial" w:hAnsi="Arial" w:cs="Arial"/>
              <w:sz w:val="24"/>
              <w:szCs w:val="24"/>
            </w:rPr>
          </w:pPr>
          <w:r w:rsidRPr="00694D17">
            <w:rPr>
              <w:rFonts w:ascii="Arial" w:hAnsi="Arial" w:cs="Arial"/>
              <w:sz w:val="24"/>
              <w:szCs w:val="24"/>
            </w:rPr>
            <w:t xml:space="preserve">Process (Investigation): Implement a formal Product Quality Review Process. Any dish returned by a customer </w:t>
          </w:r>
          <w:r w:rsidRPr="00694D17">
            <w:rPr>
              <w:rFonts w:ascii="Arial" w:hAnsi="Arial" w:cs="Arial"/>
              <w:i/>
              <w:iCs/>
              <w:sz w:val="24"/>
              <w:szCs w:val="24"/>
            </w:rPr>
            <w:t>must</w:t>
          </w:r>
          <w:r w:rsidRPr="00694D17">
            <w:rPr>
              <w:rFonts w:ascii="Arial" w:hAnsi="Arial" w:cs="Arial"/>
              <w:sz w:val="24"/>
              <w:szCs w:val="24"/>
            </w:rPr>
            <w:t xml:space="preserve"> be sent to the Head Chef for immediate quality analysis, not dismissed by a manager. This addresses the root cause (Davis et al., 2018) and provides a data-driven approach to improving "food production techniques".</w:t>
          </w:r>
        </w:p>
        <w:p w:rsidR="00F85DF4" w:rsidRPr="00694D17" w:rsidRDefault="00F85DF4" w:rsidP="00694D17">
          <w:pPr>
            <w:spacing w:line="360" w:lineRule="auto"/>
            <w:jc w:val="both"/>
            <w:rPr>
              <w:rFonts w:ascii="Arial" w:hAnsi="Arial" w:cs="Arial"/>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694D17" w:rsidRDefault="00694D17" w:rsidP="00694D17">
          <w:pPr>
            <w:spacing w:line="360" w:lineRule="auto"/>
            <w:jc w:val="both"/>
            <w:rPr>
              <w:rFonts w:ascii="Arial" w:hAnsi="Arial" w:cs="Arial"/>
              <w:b/>
              <w:bCs/>
              <w:sz w:val="24"/>
              <w:szCs w:val="24"/>
            </w:rPr>
          </w:pPr>
        </w:p>
        <w:p w:rsidR="00F85DF4" w:rsidRPr="00694D17" w:rsidRDefault="00F85DF4" w:rsidP="00694D17">
          <w:pPr>
            <w:spacing w:line="360" w:lineRule="auto"/>
            <w:jc w:val="both"/>
            <w:rPr>
              <w:rFonts w:ascii="Arial" w:hAnsi="Arial" w:cs="Arial"/>
              <w:b/>
              <w:bCs/>
              <w:sz w:val="24"/>
              <w:szCs w:val="24"/>
            </w:rPr>
          </w:pPr>
          <w:r w:rsidRPr="00694D17">
            <w:rPr>
              <w:rFonts w:ascii="Arial" w:hAnsi="Arial" w:cs="Arial"/>
              <w:b/>
              <w:bCs/>
              <w:sz w:val="24"/>
              <w:szCs w:val="24"/>
            </w:rPr>
            <w:lastRenderedPageBreak/>
            <w:t>Reference List</w:t>
          </w:r>
        </w:p>
        <w:p w:rsidR="001F62C0" w:rsidRPr="001F62C0" w:rsidRDefault="001F62C0" w:rsidP="001F62C0">
          <w:pPr>
            <w:spacing w:line="360" w:lineRule="auto"/>
            <w:jc w:val="both"/>
            <w:rPr>
              <w:rFonts w:ascii="Arial" w:hAnsi="Arial" w:cs="Arial"/>
              <w:sz w:val="24"/>
              <w:szCs w:val="24"/>
            </w:rPr>
          </w:pPr>
          <w:proofErr w:type="gramStart"/>
          <w:r w:rsidRPr="001F62C0">
            <w:rPr>
              <w:rFonts w:ascii="Arial" w:hAnsi="Arial" w:cs="Arial"/>
              <w:sz w:val="24"/>
              <w:szCs w:val="24"/>
            </w:rPr>
            <w:t xml:space="preserve">Davis, B., Lockwood, A., </w:t>
          </w:r>
          <w:proofErr w:type="spellStart"/>
          <w:r w:rsidRPr="001F62C0">
            <w:rPr>
              <w:rFonts w:ascii="Arial" w:hAnsi="Arial" w:cs="Arial"/>
              <w:sz w:val="24"/>
              <w:szCs w:val="24"/>
            </w:rPr>
            <w:t>Pantelidis</w:t>
          </w:r>
          <w:proofErr w:type="spellEnd"/>
          <w:r w:rsidRPr="001F62C0">
            <w:rPr>
              <w:rFonts w:ascii="Arial" w:hAnsi="Arial" w:cs="Arial"/>
              <w:sz w:val="24"/>
              <w:szCs w:val="24"/>
            </w:rPr>
            <w:t xml:space="preserve">, I. and Alcott, P. (2018) </w:t>
          </w:r>
          <w:r w:rsidRPr="001F62C0">
            <w:rPr>
              <w:rFonts w:ascii="Arial" w:hAnsi="Arial" w:cs="Arial"/>
              <w:i/>
              <w:iCs/>
              <w:sz w:val="24"/>
              <w:szCs w:val="24"/>
            </w:rPr>
            <w:t>Food and beverage management</w:t>
          </w:r>
          <w:r w:rsidRPr="001F62C0">
            <w:rPr>
              <w:rFonts w:ascii="Arial" w:hAnsi="Arial" w:cs="Arial"/>
              <w:sz w:val="24"/>
              <w:szCs w:val="24"/>
            </w:rPr>
            <w:t>.</w:t>
          </w:r>
          <w:proofErr w:type="gramEnd"/>
          <w:r w:rsidRPr="001F62C0">
            <w:rPr>
              <w:rFonts w:ascii="Arial" w:hAnsi="Arial" w:cs="Arial"/>
              <w:sz w:val="24"/>
              <w:szCs w:val="24"/>
            </w:rPr>
            <w:t xml:space="preserve"> </w:t>
          </w:r>
          <w:proofErr w:type="gramStart"/>
          <w:r w:rsidRPr="001F62C0">
            <w:rPr>
              <w:rFonts w:ascii="Arial" w:hAnsi="Arial" w:cs="Arial"/>
              <w:sz w:val="24"/>
              <w:szCs w:val="24"/>
            </w:rPr>
            <w:t xml:space="preserve">6th </w:t>
          </w:r>
          <w:proofErr w:type="spellStart"/>
          <w:r w:rsidRPr="001F62C0">
            <w:rPr>
              <w:rFonts w:ascii="Arial" w:hAnsi="Arial" w:cs="Arial"/>
              <w:sz w:val="24"/>
              <w:szCs w:val="24"/>
            </w:rPr>
            <w:t>edn</w:t>
          </w:r>
          <w:proofErr w:type="spellEnd"/>
          <w:r w:rsidRPr="001F62C0">
            <w:rPr>
              <w:rFonts w:ascii="Arial" w:hAnsi="Arial" w:cs="Arial"/>
              <w:sz w:val="24"/>
              <w:szCs w:val="24"/>
            </w:rPr>
            <w:t>.</w:t>
          </w:r>
          <w:proofErr w:type="gramEnd"/>
          <w:r w:rsidRPr="001F62C0">
            <w:rPr>
              <w:rFonts w:ascii="Arial" w:hAnsi="Arial" w:cs="Arial"/>
              <w:sz w:val="24"/>
              <w:szCs w:val="24"/>
            </w:rPr>
            <w:t xml:space="preserve"> London: </w:t>
          </w:r>
          <w:proofErr w:type="spellStart"/>
          <w:r w:rsidRPr="001F62C0">
            <w:rPr>
              <w:rFonts w:ascii="Arial" w:hAnsi="Arial" w:cs="Arial"/>
              <w:sz w:val="24"/>
              <w:szCs w:val="24"/>
            </w:rPr>
            <w:t>Routledge</w:t>
          </w:r>
          <w:proofErr w:type="spellEnd"/>
          <w:r w:rsidRPr="001F62C0">
            <w:rPr>
              <w:rFonts w:ascii="Arial" w:hAnsi="Arial" w:cs="Arial"/>
              <w:sz w:val="24"/>
              <w:szCs w:val="24"/>
            </w:rPr>
            <w:t xml:space="preserve">. Available at: </w:t>
          </w:r>
          <w:hyperlink r:id="rId5" w:tgtFrame="_blank" w:history="1">
            <w:r w:rsidRPr="001F62C0">
              <w:rPr>
                <w:rStyle w:val="Hyperlink"/>
                <w:rFonts w:ascii="Arial" w:hAnsi="Arial" w:cs="Arial"/>
                <w:sz w:val="24"/>
                <w:szCs w:val="24"/>
              </w:rPr>
              <w:t>https://doi.org/10.4324/9781315563374</w:t>
            </w:r>
          </w:hyperlink>
          <w:r>
            <w:rPr>
              <w:rFonts w:ascii="Arial" w:hAnsi="Arial" w:cs="Arial"/>
              <w:sz w:val="24"/>
              <w:szCs w:val="24"/>
            </w:rPr>
            <w:t xml:space="preserve"> (Accessed: 10</w:t>
          </w:r>
          <w:r w:rsidRPr="001F62C0">
            <w:rPr>
              <w:rFonts w:ascii="Arial" w:hAnsi="Arial" w:cs="Arial"/>
              <w:sz w:val="24"/>
              <w:szCs w:val="24"/>
            </w:rPr>
            <w:t xml:space="preserve"> November 2025).</w:t>
          </w:r>
        </w:p>
        <w:p w:rsidR="001F62C0" w:rsidRPr="001F62C0" w:rsidRDefault="001F62C0" w:rsidP="001F62C0">
          <w:pPr>
            <w:spacing w:line="360" w:lineRule="auto"/>
            <w:jc w:val="both"/>
            <w:rPr>
              <w:rFonts w:ascii="Arial" w:hAnsi="Arial" w:cs="Arial"/>
              <w:sz w:val="24"/>
              <w:szCs w:val="24"/>
            </w:rPr>
          </w:pPr>
          <w:proofErr w:type="spellStart"/>
          <w:proofErr w:type="gramStart"/>
          <w:r w:rsidRPr="001F62C0">
            <w:rPr>
              <w:rFonts w:ascii="Arial" w:hAnsi="Arial" w:cs="Arial"/>
              <w:sz w:val="24"/>
              <w:szCs w:val="24"/>
            </w:rPr>
            <w:t>Grönroos</w:t>
          </w:r>
          <w:proofErr w:type="spellEnd"/>
          <w:r w:rsidRPr="001F62C0">
            <w:rPr>
              <w:rFonts w:ascii="Arial" w:hAnsi="Arial" w:cs="Arial"/>
              <w:sz w:val="24"/>
              <w:szCs w:val="24"/>
            </w:rPr>
            <w:t xml:space="preserve">, C. (1984) 'A service quality model and its marketing implications', </w:t>
          </w:r>
          <w:r w:rsidRPr="001F62C0">
            <w:rPr>
              <w:rFonts w:ascii="Arial" w:hAnsi="Arial" w:cs="Arial"/>
              <w:i/>
              <w:iCs/>
              <w:sz w:val="24"/>
              <w:szCs w:val="24"/>
            </w:rPr>
            <w:t>European Journal of Marketing</w:t>
          </w:r>
          <w:r w:rsidRPr="001F62C0">
            <w:rPr>
              <w:rFonts w:ascii="Arial" w:hAnsi="Arial" w:cs="Arial"/>
              <w:sz w:val="24"/>
              <w:szCs w:val="24"/>
            </w:rPr>
            <w:t>, 18(4), pp. 36-44.</w:t>
          </w:r>
          <w:proofErr w:type="gramEnd"/>
          <w:r w:rsidRPr="001F62C0">
            <w:rPr>
              <w:rFonts w:ascii="Arial" w:hAnsi="Arial" w:cs="Arial"/>
              <w:sz w:val="24"/>
              <w:szCs w:val="24"/>
            </w:rPr>
            <w:t xml:space="preserve"> Available at: </w:t>
          </w:r>
          <w:hyperlink r:id="rId6" w:history="1">
            <w:r w:rsidRPr="001F62C0">
              <w:rPr>
                <w:rStyle w:val="Hyperlink"/>
                <w:rFonts w:ascii="Arial" w:hAnsi="Arial" w:cs="Arial"/>
                <w:sz w:val="24"/>
                <w:szCs w:val="24"/>
              </w:rPr>
              <w:t>https://www.researchgate.net/profile/Christian-Groenroos/publication/233522386_A_Service_Quality_Model_and_Its_Marketing_Implications/links/0c96052a58f958eecc000000/A-Service-Quality-Model-and-Its-Marketing-Implications.pdf</w:t>
            </w:r>
          </w:hyperlink>
          <w:r w:rsidRPr="001F62C0">
            <w:rPr>
              <w:rFonts w:ascii="Arial" w:hAnsi="Arial" w:cs="Arial"/>
              <w:sz w:val="24"/>
              <w:szCs w:val="24"/>
            </w:rPr>
            <w:t>(Accessed: 13 November 2025).</w:t>
          </w:r>
        </w:p>
        <w:p w:rsidR="001F62C0" w:rsidRPr="001F62C0" w:rsidRDefault="001F62C0" w:rsidP="001F62C0">
          <w:pPr>
            <w:spacing w:line="360" w:lineRule="auto"/>
            <w:jc w:val="both"/>
            <w:rPr>
              <w:rFonts w:ascii="Arial" w:hAnsi="Arial" w:cs="Arial"/>
              <w:sz w:val="24"/>
              <w:szCs w:val="24"/>
            </w:rPr>
          </w:pPr>
          <w:proofErr w:type="gramStart"/>
          <w:r w:rsidRPr="001F62C0">
            <w:rPr>
              <w:rFonts w:ascii="Arial" w:hAnsi="Arial" w:cs="Arial"/>
              <w:sz w:val="24"/>
              <w:szCs w:val="24"/>
            </w:rPr>
            <w:t xml:space="preserve">Hart, C.W., </w:t>
          </w:r>
          <w:proofErr w:type="spellStart"/>
          <w:r w:rsidRPr="001F62C0">
            <w:rPr>
              <w:rFonts w:ascii="Arial" w:hAnsi="Arial" w:cs="Arial"/>
              <w:sz w:val="24"/>
              <w:szCs w:val="24"/>
            </w:rPr>
            <w:t>Heskett</w:t>
          </w:r>
          <w:proofErr w:type="spellEnd"/>
          <w:r w:rsidRPr="001F62C0">
            <w:rPr>
              <w:rFonts w:ascii="Arial" w:hAnsi="Arial" w:cs="Arial"/>
              <w:sz w:val="24"/>
              <w:szCs w:val="24"/>
            </w:rPr>
            <w:t xml:space="preserve">, J.L. and </w:t>
          </w:r>
          <w:proofErr w:type="spellStart"/>
          <w:r w:rsidRPr="001F62C0">
            <w:rPr>
              <w:rFonts w:ascii="Arial" w:hAnsi="Arial" w:cs="Arial"/>
              <w:sz w:val="24"/>
              <w:szCs w:val="24"/>
            </w:rPr>
            <w:t>Sasser</w:t>
          </w:r>
          <w:proofErr w:type="spellEnd"/>
          <w:r w:rsidRPr="001F62C0">
            <w:rPr>
              <w:rFonts w:ascii="Arial" w:hAnsi="Arial" w:cs="Arial"/>
              <w:sz w:val="24"/>
              <w:szCs w:val="24"/>
            </w:rPr>
            <w:t xml:space="preserve">, W.E. (1990) 'The profitable art of service recovery', </w:t>
          </w:r>
          <w:r w:rsidRPr="001F62C0">
            <w:rPr>
              <w:rFonts w:ascii="Arial" w:hAnsi="Arial" w:cs="Arial"/>
              <w:i/>
              <w:iCs/>
              <w:sz w:val="24"/>
              <w:szCs w:val="24"/>
            </w:rPr>
            <w:t>Harvard Business Review</w:t>
          </w:r>
          <w:r w:rsidRPr="001F62C0">
            <w:rPr>
              <w:rFonts w:ascii="Arial" w:hAnsi="Arial" w:cs="Arial"/>
              <w:sz w:val="24"/>
              <w:szCs w:val="24"/>
            </w:rPr>
            <w:t>, 68(4), pp. 148-156.</w:t>
          </w:r>
          <w:proofErr w:type="gramEnd"/>
          <w:r w:rsidRPr="001F62C0">
            <w:rPr>
              <w:rFonts w:ascii="Arial" w:hAnsi="Arial" w:cs="Arial"/>
              <w:sz w:val="24"/>
              <w:szCs w:val="24"/>
            </w:rPr>
            <w:t xml:space="preserve"> Available at: </w:t>
          </w:r>
          <w:hyperlink r:id="rId7" w:history="1">
            <w:r w:rsidRPr="001F62C0">
              <w:rPr>
                <w:rStyle w:val="Hyperlink"/>
                <w:rFonts w:ascii="Arial" w:hAnsi="Arial" w:cs="Arial"/>
                <w:sz w:val="24"/>
                <w:szCs w:val="24"/>
              </w:rPr>
              <w:t>https://hbr.org/1990/07/the-profitable-art-of-service-recovery</w:t>
            </w:r>
          </w:hyperlink>
          <w:r>
            <w:rPr>
              <w:rFonts w:ascii="Arial" w:hAnsi="Arial" w:cs="Arial"/>
              <w:sz w:val="24"/>
              <w:szCs w:val="24"/>
            </w:rPr>
            <w:t xml:space="preserve"> (Accessed: 9</w:t>
          </w:r>
          <w:r w:rsidRPr="001F62C0">
            <w:rPr>
              <w:rFonts w:ascii="Arial" w:hAnsi="Arial" w:cs="Arial"/>
              <w:sz w:val="24"/>
              <w:szCs w:val="24"/>
            </w:rPr>
            <w:t xml:space="preserve"> November 2025).</w:t>
          </w:r>
        </w:p>
        <w:p w:rsidR="001F62C0" w:rsidRPr="001F62C0" w:rsidRDefault="001F62C0" w:rsidP="001F62C0">
          <w:pPr>
            <w:spacing w:line="360" w:lineRule="auto"/>
            <w:jc w:val="both"/>
            <w:rPr>
              <w:rFonts w:ascii="Arial" w:hAnsi="Arial" w:cs="Arial"/>
              <w:sz w:val="24"/>
              <w:szCs w:val="24"/>
            </w:rPr>
          </w:pPr>
          <w:r w:rsidRPr="001F62C0">
            <w:rPr>
              <w:rFonts w:ascii="Arial" w:hAnsi="Arial" w:cs="Arial"/>
              <w:sz w:val="24"/>
              <w:szCs w:val="24"/>
            </w:rPr>
            <w:t xml:space="preserve">Lovelock, C. and </w:t>
          </w:r>
          <w:proofErr w:type="spellStart"/>
          <w:r w:rsidRPr="001F62C0">
            <w:rPr>
              <w:rFonts w:ascii="Arial" w:hAnsi="Arial" w:cs="Arial"/>
              <w:sz w:val="24"/>
              <w:szCs w:val="24"/>
            </w:rPr>
            <w:t>Wirtz</w:t>
          </w:r>
          <w:proofErr w:type="spellEnd"/>
          <w:r w:rsidRPr="001F62C0">
            <w:rPr>
              <w:rFonts w:ascii="Arial" w:hAnsi="Arial" w:cs="Arial"/>
              <w:sz w:val="24"/>
              <w:szCs w:val="24"/>
            </w:rPr>
            <w:t xml:space="preserve">, J. (2022) </w:t>
          </w:r>
          <w:r w:rsidRPr="001F62C0">
            <w:rPr>
              <w:rFonts w:ascii="Arial" w:hAnsi="Arial" w:cs="Arial"/>
              <w:i/>
              <w:iCs/>
              <w:sz w:val="24"/>
              <w:szCs w:val="24"/>
            </w:rPr>
            <w:t>Services marketing: people, technology, strategy</w:t>
          </w:r>
          <w:r w:rsidRPr="001F62C0">
            <w:rPr>
              <w:rFonts w:ascii="Arial" w:hAnsi="Arial" w:cs="Arial"/>
              <w:sz w:val="24"/>
              <w:szCs w:val="24"/>
            </w:rPr>
            <w:t xml:space="preserve">. </w:t>
          </w:r>
          <w:proofErr w:type="gramStart"/>
          <w:r w:rsidRPr="001F62C0">
            <w:rPr>
              <w:rFonts w:ascii="Arial" w:hAnsi="Arial" w:cs="Arial"/>
              <w:sz w:val="24"/>
              <w:szCs w:val="24"/>
            </w:rPr>
            <w:t xml:space="preserve">8th </w:t>
          </w:r>
          <w:proofErr w:type="spellStart"/>
          <w:r w:rsidRPr="001F62C0">
            <w:rPr>
              <w:rFonts w:ascii="Arial" w:hAnsi="Arial" w:cs="Arial"/>
              <w:sz w:val="24"/>
              <w:szCs w:val="24"/>
            </w:rPr>
            <w:t>edn</w:t>
          </w:r>
          <w:proofErr w:type="spellEnd"/>
          <w:r w:rsidRPr="001F62C0">
            <w:rPr>
              <w:rFonts w:ascii="Arial" w:hAnsi="Arial" w:cs="Arial"/>
              <w:sz w:val="24"/>
              <w:szCs w:val="24"/>
            </w:rPr>
            <w:t>.</w:t>
          </w:r>
          <w:proofErr w:type="gramEnd"/>
          <w:r w:rsidRPr="001F62C0">
            <w:rPr>
              <w:rFonts w:ascii="Arial" w:hAnsi="Arial" w:cs="Arial"/>
              <w:sz w:val="24"/>
              <w:szCs w:val="24"/>
            </w:rPr>
            <w:t xml:space="preserve"> Harlow: Pearson Education. Available at: </w:t>
          </w:r>
          <w:hyperlink r:id="rId8" w:history="1">
            <w:r w:rsidRPr="001F62C0">
              <w:rPr>
                <w:rStyle w:val="Hyperlink"/>
                <w:rFonts w:ascii="Arial" w:hAnsi="Arial" w:cs="Arial"/>
                <w:sz w:val="24"/>
                <w:szCs w:val="24"/>
              </w:rPr>
              <w:t>https://slims.bakrie.ac.id/repository/5140d5fab16f97a16aa955ed13c1680b.pdf</w:t>
            </w:r>
          </w:hyperlink>
          <w:r w:rsidRPr="001F62C0">
            <w:rPr>
              <w:rFonts w:ascii="Arial" w:hAnsi="Arial" w:cs="Arial"/>
              <w:sz w:val="24"/>
              <w:szCs w:val="24"/>
            </w:rPr>
            <w:t>(Accessed: 11 November 2025).</w:t>
          </w:r>
        </w:p>
        <w:p w:rsidR="001F62C0" w:rsidRPr="001F62C0" w:rsidRDefault="001F62C0" w:rsidP="001F62C0">
          <w:pPr>
            <w:spacing w:line="360" w:lineRule="auto"/>
            <w:jc w:val="both"/>
            <w:rPr>
              <w:rFonts w:ascii="Arial" w:hAnsi="Arial" w:cs="Arial"/>
              <w:sz w:val="24"/>
              <w:szCs w:val="24"/>
            </w:rPr>
          </w:pPr>
          <w:proofErr w:type="spellStart"/>
          <w:r w:rsidRPr="001F62C0">
            <w:rPr>
              <w:rFonts w:ascii="Arial" w:hAnsi="Arial" w:cs="Arial"/>
              <w:sz w:val="24"/>
              <w:szCs w:val="24"/>
            </w:rPr>
            <w:t>Zeithaml</w:t>
          </w:r>
          <w:proofErr w:type="spellEnd"/>
          <w:r w:rsidRPr="001F62C0">
            <w:rPr>
              <w:rFonts w:ascii="Arial" w:hAnsi="Arial" w:cs="Arial"/>
              <w:sz w:val="24"/>
              <w:szCs w:val="24"/>
            </w:rPr>
            <w:t xml:space="preserve">, V.A., </w:t>
          </w:r>
          <w:proofErr w:type="spellStart"/>
          <w:r w:rsidRPr="001F62C0">
            <w:rPr>
              <w:rFonts w:ascii="Arial" w:hAnsi="Arial" w:cs="Arial"/>
              <w:sz w:val="24"/>
              <w:szCs w:val="24"/>
            </w:rPr>
            <w:t>Bitner</w:t>
          </w:r>
          <w:proofErr w:type="spellEnd"/>
          <w:r w:rsidRPr="001F62C0">
            <w:rPr>
              <w:rFonts w:ascii="Arial" w:hAnsi="Arial" w:cs="Arial"/>
              <w:sz w:val="24"/>
              <w:szCs w:val="24"/>
            </w:rPr>
            <w:t xml:space="preserve">, M.J. and </w:t>
          </w:r>
          <w:proofErr w:type="spellStart"/>
          <w:r w:rsidRPr="001F62C0">
            <w:rPr>
              <w:rFonts w:ascii="Arial" w:hAnsi="Arial" w:cs="Arial"/>
              <w:sz w:val="24"/>
              <w:szCs w:val="24"/>
            </w:rPr>
            <w:t>Gremler</w:t>
          </w:r>
          <w:proofErr w:type="spellEnd"/>
          <w:r w:rsidRPr="001F62C0">
            <w:rPr>
              <w:rFonts w:ascii="Arial" w:hAnsi="Arial" w:cs="Arial"/>
              <w:sz w:val="24"/>
              <w:szCs w:val="24"/>
            </w:rPr>
            <w:t xml:space="preserve">, D.D. (2018) </w:t>
          </w:r>
          <w:r w:rsidRPr="001F62C0">
            <w:rPr>
              <w:rFonts w:ascii="Arial" w:hAnsi="Arial" w:cs="Arial"/>
              <w:i/>
              <w:iCs/>
              <w:sz w:val="24"/>
              <w:szCs w:val="24"/>
            </w:rPr>
            <w:t>Services marketing: integrating customer focus across the firm</w:t>
          </w:r>
          <w:r w:rsidRPr="001F62C0">
            <w:rPr>
              <w:rFonts w:ascii="Arial" w:hAnsi="Arial" w:cs="Arial"/>
              <w:sz w:val="24"/>
              <w:szCs w:val="24"/>
            </w:rPr>
            <w:t xml:space="preserve">. </w:t>
          </w:r>
          <w:proofErr w:type="gramStart"/>
          <w:r w:rsidRPr="001F62C0">
            <w:rPr>
              <w:rFonts w:ascii="Arial" w:hAnsi="Arial" w:cs="Arial"/>
              <w:sz w:val="24"/>
              <w:szCs w:val="24"/>
            </w:rPr>
            <w:t xml:space="preserve">7th </w:t>
          </w:r>
          <w:proofErr w:type="spellStart"/>
          <w:r w:rsidRPr="001F62C0">
            <w:rPr>
              <w:rFonts w:ascii="Arial" w:hAnsi="Arial" w:cs="Arial"/>
              <w:sz w:val="24"/>
              <w:szCs w:val="24"/>
            </w:rPr>
            <w:t>edn</w:t>
          </w:r>
          <w:proofErr w:type="spellEnd"/>
          <w:r w:rsidRPr="001F62C0">
            <w:rPr>
              <w:rFonts w:ascii="Arial" w:hAnsi="Arial" w:cs="Arial"/>
              <w:sz w:val="24"/>
              <w:szCs w:val="24"/>
            </w:rPr>
            <w:t>.</w:t>
          </w:r>
          <w:proofErr w:type="gramEnd"/>
          <w:r w:rsidRPr="001F62C0">
            <w:rPr>
              <w:rFonts w:ascii="Arial" w:hAnsi="Arial" w:cs="Arial"/>
              <w:sz w:val="24"/>
              <w:szCs w:val="24"/>
            </w:rPr>
            <w:t xml:space="preserve"> London: McGraw-Hill Education. Available at: </w:t>
          </w:r>
          <w:hyperlink r:id="rId9" w:history="1">
            <w:r w:rsidRPr="001F62C0">
              <w:rPr>
                <w:rStyle w:val="Hyperlink"/>
                <w:rFonts w:ascii="Arial" w:hAnsi="Arial" w:cs="Arial"/>
                <w:sz w:val="24"/>
                <w:szCs w:val="24"/>
              </w:rPr>
              <w:t>https://www.google.co.uk/books/edition/Services_Marketing_Integrating_Customer/7_LssgEACAAJ?hl=en</w:t>
            </w:r>
          </w:hyperlink>
          <w:r>
            <w:rPr>
              <w:rFonts w:ascii="Arial" w:hAnsi="Arial" w:cs="Arial"/>
              <w:sz w:val="24"/>
              <w:szCs w:val="24"/>
            </w:rPr>
            <w:t>(Accessed: 9</w:t>
          </w:r>
          <w:r w:rsidRPr="001F62C0">
            <w:rPr>
              <w:rFonts w:ascii="Arial" w:hAnsi="Arial" w:cs="Arial"/>
              <w:sz w:val="24"/>
              <w:szCs w:val="24"/>
            </w:rPr>
            <w:t xml:space="preserve"> November 2025).</w:t>
          </w:r>
        </w:p>
        <w:p w:rsidR="001F62C0" w:rsidRPr="00C813CF" w:rsidRDefault="001F62C0" w:rsidP="001F62C0"/>
        <w:p w:rsidR="00F85DF4" w:rsidRPr="00694D17" w:rsidRDefault="00F85DF4" w:rsidP="00694D17">
          <w:pPr>
            <w:spacing w:line="360" w:lineRule="auto"/>
            <w:jc w:val="both"/>
            <w:rPr>
              <w:rFonts w:ascii="Arial" w:hAnsi="Arial" w:cs="Arial"/>
              <w:sz w:val="24"/>
              <w:szCs w:val="24"/>
            </w:rPr>
          </w:pPr>
        </w:p>
        <w:p w:rsidR="0031026C" w:rsidRDefault="006B55ED"/>
      </w:sdtContent>
    </w:sdt>
    <w:sectPr w:rsidR="0031026C" w:rsidSect="0081211E">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F79C9"/>
    <w:multiLevelType w:val="multilevel"/>
    <w:tmpl w:val="CEB0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39722B"/>
    <w:multiLevelType w:val="multilevel"/>
    <w:tmpl w:val="38AC7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403573F"/>
    <w:multiLevelType w:val="multilevel"/>
    <w:tmpl w:val="A6DCE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EA0197"/>
    <w:rsid w:val="000B3B26"/>
    <w:rsid w:val="000F22E4"/>
    <w:rsid w:val="001F62C0"/>
    <w:rsid w:val="00230333"/>
    <w:rsid w:val="002905C0"/>
    <w:rsid w:val="0031026C"/>
    <w:rsid w:val="005B7CEC"/>
    <w:rsid w:val="00694D17"/>
    <w:rsid w:val="006B55ED"/>
    <w:rsid w:val="007005AA"/>
    <w:rsid w:val="007F3B5D"/>
    <w:rsid w:val="0081211E"/>
    <w:rsid w:val="00A82233"/>
    <w:rsid w:val="00B33A7D"/>
    <w:rsid w:val="00C173CC"/>
    <w:rsid w:val="00C2275C"/>
    <w:rsid w:val="00C96A2F"/>
    <w:rsid w:val="00EA0197"/>
    <w:rsid w:val="00F02EEA"/>
    <w:rsid w:val="00F85DF4"/>
    <w:rsid w:val="00FA46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2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21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11E"/>
    <w:rPr>
      <w:rFonts w:ascii="Tahoma" w:hAnsi="Tahoma" w:cs="Tahoma"/>
      <w:sz w:val="16"/>
      <w:szCs w:val="16"/>
    </w:rPr>
  </w:style>
  <w:style w:type="paragraph" w:styleId="NoSpacing">
    <w:name w:val="No Spacing"/>
    <w:link w:val="NoSpacingChar"/>
    <w:uiPriority w:val="1"/>
    <w:qFormat/>
    <w:rsid w:val="00C96A2F"/>
    <w:pPr>
      <w:spacing w:after="0" w:line="240" w:lineRule="auto"/>
    </w:pPr>
    <w:rPr>
      <w:rFonts w:eastAsiaTheme="minorEastAsia"/>
    </w:rPr>
  </w:style>
  <w:style w:type="character" w:customStyle="1" w:styleId="NoSpacingChar">
    <w:name w:val="No Spacing Char"/>
    <w:basedOn w:val="DefaultParagraphFont"/>
    <w:link w:val="NoSpacing"/>
    <w:uiPriority w:val="1"/>
    <w:rsid w:val="00C96A2F"/>
    <w:rPr>
      <w:rFonts w:eastAsiaTheme="minorEastAsia"/>
    </w:rPr>
  </w:style>
  <w:style w:type="character" w:styleId="Hyperlink">
    <w:name w:val="Hyperlink"/>
    <w:basedOn w:val="DefaultParagraphFont"/>
    <w:uiPriority w:val="99"/>
    <w:unhideWhenUsed/>
    <w:rsid w:val="001F62C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lims.bakrie.ac.id/repository/5140d5fab16f97a16aa955ed13c1680b.pdf" TargetMode="External"/><Relationship Id="rId3" Type="http://schemas.openxmlformats.org/officeDocument/2006/relationships/settings" Target="settings.xml"/><Relationship Id="rId7" Type="http://schemas.openxmlformats.org/officeDocument/2006/relationships/hyperlink" Target="https://hbr.org/1990/07/the-profitable-art-of-service-recov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rofile/Christian-Groenroos/publication/233522386_A_Service_Quality_Model_and_Its_Marketing_Implications/links/0c96052a58f958eecc000000/A-Service-Quality-Model-and-Its-Marketing-Implications.pdf" TargetMode="External"/><Relationship Id="rId11" Type="http://schemas.openxmlformats.org/officeDocument/2006/relationships/theme" Target="theme/theme1.xml"/><Relationship Id="rId5" Type="http://schemas.openxmlformats.org/officeDocument/2006/relationships/hyperlink" Target="https://doi.org/10.4324/978131556337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books/edition/Services_Marketing_Integrating_Customer/7_LssgEACAAJ?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1374</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Student Learning Log</dc:title>
  <dc:subject/>
  <cp:keywords/>
  <dc:description/>
  <cp:revision>15</cp:revision>
  <dcterms:created xsi:type="dcterms:W3CDTF">2025-11-02T18:04:00Z</dcterms:created>
  <dcterms:modified xsi:type="dcterms:W3CDTF">2025-11-14T22:03:00Z</dcterms:modified>
</cp:coreProperties>
</file>