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56DE9" w14:textId="75DE4D1C"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r>
              <w:t>Targed/target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6069A7" w14:paraId="4072E411" w14:textId="3E550A78" w:rsidTr="00AD4EBD">
        <w:tc>
          <w:tcPr>
            <w:tcW w:w="1722" w:type="dxa"/>
          </w:tcPr>
          <w:p w14:paraId="3BDD7132" w14:textId="77777777" w:rsidR="006069A7" w:rsidRDefault="006069A7" w:rsidP="00AE1A4C">
            <w:pPr>
              <w:pStyle w:val="AssignBody"/>
            </w:pPr>
            <w:r>
              <w:t>T</w:t>
            </w:r>
            <w:bookmarkStart w:id="0" w:name="cysill"/>
            <w:bookmarkEnd w:id="0"/>
            <w:r>
              <w:t>arged/Target 1</w:t>
            </w:r>
          </w:p>
        </w:tc>
        <w:tc>
          <w:tcPr>
            <w:tcW w:w="3647" w:type="dxa"/>
          </w:tcPr>
          <w:p w14:paraId="394C5558" w14:textId="48BAACDA" w:rsidR="006069A7" w:rsidRDefault="006069A7" w:rsidP="00C2533C">
            <w:pPr>
              <w:pStyle w:val="AssignBody"/>
            </w:pPr>
            <w:r w:rsidRPr="00C2533C">
              <w:t>Avoid judgemental tones, try to convey opinions in a balanced manner by supporting what you say to make your point. </w:t>
            </w:r>
            <w:r w:rsidRPr="00C2533C">
              <w:rPr>
                <w:lang w:val="en-US"/>
              </w:rPr>
              <w:t> </w:t>
            </w:r>
          </w:p>
        </w:tc>
        <w:tc>
          <w:tcPr>
            <w:tcW w:w="3647" w:type="dxa"/>
            <w:vMerge w:val="restart"/>
          </w:tcPr>
          <w:p w14:paraId="5F7F611A" w14:textId="3D205159" w:rsidR="006069A7" w:rsidRDefault="006069A7" w:rsidP="00AE1A4C">
            <w:pPr>
              <w:pStyle w:val="AssignBody"/>
            </w:pPr>
            <w:r>
              <w:t xml:space="preserve">Made a conscious effort to ensure that points are evaluated critically, highlighting both the strengths and limitations made of a point. Sought out study support for academic writing. </w:t>
            </w:r>
          </w:p>
        </w:tc>
      </w:tr>
      <w:tr w:rsidR="006069A7" w14:paraId="73A65764" w14:textId="34BD1589" w:rsidTr="00AD4EBD">
        <w:tc>
          <w:tcPr>
            <w:tcW w:w="1722" w:type="dxa"/>
          </w:tcPr>
          <w:p w14:paraId="12A42483" w14:textId="77777777" w:rsidR="006069A7" w:rsidRDefault="006069A7" w:rsidP="00AE1A4C">
            <w:pPr>
              <w:pStyle w:val="AssignBody"/>
            </w:pPr>
            <w:r>
              <w:t>Targed/Target 2</w:t>
            </w:r>
          </w:p>
        </w:tc>
        <w:tc>
          <w:tcPr>
            <w:tcW w:w="3647" w:type="dxa"/>
          </w:tcPr>
          <w:p w14:paraId="3E19823E" w14:textId="573204CE" w:rsidR="006069A7" w:rsidRDefault="006069A7" w:rsidP="00AE1A4C">
            <w:pPr>
              <w:pStyle w:val="AssignBody"/>
            </w:pPr>
            <w:r w:rsidRPr="00C2533C">
              <w:t>Continue to critically question views and keep involved in the debates. </w:t>
            </w:r>
            <w:r w:rsidRPr="00C2533C">
              <w:rPr>
                <w:lang w:val="en-US"/>
              </w:rPr>
              <w:t> </w:t>
            </w:r>
          </w:p>
        </w:tc>
        <w:tc>
          <w:tcPr>
            <w:tcW w:w="3647" w:type="dxa"/>
            <w:vMerge/>
          </w:tcPr>
          <w:p w14:paraId="54F0029C" w14:textId="77777777" w:rsidR="006069A7" w:rsidRDefault="006069A7" w:rsidP="00AE1A4C">
            <w:pPr>
              <w:pStyle w:val="AssignBody"/>
            </w:pPr>
          </w:p>
        </w:tc>
      </w:tr>
      <w:tr w:rsidR="00AD4EBD" w14:paraId="0216786F" w14:textId="16A0EC59" w:rsidTr="00AD4EBD">
        <w:tc>
          <w:tcPr>
            <w:tcW w:w="1722" w:type="dxa"/>
          </w:tcPr>
          <w:p w14:paraId="4F73937C" w14:textId="77777777" w:rsidR="00AD4EBD" w:rsidRDefault="00AD4EBD" w:rsidP="00AE1A4C">
            <w:pPr>
              <w:pStyle w:val="AssignBody"/>
            </w:pPr>
            <w:r>
              <w:t>Targed/Target 3</w:t>
            </w:r>
          </w:p>
        </w:tc>
        <w:tc>
          <w:tcPr>
            <w:tcW w:w="3647" w:type="dxa"/>
          </w:tcPr>
          <w:p w14:paraId="1FEDD524" w14:textId="6D2A97CE" w:rsidR="00AD4EBD" w:rsidRDefault="00C2533C" w:rsidP="00AE1A4C">
            <w:pPr>
              <w:pStyle w:val="AssignBody"/>
            </w:pPr>
            <w:r w:rsidRPr="00C2533C">
              <w:rPr>
                <w:lang w:val="en-US"/>
              </w:rPr>
              <w:t xml:space="preserve">Refer to Harvard referencing guide over minor in-text </w:t>
            </w:r>
            <w:r w:rsidR="00DB2C27" w:rsidRPr="00C2533C">
              <w:rPr>
                <w:lang w:val="en-US"/>
              </w:rPr>
              <w:t>inaccuracies</w:t>
            </w:r>
            <w:r w:rsidRPr="00C2533C">
              <w:rPr>
                <w:lang w:val="en-US"/>
              </w:rPr>
              <w:t xml:space="preserve"> </w:t>
            </w:r>
            <w:r w:rsidR="00DB2C27" w:rsidRPr="00C2533C">
              <w:rPr>
                <w:lang w:val="en-US"/>
              </w:rPr>
              <w:t>apparent</w:t>
            </w:r>
            <w:r w:rsidRPr="00C2533C">
              <w:rPr>
                <w:lang w:val="en-US"/>
              </w:rPr>
              <w:t xml:space="preserve"> throughout writing (full stops).</w:t>
            </w:r>
          </w:p>
        </w:tc>
        <w:tc>
          <w:tcPr>
            <w:tcW w:w="3647" w:type="dxa"/>
          </w:tcPr>
          <w:p w14:paraId="3697C55C" w14:textId="4DB91E20" w:rsidR="00AD4EBD" w:rsidRDefault="006069A7" w:rsidP="00AE1A4C">
            <w:pPr>
              <w:pStyle w:val="AssignBody"/>
            </w:pPr>
            <w:r>
              <w:t xml:space="preserve">Sought out study support, more consistent effort made when proofreading, aiming to eliminate errors full stops. </w:t>
            </w:r>
          </w:p>
        </w:tc>
      </w:tr>
    </w:tbl>
    <w:p w14:paraId="179AD3AC" w14:textId="77777777" w:rsidR="00FB0C25" w:rsidRDefault="00FB0C25" w:rsidP="00FB0C25">
      <w:pPr>
        <w:rPr>
          <w:rFonts w:ascii="Arial" w:hAnsi="Arial"/>
        </w:rPr>
      </w:pPr>
    </w:p>
    <w:p w14:paraId="10B3595A" w14:textId="013C7283" w:rsidR="00FB0C25" w:rsidRPr="00FB0C25" w:rsidRDefault="00FB0C25" w:rsidP="00FB0C25">
      <w:pPr>
        <w:rPr>
          <w:rFonts w:ascii="Arial" w:hAnsi="Arial"/>
        </w:rPr>
      </w:pPr>
      <w:r w:rsidRPr="00FB0C25">
        <w:rPr>
          <w:rFonts w:ascii="Arial" w:hAnsi="Arial"/>
        </w:rPr>
        <w:t xml:space="preserve">I acknowledge the use of </w:t>
      </w:r>
      <w:r w:rsidR="00C46AA1">
        <w:rPr>
          <w:rFonts w:ascii="Arial" w:hAnsi="Arial"/>
        </w:rPr>
        <w:t>Chat GPT</w:t>
      </w:r>
      <w:r w:rsidR="00534660">
        <w:rPr>
          <w:rFonts w:ascii="Arial" w:hAnsi="Arial"/>
        </w:rPr>
        <w:t xml:space="preserve"> </w:t>
      </w:r>
      <w:hyperlink r:id="rId9" w:history="1">
        <w:r w:rsidR="00534660" w:rsidRPr="00164C5F">
          <w:rPr>
            <w:rStyle w:val="Hyperlink"/>
            <w:rFonts w:ascii="Arial" w:hAnsi="Arial"/>
          </w:rPr>
          <w:t>https://chat</w:t>
        </w:r>
        <w:r w:rsidR="00534660" w:rsidRPr="00164C5F">
          <w:rPr>
            <w:rStyle w:val="Hyperlink"/>
            <w:rFonts w:ascii="Arial" w:hAnsi="Arial"/>
          </w:rPr>
          <w:t>g</w:t>
        </w:r>
        <w:r w:rsidR="00534660" w:rsidRPr="00164C5F">
          <w:rPr>
            <w:rStyle w:val="Hyperlink"/>
            <w:rFonts w:ascii="Arial" w:hAnsi="Arial"/>
          </w:rPr>
          <w:t>pt.com/</w:t>
        </w:r>
      </w:hyperlink>
      <w:r w:rsidR="00534660">
        <w:rPr>
          <w:rFonts w:ascii="Arial" w:hAnsi="Arial"/>
        </w:rPr>
        <w:t xml:space="preserve"> between 26/02/25- 01/03/25</w:t>
      </w:r>
      <w:r w:rsidRPr="00FB0C25">
        <w:rPr>
          <w:rFonts w:ascii="Arial" w:hAnsi="Arial"/>
        </w:rPr>
        <w:t xml:space="preserve"> to</w:t>
      </w:r>
      <w:r w:rsidR="00534660">
        <w:rPr>
          <w:rFonts w:ascii="Arial" w:hAnsi="Arial"/>
        </w:rPr>
        <w:t xml:space="preserve"> support collation of research, supporting summarising</w:t>
      </w:r>
      <w:r w:rsidRPr="00FB0C25">
        <w:rPr>
          <w:rFonts w:ascii="Arial" w:hAnsi="Arial"/>
        </w:rPr>
        <w:t>. I used the prompt(s): </w:t>
      </w:r>
    </w:p>
    <w:p w14:paraId="46281908" w14:textId="361307C3" w:rsidR="00FB0C25" w:rsidRPr="00FB0C25" w:rsidRDefault="00FB0C25" w:rsidP="00FB0C25">
      <w:pPr>
        <w:rPr>
          <w:rFonts w:ascii="Arial" w:hAnsi="Arial"/>
        </w:rPr>
      </w:pPr>
      <w:r w:rsidRPr="00FB0C25">
        <w:rPr>
          <w:rFonts w:ascii="Arial" w:hAnsi="Arial"/>
        </w:rPr>
        <w:t xml:space="preserve">1. </w:t>
      </w:r>
      <w:r w:rsidR="00534660">
        <w:rPr>
          <w:rFonts w:ascii="Arial" w:hAnsi="Arial"/>
        </w:rPr>
        <w:t>S</w:t>
      </w:r>
      <w:r w:rsidR="00534660" w:rsidRPr="00534660">
        <w:rPr>
          <w:rFonts w:ascii="Arial" w:hAnsi="Arial"/>
        </w:rPr>
        <w:t xml:space="preserve">ummarise key finding from this plan </w:t>
      </w:r>
      <w:hyperlink r:id="rId10" w:history="1">
        <w:r w:rsidR="00534660" w:rsidRPr="00164C5F">
          <w:rPr>
            <w:rStyle w:val="Hyperlink"/>
            <w:rFonts w:ascii="Arial" w:hAnsi="Arial"/>
          </w:rPr>
          <w:t>https://estyn.gov.wales/system/files/2024-04/Estyn%20Strategic%20Equality%20Plan%202024-2028_0.pdf</w:t>
        </w:r>
      </w:hyperlink>
      <w:r w:rsidR="00534660">
        <w:rPr>
          <w:rFonts w:ascii="Arial" w:hAnsi="Arial"/>
        </w:rPr>
        <w:t xml:space="preserve"> </w:t>
      </w:r>
    </w:p>
    <w:p w14:paraId="5C52AA2D" w14:textId="717C1649" w:rsidR="00FB0C25" w:rsidRPr="00FB0C25" w:rsidRDefault="00FB0C25" w:rsidP="00FB0C25">
      <w:pPr>
        <w:rPr>
          <w:rFonts w:ascii="Arial" w:hAnsi="Arial"/>
        </w:rPr>
      </w:pPr>
      <w:r w:rsidRPr="00FB0C25">
        <w:rPr>
          <w:rFonts w:ascii="Arial" w:hAnsi="Arial"/>
        </w:rPr>
        <w:t xml:space="preserve">2. </w:t>
      </w:r>
      <w:r w:rsidR="00534660">
        <w:rPr>
          <w:rFonts w:ascii="Arial" w:hAnsi="Arial"/>
        </w:rPr>
        <w:t xml:space="preserve">Find research from the Welsh Government outlining the SDP process. </w:t>
      </w:r>
    </w:p>
    <w:p w14:paraId="6A57778E" w14:textId="67F9D44C" w:rsidR="00FB0C25" w:rsidRPr="00FB0C25" w:rsidRDefault="00FB0C25" w:rsidP="00FB0C25">
      <w:pPr>
        <w:rPr>
          <w:rFonts w:ascii="Arial" w:hAnsi="Arial"/>
        </w:rPr>
      </w:pPr>
      <w:r w:rsidRPr="00FB0C25">
        <w:rPr>
          <w:rFonts w:ascii="Arial" w:hAnsi="Arial"/>
        </w:rPr>
        <w:t xml:space="preserve">3. </w:t>
      </w:r>
      <w:r w:rsidR="00534660">
        <w:rPr>
          <w:rFonts w:ascii="Arial" w:hAnsi="Arial"/>
        </w:rPr>
        <w:t>F</w:t>
      </w:r>
      <w:r w:rsidR="00534660" w:rsidRPr="00534660">
        <w:rPr>
          <w:rFonts w:ascii="Arial" w:hAnsi="Arial"/>
        </w:rPr>
        <w:t>ind contradicting research for New Framework for School Improvement to Focus on Learner Progression (Welsh Gov, 2022)</w:t>
      </w:r>
    </w:p>
    <w:p w14:paraId="67A1F1B3" w14:textId="76525228" w:rsidR="00FB0C25" w:rsidRPr="00FB0C25" w:rsidRDefault="00FB0C25" w:rsidP="00FB0C25">
      <w:pPr>
        <w:rPr>
          <w:rFonts w:ascii="Arial" w:hAnsi="Arial"/>
        </w:rPr>
      </w:pPr>
      <w:r w:rsidRPr="00FB0C25">
        <w:rPr>
          <w:rFonts w:ascii="Arial" w:hAnsi="Arial"/>
        </w:rPr>
        <w:t>I confirm that I have not presented any AI generated text as my own work. I confirm I have copies of my drafts, notes, and other resources I used before, and after the use of AI tools which I may be asked to provide in evidence. </w:t>
      </w:r>
    </w:p>
    <w:p w14:paraId="55FE3DC5" w14:textId="77777777" w:rsidR="00FB0C25" w:rsidRDefault="00FB0C25">
      <w:pPr>
        <w:rPr>
          <w:rFonts w:ascii="Arial" w:hAnsi="Arial"/>
          <w:b/>
          <w:sz w:val="28"/>
        </w:rPr>
      </w:pPr>
      <w:r>
        <w:br w:type="page"/>
      </w:r>
    </w:p>
    <w:p w14:paraId="7F082687" w14:textId="77777777" w:rsidR="00FB0C25" w:rsidRDefault="00FB0C25" w:rsidP="00691A46">
      <w:pPr>
        <w:pStyle w:val="AssignSubHeader"/>
      </w:pPr>
    </w:p>
    <w:p w14:paraId="0B457A9E" w14:textId="77777777" w:rsidR="00FB0C25" w:rsidRDefault="00FB0C25" w:rsidP="00FB0C25">
      <w:pPr>
        <w:pStyle w:val="AssignBody"/>
        <w:jc w:val="center"/>
      </w:pPr>
    </w:p>
    <w:p w14:paraId="2870751A" w14:textId="00380B48" w:rsidR="00FB0C25" w:rsidRDefault="00FB0C25" w:rsidP="00FB0C25">
      <w:pPr>
        <w:pStyle w:val="AssignSubHeader"/>
        <w:jc w:val="center"/>
        <w:rPr>
          <w:sz w:val="36"/>
          <w:u w:val="single"/>
        </w:rPr>
      </w:pPr>
      <w:r w:rsidRPr="00FB0C25">
        <w:rPr>
          <w:sz w:val="36"/>
          <w:u w:val="single"/>
        </w:rPr>
        <w:t xml:space="preserve">A Critical Evaluation of the Development of </w:t>
      </w:r>
      <w:r>
        <w:rPr>
          <w:sz w:val="36"/>
          <w:u w:val="single"/>
        </w:rPr>
        <w:t>Metacognition</w:t>
      </w:r>
      <w:r w:rsidRPr="00FB0C25">
        <w:rPr>
          <w:sz w:val="36"/>
          <w:u w:val="single"/>
        </w:rPr>
        <w:t xml:space="preserve"> in a School Development Plan: Actions, Impact, and Evidence-Based Reflections</w:t>
      </w:r>
    </w:p>
    <w:p w14:paraId="07163AA1" w14:textId="03C88451" w:rsidR="00FB0C25" w:rsidRDefault="00DE374C" w:rsidP="00EE24CE">
      <w:pPr>
        <w:pStyle w:val="AssignSubHeader"/>
        <w:jc w:val="center"/>
      </w:pPr>
      <w:r>
        <w:t>Word Count:</w:t>
      </w:r>
      <w:r w:rsidR="006069A7">
        <w:t xml:space="preserve"> </w:t>
      </w:r>
      <w:r w:rsidR="00C46AA1">
        <w:t>2509</w:t>
      </w:r>
      <w:r>
        <w:t xml:space="preserve"> </w:t>
      </w:r>
    </w:p>
    <w:p w14:paraId="7DEEC3C5" w14:textId="77777777" w:rsidR="00FB0C25" w:rsidRDefault="00FB0C25">
      <w:pPr>
        <w:rPr>
          <w:rFonts w:ascii="Arial" w:hAnsi="Arial"/>
          <w:b/>
          <w:sz w:val="28"/>
        </w:rPr>
      </w:pPr>
      <w:r>
        <w:br w:type="page"/>
      </w:r>
    </w:p>
    <w:p w14:paraId="45719CD4" w14:textId="246AA267" w:rsidR="00DE374C" w:rsidRDefault="00EE24CE" w:rsidP="0091299F">
      <w:pPr>
        <w:pStyle w:val="AssignSubHeader"/>
        <w:jc w:val="both"/>
      </w:pPr>
      <w:r>
        <w:lastRenderedPageBreak/>
        <w:t>Introduction</w:t>
      </w:r>
      <w:r w:rsidR="00DE374C">
        <w:t xml:space="preserve">- </w:t>
      </w:r>
    </w:p>
    <w:p w14:paraId="3F0A193B" w14:textId="767EEA3A" w:rsidR="00E55D66" w:rsidRDefault="00FE55E8" w:rsidP="0091299F">
      <w:pPr>
        <w:pStyle w:val="AssignBody"/>
        <w:jc w:val="both"/>
      </w:pPr>
      <w:r w:rsidRPr="00FE55E8">
        <w:t xml:space="preserve">Munna and Kalam, </w:t>
      </w:r>
      <w:r>
        <w:t>(</w:t>
      </w:r>
      <w:r w:rsidRPr="00FE55E8">
        <w:t>2021)</w:t>
      </w:r>
      <w:r w:rsidR="003418BA">
        <w:t xml:space="preserve"> outline how </w:t>
      </w:r>
      <w:r w:rsidR="00BD500D">
        <w:t>a</w:t>
      </w:r>
      <w:r w:rsidR="003418BA">
        <w:t xml:space="preserve"> School Development Plan (SDP) acts as a continuous learning tool for schools. The SDP aims to elevate academic outcomes and enhance teaching pedagogy</w:t>
      </w:r>
      <w:r w:rsidR="001E2B71">
        <w:t>.</w:t>
      </w:r>
      <w:r w:rsidR="003418BA">
        <w:t xml:space="preserve"> </w:t>
      </w:r>
      <w:r w:rsidR="006D3ED9">
        <w:t>It focuses</w:t>
      </w:r>
      <w:r w:rsidR="00BD500D">
        <w:t xml:space="preserve"> on </w:t>
      </w:r>
      <w:r w:rsidR="001E2B71">
        <w:t xml:space="preserve">developing </w:t>
      </w:r>
      <w:r w:rsidR="00BD500D">
        <w:t xml:space="preserve">action points </w:t>
      </w:r>
      <w:r w:rsidR="001E2B71">
        <w:t xml:space="preserve">that stakeholders can </w:t>
      </w:r>
      <w:r w:rsidR="00290A2A">
        <w:t>target over a particular timeframe</w:t>
      </w:r>
      <w:r w:rsidR="00552AA7">
        <w:t xml:space="preserve"> (</w:t>
      </w:r>
      <w:r w:rsidR="00993A51">
        <w:t>Estyn, 2019</w:t>
      </w:r>
      <w:r w:rsidR="00552AA7">
        <w:t>)</w:t>
      </w:r>
      <w:r w:rsidR="00290A2A">
        <w:t xml:space="preserve">.  </w:t>
      </w:r>
      <w:r w:rsidR="00B878B5">
        <w:t xml:space="preserve">To align with guidance outlined in </w:t>
      </w:r>
      <w:r w:rsidR="00B878B5" w:rsidRPr="006D3ED9">
        <w:t>B</w:t>
      </w:r>
      <w:r w:rsidR="001D29ED" w:rsidRPr="006D3ED9">
        <w:t>ERA</w:t>
      </w:r>
      <w:r w:rsidR="00B878B5">
        <w:t xml:space="preserve">, </w:t>
      </w:r>
      <w:r w:rsidR="001D29ED">
        <w:t>(</w:t>
      </w:r>
      <w:r w:rsidR="00B878B5">
        <w:t>2024</w:t>
      </w:r>
      <w:r w:rsidR="001D29ED">
        <w:t>)</w:t>
      </w:r>
      <w:r w:rsidR="00B878B5">
        <w:t xml:space="preserve"> and to protect anonymity</w:t>
      </w:r>
      <w:r w:rsidR="00BD500D">
        <w:t>,</w:t>
      </w:r>
      <w:r w:rsidR="00B878B5">
        <w:t xml:space="preserve"> the school discussed will be referred to as School X (B</w:t>
      </w:r>
      <w:r w:rsidR="001D29ED">
        <w:t>ERA</w:t>
      </w:r>
      <w:r w:rsidR="00B878B5">
        <w:t>, 2024)</w:t>
      </w:r>
      <w:r>
        <w:t>.</w:t>
      </w:r>
      <w:r w:rsidR="00246861">
        <w:t xml:space="preserve"> </w:t>
      </w:r>
      <w:r w:rsidR="00E55D66">
        <w:t>This assignment aims to evaluate one action point from School X’s SDP: “Further refine pupils independence and provide suitable challenges to all pupils, including the exploration of executive functioning and life skills”.</w:t>
      </w:r>
      <w:r w:rsidR="00BD500D">
        <w:t xml:space="preserve"> </w:t>
      </w:r>
      <w:r w:rsidR="000D2002">
        <w:t>Awagu (2021) emphasises how for critical evaluation to be most efficient</w:t>
      </w:r>
      <w:r w:rsidR="00672228">
        <w:t>,</w:t>
      </w:r>
      <w:r w:rsidR="000D2002">
        <w:t xml:space="preserve"> narrowing of the above concept is needed. </w:t>
      </w:r>
      <w:r w:rsidR="00672228">
        <w:t>Therefore, this assignment</w:t>
      </w:r>
      <w:r w:rsidR="00E55D66">
        <w:t xml:space="preserve"> will focus on </w:t>
      </w:r>
      <w:r w:rsidR="00672228">
        <w:t xml:space="preserve">the </w:t>
      </w:r>
      <w:r w:rsidR="00E55D66">
        <w:t>development of independence through metacognition</w:t>
      </w:r>
      <w:r w:rsidR="006A10D6">
        <w:t>,</w:t>
      </w:r>
      <w:r w:rsidR="00E55D66">
        <w:t xml:space="preserve"> addressing the actions and impact it has within a classroom. Studies emphas</w:t>
      </w:r>
      <w:r w:rsidR="006A10D6">
        <w:t>ise</w:t>
      </w:r>
      <w:r w:rsidR="00E55D66">
        <w:t xml:space="preserve"> how a metacognitive model, where students are aware of and are regulating their thinking, enhances independence in students </w:t>
      </w:r>
      <w:r w:rsidR="00E55D66" w:rsidRPr="00342BCA">
        <w:t>(Ajayi, 2024)</w:t>
      </w:r>
      <w:r>
        <w:t>.</w:t>
      </w:r>
      <w:r w:rsidR="00E55D66">
        <w:t xml:space="preserve"> </w:t>
      </w:r>
    </w:p>
    <w:p w14:paraId="356790A7" w14:textId="77777777" w:rsidR="00134DDB" w:rsidRDefault="00134DDB" w:rsidP="0091299F">
      <w:pPr>
        <w:pStyle w:val="AssignBody"/>
        <w:jc w:val="both"/>
      </w:pPr>
    </w:p>
    <w:p w14:paraId="57BB2D06" w14:textId="71DB7215" w:rsidR="00246861" w:rsidRDefault="00246861" w:rsidP="0091299F">
      <w:pPr>
        <w:pStyle w:val="AssignBody"/>
        <w:jc w:val="both"/>
      </w:pPr>
      <w:r>
        <w:t>School X serves 444 children</w:t>
      </w:r>
      <w:r w:rsidR="006A10D6">
        <w:t>,</w:t>
      </w:r>
      <w:r>
        <w:t xml:space="preserve"> age</w:t>
      </w:r>
      <w:r w:rsidR="006A10D6">
        <w:t>d</w:t>
      </w:r>
      <w:r>
        <w:t xml:space="preserve"> 3-11, it is situated in an area of low socioecomic status. Statistics highlight how 34% of students are eligible for free school meals and 33.1% identified as Black, Asian and </w:t>
      </w:r>
      <w:r w:rsidR="006A10D6">
        <w:t>M</w:t>
      </w:r>
      <w:r>
        <w:t xml:space="preserve">inority </w:t>
      </w:r>
      <w:r w:rsidR="006A10D6">
        <w:t>E</w:t>
      </w:r>
      <w:r>
        <w:t>thnic</w:t>
      </w:r>
      <w:r w:rsidR="006A10D6">
        <w:t xml:space="preserve"> (BAME)</w:t>
      </w:r>
      <w:r w:rsidR="00CC6AF6" w:rsidRPr="00CC6AF6">
        <w:t xml:space="preserve"> </w:t>
      </w:r>
      <w:r w:rsidR="00CC6AF6">
        <w:t>(MyLocalSchool, 2022)</w:t>
      </w:r>
      <w:r>
        <w:t xml:space="preserve">. These demographics </w:t>
      </w:r>
      <w:r w:rsidR="008F7899">
        <w:t>suggest</w:t>
      </w:r>
      <w:r>
        <w:t xml:space="preserve"> School X </w:t>
      </w:r>
      <w:r w:rsidR="008F7899">
        <w:t>face</w:t>
      </w:r>
      <w:r w:rsidR="006A10D6">
        <w:t>s</w:t>
      </w:r>
      <w:r w:rsidR="008F7899">
        <w:t xml:space="preserve"> challenges in ensuring that </w:t>
      </w:r>
      <w:r>
        <w:t xml:space="preserve">socioecomic barriers and cultural </w:t>
      </w:r>
      <w:r w:rsidR="008F7899">
        <w:t xml:space="preserve">differences are considered </w:t>
      </w:r>
      <w:r w:rsidR="006D3ED9">
        <w:t>sensitively</w:t>
      </w:r>
      <w:r>
        <w:t xml:space="preserve"> to promote inclusivity</w:t>
      </w:r>
      <w:r w:rsidR="00C46A5F">
        <w:t xml:space="preserve"> (</w:t>
      </w:r>
      <w:r w:rsidR="00993A51">
        <w:t>Estyn, 2024a</w:t>
      </w:r>
      <w:r w:rsidR="00C46A5F">
        <w:t>)</w:t>
      </w:r>
      <w:r w:rsidR="008809E6">
        <w:t xml:space="preserve">. </w:t>
      </w:r>
      <w:r>
        <w:t xml:space="preserve">  </w:t>
      </w:r>
    </w:p>
    <w:p w14:paraId="20756644" w14:textId="21BA1E47" w:rsidR="00EB02EC" w:rsidRPr="00134DDB" w:rsidRDefault="00EB02EC" w:rsidP="0091299F">
      <w:pPr>
        <w:pStyle w:val="AssignBody"/>
        <w:jc w:val="both"/>
      </w:pPr>
    </w:p>
    <w:p w14:paraId="48EA0927" w14:textId="3F3951B7" w:rsidR="00EE24CE" w:rsidRDefault="00EE24CE" w:rsidP="0091299F">
      <w:pPr>
        <w:pStyle w:val="AssignBody"/>
        <w:jc w:val="both"/>
        <w:rPr>
          <w:b/>
          <w:bCs/>
          <w:sz w:val="28"/>
          <w:szCs w:val="28"/>
        </w:rPr>
      </w:pPr>
      <w:r>
        <w:rPr>
          <w:b/>
          <w:bCs/>
          <w:sz w:val="28"/>
          <w:szCs w:val="28"/>
        </w:rPr>
        <w:t>Literature Review</w:t>
      </w:r>
      <w:r w:rsidR="00B93317">
        <w:rPr>
          <w:b/>
          <w:bCs/>
          <w:sz w:val="28"/>
          <w:szCs w:val="28"/>
        </w:rPr>
        <w:t xml:space="preserve">- </w:t>
      </w:r>
    </w:p>
    <w:p w14:paraId="4872BFC1" w14:textId="228C7D64" w:rsidR="008A4156" w:rsidRDefault="001E3790" w:rsidP="0091299F">
      <w:pPr>
        <w:pStyle w:val="AssignBody"/>
        <w:jc w:val="both"/>
      </w:pPr>
      <w:r>
        <w:t>Historically</w:t>
      </w:r>
      <w:r w:rsidR="003A75D4">
        <w:t>,</w:t>
      </w:r>
      <w:r>
        <w:t xml:space="preserve"> the acronym SDP has referred to a rigid</w:t>
      </w:r>
      <w:r w:rsidR="003A75D4">
        <w:t>,</w:t>
      </w:r>
      <w:r>
        <w:t xml:space="preserve"> often hierarchical </w:t>
      </w:r>
      <w:r w:rsidR="00DB7CE2">
        <w:t>process</w:t>
      </w:r>
      <w:r>
        <w:t xml:space="preserve"> that has outlined short-term action points</w:t>
      </w:r>
      <w:r w:rsidR="00FB090F">
        <w:t xml:space="preserve"> (Kwok, 2021). </w:t>
      </w:r>
      <w:r w:rsidR="003D4C8D">
        <w:t xml:space="preserve">Within this system, if </w:t>
      </w:r>
      <w:r w:rsidR="006D3ED9" w:rsidRPr="0058717B">
        <w:rPr>
          <w:color w:val="000000" w:themeColor="text1"/>
        </w:rPr>
        <w:t>targets</w:t>
      </w:r>
      <w:r w:rsidR="003D4C8D" w:rsidRPr="0058717B">
        <w:rPr>
          <w:color w:val="000000" w:themeColor="text1"/>
        </w:rPr>
        <w:t xml:space="preserve"> </w:t>
      </w:r>
      <w:r w:rsidR="006D3ED9" w:rsidRPr="0058717B">
        <w:rPr>
          <w:color w:val="000000" w:themeColor="text1"/>
        </w:rPr>
        <w:t xml:space="preserve">were </w:t>
      </w:r>
      <w:r w:rsidR="006D3ED9">
        <w:t>not</w:t>
      </w:r>
      <w:r>
        <w:t xml:space="preserve"> met individuals </w:t>
      </w:r>
      <w:r w:rsidRPr="00993A51">
        <w:t>faced repercussions</w:t>
      </w:r>
      <w:r w:rsidR="003D4C8D" w:rsidRPr="00993A51">
        <w:t xml:space="preserve"> (</w:t>
      </w:r>
      <w:r w:rsidR="00993A51" w:rsidRPr="00993A51">
        <w:t>Cox, 2015</w:t>
      </w:r>
      <w:r w:rsidR="003D4C8D" w:rsidRPr="00993A51">
        <w:t>)</w:t>
      </w:r>
      <w:r w:rsidRPr="00993A51">
        <w:t>.</w:t>
      </w:r>
      <w:r w:rsidR="00DB7CE2" w:rsidRPr="00993A51">
        <w:t xml:space="preserve"> </w:t>
      </w:r>
      <w:r w:rsidR="00292FF3" w:rsidRPr="00993A51">
        <w:t>Wolk (2017)</w:t>
      </w:r>
      <w:r w:rsidR="00DB7CE2" w:rsidRPr="00993A51">
        <w:t xml:space="preserve"> acknowledged that ignoring the practical and meaningful application of the SDP</w:t>
      </w:r>
      <w:r w:rsidR="00DB7CE2">
        <w:t xml:space="preserve"> </w:t>
      </w:r>
      <w:r w:rsidR="00F006A9">
        <w:t xml:space="preserve">makes the process itself limited in demonstrating any true developments of the school. </w:t>
      </w:r>
      <w:r>
        <w:t xml:space="preserve"> </w:t>
      </w:r>
      <w:r w:rsidR="00DB7CE2">
        <w:t xml:space="preserve">By contrast, </w:t>
      </w:r>
      <w:r>
        <w:t xml:space="preserve">the modern reform of the SDP demonstrates </w:t>
      </w:r>
      <w:r w:rsidR="00DB7CE2">
        <w:t>a more holistic approach to whole school self-evaluation</w:t>
      </w:r>
      <w:r w:rsidR="008A4156">
        <w:t xml:space="preserve"> </w:t>
      </w:r>
      <w:r w:rsidR="00292FF3">
        <w:t>(</w:t>
      </w:r>
      <w:r w:rsidR="00292FF3" w:rsidRPr="00292FF3">
        <w:rPr>
          <w:rFonts w:cs="Arial"/>
        </w:rPr>
        <w:t>Welsh Government</w:t>
      </w:r>
      <w:r w:rsidR="00292FF3">
        <w:rPr>
          <w:rFonts w:cs="Arial"/>
        </w:rPr>
        <w:t xml:space="preserve">, </w:t>
      </w:r>
      <w:r w:rsidR="00292FF3" w:rsidRPr="00292FF3">
        <w:rPr>
          <w:rFonts w:cs="Arial"/>
        </w:rPr>
        <w:t>2022</w:t>
      </w:r>
      <w:r w:rsidR="00C46A5F">
        <w:rPr>
          <w:rFonts w:cs="Arial"/>
        </w:rPr>
        <w:t>b</w:t>
      </w:r>
      <w:r w:rsidR="00292FF3" w:rsidRPr="00292FF3">
        <w:rPr>
          <w:rFonts w:cs="Arial"/>
        </w:rPr>
        <w:t>)</w:t>
      </w:r>
      <w:r w:rsidR="00DB7CE2">
        <w:t xml:space="preserve">. The engagement </w:t>
      </w:r>
      <w:r w:rsidR="00F006A9">
        <w:t>and participation of stakeholders such as students, parents</w:t>
      </w:r>
      <w:r w:rsidR="0096320B">
        <w:t>,</w:t>
      </w:r>
      <w:r w:rsidR="00F006A9">
        <w:t xml:space="preserve"> as well as teachers emphasises the drive behind</w:t>
      </w:r>
      <w:r w:rsidR="0096320B">
        <w:t xml:space="preserve"> this</w:t>
      </w:r>
      <w:r w:rsidR="00F006A9">
        <w:t xml:space="preserve"> meaningful development.</w:t>
      </w:r>
      <w:r w:rsidR="001053EA">
        <w:t xml:space="preserve"> This is supported by Brighthouse and Woods (1999) where they discuss the impact of stakeholders acting as a ‘critical friend’ to offer a skilled opinion from outside the direct school environment. </w:t>
      </w:r>
      <w:r w:rsidR="00F3421B">
        <w:t xml:space="preserve">However, </w:t>
      </w:r>
      <w:r w:rsidR="001053EA">
        <w:t>they advise caution on how much reliance is placed on all stakeholder</w:t>
      </w:r>
      <w:r w:rsidR="0096320B">
        <w:t>s</w:t>
      </w:r>
      <w:r w:rsidR="001053EA">
        <w:t xml:space="preserve"> </w:t>
      </w:r>
      <w:r w:rsidR="006D3ED9">
        <w:t>contributing</w:t>
      </w:r>
      <w:r w:rsidR="001053EA">
        <w:t xml:space="preserve"> and </w:t>
      </w:r>
      <w:r w:rsidR="00DA3634">
        <w:t xml:space="preserve">highlight </w:t>
      </w:r>
      <w:r w:rsidR="00C46A5F">
        <w:t>that stakeholders</w:t>
      </w:r>
      <w:r w:rsidR="001053EA">
        <w:t xml:space="preserve"> </w:t>
      </w:r>
      <w:r w:rsidR="00DA3634">
        <w:t xml:space="preserve">may </w:t>
      </w:r>
      <w:r w:rsidR="001053EA">
        <w:t xml:space="preserve">hold their own personal vision for the </w:t>
      </w:r>
      <w:r w:rsidR="00C46A5F">
        <w:t>school. Welsh</w:t>
      </w:r>
      <w:r w:rsidR="008809E6">
        <w:t xml:space="preserve"> Government</w:t>
      </w:r>
      <w:r w:rsidR="00113C1A">
        <w:t>’</w:t>
      </w:r>
      <w:r w:rsidR="008809E6">
        <w:t xml:space="preserve">s ‘School Improvement Guidance’ (2024) illustrates that involvement from all </w:t>
      </w:r>
      <w:r w:rsidR="008809E6">
        <w:lastRenderedPageBreak/>
        <w:t>stakeholders ensures accountability where everyone is aware of expectations and their rol</w:t>
      </w:r>
      <w:r w:rsidR="00C46A5F">
        <w:t>e</w:t>
      </w:r>
      <w:r w:rsidR="008809E6">
        <w:t xml:space="preserve">. </w:t>
      </w:r>
      <w:r w:rsidR="00512038">
        <w:t xml:space="preserve">Ensuring that appropriate levels of contribution are achieved. </w:t>
      </w:r>
    </w:p>
    <w:p w14:paraId="69D62660" w14:textId="77777777" w:rsidR="00F67C7A" w:rsidRDefault="00F67C7A" w:rsidP="0091299F">
      <w:pPr>
        <w:pStyle w:val="AssignBody"/>
        <w:jc w:val="both"/>
      </w:pPr>
    </w:p>
    <w:p w14:paraId="7118EA74" w14:textId="745A2ACA" w:rsidR="00F67C7A" w:rsidRDefault="00F67C7A" w:rsidP="0091299F">
      <w:pPr>
        <w:pStyle w:val="AssignBody"/>
        <w:jc w:val="both"/>
      </w:pPr>
      <w:r>
        <w:t>The key point for an SDP is that action points need to be created</w:t>
      </w:r>
      <w:r w:rsidR="00822974">
        <w:t xml:space="preserve">, prioritised and measured.  This is discussed by </w:t>
      </w:r>
      <w:r w:rsidR="003D632D">
        <w:t xml:space="preserve">Volkov, (2024) </w:t>
      </w:r>
      <w:r w:rsidR="00822974">
        <w:t>who says that</w:t>
      </w:r>
      <w:r w:rsidR="003D632D">
        <w:t xml:space="preserve"> to ensure realistic and meaningful whole school development stakeholders must </w:t>
      </w:r>
      <w:r w:rsidR="00552AA7">
        <w:t xml:space="preserve">take care when creating their action points. The content of the action points should align with not only the school vision but local and national priorities (Admiraal et al, 2021). </w:t>
      </w:r>
      <w:r w:rsidR="003D632D">
        <w:t xml:space="preserve">Swann (2022) </w:t>
      </w:r>
      <w:r w:rsidR="007B7007">
        <w:t>outlines the use of SMART target</w:t>
      </w:r>
      <w:r w:rsidR="00552AA7">
        <w:t xml:space="preserve">s where action point are evaluated by stakeholders, Swann (2022) research outlines how to see meaningful development targets must be specific and measurability to evidence progress. </w:t>
      </w:r>
    </w:p>
    <w:p w14:paraId="478840E5" w14:textId="77777777" w:rsidR="001053EA" w:rsidRDefault="001053EA" w:rsidP="0091299F">
      <w:pPr>
        <w:pStyle w:val="AssignBody"/>
        <w:jc w:val="both"/>
      </w:pPr>
    </w:p>
    <w:p w14:paraId="7F4ABCFE" w14:textId="26097A2C" w:rsidR="003811E8" w:rsidRDefault="00D614AE" w:rsidP="0091299F">
      <w:pPr>
        <w:pStyle w:val="AssignBody"/>
        <w:jc w:val="both"/>
      </w:pPr>
      <w:r>
        <w:t xml:space="preserve">In addition, </w:t>
      </w:r>
      <w:r w:rsidR="003811E8">
        <w:t xml:space="preserve">it is important to highlight the leadership role in the process of the SDP. </w:t>
      </w:r>
      <w:r w:rsidR="00C46A5F" w:rsidRPr="00120FED">
        <w:t xml:space="preserve">Kemethofer, Helm and Warwas, </w:t>
      </w:r>
      <w:r w:rsidR="00C46A5F">
        <w:t>(</w:t>
      </w:r>
      <w:r w:rsidR="00C46A5F" w:rsidRPr="00120FED">
        <w:t>2022</w:t>
      </w:r>
      <w:r w:rsidR="00C46A5F">
        <w:t xml:space="preserve">) </w:t>
      </w:r>
      <w:r w:rsidR="003811E8">
        <w:t>outline</w:t>
      </w:r>
      <w:r w:rsidR="00C46A5F">
        <w:t>d</w:t>
      </w:r>
      <w:r w:rsidR="003811E8">
        <w:t xml:space="preserve"> how leaders of this process needed to be knowledgeable and supported at national level to ensure action points align with the priorities nationally</w:t>
      </w:r>
      <w:r w:rsidR="00AE5529">
        <w:t xml:space="preserve"> (</w:t>
      </w:r>
      <w:r w:rsidR="00993A51">
        <w:t>Estyn, 2024b</w:t>
      </w:r>
      <w:r w:rsidR="00AE5529">
        <w:t>)</w:t>
      </w:r>
      <w:r w:rsidR="003811E8">
        <w:t xml:space="preserve">. School X’s leadership team have ensured alignment with Welsh Government objectives, X’s action point focuses on </w:t>
      </w:r>
      <w:r w:rsidR="00AE5529">
        <w:t>‘closing the gap’. This demonstrates X’s attitudes to ensuring the SDP promotes learning for life, all stakeholders throughout the system are continuously learning (</w:t>
      </w:r>
      <w:r w:rsidR="00C46A5F">
        <w:t>Tout et al, 2021</w:t>
      </w:r>
      <w:r w:rsidR="00AE5529">
        <w:t xml:space="preserve">). SDP action plans should also align with Curriculum for Wales </w:t>
      </w:r>
      <w:r w:rsidR="00BA0EED">
        <w:t>(</w:t>
      </w:r>
      <w:r w:rsidR="00AE5529">
        <w:t>2022</w:t>
      </w:r>
      <w:r w:rsidR="00BA0EED">
        <w:t>)</w:t>
      </w:r>
      <w:r w:rsidR="00AE5529">
        <w:t xml:space="preserve"> guidance promoting students to work towards the four purposes (</w:t>
      </w:r>
      <w:r w:rsidR="00C46A5F">
        <w:t>Welsh Government, 2022b</w:t>
      </w:r>
      <w:r w:rsidR="00AE5529">
        <w:t>). Efficient leadership when developing SDPs is crucial to ensur</w:t>
      </w:r>
      <w:r w:rsidR="00BA0EED">
        <w:t>ing</w:t>
      </w:r>
      <w:r w:rsidR="00AE5529">
        <w:t xml:space="preserve"> plans are reinforced and useful for both internal visions as well as external accountability measures such as national policies (</w:t>
      </w:r>
      <w:r w:rsidR="00C46A5F">
        <w:t>Goldstone, 2022</w:t>
      </w:r>
      <w:r w:rsidR="00AE5529">
        <w:t>).</w:t>
      </w:r>
      <w:r w:rsidR="00756FAF">
        <w:t xml:space="preserve"> </w:t>
      </w:r>
      <w:r w:rsidR="00AE5529">
        <w:t xml:space="preserve"> </w:t>
      </w:r>
    </w:p>
    <w:p w14:paraId="7BF61FE5" w14:textId="779D4CE2" w:rsidR="003D26D8" w:rsidRDefault="003D26D8" w:rsidP="0091299F">
      <w:pPr>
        <w:pStyle w:val="AssignBody"/>
        <w:jc w:val="both"/>
      </w:pPr>
    </w:p>
    <w:p w14:paraId="2D50E2F9" w14:textId="28A8A271" w:rsidR="003D26D8" w:rsidRDefault="00BA414F" w:rsidP="0091299F">
      <w:pPr>
        <w:pStyle w:val="AssignBody"/>
        <w:jc w:val="both"/>
      </w:pPr>
      <w:r>
        <w:t xml:space="preserve">The </w:t>
      </w:r>
      <w:r w:rsidR="00FD07B9">
        <w:t xml:space="preserve">strategic priority under consideration is </w:t>
      </w:r>
      <w:r w:rsidR="003D26D8">
        <w:t>the implementation of metacognitive strategies into the classroom</w:t>
      </w:r>
      <w:r w:rsidR="00FD07B9">
        <w:t>.</w:t>
      </w:r>
      <w:r w:rsidR="003D26D8">
        <w:t xml:space="preserve"> </w:t>
      </w:r>
      <w:r w:rsidR="00C46A5F">
        <w:t xml:space="preserve">Tang, (2021) </w:t>
      </w:r>
      <w:r w:rsidR="003D26D8">
        <w:t>highlights that metacognition as a concept is broad and comprises of several different key skills. This suggests that to effectively enhance students’ metacognitive skills teachers should first have a comprehensive understanding of the terms and skills involved (</w:t>
      </w:r>
      <w:r w:rsidR="00C46A5F" w:rsidRPr="00EC4A31">
        <w:t>Greenier, Fathi and Seyyed-Foad Behzadpoor, 2023</w:t>
      </w:r>
      <w:r w:rsidR="003D26D8">
        <w:t>). School X in the SDP have acknowledged this demand for in-depth understanding and target teacher understanding by proposing formal teaching on the concept (</w:t>
      </w:r>
      <w:r w:rsidR="00C46A5F" w:rsidRPr="00EC4A31">
        <w:t>Muteti et al., 2021</w:t>
      </w:r>
      <w:r w:rsidR="003D26D8">
        <w:t>). School X also outline</w:t>
      </w:r>
      <w:r w:rsidR="00863FA7">
        <w:t>s</w:t>
      </w:r>
      <w:r w:rsidR="003D26D8">
        <w:t xml:space="preserve"> how staff will partake in peer learning through learning walks</w:t>
      </w:r>
      <w:r w:rsidR="00753F07">
        <w:t>,</w:t>
      </w:r>
      <w:r w:rsidR="003D26D8">
        <w:t xml:space="preserve"> aiming to gather inspiration from each other</w:t>
      </w:r>
      <w:r w:rsidR="00753F07">
        <w:t xml:space="preserve"> </w:t>
      </w:r>
      <w:r w:rsidR="007D3F09" w:rsidRPr="007D3F09">
        <w:t>(Keerthirathne, 2020)</w:t>
      </w:r>
      <w:r w:rsidR="007D3F09" w:rsidRPr="007D3F09">
        <w:t>.</w:t>
      </w:r>
      <w:r w:rsidR="007D3F09">
        <w:t xml:space="preserve"> </w:t>
      </w:r>
      <w:r w:rsidR="00C46A5F">
        <w:t xml:space="preserve">Wick, </w:t>
      </w:r>
      <w:r w:rsidR="00EF6EA7">
        <w:t>(</w:t>
      </w:r>
      <w:r w:rsidR="00C46A5F">
        <w:t>2021</w:t>
      </w:r>
      <w:r w:rsidR="00EF6EA7">
        <w:t>)</w:t>
      </w:r>
      <w:r w:rsidR="003D26D8">
        <w:t xml:space="preserve"> highlights that whilst this is likely to boost understand</w:t>
      </w:r>
      <w:r w:rsidR="00753F07">
        <w:t>ing</w:t>
      </w:r>
      <w:r w:rsidR="003D26D8">
        <w:t xml:space="preserve"> and present staff with ideas, cauti</w:t>
      </w:r>
      <w:r w:rsidR="00753F07">
        <w:t>on</w:t>
      </w:r>
      <w:r w:rsidR="003D26D8">
        <w:t xml:space="preserve"> should be exhibited due to subjectivity.</w:t>
      </w:r>
      <w:r w:rsidR="00552AA7">
        <w:t xml:space="preserve"> </w:t>
      </w:r>
      <w:r w:rsidR="007D3F09" w:rsidRPr="007D3F09">
        <w:t xml:space="preserve">Topping et al., </w:t>
      </w:r>
      <w:r w:rsidR="007D3F09">
        <w:t>(</w:t>
      </w:r>
      <w:r w:rsidR="007D3F09" w:rsidRPr="007D3F09">
        <w:t>2017)</w:t>
      </w:r>
      <w:r w:rsidR="00552AA7">
        <w:t xml:space="preserve"> outlines how peer learning is as effective as the standards being observed, along with the experience of the stakeholder (teacher) implementing these strategies. </w:t>
      </w:r>
    </w:p>
    <w:p w14:paraId="49EC280A" w14:textId="2ED8E31C" w:rsidR="003D26D8" w:rsidRDefault="003D26D8" w:rsidP="0091299F">
      <w:pPr>
        <w:pStyle w:val="AssignBody"/>
        <w:jc w:val="both"/>
      </w:pPr>
      <w:r>
        <w:lastRenderedPageBreak/>
        <w:t xml:space="preserve">Another significant challenge </w:t>
      </w:r>
      <w:r w:rsidR="00ED0752">
        <w:t>to</w:t>
      </w:r>
      <w:r>
        <w:t xml:space="preserve"> </w:t>
      </w:r>
      <w:r w:rsidR="00C2533C">
        <w:t>the introduction of metacognitive strategies into the classroom is the level of diversity in the student population. School X has 12.4% of students with an additional learning need (ALN) (MyLocalSchool, 2022)</w:t>
      </w:r>
      <w:r w:rsidR="0068394C">
        <w:t>.</w:t>
      </w:r>
      <w:r w:rsidR="00C2533C">
        <w:t xml:space="preserve"> </w:t>
      </w:r>
      <w:r w:rsidR="00C46A5F" w:rsidRPr="001C5CC2">
        <w:t>López-Vargas, Ibáñez-Ibáñez and Racines-Prada</w:t>
      </w:r>
      <w:r w:rsidR="00C46A5F">
        <w:t xml:space="preserve"> (</w:t>
      </w:r>
      <w:r w:rsidR="00C46A5F" w:rsidRPr="001C5CC2">
        <w:t>2017)</w:t>
      </w:r>
      <w:r w:rsidR="00C46A5F">
        <w:t xml:space="preserve"> </w:t>
      </w:r>
      <w:r w:rsidR="00C2533C">
        <w:t>emphasise how in some instances the additional cognitive load of metacognitive thinking proves too much for some students</w:t>
      </w:r>
      <w:r w:rsidR="00CB1E54">
        <w:t>, especially those with ALN</w:t>
      </w:r>
      <w:r w:rsidR="00C2533C">
        <w:t xml:space="preserve">. These students require the foundational ‘thinking about thinking’ to be done for them so </w:t>
      </w:r>
      <w:r w:rsidR="009E34B2">
        <w:t xml:space="preserve">that they </w:t>
      </w:r>
      <w:r w:rsidR="00C2533C">
        <w:t>can focus on retention of the skill being taught during the lesson (</w:t>
      </w:r>
      <w:r w:rsidR="00C46A5F" w:rsidRPr="001C5CC2">
        <w:t>Karatas and Arpaci, 2021</w:t>
      </w:r>
      <w:r w:rsidR="00C2533C">
        <w:t>). This diversity could also pose a challenge when ensuring all students are ‘challenged’ effectively</w:t>
      </w:r>
      <w:r w:rsidR="00733088">
        <w:t>.</w:t>
      </w:r>
      <w:r w:rsidR="00C2533C">
        <w:t xml:space="preserve"> </w:t>
      </w:r>
      <w:r w:rsidR="00286FC4">
        <w:t xml:space="preserve">Ensuring that higher ability </w:t>
      </w:r>
      <w:r w:rsidR="00733088">
        <w:t xml:space="preserve">students </w:t>
      </w:r>
      <w:r w:rsidR="00286FC4">
        <w:t xml:space="preserve">are targeted is </w:t>
      </w:r>
      <w:r w:rsidR="00877EB3">
        <w:t xml:space="preserve">as important as </w:t>
      </w:r>
      <w:r w:rsidR="00286FC4">
        <w:t xml:space="preserve">enhancing </w:t>
      </w:r>
      <w:r w:rsidR="002505D2">
        <w:t xml:space="preserve">the awareness of </w:t>
      </w:r>
      <w:r w:rsidR="00286FC4">
        <w:t>students who have difficulties with additional cognitive load (</w:t>
      </w:r>
      <w:r w:rsidR="00C46A5F" w:rsidRPr="001C5CC2">
        <w:t>Viana-Sáenz, Sastre-Riba and Urraca-Martínez, 2021</w:t>
      </w:r>
      <w:r w:rsidR="00286FC4">
        <w:t xml:space="preserve">). </w:t>
      </w:r>
      <w:r w:rsidR="00C2533C">
        <w:t xml:space="preserve"> </w:t>
      </w:r>
    </w:p>
    <w:p w14:paraId="275070B7" w14:textId="77777777" w:rsidR="00286FC4" w:rsidRDefault="00286FC4" w:rsidP="0091299F">
      <w:pPr>
        <w:pStyle w:val="AssignBody"/>
        <w:jc w:val="both"/>
      </w:pPr>
    </w:p>
    <w:p w14:paraId="362D849C" w14:textId="2F81C584" w:rsidR="006241AB" w:rsidRDefault="00C46A5F" w:rsidP="0091299F">
      <w:pPr>
        <w:pStyle w:val="AssignBody"/>
        <w:jc w:val="both"/>
      </w:pPr>
      <w:r w:rsidRPr="001C5CC2">
        <w:t>Mark</w:t>
      </w:r>
      <w:r>
        <w:t xml:space="preserve"> </w:t>
      </w:r>
      <w:r w:rsidRPr="001C5CC2">
        <w:t xml:space="preserve">Feng Teng and Mizumoto, </w:t>
      </w:r>
      <w:r>
        <w:t>(</w:t>
      </w:r>
      <w:r w:rsidRPr="001C5CC2">
        <w:t>2024</w:t>
      </w:r>
      <w:r>
        <w:t xml:space="preserve">) </w:t>
      </w:r>
      <w:r w:rsidR="00286FC4">
        <w:t xml:space="preserve">emphasise </w:t>
      </w:r>
      <w:r w:rsidR="005F548B">
        <w:t xml:space="preserve">how </w:t>
      </w:r>
      <w:r w:rsidR="00013E02">
        <w:t xml:space="preserve">successful engagement </w:t>
      </w:r>
      <w:r w:rsidR="005F548B">
        <w:t xml:space="preserve">with </w:t>
      </w:r>
      <w:r w:rsidR="00013E02">
        <w:t>metacognitive</w:t>
      </w:r>
      <w:r w:rsidR="00286FC4">
        <w:t xml:space="preserve"> strategies</w:t>
      </w:r>
      <w:r w:rsidR="00013E02">
        <w:t xml:space="preserve"> </w:t>
      </w:r>
      <w:r w:rsidR="005F548B">
        <w:t xml:space="preserve">means that they should be </w:t>
      </w:r>
      <w:r w:rsidR="00286FC4">
        <w:t>integrated into th</w:t>
      </w:r>
      <w:r w:rsidR="00013E02">
        <w:t>e classroom</w:t>
      </w:r>
      <w:r w:rsidR="005F548B">
        <w:t xml:space="preserve"> curriculum rather than presented in isolation or as a ‘bolt-on’ technique.</w:t>
      </w:r>
      <w:r w:rsidR="00013E02">
        <w:t xml:space="preserve"> </w:t>
      </w:r>
      <w:r w:rsidR="004B6DB2">
        <w:t>R</w:t>
      </w:r>
      <w:r w:rsidR="00013E02">
        <w:t xml:space="preserve">esearch discusses how as with </w:t>
      </w:r>
      <w:r w:rsidR="004B6DB2">
        <w:t xml:space="preserve">other </w:t>
      </w:r>
      <w:r w:rsidR="006241AB">
        <w:t>academic</w:t>
      </w:r>
      <w:r w:rsidR="00013E02">
        <w:t xml:space="preserve"> </w:t>
      </w:r>
      <w:r>
        <w:t>skills;</w:t>
      </w:r>
      <w:r w:rsidR="00013E02">
        <w:t xml:space="preserve"> students need to be exposed to extensive modelling to absorb the </w:t>
      </w:r>
      <w:r w:rsidR="00D64136">
        <w:t>skill</w:t>
      </w:r>
      <w:r w:rsidR="004B6DB2">
        <w:t xml:space="preserve"> (</w:t>
      </w:r>
      <w:r w:rsidRPr="00A818B4">
        <w:t>Greene, Copeland and Deekens, 2020</w:t>
      </w:r>
      <w:r w:rsidR="004B6DB2">
        <w:t>)</w:t>
      </w:r>
      <w:r w:rsidR="00D64136">
        <w:t>. App</w:t>
      </w:r>
      <w:r w:rsidR="00013E02">
        <w:t xml:space="preserve">lication of this into a classroom such as School X would include “thinking aloud” where staff </w:t>
      </w:r>
      <w:r w:rsidR="006241AB">
        <w:t>could</w:t>
      </w:r>
      <w:r w:rsidR="00013E02">
        <w:t xml:space="preserve"> model their own thinking process and promote students to do the same</w:t>
      </w:r>
      <w:r w:rsidR="00D64136">
        <w:t xml:space="preserve"> when</w:t>
      </w:r>
      <w:r w:rsidR="00D13501">
        <w:t>,</w:t>
      </w:r>
      <w:r w:rsidR="00D64136">
        <w:t xml:space="preserve"> for example</w:t>
      </w:r>
      <w:r w:rsidR="00D13501">
        <w:t>,</w:t>
      </w:r>
      <w:r w:rsidR="00D64136">
        <w:t xml:space="preserve"> working out column addition</w:t>
      </w:r>
      <w:r w:rsidR="00013E02">
        <w:t>.</w:t>
      </w:r>
      <w:r w:rsidR="00D64136">
        <w:t xml:space="preserve"> </w:t>
      </w:r>
      <w:r w:rsidRPr="00A818B4">
        <w:t xml:space="preserve">Love et al., </w:t>
      </w:r>
      <w:r>
        <w:t>(</w:t>
      </w:r>
      <w:r w:rsidRPr="00A818B4">
        <w:t>2022</w:t>
      </w:r>
      <w:r>
        <w:t>)</w:t>
      </w:r>
      <w:r w:rsidR="006241AB">
        <w:t xml:space="preserve"> reinforces a caution</w:t>
      </w:r>
      <w:r w:rsidR="00D64136">
        <w:t xml:space="preserve"> of explicitly instructing students to strengthen metacognition </w:t>
      </w:r>
      <w:r w:rsidR="006241AB">
        <w:t xml:space="preserve">suggesting it could distract </w:t>
      </w:r>
      <w:r w:rsidR="00D64136">
        <w:t>from the focus of the lesson</w:t>
      </w:r>
      <w:r w:rsidR="00D13501">
        <w:t>.</w:t>
      </w:r>
      <w:r w:rsidR="00D64136">
        <w:t xml:space="preserve"> </w:t>
      </w:r>
      <w:r w:rsidRPr="00A818B4">
        <w:rPr>
          <w:rFonts w:cs="Arial"/>
        </w:rPr>
        <w:t>Spiegel</w:t>
      </w:r>
      <w:r>
        <w:rPr>
          <w:rFonts w:cs="Arial"/>
        </w:rPr>
        <w:t xml:space="preserve"> et al (2021)</w:t>
      </w:r>
      <w:r w:rsidR="006241AB">
        <w:t xml:space="preserve"> outlines how academic skills are directly measurable with standardised testing, </w:t>
      </w:r>
      <w:r w:rsidR="009F7E5F">
        <w:t>however</w:t>
      </w:r>
      <w:r w:rsidR="005A528D">
        <w:t xml:space="preserve">, </w:t>
      </w:r>
      <w:r w:rsidR="006241AB">
        <w:t xml:space="preserve">there is no direct measurement tool of metacognition. This could result in students learning appearing </w:t>
      </w:r>
      <w:r w:rsidR="005A528D">
        <w:t>to be limite</w:t>
      </w:r>
      <w:r w:rsidR="00EA0984">
        <w:t>d</w:t>
      </w:r>
      <w:r w:rsidR="006241AB">
        <w:t xml:space="preserve"> as there is no accountable measure to highlight metacognitive progression</w:t>
      </w:r>
      <w:r w:rsidR="00D64136">
        <w:t xml:space="preserve"> (</w:t>
      </w:r>
      <w:r w:rsidRPr="00A818B4">
        <w:t>Restad and Mølstad, 2020</w:t>
      </w:r>
      <w:r w:rsidR="00D64136">
        <w:t xml:space="preserve">). </w:t>
      </w:r>
      <w:r w:rsidR="00552AA7">
        <w:t xml:space="preserve"> Metacognitive ability is entirely individualised </w:t>
      </w:r>
      <w:r w:rsidR="001F44F8" w:rsidRPr="001F44F8">
        <w:t>(</w:t>
      </w:r>
      <w:proofErr w:type="spellStart"/>
      <w:r w:rsidR="001F44F8" w:rsidRPr="001F44F8">
        <w:t>Muijs</w:t>
      </w:r>
      <w:proofErr w:type="spellEnd"/>
      <w:r w:rsidR="001F44F8" w:rsidRPr="001F44F8">
        <w:t xml:space="preserve"> and </w:t>
      </w:r>
      <w:proofErr w:type="spellStart"/>
      <w:r w:rsidR="001F44F8" w:rsidRPr="001F44F8">
        <w:t>Bokhove</w:t>
      </w:r>
      <w:proofErr w:type="spellEnd"/>
      <w:r w:rsidR="001F44F8" w:rsidRPr="001F44F8">
        <w:t>, 2020)</w:t>
      </w:r>
      <w:r w:rsidR="00552AA7">
        <w:t xml:space="preserve">, each student is going to demonstrate their metacognitive skills differently. It is important to note there is no ‘ideal’ and progression should focus on application and demonstration of the skills rather than all students ‘following’ the same model </w:t>
      </w:r>
      <w:r w:rsidR="001F44F8" w:rsidRPr="001F44F8">
        <w:t>(Kelly, 2018)</w:t>
      </w:r>
      <w:r w:rsidR="001F44F8">
        <w:t>.</w:t>
      </w:r>
    </w:p>
    <w:p w14:paraId="086789CE" w14:textId="77777777" w:rsidR="006241AB" w:rsidRDefault="006241AB" w:rsidP="0091299F">
      <w:pPr>
        <w:pStyle w:val="AssignBody"/>
        <w:jc w:val="both"/>
      </w:pPr>
      <w:r>
        <w:t xml:space="preserve"> </w:t>
      </w:r>
    </w:p>
    <w:p w14:paraId="3B7FB7EC" w14:textId="0957257C" w:rsidR="00552AA7" w:rsidRDefault="00482BAC" w:rsidP="0091299F">
      <w:pPr>
        <w:pStyle w:val="AssignBody"/>
        <w:jc w:val="both"/>
      </w:pPr>
      <w:r w:rsidRPr="00C23D1B">
        <w:t xml:space="preserve">Joshi et al., </w:t>
      </w:r>
      <w:r>
        <w:t>(</w:t>
      </w:r>
      <w:r w:rsidRPr="00C23D1B">
        <w:t>2022)</w:t>
      </w:r>
      <w:r w:rsidR="006241AB">
        <w:t xml:space="preserve"> provides evidence where metacognitive skills are supported</w:t>
      </w:r>
      <w:r w:rsidR="00DB2C27">
        <w:t xml:space="preserve"> in the classroom </w:t>
      </w:r>
      <w:r w:rsidR="001938F4">
        <w:t>using</w:t>
      </w:r>
      <w:r w:rsidR="006241AB">
        <w:t xml:space="preserve"> concept maps or visual tools, supporting students to organise their thinking in an </w:t>
      </w:r>
      <w:r w:rsidR="006241AB" w:rsidRPr="001F44F8">
        <w:t>i</w:t>
      </w:r>
      <w:r w:rsidR="006241AB" w:rsidRPr="00552AA7">
        <w:t>ndividualised</w:t>
      </w:r>
      <w:r w:rsidR="006241AB">
        <w:t xml:space="preserve"> manner has been shown to increase retention and understanding </w:t>
      </w:r>
      <w:r w:rsidR="001C33E6">
        <w:t xml:space="preserve">of the academic concept. </w:t>
      </w:r>
      <w:r w:rsidRPr="00C23D1B">
        <w:t xml:space="preserve">Fleur, Bredeweg and van den Bos, </w:t>
      </w:r>
      <w:r>
        <w:t>(</w:t>
      </w:r>
      <w:r w:rsidRPr="00C23D1B">
        <w:t>2021</w:t>
      </w:r>
      <w:r w:rsidRPr="00C23D1B">
        <w:t>)</w:t>
      </w:r>
      <w:r>
        <w:t xml:space="preserve"> outline</w:t>
      </w:r>
      <w:r w:rsidR="001C33E6">
        <w:t xml:space="preserve"> how by </w:t>
      </w:r>
      <w:r w:rsidR="001938F4">
        <w:t>independently</w:t>
      </w:r>
      <w:r w:rsidR="001C33E6">
        <w:t xml:space="preserve"> structur</w:t>
      </w:r>
      <w:r w:rsidR="001938F4">
        <w:t>ing their thinking on a page</w:t>
      </w:r>
      <w:r w:rsidR="001C33E6">
        <w:t>,</w:t>
      </w:r>
      <w:r w:rsidR="00DB2C27">
        <w:t xml:space="preserve"> </w:t>
      </w:r>
      <w:r w:rsidR="00D8423B">
        <w:t xml:space="preserve">students tend to have </w:t>
      </w:r>
      <w:r w:rsidR="00DB2C27">
        <w:t xml:space="preserve">a better recall of the academic skill and </w:t>
      </w:r>
      <w:r w:rsidR="00D8423B">
        <w:t xml:space="preserve">its </w:t>
      </w:r>
      <w:r w:rsidR="00DB2C27">
        <w:t xml:space="preserve">application </w:t>
      </w:r>
      <w:r w:rsidR="001F44F8" w:rsidRPr="001F44F8">
        <w:t>(Thomas, 2008)</w:t>
      </w:r>
      <w:r w:rsidR="001C33E6">
        <w:t xml:space="preserve">. </w:t>
      </w:r>
      <w:r w:rsidR="00DB2C27">
        <w:t xml:space="preserve">Critics highlight practical limitations with allowing students full autonomy with </w:t>
      </w:r>
      <w:r w:rsidR="003178D9">
        <w:t>structuring</w:t>
      </w:r>
      <w:r w:rsidR="00DB2C27">
        <w:t xml:space="preserve"> their work</w:t>
      </w:r>
      <w:r w:rsidR="002A3C5A">
        <w:t xml:space="preserve"> via a concept map, for example, as it</w:t>
      </w:r>
      <w:r w:rsidR="00DB2C27">
        <w:t xml:space="preserve"> might overtake the development of academic skill (</w:t>
      </w:r>
      <w:r w:rsidRPr="00C23D1B">
        <w:t>Blackley, Redmond and Peel, 2021</w:t>
      </w:r>
      <w:r w:rsidR="00DB2C27">
        <w:t xml:space="preserve">). </w:t>
      </w:r>
      <w:r w:rsidR="00245DDB">
        <w:t xml:space="preserve">It is interesting to </w:t>
      </w:r>
      <w:r w:rsidR="00245DDB">
        <w:lastRenderedPageBreak/>
        <w:t xml:space="preserve">note that </w:t>
      </w:r>
      <w:r w:rsidR="009A57B2">
        <w:t xml:space="preserve">many schools implicitly impose a structure for assignments that do not necessarily align with the use of an individual’s planning </w:t>
      </w:r>
      <w:r w:rsidR="009A514A">
        <w:t xml:space="preserve">and structuring decisions.  This creates a potential difficulty between metacognitive </w:t>
      </w:r>
      <w:r w:rsidR="00FD28EE">
        <w:t xml:space="preserve">awareness and completion of </w:t>
      </w:r>
      <w:r>
        <w:t>tasks</w:t>
      </w:r>
      <w:r w:rsidR="00FD28EE">
        <w:t xml:space="preserve"> and frameworks</w:t>
      </w:r>
      <w:r w:rsidR="001F44F8">
        <w:t xml:space="preserve"> </w:t>
      </w:r>
      <w:r w:rsidR="001F44F8" w:rsidRPr="001F44F8">
        <w:t>(Zhang, Zhang and Zhang, 2021)</w:t>
      </w:r>
      <w:r w:rsidR="001F44F8">
        <w:t>.</w:t>
      </w:r>
    </w:p>
    <w:p w14:paraId="1C6DAAEC" w14:textId="77777777" w:rsidR="00756FAF" w:rsidRDefault="00756FAF" w:rsidP="0091299F">
      <w:pPr>
        <w:pStyle w:val="AssignBody"/>
        <w:jc w:val="both"/>
        <w:rPr>
          <w:b/>
          <w:bCs/>
          <w:sz w:val="28"/>
          <w:szCs w:val="28"/>
        </w:rPr>
      </w:pPr>
    </w:p>
    <w:p w14:paraId="51DEB5F2" w14:textId="57421006" w:rsidR="00EE24CE" w:rsidRPr="00552AA7" w:rsidRDefault="00EE24CE" w:rsidP="0091299F">
      <w:pPr>
        <w:pStyle w:val="AssignBody"/>
        <w:jc w:val="both"/>
      </w:pPr>
      <w:r>
        <w:rPr>
          <w:b/>
          <w:bCs/>
          <w:sz w:val="28"/>
          <w:szCs w:val="28"/>
        </w:rPr>
        <w:t>Action Plan</w:t>
      </w:r>
      <w:r w:rsidR="00DE374C">
        <w:rPr>
          <w:b/>
          <w:bCs/>
          <w:sz w:val="28"/>
          <w:szCs w:val="28"/>
        </w:rPr>
        <w:t xml:space="preserve">- </w:t>
      </w:r>
    </w:p>
    <w:p w14:paraId="5D8955F4" w14:textId="07C70B4C" w:rsidR="005753DF" w:rsidRPr="005753DF" w:rsidRDefault="005753DF" w:rsidP="0091299F">
      <w:pPr>
        <w:pStyle w:val="AssignBody"/>
        <w:jc w:val="both"/>
        <w:rPr>
          <w:sz w:val="20"/>
          <w:szCs w:val="20"/>
        </w:rPr>
      </w:pPr>
      <w:r w:rsidRPr="005753DF">
        <w:t>Context</w:t>
      </w:r>
      <w:r w:rsidR="0091299F">
        <w:t>:</w:t>
      </w:r>
    </w:p>
    <w:p w14:paraId="6D6CC81F" w14:textId="76129D60" w:rsidR="0019272B" w:rsidRDefault="0019272B" w:rsidP="0091299F">
      <w:pPr>
        <w:pStyle w:val="AssignBody"/>
        <w:jc w:val="both"/>
      </w:pPr>
      <w:r>
        <w:t>Welsh Government, (</w:t>
      </w:r>
      <w:r w:rsidR="00482BAC">
        <w:t>2022a</w:t>
      </w:r>
      <w:r>
        <w:t>) establishes that at the forefront of the SDP process should be the school</w:t>
      </w:r>
      <w:r w:rsidR="000904DB">
        <w:t xml:space="preserve"> </w:t>
      </w:r>
      <w:r>
        <w:t>vision</w:t>
      </w:r>
      <w:r w:rsidR="00057F27">
        <w:t>.</w:t>
      </w:r>
      <w:r>
        <w:t xml:space="preserve"> School X’s target</w:t>
      </w:r>
      <w:r w:rsidR="00526B60">
        <w:t xml:space="preserve"> of better metacognition</w:t>
      </w:r>
      <w:r>
        <w:t xml:space="preserve"> aligns with </w:t>
      </w:r>
      <w:r w:rsidR="00526B60">
        <w:t xml:space="preserve">its long-term aim to create independent learners and </w:t>
      </w:r>
      <w:r w:rsidR="00CB48C9">
        <w:t>the school ethos of ‘ready, respectful and safe’ (School Website, 2024).</w:t>
      </w:r>
      <w:r w:rsidR="00482BAC">
        <w:t xml:space="preserve"> </w:t>
      </w:r>
      <w:r w:rsidR="006D3ED9">
        <w:t>The action</w:t>
      </w:r>
      <w:r w:rsidR="0019765A">
        <w:t xml:space="preserve"> point has developed from </w:t>
      </w:r>
      <w:r w:rsidR="001E2D00">
        <w:t xml:space="preserve">Estyn’s </w:t>
      </w:r>
      <w:r w:rsidR="0019765A">
        <w:t xml:space="preserve">recommendations to enhance the autonomy that students have during lessons. </w:t>
      </w:r>
      <w:r w:rsidR="00482BAC" w:rsidRPr="00735A44">
        <w:t xml:space="preserve">Ndabezitha and Gravett, </w:t>
      </w:r>
      <w:r w:rsidR="00482BAC">
        <w:t>(</w:t>
      </w:r>
      <w:r w:rsidR="00482BAC" w:rsidRPr="00735A44">
        <w:t>2024</w:t>
      </w:r>
      <w:r w:rsidR="00482BAC" w:rsidRPr="00735A44">
        <w:t>)</w:t>
      </w:r>
      <w:r w:rsidR="00482BAC">
        <w:t xml:space="preserve"> shows</w:t>
      </w:r>
      <w:r w:rsidR="0019765A">
        <w:t xml:space="preserve"> the impact of lessons being too directed and </w:t>
      </w:r>
      <w:r w:rsidR="001E2D00">
        <w:t xml:space="preserve">shows how </w:t>
      </w:r>
      <w:r w:rsidR="0019765A">
        <w:t xml:space="preserve">whilst guided learning is essential to build the foundations of a concept, independent exploration is needed to comprehend the concept in depth </w:t>
      </w:r>
      <w:r w:rsidR="003B3E88" w:rsidRPr="003B3E88">
        <w:t>(Ladosz et al., 2022)</w:t>
      </w:r>
      <w:r w:rsidR="0019765A">
        <w:t xml:space="preserve">. </w:t>
      </w:r>
    </w:p>
    <w:p w14:paraId="30EBEC91" w14:textId="77777777" w:rsidR="00154364" w:rsidRDefault="00154364" w:rsidP="0091299F">
      <w:pPr>
        <w:pStyle w:val="AssignBody"/>
        <w:jc w:val="both"/>
      </w:pPr>
    </w:p>
    <w:p w14:paraId="3B08F489" w14:textId="77777777" w:rsidR="00154364" w:rsidRDefault="00154364" w:rsidP="0091299F">
      <w:pPr>
        <w:pStyle w:val="AssignBody"/>
        <w:jc w:val="both"/>
      </w:pPr>
      <w:r w:rsidRPr="00154364">
        <w:t xml:space="preserve">Implementation: </w:t>
      </w:r>
    </w:p>
    <w:p w14:paraId="23899A53" w14:textId="0DD1B176" w:rsidR="005753DF" w:rsidRDefault="0019765A" w:rsidP="0091299F">
      <w:pPr>
        <w:pStyle w:val="AssignBody"/>
        <w:jc w:val="both"/>
      </w:pPr>
      <w:r>
        <w:t>Throughout practise</w:t>
      </w:r>
      <w:r w:rsidR="002F4AF3">
        <w:t xml:space="preserve"> on Placement </w:t>
      </w:r>
      <w:r w:rsidR="0058717B">
        <w:t>1, conscious</w:t>
      </w:r>
      <w:r>
        <w:t xml:space="preserve"> effort </w:t>
      </w:r>
      <w:r w:rsidR="005753DF">
        <w:t xml:space="preserve">has been made </w:t>
      </w:r>
      <w:r>
        <w:t xml:space="preserve">to integrate a self-reflective culture into the classroom, </w:t>
      </w:r>
      <w:r w:rsidR="005753DF">
        <w:t xml:space="preserve">this includes daily prompting of students to evaluate their own learning identifying areas for improvement. </w:t>
      </w:r>
      <w:r w:rsidR="00482BAC" w:rsidRPr="00735A44">
        <w:t xml:space="preserve">Taylor, </w:t>
      </w:r>
      <w:r w:rsidR="00482BAC">
        <w:t>(</w:t>
      </w:r>
      <w:r w:rsidR="00482BAC" w:rsidRPr="00735A44">
        <w:t>2013)</w:t>
      </w:r>
      <w:r w:rsidR="00482BAC">
        <w:t xml:space="preserve"> </w:t>
      </w:r>
      <w:r w:rsidR="005753DF">
        <w:t xml:space="preserve">discusses how this </w:t>
      </w:r>
      <w:r w:rsidR="00591400">
        <w:t xml:space="preserve">self-evaluation </w:t>
      </w:r>
      <w:r w:rsidR="005753DF">
        <w:t>of their own thinking by looking at their learning improves metacognitive skills. However, this self-evaluation from the students is not without limitations</w:t>
      </w:r>
      <w:r w:rsidR="00FC2831">
        <w:t>.</w:t>
      </w:r>
      <w:r w:rsidR="005753DF">
        <w:t xml:space="preserve"> </w:t>
      </w:r>
      <w:r w:rsidR="00FC2831">
        <w:t>T</w:t>
      </w:r>
      <w:r w:rsidR="005753DF">
        <w:t xml:space="preserve">o effectively </w:t>
      </w:r>
      <w:r w:rsidR="00FC2831">
        <w:t xml:space="preserve">evaluate </w:t>
      </w:r>
      <w:r w:rsidR="005753DF">
        <w:t xml:space="preserve">their </w:t>
      </w:r>
      <w:r w:rsidR="00482BAC">
        <w:t>thinking,</w:t>
      </w:r>
      <w:r w:rsidR="005753DF">
        <w:t xml:space="preserve"> </w:t>
      </w:r>
      <w:r w:rsidR="0058717B">
        <w:t>they should</w:t>
      </w:r>
      <w:r w:rsidR="005753DF">
        <w:t xml:space="preserve"> understand the process of </w:t>
      </w:r>
      <w:r w:rsidR="00924E60">
        <w:t>evaluation</w:t>
      </w:r>
      <w:r w:rsidR="001F5574">
        <w:t xml:space="preserve"> and have a clear knowledge of the set task</w:t>
      </w:r>
      <w:r w:rsidR="005753DF">
        <w:t>. Inconsistent comprehension of what constitutes a ‘good’ piece of work leaves gaps for development of their metacognition (</w:t>
      </w:r>
      <w:r w:rsidR="00482BAC" w:rsidRPr="00735A44">
        <w:t>de Bree and Zee, 2020</w:t>
      </w:r>
      <w:r w:rsidR="005753DF">
        <w:t xml:space="preserve">). </w:t>
      </w:r>
    </w:p>
    <w:p w14:paraId="7454847D" w14:textId="77777777" w:rsidR="008D662A" w:rsidRDefault="008D662A" w:rsidP="0091299F">
      <w:pPr>
        <w:pStyle w:val="AssignBody"/>
        <w:jc w:val="both"/>
      </w:pPr>
    </w:p>
    <w:p w14:paraId="6268355A" w14:textId="1A3B5A71" w:rsidR="008D662A" w:rsidRDefault="008D662A" w:rsidP="0091299F">
      <w:pPr>
        <w:pStyle w:val="AssignBody"/>
        <w:jc w:val="both"/>
      </w:pPr>
      <w:r>
        <w:t xml:space="preserve">Similarly, throughout </w:t>
      </w:r>
      <w:r w:rsidR="00197AB8">
        <w:t>the placement</w:t>
      </w:r>
      <w:r w:rsidR="00C60005">
        <w:t>,</w:t>
      </w:r>
      <w:r w:rsidR="00197AB8">
        <w:t xml:space="preserve"> </w:t>
      </w:r>
      <w:r>
        <w:t xml:space="preserve">teaching has been adapted to suit a project-based approach. </w:t>
      </w:r>
      <w:r w:rsidR="00C60005">
        <w:t xml:space="preserve">This </w:t>
      </w:r>
      <w:r>
        <w:t>involved students becoming ‘experts’ on a specific topic then giving them the opportunity to teach their peers (</w:t>
      </w:r>
      <w:r w:rsidR="00482BAC" w:rsidRPr="00735A44">
        <w:t>Kimbrough, McGee and Shigeoka, 2020</w:t>
      </w:r>
      <w:r>
        <w:t xml:space="preserve">). </w:t>
      </w:r>
      <w:r w:rsidR="00482BAC">
        <w:t>Sukma, Ramadoni and Suryani (2022)</w:t>
      </w:r>
      <w:r>
        <w:t xml:space="preserve"> outlines how this teaching element of students’ activities makes way for a more in-depth understanding of the topic as it</w:t>
      </w:r>
      <w:r w:rsidR="00920059">
        <w:t xml:space="preserve"> i</w:t>
      </w:r>
      <w:r>
        <w:t>s suggested they should understand the way they comprehend the information to explain it effectively to peers (</w:t>
      </w:r>
      <w:r w:rsidR="00C46AA1">
        <w:t>Mitchell, 2018</w:t>
      </w:r>
      <w:r>
        <w:t>). Limitations with this practise</w:t>
      </w:r>
      <w:r w:rsidR="00920059">
        <w:t>,</w:t>
      </w:r>
      <w:r>
        <w:t xml:space="preserve"> as highlighted by </w:t>
      </w:r>
      <w:r w:rsidR="00482BAC" w:rsidRPr="00F15A1C">
        <w:t xml:space="preserve">Latifi, </w:t>
      </w:r>
      <w:r w:rsidR="00552AA7" w:rsidRPr="00F15A1C">
        <w:t>Norouz</w:t>
      </w:r>
      <w:r w:rsidR="00482BAC" w:rsidRPr="00F15A1C">
        <w:t xml:space="preserve"> and Talaee, </w:t>
      </w:r>
      <w:r w:rsidR="00482BAC">
        <w:t>(</w:t>
      </w:r>
      <w:r w:rsidR="00482BAC" w:rsidRPr="00F15A1C">
        <w:t>2021)</w:t>
      </w:r>
      <w:r w:rsidR="00920059">
        <w:t>,</w:t>
      </w:r>
      <w:r>
        <w:t xml:space="preserve"> suggest that it is not directly transferable to all </w:t>
      </w:r>
      <w:r w:rsidR="000904DB">
        <w:t>students. Variance in levels of attention and ability to independently direct their own learning would result in the ‘teaching’ aspect of this practise being inconsistent (</w:t>
      </w:r>
      <w:r w:rsidR="00482BAC" w:rsidRPr="00F15A1C">
        <w:t>Corsino and Fuller, 2021</w:t>
      </w:r>
      <w:r w:rsidR="000904DB">
        <w:t xml:space="preserve">). </w:t>
      </w:r>
    </w:p>
    <w:p w14:paraId="69C5B9F2" w14:textId="2C470571" w:rsidR="00154364" w:rsidRDefault="00154364" w:rsidP="0091299F">
      <w:pPr>
        <w:pStyle w:val="AssignBody"/>
        <w:jc w:val="both"/>
      </w:pPr>
      <w:r w:rsidRPr="00154364">
        <w:lastRenderedPageBreak/>
        <w:t xml:space="preserve">Impact Measurement: </w:t>
      </w:r>
    </w:p>
    <w:p w14:paraId="1CE2493D" w14:textId="7656D172" w:rsidR="003D632D" w:rsidRDefault="003D632D" w:rsidP="0091299F">
      <w:pPr>
        <w:pStyle w:val="AssignBody"/>
        <w:jc w:val="both"/>
      </w:pPr>
      <w:r w:rsidRPr="00120FED">
        <w:t xml:space="preserve">Education Endowment Foundation, </w:t>
      </w:r>
      <w:r>
        <w:t>(</w:t>
      </w:r>
      <w:r w:rsidRPr="00120FED">
        <w:t>2024</w:t>
      </w:r>
      <w:r>
        <w:t>)</w:t>
      </w:r>
      <w:r w:rsidR="000904DB">
        <w:t xml:space="preserve"> identifies</w:t>
      </w:r>
      <w:r w:rsidR="0081298F">
        <w:t xml:space="preserve"> that despite the holistic, practical nature of targeting independence</w:t>
      </w:r>
      <w:r>
        <w:t>,</w:t>
      </w:r>
      <w:r w:rsidR="0081298F">
        <w:t xml:space="preserve"> measurability and the difficulties in defining and </w:t>
      </w:r>
      <w:r>
        <w:t>monitoring</w:t>
      </w:r>
      <w:r w:rsidR="0081298F">
        <w:t xml:space="preserve"> progress must be address</w:t>
      </w:r>
      <w:r w:rsidR="000B766C">
        <w:t>ed</w:t>
      </w:r>
      <w:r w:rsidR="0081298F">
        <w:t>. Level of independence and metacognitive skills exhibited by an individual is often down to the interpretation of an observer, therefore tru</w:t>
      </w:r>
      <w:r w:rsidR="00EB13D2">
        <w:t>e objectivity proves difficult (</w:t>
      </w:r>
      <w:r w:rsidRPr="00D93820">
        <w:t>İnan-Kaya and Rubie-Davies, 2021</w:t>
      </w:r>
      <w:r w:rsidR="00EB13D2">
        <w:t>)</w:t>
      </w:r>
      <w:r w:rsidR="0081298F">
        <w:t>. School X’s SDP outlines monitoring through learning walks and focus groups</w:t>
      </w:r>
      <w:r w:rsidR="00D849A8">
        <w:t>.</w:t>
      </w:r>
      <w:r w:rsidR="0081298F">
        <w:t xml:space="preserve"> </w:t>
      </w:r>
      <w:r w:rsidR="00D849A8">
        <w:t>W</w:t>
      </w:r>
      <w:r w:rsidR="0081298F">
        <w:t xml:space="preserve">hilst these </w:t>
      </w:r>
      <w:r w:rsidR="0058717B">
        <w:t>methods</w:t>
      </w:r>
      <w:r w:rsidR="0081298F">
        <w:t xml:space="preserve"> collat</w:t>
      </w:r>
      <w:r w:rsidR="00D849A8">
        <w:t>e</w:t>
      </w:r>
      <w:r w:rsidR="0081298F">
        <w:t xml:space="preserve"> extensive themes and qualitative data</w:t>
      </w:r>
      <w:r w:rsidR="00D849A8">
        <w:t>,</w:t>
      </w:r>
      <w:r w:rsidR="0081298F">
        <w:t xml:space="preserve"> it is likely to prove difficult to generate quantitative</w:t>
      </w:r>
      <w:r w:rsidR="00D849A8">
        <w:t xml:space="preserve"> data</w:t>
      </w:r>
      <w:r w:rsidR="0081298F">
        <w:t xml:space="preserve"> to reliably identify trends of developing metacognition in the classroom (</w:t>
      </w:r>
      <w:r w:rsidRPr="00D93820">
        <w:t>Muzari, Shava and Shonhiwa, 2022</w:t>
      </w:r>
      <w:r w:rsidR="0081298F">
        <w:t xml:space="preserve">). </w:t>
      </w:r>
      <w:r w:rsidR="005B5226">
        <w:t xml:space="preserve">Alternatively, </w:t>
      </w:r>
      <w:r w:rsidRPr="00D93820">
        <w:t xml:space="preserve">Teslo et al., </w:t>
      </w:r>
      <w:r>
        <w:t>(</w:t>
      </w:r>
      <w:r w:rsidRPr="00D93820">
        <w:t>2023</w:t>
      </w:r>
      <w:r w:rsidRPr="00D93820">
        <w:t>)</w:t>
      </w:r>
      <w:r>
        <w:t xml:space="preserve"> suggests</w:t>
      </w:r>
      <w:r w:rsidR="005B5226">
        <w:t xml:space="preserve"> measuring </w:t>
      </w:r>
      <w:r w:rsidR="00D27C71">
        <w:t xml:space="preserve">the </w:t>
      </w:r>
      <w:r w:rsidR="005B5226">
        <w:t xml:space="preserve">impact by questioning students themselves, as </w:t>
      </w:r>
      <w:r w:rsidR="006F6070">
        <w:t>real-life</w:t>
      </w:r>
      <w:r w:rsidR="005B5226">
        <w:t xml:space="preserve"> participants students could give their opinions on how they felt their metacognition was developing. Limitations with this suggestion involve tailoring the language for the student to ensure understanding</w:t>
      </w:r>
      <w:r w:rsidR="00D27C71">
        <w:t xml:space="preserve">. There </w:t>
      </w:r>
      <w:r w:rsidR="0058717B">
        <w:t>are</w:t>
      </w:r>
      <w:r w:rsidR="00D27C71">
        <w:t xml:space="preserve"> also</w:t>
      </w:r>
      <w:r w:rsidR="005B5226">
        <w:t xml:space="preserve"> difficulties with</w:t>
      </w:r>
      <w:r w:rsidR="00A85E31">
        <w:t xml:space="preserve"> the</w:t>
      </w:r>
      <w:r w:rsidR="005B5226">
        <w:t xml:space="preserve"> validity of answers due to presumed expectations and power relationship </w:t>
      </w:r>
      <w:r w:rsidR="0058717B">
        <w:t xml:space="preserve">imbalances </w:t>
      </w:r>
      <w:r w:rsidR="00101187" w:rsidRPr="00101187">
        <w:t>(Mitchell et al., 2023)</w:t>
      </w:r>
      <w:r w:rsidR="005B5226">
        <w:t>. This would mean students may answer in a manner that they assume the stakeholders (teachers) would want (</w:t>
      </w:r>
      <w:r w:rsidRPr="00D93820">
        <w:t>Symonds, 2021)</w:t>
      </w:r>
      <w:r>
        <w:t xml:space="preserve">.  </w:t>
      </w:r>
    </w:p>
    <w:p w14:paraId="29D43702" w14:textId="77777777" w:rsidR="003D632D" w:rsidRDefault="005B5226" w:rsidP="0091299F">
      <w:pPr>
        <w:pStyle w:val="AssignBody"/>
        <w:jc w:val="both"/>
      </w:pPr>
      <w:r>
        <w:t xml:space="preserve">  </w:t>
      </w:r>
    </w:p>
    <w:p w14:paraId="0C321BB4" w14:textId="496E1288" w:rsidR="00EB13D2" w:rsidRDefault="00EB13D2" w:rsidP="0091299F">
      <w:pPr>
        <w:pStyle w:val="AssignBody"/>
        <w:jc w:val="both"/>
      </w:pPr>
      <w:r>
        <w:t>As stated throughout this section School X’s approach to targeting metacognition in the classroom</w:t>
      </w:r>
      <w:r w:rsidR="005B5226">
        <w:t>,</w:t>
      </w:r>
      <w:r>
        <w:t xml:space="preserve"> demonstrates the priority the school place on </w:t>
      </w:r>
      <w:r w:rsidR="005B5226">
        <w:t>ensuring well-rounded individuals (</w:t>
      </w:r>
      <w:r w:rsidR="003D632D">
        <w:t>Welsh Government, 2023</w:t>
      </w:r>
      <w:r w:rsidR="00C46AA1">
        <w:t>a</w:t>
      </w:r>
      <w:r w:rsidR="005B5226">
        <w:t xml:space="preserve">). School X are aligning themselves closely with </w:t>
      </w:r>
      <w:r w:rsidR="0058717B">
        <w:t>Curriculum for Wales</w:t>
      </w:r>
      <w:r w:rsidR="005B5226">
        <w:t xml:space="preserve">, </w:t>
      </w:r>
      <w:r w:rsidR="008D38DD">
        <w:t>(</w:t>
      </w:r>
      <w:r w:rsidR="005B5226">
        <w:t>2022</w:t>
      </w:r>
      <w:r w:rsidR="008D38DD">
        <w:t>)</w:t>
      </w:r>
      <w:r w:rsidR="005B5226">
        <w:t xml:space="preserve"> and enhancing learning to be </w:t>
      </w:r>
      <w:r w:rsidR="00A33B64">
        <w:t>transferrable to</w:t>
      </w:r>
      <w:r w:rsidR="005B5226">
        <w:t xml:space="preserve"> ‘real-world’ </w:t>
      </w:r>
      <w:r w:rsidR="00A33B64">
        <w:t xml:space="preserve">situations </w:t>
      </w:r>
      <w:r w:rsidR="005B5226">
        <w:t xml:space="preserve">when students leave them </w:t>
      </w:r>
      <w:r w:rsidR="00101187" w:rsidRPr="00101187">
        <w:t>(Nägele and Stalder, 2016)</w:t>
      </w:r>
      <w:r w:rsidR="005B5226">
        <w:t>.</w:t>
      </w:r>
      <w:r w:rsidR="006F6070">
        <w:t xml:space="preserve"> Limitation</w:t>
      </w:r>
      <w:r w:rsidR="00A33B64">
        <w:t>s</w:t>
      </w:r>
      <w:r w:rsidR="006F6070">
        <w:t xml:space="preserve"> in the approach arise when collating measurable impact and feedback from the introduction of metacognition (</w:t>
      </w:r>
      <w:r w:rsidR="003D632D" w:rsidRPr="00590F1A">
        <w:t>Baldwin et al., 2022</w:t>
      </w:r>
      <w:r w:rsidR="006F6070">
        <w:t>)</w:t>
      </w:r>
      <w:r w:rsidR="00A33B64">
        <w:t>.</w:t>
      </w:r>
      <w:r w:rsidR="006F6070">
        <w:t xml:space="preserve"> </w:t>
      </w:r>
      <w:r w:rsidR="00A33B64">
        <w:t>T</w:t>
      </w:r>
      <w:r w:rsidR="006F6070">
        <w:t xml:space="preserve">he progress is down to the interpretation of stakeholders whose agenda is likely to impact data </w:t>
      </w:r>
      <w:r w:rsidR="00EF7B36" w:rsidRPr="00EF7B36">
        <w:t>(Greany and Higham, 2018)</w:t>
      </w:r>
      <w:r w:rsidR="00EF7B36">
        <w:t>.</w:t>
      </w:r>
      <w:r w:rsidR="006F6070">
        <w:t xml:space="preserve"> Further innovation for this target could narrow metacognition down, for example specifically targeting ‘goal setting’. This refinement of the specific action point could assist in developing an accountable measurement strategy (</w:t>
      </w:r>
      <w:r w:rsidR="003D632D" w:rsidRPr="00590F1A">
        <w:t>Denny and Weckesser, 2022</w:t>
      </w:r>
      <w:r w:rsidR="006F6070">
        <w:t xml:space="preserve">). </w:t>
      </w:r>
    </w:p>
    <w:p w14:paraId="3CBF9D93" w14:textId="77777777" w:rsidR="0091299F" w:rsidRDefault="0091299F" w:rsidP="0091299F">
      <w:pPr>
        <w:pStyle w:val="AssignBody"/>
        <w:jc w:val="both"/>
      </w:pPr>
    </w:p>
    <w:p w14:paraId="67F6E498" w14:textId="518D81F6" w:rsidR="00EE24CE" w:rsidRDefault="00EE24CE" w:rsidP="0091299F">
      <w:pPr>
        <w:pStyle w:val="AssignBody"/>
        <w:jc w:val="both"/>
        <w:rPr>
          <w:b/>
          <w:bCs/>
          <w:sz w:val="28"/>
          <w:szCs w:val="28"/>
        </w:rPr>
      </w:pPr>
      <w:r>
        <w:rPr>
          <w:b/>
          <w:bCs/>
          <w:sz w:val="28"/>
          <w:szCs w:val="28"/>
        </w:rPr>
        <w:t xml:space="preserve">Reflection and Evaluation </w:t>
      </w:r>
      <w:r w:rsidR="00DE374C">
        <w:rPr>
          <w:b/>
          <w:bCs/>
          <w:sz w:val="28"/>
          <w:szCs w:val="28"/>
        </w:rPr>
        <w:t>– 400 words</w:t>
      </w:r>
    </w:p>
    <w:p w14:paraId="291BA8C1" w14:textId="676695D9" w:rsidR="00756FAF" w:rsidRDefault="009C19C0" w:rsidP="0091299F">
      <w:pPr>
        <w:pStyle w:val="AssignBody"/>
        <w:jc w:val="both"/>
      </w:pPr>
      <w:r>
        <w:t>A</w:t>
      </w:r>
      <w:r w:rsidR="00AB26F6">
        <w:t xml:space="preserve">s mentioned above, integration of self-evaluation strategies </w:t>
      </w:r>
      <w:r>
        <w:t>were</w:t>
      </w:r>
      <w:r w:rsidR="00AB26F6">
        <w:t xml:space="preserve"> weaved through teaching. Students engage</w:t>
      </w:r>
      <w:r>
        <w:t>d</w:t>
      </w:r>
      <w:r w:rsidR="00AB26F6">
        <w:t xml:space="preserve"> in meaningful reflection of their work, often taking the format of</w:t>
      </w:r>
      <w:r w:rsidR="00941332">
        <w:t xml:space="preserve"> </w:t>
      </w:r>
      <w:r w:rsidR="00AB26F6">
        <w:t xml:space="preserve">‘Two stars and a wish’. </w:t>
      </w:r>
      <w:r w:rsidR="00941332">
        <w:t xml:space="preserve">One reflection point on this practise is depth of evaluation. This is discussed by </w:t>
      </w:r>
      <w:r w:rsidR="00940E98" w:rsidRPr="00940E98">
        <w:t xml:space="preserve">Chung, Chen and Olson, </w:t>
      </w:r>
      <w:r w:rsidR="00940E98">
        <w:t>(</w:t>
      </w:r>
      <w:r w:rsidR="00940E98" w:rsidRPr="00940E98">
        <w:t>2021)</w:t>
      </w:r>
      <w:r w:rsidR="00941332">
        <w:t xml:space="preserve"> how this</w:t>
      </w:r>
      <w:r>
        <w:t xml:space="preserve"> self-evaluation format produces</w:t>
      </w:r>
      <w:r w:rsidR="00941332">
        <w:t xml:space="preserve"> ‘surface’ level evaluation.</w:t>
      </w:r>
      <w:r>
        <w:t xml:space="preserve"> Whilst</w:t>
      </w:r>
      <w:r w:rsidR="00940E98">
        <w:t xml:space="preserve"> </w:t>
      </w:r>
      <w:r w:rsidR="00940E98" w:rsidRPr="00940E98">
        <w:t xml:space="preserve">Xie et al., </w:t>
      </w:r>
      <w:r w:rsidR="00940E98">
        <w:t>(</w:t>
      </w:r>
      <w:r w:rsidR="00940E98" w:rsidRPr="00940E98">
        <w:t>2024)</w:t>
      </w:r>
      <w:r>
        <w:t xml:space="preserve"> identifies that in a busy classroom the ‘Two stars and a wish’ format is pra</w:t>
      </w:r>
      <w:r w:rsidR="00940E98">
        <w:t xml:space="preserve">ctical, </w:t>
      </w:r>
      <w:r>
        <w:t>regular and consistent.</w:t>
      </w:r>
      <w:r w:rsidR="001C6C48">
        <w:t xml:space="preserve"> </w:t>
      </w:r>
      <w:r w:rsidR="001C6C48" w:rsidRPr="001C6C48">
        <w:t xml:space="preserve">O’Reilly, Devitt and Hayes, </w:t>
      </w:r>
      <w:r w:rsidR="001C6C48">
        <w:t>(</w:t>
      </w:r>
      <w:r w:rsidR="001C6C48" w:rsidRPr="001C6C48">
        <w:t>2022)</w:t>
      </w:r>
      <w:r w:rsidR="00941332">
        <w:t xml:space="preserve"> suggests </w:t>
      </w:r>
      <w:r w:rsidR="008C4B13">
        <w:lastRenderedPageBreak/>
        <w:t xml:space="preserve">a more in-depth evaluation where students </w:t>
      </w:r>
      <w:r w:rsidR="00635916">
        <w:t>justify their evaluation</w:t>
      </w:r>
      <w:r>
        <w:t xml:space="preserve">, </w:t>
      </w:r>
      <w:r w:rsidR="00635916">
        <w:t>developing</w:t>
      </w:r>
      <w:r>
        <w:t xml:space="preserve"> their metacognitive skills further</w:t>
      </w:r>
      <w:r w:rsidR="00234E59">
        <w:t>. Research from</w:t>
      </w:r>
      <w:r w:rsidR="001C6C48">
        <w:t xml:space="preserve"> </w:t>
      </w:r>
      <w:r w:rsidR="001C6C48" w:rsidRPr="001C6C48">
        <w:t xml:space="preserve">Beauchamp, </w:t>
      </w:r>
      <w:r w:rsidR="001C6C48">
        <w:t>(</w:t>
      </w:r>
      <w:r w:rsidR="001C6C48" w:rsidRPr="001C6C48">
        <w:t>2015)</w:t>
      </w:r>
      <w:r w:rsidR="00234E59">
        <w:t xml:space="preserve"> also prompts reflection </w:t>
      </w:r>
      <w:r>
        <w:t xml:space="preserve">when </w:t>
      </w:r>
      <w:r w:rsidR="00234E59">
        <w:t xml:space="preserve">monitoring </w:t>
      </w:r>
      <w:r>
        <w:t xml:space="preserve">self- evaluation </w:t>
      </w:r>
      <w:r w:rsidR="00234E59">
        <w:t>to identify trends</w:t>
      </w:r>
      <w:r>
        <w:t xml:space="preserve"> such as difficulties in specific subjects. Alternatively, having a method to record self-evaluation when monitored would present personality types of the students identifying those who are for example ‘hard on themselves’</w:t>
      </w:r>
      <w:r w:rsidR="00D7082F">
        <w:t xml:space="preserve"> </w:t>
      </w:r>
      <w:r w:rsidR="00EF7B36" w:rsidRPr="00EF7B36">
        <w:t>(Galbally and Fevronia Christodoulidi, 2023)</w:t>
      </w:r>
      <w:r>
        <w:t>.</w:t>
      </w:r>
    </w:p>
    <w:p w14:paraId="7A5CFC23" w14:textId="77777777" w:rsidR="00A77397" w:rsidRDefault="00A77397" w:rsidP="0091299F">
      <w:pPr>
        <w:pStyle w:val="AssignBody"/>
        <w:jc w:val="both"/>
      </w:pPr>
    </w:p>
    <w:p w14:paraId="60FCA7DB" w14:textId="7B5CEDBD" w:rsidR="00A77397" w:rsidRDefault="00A77397" w:rsidP="0091299F">
      <w:pPr>
        <w:pStyle w:val="AssignBody"/>
        <w:jc w:val="both"/>
      </w:pPr>
      <w:r>
        <w:t xml:space="preserve">Other specific practise carried out in placement one included a focus on project-based approach, as described in ‘Action Plan’ this method is heavily reliant on student understanding. Upon reflection </w:t>
      </w:r>
      <w:r w:rsidR="00EF7B36" w:rsidRPr="00EF7B36">
        <w:t xml:space="preserve">Dekker-Groen, van der Schaaf and Stokking, </w:t>
      </w:r>
      <w:r w:rsidR="00EF7B36">
        <w:t>(</w:t>
      </w:r>
      <w:r w:rsidR="00EF7B36" w:rsidRPr="00EF7B36">
        <w:t>2013)</w:t>
      </w:r>
      <w:r>
        <w:t xml:space="preserve"> highlights how teacher competence, reflection of own skill </w:t>
      </w:r>
      <w:r w:rsidR="00EF7B36">
        <w:t>set,</w:t>
      </w:r>
      <w:r>
        <w:t xml:space="preserve"> and development of effective pedagogy is crucial when allowing students a large proportion of independent learning </w:t>
      </w:r>
      <w:r w:rsidR="00D90885" w:rsidRPr="00D90885">
        <w:t>(Mulyawati, Zulela and Edwita, 2022)</w:t>
      </w:r>
      <w:r w:rsidR="00D90885">
        <w:t xml:space="preserve">. </w:t>
      </w:r>
    </w:p>
    <w:p w14:paraId="4003B520" w14:textId="77777777" w:rsidR="00A77397" w:rsidRDefault="00A77397" w:rsidP="0091299F">
      <w:pPr>
        <w:pStyle w:val="AssignBody"/>
        <w:jc w:val="both"/>
      </w:pPr>
    </w:p>
    <w:p w14:paraId="16E6738E" w14:textId="7A7E8585" w:rsidR="00A77397" w:rsidRDefault="00A77397" w:rsidP="0091299F">
      <w:pPr>
        <w:pStyle w:val="AssignBody"/>
        <w:jc w:val="both"/>
      </w:pPr>
      <w:r>
        <w:t xml:space="preserve">Innovative recommendations to further develop </w:t>
      </w:r>
      <w:r w:rsidR="00FA7226">
        <w:t>student’s</w:t>
      </w:r>
      <w:r>
        <w:t xml:space="preserve"> metacognition include the incorporation of ‘exit </w:t>
      </w:r>
      <w:r w:rsidR="00FA7226">
        <w:t>tickets</w:t>
      </w:r>
      <w:r w:rsidR="00CF110A">
        <w:t xml:space="preserve">, where a formal task it given to demonstrate </w:t>
      </w:r>
      <w:r w:rsidR="00D7082F">
        <w:t xml:space="preserve">metacognitive skill </w:t>
      </w:r>
      <w:r w:rsidR="00D90885" w:rsidRPr="00D90885">
        <w:t>(Gulikers, Veugen and Baartman, 2021)</w:t>
      </w:r>
      <w:r w:rsidR="00D90885">
        <w:t>.</w:t>
      </w:r>
      <w:r w:rsidR="00D7082F">
        <w:t xml:space="preserve"> </w:t>
      </w:r>
      <w:r>
        <w:t xml:space="preserve"> The usefulness of exit tickets to support metacognition is discussed by</w:t>
      </w:r>
      <w:r w:rsidR="00D90885">
        <w:t xml:space="preserve"> </w:t>
      </w:r>
      <w:r w:rsidR="00D90885" w:rsidRPr="00D90885">
        <w:t xml:space="preserve">Fowler, Windschitl and Richards, </w:t>
      </w:r>
      <w:r w:rsidR="00D90885">
        <w:t>(</w:t>
      </w:r>
      <w:r w:rsidR="00D90885" w:rsidRPr="00D90885">
        <w:t>2019)</w:t>
      </w:r>
      <w:r w:rsidR="00D90885">
        <w:t xml:space="preserve"> </w:t>
      </w:r>
      <w:r>
        <w:t>who highlight</w:t>
      </w:r>
      <w:r w:rsidR="00D90885">
        <w:t xml:space="preserve"> exit tickets provide an opportunity to consolidate and plan their thinking in a sharp focused activity</w:t>
      </w:r>
      <w:r>
        <w:t xml:space="preserve">. Further development of self-evaluation </w:t>
      </w:r>
      <w:r w:rsidR="00FA7226">
        <w:t xml:space="preserve">strategies could include students keeping a ‘journal’, with this recommendation </w:t>
      </w:r>
      <w:r w:rsidR="006B7EA7" w:rsidRPr="006B7EA7">
        <w:t xml:space="preserve">Rodriguez, Cecile le Roux and Melville, </w:t>
      </w:r>
      <w:r w:rsidR="006B7EA7">
        <w:t>(</w:t>
      </w:r>
      <w:r w:rsidR="006B7EA7" w:rsidRPr="006B7EA7">
        <w:t>2024)</w:t>
      </w:r>
      <w:r w:rsidR="006B7EA7">
        <w:t xml:space="preserve"> </w:t>
      </w:r>
      <w:r w:rsidR="00FA7226">
        <w:t>acknowledges the ability of the students.</w:t>
      </w:r>
      <w:r w:rsidR="006B7EA7">
        <w:t xml:space="preserve"> </w:t>
      </w:r>
      <w:r w:rsidR="006B7EA7" w:rsidRPr="006B7EA7">
        <w:t xml:space="preserve">Daza, Gudmundsdottir and Lund, </w:t>
      </w:r>
      <w:r w:rsidR="006B7EA7">
        <w:t>(</w:t>
      </w:r>
      <w:r w:rsidR="006B7EA7" w:rsidRPr="006B7EA7">
        <w:t>2021)</w:t>
      </w:r>
      <w:r w:rsidR="00FA7226">
        <w:t xml:space="preserve"> outlines how keeping a journal to manage reflection is common practise amongst university students on placement. This practise could be adapted for example for upper progression step 3 (8-11).  This journal could act as a method of monitoring and to see development of ability </w:t>
      </w:r>
      <w:r w:rsidR="006B7EA7" w:rsidRPr="006B7EA7">
        <w:t>(Liu, 2015)</w:t>
      </w:r>
      <w:r w:rsidR="00FA7226">
        <w:t xml:space="preserve">. </w:t>
      </w:r>
    </w:p>
    <w:p w14:paraId="6D97BFD1" w14:textId="77777777" w:rsidR="0091299F" w:rsidRDefault="0091299F" w:rsidP="0091299F">
      <w:pPr>
        <w:pStyle w:val="AssignBody"/>
        <w:jc w:val="both"/>
      </w:pPr>
    </w:p>
    <w:p w14:paraId="05AC74FC" w14:textId="1E0CD6C3" w:rsidR="00EE24CE" w:rsidRDefault="00EE24CE" w:rsidP="0091299F">
      <w:pPr>
        <w:pStyle w:val="AssignBody"/>
        <w:jc w:val="both"/>
        <w:rPr>
          <w:b/>
          <w:bCs/>
          <w:sz w:val="28"/>
          <w:szCs w:val="28"/>
        </w:rPr>
      </w:pPr>
      <w:r>
        <w:rPr>
          <w:b/>
          <w:bCs/>
          <w:sz w:val="28"/>
          <w:szCs w:val="28"/>
        </w:rPr>
        <w:t>Conclusion</w:t>
      </w:r>
      <w:r w:rsidR="00DE374C">
        <w:rPr>
          <w:b/>
          <w:bCs/>
          <w:sz w:val="28"/>
          <w:szCs w:val="28"/>
        </w:rPr>
        <w:t xml:space="preserve">- </w:t>
      </w:r>
    </w:p>
    <w:p w14:paraId="4CD56C7D" w14:textId="189E9272" w:rsidR="00A755AC" w:rsidRDefault="00CF110A" w:rsidP="0091299F">
      <w:pPr>
        <w:pStyle w:val="AssignBody"/>
        <w:jc w:val="both"/>
      </w:pPr>
      <w:r>
        <w:t xml:space="preserve">To conclude, implementation of metacognitive strategies in the classroom </w:t>
      </w:r>
      <w:r w:rsidR="00925E98">
        <w:t xml:space="preserve">prepares students to become </w:t>
      </w:r>
      <w:r w:rsidR="00F05E7A">
        <w:t xml:space="preserve">independent </w:t>
      </w:r>
      <w:r w:rsidR="00925E98">
        <w:t>functioning members of society</w:t>
      </w:r>
      <w:r w:rsidR="006B7EA7">
        <w:t xml:space="preserve"> </w:t>
      </w:r>
      <w:r w:rsidR="006B7EA7" w:rsidRPr="006B7EA7">
        <w:t>(Lone Hvalby, Guldbrandsen and Hildegunn Fandrem, 2024)</w:t>
      </w:r>
      <w:r w:rsidR="00925E98">
        <w:t>.</w:t>
      </w:r>
      <w:r w:rsidR="00A755AC">
        <w:t xml:space="preserve"> The necessity of a SDP is reinforced throughout this assignment, SDP</w:t>
      </w:r>
      <w:r w:rsidR="00F05E7A">
        <w:t>s</w:t>
      </w:r>
      <w:r w:rsidR="00A755AC">
        <w:t xml:space="preserve"> </w:t>
      </w:r>
      <w:r w:rsidR="00F05E7A">
        <w:t>are clearly monitored documents to ensure</w:t>
      </w:r>
      <w:r w:rsidR="00A755AC">
        <w:t xml:space="preserve"> </w:t>
      </w:r>
      <w:r w:rsidR="00F05E7A">
        <w:t xml:space="preserve">whole schools are continually aiming to enhance their pedagogy, student outcomes and overall positive culture </w:t>
      </w:r>
      <w:r w:rsidR="00AE2123" w:rsidRPr="00AE2123">
        <w:t>(Jobborova Gulnoza Kadamovna, 2022)</w:t>
      </w:r>
      <w:r w:rsidR="00F05E7A">
        <w:t xml:space="preserve">. </w:t>
      </w:r>
    </w:p>
    <w:p w14:paraId="1C6EA7C5" w14:textId="77777777" w:rsidR="00A755AC" w:rsidRDefault="00A755AC" w:rsidP="0091299F">
      <w:pPr>
        <w:pStyle w:val="AssignBody"/>
        <w:jc w:val="both"/>
      </w:pPr>
    </w:p>
    <w:p w14:paraId="52FE4CB2" w14:textId="77777777" w:rsidR="000B311C" w:rsidRDefault="000B311C" w:rsidP="0091299F">
      <w:pPr>
        <w:pStyle w:val="AssignBody"/>
        <w:jc w:val="both"/>
      </w:pPr>
    </w:p>
    <w:p w14:paraId="2FCD337E" w14:textId="41C58EA6" w:rsidR="00CF110A" w:rsidRDefault="00925E98" w:rsidP="0091299F">
      <w:pPr>
        <w:pStyle w:val="AssignBody"/>
        <w:jc w:val="both"/>
      </w:pPr>
      <w:r>
        <w:lastRenderedPageBreak/>
        <w:t xml:space="preserve">School X’s focus on developing a skill that targets both academic, cognitive and real-world skills demonstrates their focus to ensure students are continuously learning </w:t>
      </w:r>
      <w:r w:rsidR="00AE2123">
        <w:t>(Welsh Government, 2023</w:t>
      </w:r>
      <w:r w:rsidR="00C46AA1">
        <w:t>b</w:t>
      </w:r>
      <w:r w:rsidR="00AE2123">
        <w:t>)</w:t>
      </w:r>
      <w:r>
        <w:t xml:space="preserve">. </w:t>
      </w:r>
      <w:r w:rsidR="00D7082F">
        <w:t>This assignments</w:t>
      </w:r>
      <w:r w:rsidR="00F05E7A">
        <w:t xml:space="preserve"> key takeaway is the crucial role continuous learning plays in both student and educator roles</w:t>
      </w:r>
      <w:r w:rsidR="00D7082F">
        <w:t xml:space="preserve"> </w:t>
      </w:r>
      <w:r w:rsidR="00AE2123">
        <w:t>(Welsh Government, 2023</w:t>
      </w:r>
      <w:r w:rsidR="00AE2123">
        <w:t>c</w:t>
      </w:r>
      <w:r w:rsidR="00AE2123">
        <w:t xml:space="preserve">). </w:t>
      </w:r>
      <w:r w:rsidR="00D7082F">
        <w:t>Throughout the SDP and School X’s target there is a focus on refining pedagogy and ensuring continued professional learning.</w:t>
      </w:r>
      <w:r w:rsidR="00AE2123">
        <w:t xml:space="preserve"> Education Endowment Foundation, (2025)</w:t>
      </w:r>
      <w:r w:rsidR="00D7082F">
        <w:t xml:space="preserve"> discusses how teaching practise must be innovation to adapt and enhance pedagogy to elevate metacognitive skills of all students. The individualised metacognitive skill of all students promotes continuous development and learning to ensure effective practise </w:t>
      </w:r>
      <w:r w:rsidR="00AE2123">
        <w:t>(Sword, 2021</w:t>
      </w:r>
      <w:r w:rsidR="00D7082F">
        <w:t xml:space="preserve">).  </w:t>
      </w:r>
    </w:p>
    <w:p w14:paraId="15B74AA6" w14:textId="77777777" w:rsidR="00925E98" w:rsidRDefault="00925E98" w:rsidP="00EE24CE">
      <w:pPr>
        <w:pStyle w:val="AssignBody"/>
      </w:pPr>
    </w:p>
    <w:p w14:paraId="2281508F" w14:textId="633BE26E" w:rsidR="00925E98" w:rsidRPr="00154364" w:rsidRDefault="00925E98" w:rsidP="00EE24CE">
      <w:pPr>
        <w:pStyle w:val="AssignBody"/>
      </w:pPr>
    </w:p>
    <w:p w14:paraId="002E5B56" w14:textId="77777777" w:rsidR="003D632D" w:rsidRDefault="003D632D" w:rsidP="00EE24CE">
      <w:pPr>
        <w:pStyle w:val="AssignBody"/>
        <w:rPr>
          <w:b/>
          <w:bCs/>
          <w:sz w:val="28"/>
          <w:szCs w:val="28"/>
        </w:rPr>
      </w:pPr>
    </w:p>
    <w:p w14:paraId="7F60F723" w14:textId="77777777" w:rsidR="003D632D" w:rsidRDefault="003D632D" w:rsidP="00EE24CE">
      <w:pPr>
        <w:pStyle w:val="AssignBody"/>
        <w:rPr>
          <w:b/>
          <w:bCs/>
          <w:sz w:val="28"/>
          <w:szCs w:val="28"/>
        </w:rPr>
      </w:pPr>
    </w:p>
    <w:p w14:paraId="0A2FF2B3" w14:textId="77777777" w:rsidR="003D632D" w:rsidRDefault="003D632D" w:rsidP="00EE24CE">
      <w:pPr>
        <w:pStyle w:val="AssignBody"/>
        <w:rPr>
          <w:b/>
          <w:bCs/>
          <w:sz w:val="28"/>
          <w:szCs w:val="28"/>
        </w:rPr>
      </w:pPr>
    </w:p>
    <w:p w14:paraId="49613A07" w14:textId="77777777" w:rsidR="003D632D" w:rsidRDefault="003D632D" w:rsidP="00EE24CE">
      <w:pPr>
        <w:pStyle w:val="AssignBody"/>
        <w:rPr>
          <w:b/>
          <w:bCs/>
          <w:sz w:val="28"/>
          <w:szCs w:val="28"/>
        </w:rPr>
      </w:pPr>
    </w:p>
    <w:p w14:paraId="29D3A084" w14:textId="77777777" w:rsidR="003D632D" w:rsidRDefault="003D632D" w:rsidP="00EE24CE">
      <w:pPr>
        <w:pStyle w:val="AssignBody"/>
        <w:rPr>
          <w:b/>
          <w:bCs/>
          <w:sz w:val="28"/>
          <w:szCs w:val="28"/>
        </w:rPr>
      </w:pPr>
    </w:p>
    <w:p w14:paraId="423A1A29" w14:textId="77777777" w:rsidR="003D632D" w:rsidRDefault="003D632D" w:rsidP="00EE24CE">
      <w:pPr>
        <w:pStyle w:val="AssignBody"/>
        <w:rPr>
          <w:b/>
          <w:bCs/>
          <w:sz w:val="28"/>
          <w:szCs w:val="28"/>
        </w:rPr>
      </w:pPr>
    </w:p>
    <w:p w14:paraId="0C463CF9" w14:textId="77777777" w:rsidR="003D632D" w:rsidRDefault="003D632D" w:rsidP="00EE24CE">
      <w:pPr>
        <w:pStyle w:val="AssignBody"/>
        <w:rPr>
          <w:b/>
          <w:bCs/>
          <w:sz w:val="28"/>
          <w:szCs w:val="28"/>
        </w:rPr>
      </w:pPr>
    </w:p>
    <w:p w14:paraId="2CD3F7C1" w14:textId="77777777" w:rsidR="003D632D" w:rsidRDefault="003D632D" w:rsidP="00EE24CE">
      <w:pPr>
        <w:pStyle w:val="AssignBody"/>
        <w:rPr>
          <w:b/>
          <w:bCs/>
          <w:sz w:val="28"/>
          <w:szCs w:val="28"/>
        </w:rPr>
      </w:pPr>
    </w:p>
    <w:p w14:paraId="214211E8" w14:textId="77777777" w:rsidR="003D632D" w:rsidRDefault="003D632D" w:rsidP="00EE24CE">
      <w:pPr>
        <w:pStyle w:val="AssignBody"/>
        <w:rPr>
          <w:b/>
          <w:bCs/>
          <w:sz w:val="28"/>
          <w:szCs w:val="28"/>
        </w:rPr>
      </w:pPr>
    </w:p>
    <w:p w14:paraId="1C7B15C0" w14:textId="77777777" w:rsidR="003D632D" w:rsidRDefault="003D632D" w:rsidP="00EE24CE">
      <w:pPr>
        <w:pStyle w:val="AssignBody"/>
        <w:rPr>
          <w:b/>
          <w:bCs/>
          <w:sz w:val="28"/>
          <w:szCs w:val="28"/>
        </w:rPr>
      </w:pPr>
    </w:p>
    <w:p w14:paraId="09A25954" w14:textId="77777777" w:rsidR="003D632D" w:rsidRDefault="003D632D" w:rsidP="00EE24CE">
      <w:pPr>
        <w:pStyle w:val="AssignBody"/>
        <w:rPr>
          <w:b/>
          <w:bCs/>
          <w:sz w:val="28"/>
          <w:szCs w:val="28"/>
        </w:rPr>
      </w:pPr>
    </w:p>
    <w:p w14:paraId="531B15BE" w14:textId="77777777" w:rsidR="00AE2123" w:rsidRDefault="00AE2123" w:rsidP="00EE24CE">
      <w:pPr>
        <w:pStyle w:val="AssignBody"/>
        <w:rPr>
          <w:b/>
          <w:bCs/>
          <w:sz w:val="28"/>
          <w:szCs w:val="28"/>
        </w:rPr>
      </w:pPr>
    </w:p>
    <w:p w14:paraId="0582F290" w14:textId="77777777" w:rsidR="00AE2123" w:rsidRDefault="00AE2123" w:rsidP="00EE24CE">
      <w:pPr>
        <w:pStyle w:val="AssignBody"/>
        <w:rPr>
          <w:b/>
          <w:bCs/>
          <w:sz w:val="28"/>
          <w:szCs w:val="28"/>
        </w:rPr>
      </w:pPr>
    </w:p>
    <w:p w14:paraId="1D914DD0" w14:textId="77777777" w:rsidR="00AE2123" w:rsidRDefault="00AE2123" w:rsidP="00EE24CE">
      <w:pPr>
        <w:pStyle w:val="AssignBody"/>
        <w:rPr>
          <w:b/>
          <w:bCs/>
          <w:sz w:val="28"/>
          <w:szCs w:val="28"/>
        </w:rPr>
      </w:pPr>
    </w:p>
    <w:p w14:paraId="2306CA2B" w14:textId="77777777" w:rsidR="0091299F" w:rsidRDefault="0091299F" w:rsidP="00EE24CE">
      <w:pPr>
        <w:pStyle w:val="AssignBody"/>
        <w:rPr>
          <w:b/>
          <w:bCs/>
          <w:sz w:val="28"/>
          <w:szCs w:val="28"/>
        </w:rPr>
      </w:pPr>
    </w:p>
    <w:p w14:paraId="05E7AE7E" w14:textId="77777777" w:rsidR="0091299F" w:rsidRDefault="0091299F" w:rsidP="00EE24CE">
      <w:pPr>
        <w:pStyle w:val="AssignBody"/>
        <w:rPr>
          <w:b/>
          <w:bCs/>
          <w:sz w:val="28"/>
          <w:szCs w:val="28"/>
        </w:rPr>
      </w:pPr>
    </w:p>
    <w:p w14:paraId="284A0E0F" w14:textId="77777777" w:rsidR="0091299F" w:rsidRDefault="0091299F" w:rsidP="00EE24CE">
      <w:pPr>
        <w:pStyle w:val="AssignBody"/>
        <w:rPr>
          <w:b/>
          <w:bCs/>
          <w:sz w:val="28"/>
          <w:szCs w:val="28"/>
        </w:rPr>
      </w:pPr>
    </w:p>
    <w:p w14:paraId="6AEADC67" w14:textId="77777777" w:rsidR="0091299F" w:rsidRDefault="0091299F" w:rsidP="00EE24CE">
      <w:pPr>
        <w:pStyle w:val="AssignBody"/>
        <w:rPr>
          <w:b/>
          <w:bCs/>
          <w:sz w:val="28"/>
          <w:szCs w:val="28"/>
        </w:rPr>
      </w:pPr>
    </w:p>
    <w:p w14:paraId="2398649F" w14:textId="77777777" w:rsidR="0091299F" w:rsidRDefault="0091299F" w:rsidP="00EE24CE">
      <w:pPr>
        <w:pStyle w:val="AssignBody"/>
        <w:rPr>
          <w:b/>
          <w:bCs/>
          <w:sz w:val="28"/>
          <w:szCs w:val="28"/>
        </w:rPr>
      </w:pPr>
    </w:p>
    <w:p w14:paraId="74A01C2A" w14:textId="77777777" w:rsidR="0091299F" w:rsidRDefault="0091299F" w:rsidP="00EE24CE">
      <w:pPr>
        <w:pStyle w:val="AssignBody"/>
        <w:rPr>
          <w:b/>
          <w:bCs/>
          <w:sz w:val="28"/>
          <w:szCs w:val="28"/>
        </w:rPr>
      </w:pPr>
    </w:p>
    <w:p w14:paraId="7BA0CF79" w14:textId="2858E042" w:rsidR="00134DDB" w:rsidRDefault="00134DDB" w:rsidP="00EE24CE">
      <w:pPr>
        <w:pStyle w:val="AssignBody"/>
        <w:rPr>
          <w:b/>
          <w:bCs/>
          <w:sz w:val="28"/>
          <w:szCs w:val="28"/>
        </w:rPr>
      </w:pPr>
      <w:r>
        <w:rPr>
          <w:b/>
          <w:bCs/>
          <w:sz w:val="28"/>
          <w:szCs w:val="28"/>
        </w:rPr>
        <w:lastRenderedPageBreak/>
        <w:t xml:space="preserve">References: </w:t>
      </w:r>
    </w:p>
    <w:p w14:paraId="08D75874" w14:textId="77777777" w:rsidR="003D632D" w:rsidRPr="00C23D1B" w:rsidRDefault="003D632D" w:rsidP="003D632D">
      <w:pPr>
        <w:pStyle w:val="AssignBody"/>
        <w:spacing w:line="240" w:lineRule="auto"/>
        <w:rPr>
          <w:rFonts w:cs="Arial"/>
        </w:rPr>
      </w:pPr>
      <w:r w:rsidRPr="00C23D1B">
        <w:rPr>
          <w:rFonts w:cs="Arial"/>
        </w:rPr>
        <w:t xml:space="preserve">Admiraal, W., </w:t>
      </w:r>
      <w:proofErr w:type="spellStart"/>
      <w:r w:rsidRPr="00C23D1B">
        <w:rPr>
          <w:rFonts w:cs="Arial"/>
        </w:rPr>
        <w:t>Schenke</w:t>
      </w:r>
      <w:proofErr w:type="spellEnd"/>
      <w:r w:rsidRPr="00C23D1B">
        <w:rPr>
          <w:rFonts w:cs="Arial"/>
        </w:rPr>
        <w:t xml:space="preserve">, W., De Jong, L., </w:t>
      </w:r>
      <w:proofErr w:type="spellStart"/>
      <w:r w:rsidRPr="00C23D1B">
        <w:rPr>
          <w:rFonts w:cs="Arial"/>
        </w:rPr>
        <w:t>Emmelot</w:t>
      </w:r>
      <w:proofErr w:type="spellEnd"/>
      <w:r w:rsidRPr="00C23D1B">
        <w:rPr>
          <w:rFonts w:cs="Arial"/>
        </w:rPr>
        <w:t xml:space="preserve">, Y. and </w:t>
      </w:r>
      <w:proofErr w:type="spellStart"/>
      <w:r w:rsidRPr="00C23D1B">
        <w:rPr>
          <w:rFonts w:cs="Arial"/>
        </w:rPr>
        <w:t>Sligte</w:t>
      </w:r>
      <w:proofErr w:type="spellEnd"/>
      <w:r w:rsidRPr="00C23D1B">
        <w:rPr>
          <w:rFonts w:cs="Arial"/>
        </w:rPr>
        <w:t xml:space="preserve">, H. (2021). Schools as Professional Learning communities: What Can Schools Do to Support Professional Development of Their teachers? </w:t>
      </w:r>
      <w:r w:rsidRPr="00C23D1B">
        <w:rPr>
          <w:rFonts w:cs="Arial"/>
          <w:i/>
          <w:iCs/>
        </w:rPr>
        <w:t>Professional Development in Education</w:t>
      </w:r>
      <w:r w:rsidRPr="00C23D1B">
        <w:rPr>
          <w:rFonts w:cs="Arial"/>
        </w:rPr>
        <w:t>, 47(4), pp.1–15.</w:t>
      </w:r>
      <w:r>
        <w:rPr>
          <w:rFonts w:cs="Arial"/>
        </w:rPr>
        <w:t xml:space="preserve"> Available from: </w:t>
      </w:r>
      <w:hyperlink r:id="rId11" w:history="1">
        <w:r w:rsidRPr="00164C5F">
          <w:rPr>
            <w:rStyle w:val="Hyperlink"/>
            <w:rFonts w:cs="Arial"/>
          </w:rPr>
          <w:t>https://www.researchgate.net/publication/335986161_Schools_as_professional_learning_communities_what_can_schools_do_to_support_professional_development_of_their_teachers,</w:t>
        </w:r>
      </w:hyperlink>
      <w:r>
        <w:rPr>
          <w:rFonts w:cs="Arial"/>
        </w:rPr>
        <w:t>, Accessed on: 27/02/25</w:t>
      </w:r>
    </w:p>
    <w:p w14:paraId="48691D80" w14:textId="77777777" w:rsidR="003D632D" w:rsidRDefault="003D632D" w:rsidP="003D632D">
      <w:pPr>
        <w:pStyle w:val="AssignBody"/>
        <w:spacing w:line="240" w:lineRule="auto"/>
        <w:rPr>
          <w:rFonts w:cs="Arial"/>
        </w:rPr>
      </w:pPr>
    </w:p>
    <w:p w14:paraId="039D9CA8" w14:textId="77777777" w:rsidR="003D632D" w:rsidRDefault="003D632D" w:rsidP="003D632D">
      <w:pPr>
        <w:pStyle w:val="AssignBody"/>
        <w:spacing w:line="240" w:lineRule="auto"/>
        <w:rPr>
          <w:rFonts w:cs="Arial"/>
        </w:rPr>
      </w:pPr>
      <w:r w:rsidRPr="008F7899">
        <w:rPr>
          <w:rFonts w:cs="Arial"/>
        </w:rPr>
        <w:t xml:space="preserve">Ajayi, J. (2024). </w:t>
      </w:r>
      <w:r w:rsidRPr="008F7899">
        <w:rPr>
          <w:rFonts w:cs="Arial"/>
          <w:i/>
          <w:iCs/>
        </w:rPr>
        <w:t>Metacognitive Strategies in the Classroom</w:t>
      </w:r>
      <w:r w:rsidRPr="008F7899">
        <w:rPr>
          <w:rFonts w:cs="Arial"/>
        </w:rPr>
        <w:t xml:space="preserve">. [online] ResearchGate. Available at: </w:t>
      </w:r>
      <w:hyperlink r:id="rId12" w:history="1">
        <w:r w:rsidRPr="008F7899">
          <w:rPr>
            <w:rStyle w:val="Hyperlink"/>
            <w:rFonts w:cs="Arial"/>
          </w:rPr>
          <w:t>https://www.researchgate.net/publication/380814749_Metacognitive_Strategies_in_the_Classroom</w:t>
        </w:r>
      </w:hyperlink>
      <w:r w:rsidRPr="00134DDB">
        <w:rPr>
          <w:rFonts w:cs="Arial"/>
        </w:rPr>
        <w:t xml:space="preserve">, </w:t>
      </w:r>
      <w:r w:rsidRPr="008F7899">
        <w:rPr>
          <w:rFonts w:cs="Arial"/>
        </w:rPr>
        <w:t>Accessed 26</w:t>
      </w:r>
      <w:r w:rsidRPr="00134DDB">
        <w:rPr>
          <w:rFonts w:cs="Arial"/>
        </w:rPr>
        <w:t>/02/25</w:t>
      </w:r>
    </w:p>
    <w:p w14:paraId="508F94C0" w14:textId="77777777" w:rsidR="003D632D" w:rsidRDefault="003D632D" w:rsidP="003D632D">
      <w:pPr>
        <w:pStyle w:val="AssignBody"/>
        <w:spacing w:line="240" w:lineRule="auto"/>
        <w:rPr>
          <w:rFonts w:cs="Arial"/>
        </w:rPr>
      </w:pPr>
    </w:p>
    <w:p w14:paraId="2F4A5AAD" w14:textId="77777777" w:rsidR="003D632D" w:rsidRDefault="003D632D" w:rsidP="003D632D">
      <w:pPr>
        <w:pStyle w:val="AssignBody"/>
        <w:spacing w:line="240" w:lineRule="auto"/>
        <w:rPr>
          <w:rFonts w:cs="Arial"/>
        </w:rPr>
      </w:pPr>
      <w:r>
        <w:rPr>
          <w:rFonts w:cs="Arial"/>
        </w:rPr>
        <w:t xml:space="preserve">Awagu I, (2021), Language in Academic Writing: Features and Topical Issues, Linguistics and Literature Studies [Online], 9 (2), p. 49-56, Available from: </w:t>
      </w:r>
      <w:hyperlink r:id="rId13" w:history="1">
        <w:r w:rsidRPr="00164C5F">
          <w:rPr>
            <w:rStyle w:val="Hyperlink"/>
            <w:rFonts w:cs="Arial"/>
          </w:rPr>
          <w:t>https://www.researchgate.net/profile/Ifeyinwa-Awagu-2/publication/350604021_Language_in_Academic_Writing_Features_and_Topical_Issues/links/606827f592851c91b19c21e9/Lang</w:t>
        </w:r>
        <w:r w:rsidRPr="00164C5F">
          <w:rPr>
            <w:rStyle w:val="Hyperlink"/>
            <w:rFonts w:cs="Arial"/>
          </w:rPr>
          <w:t>u</w:t>
        </w:r>
        <w:r w:rsidRPr="00164C5F">
          <w:rPr>
            <w:rStyle w:val="Hyperlink"/>
            <w:rFonts w:cs="Arial"/>
          </w:rPr>
          <w:t>age-in-Academic-Writing-Features-and-Topical-Issues.pdf</w:t>
        </w:r>
      </w:hyperlink>
      <w:r>
        <w:rPr>
          <w:rFonts w:cs="Arial"/>
        </w:rPr>
        <w:t>, Accessed on: 26/02/25</w:t>
      </w:r>
    </w:p>
    <w:p w14:paraId="528558EB" w14:textId="77777777" w:rsidR="003D632D" w:rsidRDefault="003D632D" w:rsidP="003D632D">
      <w:pPr>
        <w:pStyle w:val="AssignBody"/>
        <w:spacing w:line="240" w:lineRule="auto"/>
        <w:rPr>
          <w:rFonts w:cs="Arial"/>
        </w:rPr>
      </w:pPr>
    </w:p>
    <w:p w14:paraId="06474398" w14:textId="7A467165" w:rsidR="001C6C48" w:rsidRPr="001C6C48" w:rsidRDefault="001C6C48" w:rsidP="001C6C48">
      <w:pPr>
        <w:pStyle w:val="AssignBody"/>
        <w:spacing w:line="240" w:lineRule="auto"/>
        <w:rPr>
          <w:rFonts w:cs="Arial"/>
        </w:rPr>
      </w:pPr>
      <w:r w:rsidRPr="001C6C48">
        <w:rPr>
          <w:rFonts w:cs="Arial"/>
        </w:rPr>
        <w:t xml:space="preserve">Baldwin, J.R., </w:t>
      </w:r>
      <w:proofErr w:type="spellStart"/>
      <w:r w:rsidRPr="001C6C48">
        <w:rPr>
          <w:rFonts w:cs="Arial"/>
        </w:rPr>
        <w:t>Pingault</w:t>
      </w:r>
      <w:proofErr w:type="spellEnd"/>
      <w:r w:rsidRPr="001C6C48">
        <w:rPr>
          <w:rFonts w:cs="Arial"/>
        </w:rPr>
        <w:t xml:space="preserve">, J.-B., </w:t>
      </w:r>
      <w:proofErr w:type="spellStart"/>
      <w:r w:rsidRPr="001C6C48">
        <w:rPr>
          <w:rFonts w:cs="Arial"/>
        </w:rPr>
        <w:t>Schoeler</w:t>
      </w:r>
      <w:proofErr w:type="spellEnd"/>
      <w:r w:rsidRPr="001C6C48">
        <w:rPr>
          <w:rFonts w:cs="Arial"/>
        </w:rPr>
        <w:t xml:space="preserve">, T., Sallis, H.M. and </w:t>
      </w:r>
      <w:proofErr w:type="spellStart"/>
      <w:r w:rsidRPr="001C6C48">
        <w:rPr>
          <w:rFonts w:cs="Arial"/>
        </w:rPr>
        <w:t>Munafò</w:t>
      </w:r>
      <w:proofErr w:type="spellEnd"/>
      <w:r w:rsidRPr="001C6C48">
        <w:rPr>
          <w:rFonts w:cs="Arial"/>
        </w:rPr>
        <w:t xml:space="preserve">, M.R. (2022). Protecting against Researcher Bias in Secondary Data analysis: Challenges and Potential Solutions. </w:t>
      </w:r>
      <w:r w:rsidRPr="001C6C48">
        <w:rPr>
          <w:rFonts w:cs="Arial"/>
          <w:i/>
          <w:iCs/>
        </w:rPr>
        <w:t>European Journal of Epidemiology</w:t>
      </w:r>
      <w:r w:rsidRPr="001C6C48">
        <w:rPr>
          <w:rFonts w:cs="Arial"/>
        </w:rPr>
        <w:t xml:space="preserve">, [online] 37(1), pp.1–10. </w:t>
      </w:r>
      <w:r>
        <w:rPr>
          <w:rFonts w:cs="Arial"/>
        </w:rPr>
        <w:t xml:space="preserve">Available from: </w:t>
      </w:r>
      <w:hyperlink r:id="rId14" w:history="1">
        <w:r w:rsidRPr="001C6C48">
          <w:rPr>
            <w:rStyle w:val="Hyperlink"/>
            <w:rFonts w:cs="Arial"/>
          </w:rPr>
          <w:t>https://doi.org/10.1007%2Fs10654-021-00839-0</w:t>
        </w:r>
      </w:hyperlink>
      <w:r>
        <w:rPr>
          <w:rFonts w:cs="Arial"/>
        </w:rPr>
        <w:t>, Accessed on: 01/03/25</w:t>
      </w:r>
    </w:p>
    <w:p w14:paraId="4109EB67" w14:textId="77777777" w:rsidR="001C6C48" w:rsidRDefault="001C6C48" w:rsidP="003D632D">
      <w:pPr>
        <w:pStyle w:val="AssignBody"/>
        <w:spacing w:line="240" w:lineRule="auto"/>
        <w:rPr>
          <w:rFonts w:cs="Arial"/>
        </w:rPr>
      </w:pPr>
    </w:p>
    <w:p w14:paraId="630DD41D" w14:textId="3393FF98" w:rsidR="001C6C48" w:rsidRPr="001C6C48" w:rsidRDefault="001C6C48" w:rsidP="001C6C48">
      <w:pPr>
        <w:pStyle w:val="AssignBody"/>
        <w:spacing w:line="240" w:lineRule="auto"/>
        <w:rPr>
          <w:rFonts w:cs="Arial"/>
        </w:rPr>
      </w:pPr>
      <w:r w:rsidRPr="001C6C48">
        <w:rPr>
          <w:rFonts w:cs="Arial"/>
        </w:rPr>
        <w:t xml:space="preserve">Beauchamp, C. (2015). Reflection in Teacher education: Issues Emerging from a Review of Current Literature. </w:t>
      </w:r>
      <w:r w:rsidRPr="001C6C48">
        <w:rPr>
          <w:rFonts w:cs="Arial"/>
          <w:i/>
          <w:iCs/>
        </w:rPr>
        <w:t>Reflective Practice</w:t>
      </w:r>
      <w:r w:rsidRPr="001C6C48">
        <w:rPr>
          <w:rFonts w:cs="Arial"/>
        </w:rPr>
        <w:t xml:space="preserve">, 16(1), pp.123–141. </w:t>
      </w:r>
      <w:r>
        <w:rPr>
          <w:rFonts w:cs="Arial"/>
        </w:rPr>
        <w:t xml:space="preserve">Available from: </w:t>
      </w:r>
      <w:hyperlink r:id="rId15" w:history="1">
        <w:r w:rsidRPr="001C6C48">
          <w:rPr>
            <w:rStyle w:val="Hyperlink"/>
            <w:rFonts w:cs="Arial"/>
          </w:rPr>
          <w:t>https://doi.org/10.1080/14623943.2014.982525</w:t>
        </w:r>
      </w:hyperlink>
      <w:r>
        <w:rPr>
          <w:rFonts w:cs="Arial"/>
        </w:rPr>
        <w:t>, Accessed on: 01/03/25</w:t>
      </w:r>
    </w:p>
    <w:p w14:paraId="7AFFA9F4" w14:textId="77777777" w:rsidR="001C6C48" w:rsidRPr="00C23D1B" w:rsidRDefault="001C6C48" w:rsidP="003D632D">
      <w:pPr>
        <w:pStyle w:val="AssignBody"/>
        <w:spacing w:line="240" w:lineRule="auto"/>
        <w:rPr>
          <w:rFonts w:cs="Arial"/>
        </w:rPr>
      </w:pPr>
    </w:p>
    <w:p w14:paraId="7BBD4110" w14:textId="77777777" w:rsidR="003D632D" w:rsidRDefault="003D632D" w:rsidP="003D632D">
      <w:pPr>
        <w:spacing w:line="240" w:lineRule="auto"/>
        <w:rPr>
          <w:rFonts w:ascii="Arial" w:hAnsi="Arial" w:cs="Arial"/>
        </w:rPr>
      </w:pPr>
      <w:r w:rsidRPr="00134DDB">
        <w:rPr>
          <w:rFonts w:ascii="Arial" w:hAnsi="Arial" w:cs="Arial"/>
        </w:rPr>
        <w:t>Bera, (2024), Ethical Guidelines for Educational Research [Online], 5</w:t>
      </w:r>
      <w:r w:rsidRPr="00134DDB">
        <w:rPr>
          <w:rFonts w:ascii="Arial" w:hAnsi="Arial" w:cs="Arial"/>
          <w:vertAlign w:val="superscript"/>
        </w:rPr>
        <w:t>th</w:t>
      </w:r>
      <w:r w:rsidRPr="00134DDB">
        <w:rPr>
          <w:rFonts w:ascii="Arial" w:hAnsi="Arial" w:cs="Arial"/>
        </w:rPr>
        <w:t xml:space="preserve"> Edition, Available from: </w:t>
      </w:r>
      <w:hyperlink r:id="rId16" w:history="1">
        <w:r w:rsidRPr="00134DDB">
          <w:rPr>
            <w:rStyle w:val="Hyperlink"/>
            <w:rFonts w:ascii="Arial" w:hAnsi="Arial" w:cs="Arial"/>
          </w:rPr>
          <w:t>https://www.bera.ac.uk</w:t>
        </w:r>
        <w:r w:rsidRPr="00134DDB">
          <w:rPr>
            <w:rStyle w:val="Hyperlink"/>
            <w:rFonts w:ascii="Arial" w:hAnsi="Arial" w:cs="Arial"/>
          </w:rPr>
          <w:t>/</w:t>
        </w:r>
        <w:r w:rsidRPr="00134DDB">
          <w:rPr>
            <w:rStyle w:val="Hyperlink"/>
            <w:rFonts w:ascii="Arial" w:hAnsi="Arial" w:cs="Arial"/>
          </w:rPr>
          <w:t>publication/ethical-guidelines-for-educational-research-fifth-edition-2024</w:t>
        </w:r>
      </w:hyperlink>
      <w:r w:rsidRPr="00134DDB">
        <w:rPr>
          <w:rFonts w:ascii="Arial" w:hAnsi="Arial" w:cs="Arial"/>
        </w:rPr>
        <w:t>, Accessed on: 26/02/25</w:t>
      </w:r>
    </w:p>
    <w:p w14:paraId="53C73072" w14:textId="77777777" w:rsidR="00C46AA1" w:rsidRDefault="00C46AA1" w:rsidP="00C46AA1">
      <w:pPr>
        <w:pStyle w:val="AssignBody"/>
        <w:spacing w:line="240" w:lineRule="auto"/>
        <w:rPr>
          <w:rFonts w:cs="Arial"/>
        </w:rPr>
      </w:pPr>
      <w:r w:rsidRPr="00C23D1B">
        <w:rPr>
          <w:rFonts w:cs="Arial"/>
        </w:rPr>
        <w:t xml:space="preserve">Blackley, C., Redmond, P. and Peel, K. (2021). Teacher decision-making in the classroom: the Influence of Cognitive Load and Teacher Affect. </w:t>
      </w:r>
      <w:r w:rsidRPr="00C23D1B">
        <w:rPr>
          <w:rFonts w:cs="Arial"/>
          <w:i/>
          <w:iCs/>
        </w:rPr>
        <w:t>Journal of Education for Teaching</w:t>
      </w:r>
      <w:r w:rsidRPr="00C23D1B">
        <w:rPr>
          <w:rFonts w:cs="Arial"/>
        </w:rPr>
        <w:t xml:space="preserve">, 47(4), pp.1–14. </w:t>
      </w:r>
      <w:r>
        <w:rPr>
          <w:rFonts w:cs="Arial"/>
        </w:rPr>
        <w:t xml:space="preserve">Available from: </w:t>
      </w:r>
      <w:hyperlink r:id="rId17" w:history="1">
        <w:r w:rsidRPr="00C23D1B">
          <w:rPr>
            <w:rStyle w:val="Hyperlink"/>
            <w:rFonts w:cs="Arial"/>
          </w:rPr>
          <w:t>https://doi.org/10.1080/02607476.2021.1902748</w:t>
        </w:r>
      </w:hyperlink>
      <w:r>
        <w:rPr>
          <w:rFonts w:cs="Arial"/>
        </w:rPr>
        <w:t>, Accessed on: 28/02/25</w:t>
      </w:r>
    </w:p>
    <w:p w14:paraId="0F448FC2" w14:textId="77777777" w:rsidR="00C46AA1" w:rsidRDefault="00C46AA1" w:rsidP="003D632D">
      <w:pPr>
        <w:spacing w:line="240" w:lineRule="auto"/>
        <w:rPr>
          <w:rFonts w:ascii="Arial" w:hAnsi="Arial" w:cs="Arial"/>
        </w:rPr>
      </w:pPr>
    </w:p>
    <w:p w14:paraId="2675F1EF" w14:textId="1B9A7343" w:rsidR="003D632D" w:rsidRDefault="003D632D" w:rsidP="003D632D">
      <w:pPr>
        <w:spacing w:line="240" w:lineRule="auto"/>
        <w:rPr>
          <w:rFonts w:ascii="Arial" w:hAnsi="Arial" w:cs="Arial"/>
        </w:rPr>
      </w:pPr>
      <w:r>
        <w:rPr>
          <w:rFonts w:ascii="Arial" w:hAnsi="Arial" w:cs="Arial"/>
        </w:rPr>
        <w:t xml:space="preserve">Brighouse and Woods, (1999), How to improve your school, Chapter 5, pp. 107-109, Available from: </w:t>
      </w:r>
      <w:hyperlink r:id="rId18" w:history="1">
        <w:r w:rsidRPr="00164C5F">
          <w:rPr>
            <w:rStyle w:val="Hyperlink"/>
            <w:rFonts w:ascii="Arial" w:hAnsi="Arial" w:cs="Arial"/>
          </w:rPr>
          <w:t>https://padlet.com/jessicaroberts4/school-improvement-gwella-ysgolion-e04tfqe8jmln73vb/wish/0BA3ZpJ3EOp9anPb</w:t>
        </w:r>
      </w:hyperlink>
      <w:r>
        <w:rPr>
          <w:rFonts w:ascii="Arial" w:hAnsi="Arial" w:cs="Arial"/>
        </w:rPr>
        <w:t>, Accessed on: 26/02/25</w:t>
      </w:r>
    </w:p>
    <w:p w14:paraId="13892B21" w14:textId="63464D2B" w:rsidR="00940E98" w:rsidRPr="00940E98" w:rsidRDefault="00940E98" w:rsidP="00940E98">
      <w:pPr>
        <w:spacing w:line="240" w:lineRule="auto"/>
        <w:rPr>
          <w:rFonts w:ascii="Arial" w:hAnsi="Arial" w:cs="Arial"/>
        </w:rPr>
      </w:pPr>
      <w:r w:rsidRPr="00940E98">
        <w:rPr>
          <w:rFonts w:ascii="Arial" w:hAnsi="Arial" w:cs="Arial"/>
        </w:rPr>
        <w:t xml:space="preserve">Chung, H.Q., Chen, V. and Olson, C.B. (2021). The Impact of self-assessment, Planning and Goal setting, and Reflection before and after Revision on Student self-efficacy and Writing Performance. </w:t>
      </w:r>
      <w:r w:rsidRPr="00940E98">
        <w:rPr>
          <w:rFonts w:ascii="Arial" w:hAnsi="Arial" w:cs="Arial"/>
          <w:i/>
          <w:iCs/>
        </w:rPr>
        <w:t>Reading and Writing</w:t>
      </w:r>
      <w:r w:rsidRPr="00940E98">
        <w:rPr>
          <w:rFonts w:ascii="Arial" w:hAnsi="Arial" w:cs="Arial"/>
        </w:rPr>
        <w:t xml:space="preserve">, [online] 34(34). </w:t>
      </w:r>
      <w:r>
        <w:rPr>
          <w:rFonts w:ascii="Arial" w:hAnsi="Arial" w:cs="Arial"/>
        </w:rPr>
        <w:t xml:space="preserve">Available from: </w:t>
      </w:r>
      <w:hyperlink r:id="rId19" w:history="1">
        <w:r w:rsidRPr="00940E98">
          <w:rPr>
            <w:rStyle w:val="Hyperlink"/>
            <w:rFonts w:ascii="Arial" w:hAnsi="Arial" w:cs="Arial"/>
          </w:rPr>
          <w:t>https://doi.org/10.1007/s11145-021-10186-x</w:t>
        </w:r>
      </w:hyperlink>
      <w:r>
        <w:rPr>
          <w:rFonts w:ascii="Arial" w:hAnsi="Arial" w:cs="Arial"/>
        </w:rPr>
        <w:t>, Accessed on: 01/03/25</w:t>
      </w:r>
    </w:p>
    <w:p w14:paraId="15CF2B3A" w14:textId="77777777" w:rsidR="003D632D" w:rsidRDefault="003D632D" w:rsidP="003D632D">
      <w:pPr>
        <w:spacing w:line="240" w:lineRule="auto"/>
        <w:rPr>
          <w:rFonts w:ascii="Arial" w:hAnsi="Arial" w:cs="Arial"/>
        </w:rPr>
      </w:pPr>
      <w:r w:rsidRPr="00F15A1C">
        <w:rPr>
          <w:rFonts w:ascii="Arial" w:hAnsi="Arial" w:cs="Arial"/>
        </w:rPr>
        <w:t xml:space="preserve">Corsino, L. and Fuller, A.T. (2021). Educating for diversity, equity, and inclusion: a Review of Commonly Used Educational Approaches. </w:t>
      </w:r>
      <w:r w:rsidRPr="00F15A1C">
        <w:rPr>
          <w:rFonts w:ascii="Arial" w:hAnsi="Arial" w:cs="Arial"/>
          <w:i/>
          <w:iCs/>
        </w:rPr>
        <w:t>Journal of Clinical and Translational Science</w:t>
      </w:r>
      <w:r w:rsidRPr="00F15A1C">
        <w:rPr>
          <w:rFonts w:ascii="Arial" w:hAnsi="Arial" w:cs="Arial"/>
        </w:rPr>
        <w:t xml:space="preserve">, [online] 5(1), p.e169. </w:t>
      </w:r>
      <w:r>
        <w:rPr>
          <w:rFonts w:ascii="Arial" w:hAnsi="Arial" w:cs="Arial"/>
        </w:rPr>
        <w:t xml:space="preserve">Available from: </w:t>
      </w:r>
      <w:hyperlink r:id="rId20" w:history="1">
        <w:r w:rsidRPr="00F15A1C">
          <w:rPr>
            <w:rStyle w:val="Hyperlink"/>
            <w:rFonts w:ascii="Arial" w:hAnsi="Arial" w:cs="Arial"/>
          </w:rPr>
          <w:t>https://doi.org/10.1017/cts.2021.834</w:t>
        </w:r>
      </w:hyperlink>
      <w:r>
        <w:rPr>
          <w:rFonts w:ascii="Arial" w:hAnsi="Arial" w:cs="Arial"/>
        </w:rPr>
        <w:t>, Accessed on: 28/02/25</w:t>
      </w:r>
    </w:p>
    <w:p w14:paraId="2BE339D6" w14:textId="3151C4AA" w:rsidR="00993A51" w:rsidRDefault="00993A51" w:rsidP="003D632D">
      <w:pPr>
        <w:spacing w:line="240" w:lineRule="auto"/>
        <w:rPr>
          <w:rFonts w:ascii="Arial" w:hAnsi="Arial" w:cs="Arial"/>
        </w:rPr>
      </w:pPr>
      <w:r>
        <w:rPr>
          <w:rFonts w:ascii="Arial" w:hAnsi="Arial" w:cs="Arial"/>
        </w:rPr>
        <w:lastRenderedPageBreak/>
        <w:t xml:space="preserve">Cox, (2015), School Development plans- are they really needed? [Online], Available from: </w:t>
      </w:r>
      <w:hyperlink r:id="rId21" w:history="1">
        <w:r w:rsidRPr="00164C5F">
          <w:rPr>
            <w:rStyle w:val="Hyperlink"/>
            <w:rFonts w:ascii="Arial" w:hAnsi="Arial" w:cs="Arial"/>
          </w:rPr>
          <w:t>https://missdcoxblog.wordpress.com/2015/10/11/school-development-plans-are-they-really-needed/</w:t>
        </w:r>
      </w:hyperlink>
      <w:r>
        <w:rPr>
          <w:rFonts w:ascii="Arial" w:hAnsi="Arial" w:cs="Arial"/>
        </w:rPr>
        <w:t>, Accessed on: 28/02/25</w:t>
      </w:r>
    </w:p>
    <w:p w14:paraId="480CC4AA" w14:textId="6988ACBC" w:rsidR="006B7EA7" w:rsidRPr="006B7EA7" w:rsidRDefault="006B7EA7" w:rsidP="006B7EA7">
      <w:pPr>
        <w:spacing w:line="240" w:lineRule="auto"/>
        <w:rPr>
          <w:rFonts w:ascii="Arial" w:hAnsi="Arial" w:cs="Arial"/>
        </w:rPr>
      </w:pPr>
      <w:r w:rsidRPr="006B7EA7">
        <w:rPr>
          <w:rFonts w:ascii="Arial" w:hAnsi="Arial" w:cs="Arial"/>
        </w:rPr>
        <w:t xml:space="preserve">Daza, V., Gudmundsdottir, G.B. and Lund, A. (2021). Partnerships as Third Spaces for Professional Practice in Initial Teacher education: a Scoping Review. </w:t>
      </w:r>
      <w:r w:rsidRPr="006B7EA7">
        <w:rPr>
          <w:rFonts w:ascii="Arial" w:hAnsi="Arial" w:cs="Arial"/>
          <w:i/>
          <w:iCs/>
        </w:rPr>
        <w:t>Teaching and Teacher Education</w:t>
      </w:r>
      <w:r w:rsidRPr="006B7EA7">
        <w:rPr>
          <w:rFonts w:ascii="Arial" w:hAnsi="Arial" w:cs="Arial"/>
        </w:rPr>
        <w:t xml:space="preserve">, 102, p.103338. </w:t>
      </w:r>
      <w:r>
        <w:rPr>
          <w:rFonts w:ascii="Arial" w:hAnsi="Arial" w:cs="Arial"/>
        </w:rPr>
        <w:t xml:space="preserve">Available </w:t>
      </w:r>
      <w:proofErr w:type="spellStart"/>
      <w:proofErr w:type="gramStart"/>
      <w:r>
        <w:rPr>
          <w:rFonts w:ascii="Arial" w:hAnsi="Arial" w:cs="Arial"/>
        </w:rPr>
        <w:t>from:</w:t>
      </w:r>
      <w:r w:rsidRPr="006B7EA7">
        <w:rPr>
          <w:rFonts w:ascii="Arial" w:hAnsi="Arial" w:cs="Arial"/>
        </w:rPr>
        <w:t>https</w:t>
      </w:r>
      <w:proofErr w:type="spellEnd"/>
      <w:r w:rsidRPr="006B7EA7">
        <w:rPr>
          <w:rFonts w:ascii="Arial" w:hAnsi="Arial" w:cs="Arial"/>
        </w:rPr>
        <w:t>://doi.org/10.1016/j.tate.2021.103338</w:t>
      </w:r>
      <w:proofErr w:type="gramEnd"/>
      <w:r>
        <w:rPr>
          <w:rFonts w:ascii="Arial" w:hAnsi="Arial" w:cs="Arial"/>
        </w:rPr>
        <w:t>, Accessed on: 01/03/25</w:t>
      </w:r>
    </w:p>
    <w:p w14:paraId="47BA1BE6" w14:textId="77777777" w:rsidR="003D632D" w:rsidRDefault="003D632D" w:rsidP="003D632D">
      <w:pPr>
        <w:spacing w:line="240" w:lineRule="auto"/>
        <w:rPr>
          <w:rFonts w:ascii="Arial" w:hAnsi="Arial" w:cs="Arial"/>
        </w:rPr>
      </w:pPr>
      <w:r w:rsidRPr="00735A44">
        <w:rPr>
          <w:rFonts w:ascii="Arial" w:hAnsi="Arial" w:cs="Arial"/>
        </w:rPr>
        <w:t xml:space="preserve">de Bree, E. and Zee, M. (2020). The Unique Role of Verbal memory, vocabulary, Concentration and self-efficacy in Children’s Listening Comprehension in Upper Elementary Grades. </w:t>
      </w:r>
      <w:r w:rsidRPr="00735A44">
        <w:rPr>
          <w:rFonts w:ascii="Arial" w:hAnsi="Arial" w:cs="Arial"/>
          <w:i/>
          <w:iCs/>
        </w:rPr>
        <w:t>First Language</w:t>
      </w:r>
      <w:r w:rsidRPr="00735A44">
        <w:rPr>
          <w:rFonts w:ascii="Arial" w:hAnsi="Arial" w:cs="Arial"/>
        </w:rPr>
        <w:t xml:space="preserve">, 41(2), p.014272372094168. </w:t>
      </w:r>
      <w:r>
        <w:rPr>
          <w:rFonts w:ascii="Arial" w:hAnsi="Arial" w:cs="Arial"/>
        </w:rPr>
        <w:t xml:space="preserve">Available </w:t>
      </w:r>
      <w:proofErr w:type="spellStart"/>
      <w:proofErr w:type="gramStart"/>
      <w:r>
        <w:rPr>
          <w:rFonts w:ascii="Arial" w:hAnsi="Arial" w:cs="Arial"/>
        </w:rPr>
        <w:t>from:</w:t>
      </w:r>
      <w:r w:rsidRPr="00735A44">
        <w:rPr>
          <w:rFonts w:ascii="Arial" w:hAnsi="Arial" w:cs="Arial"/>
        </w:rPr>
        <w:t>https</w:t>
      </w:r>
      <w:proofErr w:type="spellEnd"/>
      <w:r w:rsidRPr="00735A44">
        <w:rPr>
          <w:rFonts w:ascii="Arial" w:hAnsi="Arial" w:cs="Arial"/>
        </w:rPr>
        <w:t>://doi.org/10.1177/0142723720941680</w:t>
      </w:r>
      <w:proofErr w:type="gramEnd"/>
      <w:r>
        <w:rPr>
          <w:rFonts w:ascii="Arial" w:hAnsi="Arial" w:cs="Arial"/>
        </w:rPr>
        <w:t>, Accessed on: 28/02/25</w:t>
      </w:r>
    </w:p>
    <w:p w14:paraId="01E47185" w14:textId="651CF79E" w:rsidR="00EF7B36" w:rsidRPr="00EF7B36" w:rsidRDefault="00EF7B36" w:rsidP="00EF7B36">
      <w:pPr>
        <w:spacing w:line="240" w:lineRule="auto"/>
        <w:rPr>
          <w:rFonts w:ascii="Arial" w:hAnsi="Arial" w:cs="Arial"/>
        </w:rPr>
      </w:pPr>
      <w:r w:rsidRPr="00EF7B36">
        <w:rPr>
          <w:rFonts w:ascii="Arial" w:hAnsi="Arial" w:cs="Arial"/>
        </w:rPr>
        <w:t xml:space="preserve">Dekker-Groen, A.M., van der Schaaf, M.F. and Stokking, K.M. (2013). A Teacher Competence Development Programme for Supporting Students’ Reflection Skills. </w:t>
      </w:r>
      <w:r w:rsidRPr="00EF7B36">
        <w:rPr>
          <w:rFonts w:ascii="Arial" w:hAnsi="Arial" w:cs="Arial"/>
          <w:i/>
          <w:iCs/>
        </w:rPr>
        <w:t>Teachers and Teaching</w:t>
      </w:r>
      <w:r w:rsidRPr="00EF7B36">
        <w:rPr>
          <w:rFonts w:ascii="Arial" w:hAnsi="Arial" w:cs="Arial"/>
        </w:rPr>
        <w:t xml:space="preserve">, 19(2), pp.150–171. </w:t>
      </w:r>
      <w:r>
        <w:rPr>
          <w:rFonts w:ascii="Arial" w:hAnsi="Arial" w:cs="Arial"/>
        </w:rPr>
        <w:t xml:space="preserve">Available from: </w:t>
      </w:r>
      <w:hyperlink r:id="rId22" w:history="1">
        <w:r w:rsidRPr="00164C5F">
          <w:rPr>
            <w:rStyle w:val="Hyperlink"/>
            <w:rFonts w:ascii="Arial" w:hAnsi="Arial" w:cs="Arial"/>
          </w:rPr>
          <w:t>h</w:t>
        </w:r>
        <w:r w:rsidRPr="00EF7B36">
          <w:rPr>
            <w:rStyle w:val="Hyperlink"/>
            <w:rFonts w:ascii="Arial" w:hAnsi="Arial" w:cs="Arial"/>
          </w:rPr>
          <w:t>ttps://doi.org/10.1080/13540602.2013.741837</w:t>
        </w:r>
      </w:hyperlink>
      <w:r>
        <w:rPr>
          <w:rFonts w:ascii="Arial" w:hAnsi="Arial" w:cs="Arial"/>
        </w:rPr>
        <w:t>, Accessed on: 01/03/25</w:t>
      </w:r>
    </w:p>
    <w:p w14:paraId="49CD1980" w14:textId="77777777" w:rsidR="003D632D" w:rsidRPr="00590F1A" w:rsidRDefault="003D632D" w:rsidP="003D632D">
      <w:pPr>
        <w:spacing w:line="240" w:lineRule="auto"/>
        <w:rPr>
          <w:rFonts w:ascii="Arial" w:hAnsi="Arial" w:cs="Arial"/>
        </w:rPr>
      </w:pPr>
      <w:r w:rsidRPr="00590F1A">
        <w:rPr>
          <w:rFonts w:ascii="Arial" w:hAnsi="Arial" w:cs="Arial"/>
        </w:rPr>
        <w:t xml:space="preserve">Denny, E. and Weckesser, A. (2022). How to Do Qualitative research? </w:t>
      </w:r>
      <w:r w:rsidRPr="00590F1A">
        <w:rPr>
          <w:rFonts w:ascii="Arial" w:hAnsi="Arial" w:cs="Arial"/>
          <w:i/>
          <w:iCs/>
        </w:rPr>
        <w:t>BJOG: An International Journal of Obstetrics &amp; Gynaecology</w:t>
      </w:r>
      <w:r w:rsidRPr="00590F1A">
        <w:rPr>
          <w:rFonts w:ascii="Arial" w:hAnsi="Arial" w:cs="Arial"/>
        </w:rPr>
        <w:t xml:space="preserve">, [online] 129(7), pp.1166–1167. </w:t>
      </w:r>
      <w:r>
        <w:rPr>
          <w:rFonts w:ascii="Arial" w:hAnsi="Arial" w:cs="Arial"/>
        </w:rPr>
        <w:t xml:space="preserve">Available from: </w:t>
      </w:r>
      <w:hyperlink r:id="rId23" w:history="1">
        <w:r w:rsidRPr="00590F1A">
          <w:rPr>
            <w:rStyle w:val="Hyperlink"/>
            <w:rFonts w:ascii="Arial" w:hAnsi="Arial" w:cs="Arial"/>
          </w:rPr>
          <w:t>https://doi.org/10.1111/1471-0528.17150</w:t>
        </w:r>
      </w:hyperlink>
      <w:r>
        <w:rPr>
          <w:rFonts w:ascii="Arial" w:hAnsi="Arial" w:cs="Arial"/>
        </w:rPr>
        <w:t>, Accessed on: 28/02/25</w:t>
      </w:r>
    </w:p>
    <w:p w14:paraId="484FF2EB" w14:textId="77777777" w:rsidR="003D632D" w:rsidRDefault="003D632D" w:rsidP="003D632D">
      <w:pPr>
        <w:spacing w:line="240" w:lineRule="auto"/>
        <w:rPr>
          <w:rFonts w:ascii="Arial" w:hAnsi="Arial" w:cs="Arial"/>
        </w:rPr>
      </w:pPr>
      <w:r w:rsidRPr="00120FED">
        <w:rPr>
          <w:rFonts w:ascii="Arial" w:hAnsi="Arial" w:cs="Arial"/>
        </w:rPr>
        <w:t xml:space="preserve">Education Endowment Foundation (2024). </w:t>
      </w:r>
      <w:r w:rsidRPr="00120FED">
        <w:rPr>
          <w:rFonts w:ascii="Arial" w:hAnsi="Arial" w:cs="Arial"/>
          <w:i/>
          <w:iCs/>
        </w:rPr>
        <w:t>Putting Evidence to Work - A School’s Guide to Implementation</w:t>
      </w:r>
      <w:r w:rsidRPr="00120FED">
        <w:rPr>
          <w:rFonts w:ascii="Arial" w:hAnsi="Arial" w:cs="Arial"/>
        </w:rPr>
        <w:t xml:space="preserve">. [online] EEF. Available at: </w:t>
      </w:r>
      <w:hyperlink r:id="rId24" w:history="1">
        <w:r w:rsidRPr="00120FED">
          <w:rPr>
            <w:rStyle w:val="Hyperlink"/>
            <w:rFonts w:ascii="Arial" w:hAnsi="Arial" w:cs="Arial"/>
          </w:rPr>
          <w:t>https://educationendowmentfoundation.org.uk/education-evidence/guidance-reports/implementation</w:t>
        </w:r>
      </w:hyperlink>
      <w:r>
        <w:rPr>
          <w:rFonts w:ascii="Arial" w:hAnsi="Arial" w:cs="Arial"/>
        </w:rPr>
        <w:t>, Accessed on: 28/02/25</w:t>
      </w:r>
    </w:p>
    <w:p w14:paraId="2D1EBC4D" w14:textId="4E3B8FE6" w:rsidR="00AE2123" w:rsidRDefault="00AE2123" w:rsidP="003D632D">
      <w:pPr>
        <w:spacing w:line="240" w:lineRule="auto"/>
        <w:rPr>
          <w:rFonts w:ascii="Arial" w:hAnsi="Arial" w:cs="Arial"/>
        </w:rPr>
      </w:pPr>
      <w:r>
        <w:rPr>
          <w:rFonts w:ascii="Arial" w:hAnsi="Arial" w:cs="Arial"/>
        </w:rPr>
        <w:t xml:space="preserve">Education Endowment Foundation, (2025), Metacognition and </w:t>
      </w:r>
      <w:proofErr w:type="spellStart"/>
      <w:r>
        <w:rPr>
          <w:rFonts w:ascii="Arial" w:hAnsi="Arial" w:cs="Arial"/>
        </w:rPr>
        <w:t>self regulation</w:t>
      </w:r>
      <w:proofErr w:type="spellEnd"/>
      <w:r>
        <w:rPr>
          <w:rFonts w:ascii="Arial" w:hAnsi="Arial" w:cs="Arial"/>
        </w:rPr>
        <w:t xml:space="preserve"> [Online], Available from: </w:t>
      </w:r>
      <w:hyperlink r:id="rId25" w:history="1">
        <w:r w:rsidRPr="00164C5F">
          <w:rPr>
            <w:rStyle w:val="Hyperlink"/>
            <w:rFonts w:ascii="Arial" w:hAnsi="Arial" w:cs="Arial"/>
          </w:rPr>
          <w:t>https://educationendowmentfoundation.org.uk/education-evidence/teaching-learning-toolkit/metacognition-and-self-regulation</w:t>
        </w:r>
      </w:hyperlink>
      <w:r>
        <w:rPr>
          <w:rFonts w:ascii="Arial" w:hAnsi="Arial" w:cs="Arial"/>
        </w:rPr>
        <w:t>, Accessed on: 01/03/25</w:t>
      </w:r>
    </w:p>
    <w:p w14:paraId="78F78098" w14:textId="61494262" w:rsidR="00993A51" w:rsidRDefault="00993A51" w:rsidP="003D632D">
      <w:pPr>
        <w:spacing w:line="240" w:lineRule="auto"/>
        <w:rPr>
          <w:rFonts w:ascii="Arial" w:hAnsi="Arial" w:cs="Arial"/>
        </w:rPr>
      </w:pPr>
      <w:r>
        <w:rPr>
          <w:rFonts w:ascii="Arial" w:hAnsi="Arial" w:cs="Arial"/>
        </w:rPr>
        <w:t xml:space="preserve">Estyn, (2019), Creating a strategic framework [Online], Available from: </w:t>
      </w:r>
      <w:hyperlink r:id="rId26" w:history="1">
        <w:r w:rsidRPr="00164C5F">
          <w:rPr>
            <w:rStyle w:val="Hyperlink"/>
            <w:rFonts w:ascii="Arial" w:hAnsi="Arial" w:cs="Arial"/>
          </w:rPr>
          <w:t>https://estyn.gov.wales/improvement-resources/creating-a-strategic-framework/</w:t>
        </w:r>
      </w:hyperlink>
      <w:r>
        <w:rPr>
          <w:rFonts w:ascii="Arial" w:hAnsi="Arial" w:cs="Arial"/>
        </w:rPr>
        <w:t>, Accessed on: 28/02/25</w:t>
      </w:r>
    </w:p>
    <w:p w14:paraId="514D981A" w14:textId="61D635D1" w:rsidR="00993A51" w:rsidRDefault="00993A51" w:rsidP="003D632D">
      <w:pPr>
        <w:spacing w:line="240" w:lineRule="auto"/>
        <w:rPr>
          <w:rFonts w:ascii="Arial" w:hAnsi="Arial" w:cs="Arial"/>
        </w:rPr>
      </w:pPr>
      <w:r>
        <w:rPr>
          <w:rFonts w:ascii="Arial" w:hAnsi="Arial" w:cs="Arial"/>
        </w:rPr>
        <w:t xml:space="preserve">Estyn, (2024a), Estyn Strategic Equality Plan 2024-2028 [Online], Available from: </w:t>
      </w:r>
      <w:hyperlink r:id="rId27" w:history="1">
        <w:r w:rsidRPr="00164C5F">
          <w:rPr>
            <w:rStyle w:val="Hyperlink"/>
            <w:rFonts w:ascii="Arial" w:hAnsi="Arial" w:cs="Arial"/>
          </w:rPr>
          <w:t>https://estyn.gov.wales/system/files/2024-04/Estyn%20Strategic%20Equality</w:t>
        </w:r>
        <w:r w:rsidRPr="00164C5F">
          <w:rPr>
            <w:rStyle w:val="Hyperlink"/>
            <w:rFonts w:ascii="Arial" w:hAnsi="Arial" w:cs="Arial"/>
          </w:rPr>
          <w:t>%</w:t>
        </w:r>
        <w:r w:rsidRPr="00164C5F">
          <w:rPr>
            <w:rStyle w:val="Hyperlink"/>
            <w:rFonts w:ascii="Arial" w:hAnsi="Arial" w:cs="Arial"/>
          </w:rPr>
          <w:t>20Plan%202024-2028_0.pdf</w:t>
        </w:r>
      </w:hyperlink>
      <w:r>
        <w:rPr>
          <w:rFonts w:ascii="Arial" w:hAnsi="Arial" w:cs="Arial"/>
        </w:rPr>
        <w:t>, Accessed on: 28/02/25</w:t>
      </w:r>
    </w:p>
    <w:p w14:paraId="4A2D0513" w14:textId="2F6F4C7F" w:rsidR="00993A51" w:rsidRDefault="00993A51" w:rsidP="003D632D">
      <w:pPr>
        <w:spacing w:line="240" w:lineRule="auto"/>
        <w:rPr>
          <w:rFonts w:ascii="Arial" w:hAnsi="Arial" w:cs="Arial"/>
        </w:rPr>
      </w:pPr>
      <w:r>
        <w:rPr>
          <w:rFonts w:ascii="Arial" w:hAnsi="Arial" w:cs="Arial"/>
        </w:rPr>
        <w:t xml:space="preserve">Estyn, (2024b), Developing leadership at all levels to improve quality of provision, pupil progress and well-being, and the ensure resilience of leadership in the future [Online], Available from: </w:t>
      </w:r>
      <w:hyperlink r:id="rId28" w:history="1">
        <w:r w:rsidRPr="00164C5F">
          <w:rPr>
            <w:rStyle w:val="Hyperlink"/>
            <w:rFonts w:ascii="Arial" w:hAnsi="Arial" w:cs="Arial"/>
          </w:rPr>
          <w:t>https://estyn.gov.wales/improvement-resources/developing-leadership-at-all-levels-to-improve-the-quality-of-provision-pupil-progress-and-well-being-and-to-ensure-resilience-of-leadership-in-the-future/</w:t>
        </w:r>
      </w:hyperlink>
      <w:r>
        <w:rPr>
          <w:rFonts w:ascii="Arial" w:hAnsi="Arial" w:cs="Arial"/>
        </w:rPr>
        <w:t>, Accessed on: 28/02/25</w:t>
      </w:r>
    </w:p>
    <w:p w14:paraId="3E26FE35" w14:textId="77777777" w:rsidR="003D632D" w:rsidRDefault="003D632D" w:rsidP="003D632D">
      <w:pPr>
        <w:spacing w:line="240" w:lineRule="auto"/>
        <w:rPr>
          <w:rFonts w:ascii="Arial" w:hAnsi="Arial" w:cs="Arial"/>
        </w:rPr>
      </w:pPr>
      <w:r w:rsidRPr="00C23D1B">
        <w:rPr>
          <w:rFonts w:ascii="Arial" w:hAnsi="Arial" w:cs="Arial"/>
        </w:rPr>
        <w:t xml:space="preserve">Fleur, D.S., Bredeweg, B. and van den Bos, W. (2021). Metacognition: Ideas and Insights from neuro- and Educational Sciences. </w:t>
      </w:r>
      <w:proofErr w:type="spellStart"/>
      <w:r w:rsidRPr="00C23D1B">
        <w:rPr>
          <w:rFonts w:ascii="Arial" w:hAnsi="Arial" w:cs="Arial"/>
          <w:i/>
          <w:iCs/>
        </w:rPr>
        <w:t>npj</w:t>
      </w:r>
      <w:proofErr w:type="spellEnd"/>
      <w:r w:rsidRPr="00C23D1B">
        <w:rPr>
          <w:rFonts w:ascii="Arial" w:hAnsi="Arial" w:cs="Arial"/>
          <w:i/>
          <w:iCs/>
        </w:rPr>
        <w:t xml:space="preserve"> Science of Learning</w:t>
      </w:r>
      <w:r w:rsidRPr="00C23D1B">
        <w:rPr>
          <w:rFonts w:ascii="Arial" w:hAnsi="Arial" w:cs="Arial"/>
        </w:rPr>
        <w:t xml:space="preserve">, [online] 6(1), pp.1–11. </w:t>
      </w:r>
      <w:r>
        <w:rPr>
          <w:rFonts w:ascii="Arial" w:hAnsi="Arial" w:cs="Arial"/>
        </w:rPr>
        <w:t xml:space="preserve">Available from: </w:t>
      </w:r>
      <w:hyperlink r:id="rId29" w:history="1">
        <w:r w:rsidRPr="00C23D1B">
          <w:rPr>
            <w:rStyle w:val="Hyperlink"/>
            <w:rFonts w:ascii="Arial" w:hAnsi="Arial" w:cs="Arial"/>
          </w:rPr>
          <w:t>https://doi.org/10.1038/s41539-021-00089-5</w:t>
        </w:r>
      </w:hyperlink>
      <w:r>
        <w:rPr>
          <w:rFonts w:ascii="Arial" w:hAnsi="Arial" w:cs="Arial"/>
        </w:rPr>
        <w:t>, Accessed on: 28/02/25</w:t>
      </w:r>
    </w:p>
    <w:p w14:paraId="3CD07CD7" w14:textId="07A9D60D" w:rsidR="00C46AA1" w:rsidRPr="00C46AA1" w:rsidRDefault="00C46AA1" w:rsidP="00C46AA1">
      <w:pPr>
        <w:spacing w:line="240" w:lineRule="auto"/>
        <w:rPr>
          <w:rFonts w:ascii="Arial" w:hAnsi="Arial" w:cs="Arial"/>
        </w:rPr>
      </w:pPr>
      <w:r w:rsidRPr="00C46AA1">
        <w:rPr>
          <w:rFonts w:ascii="Arial" w:hAnsi="Arial" w:cs="Arial"/>
        </w:rPr>
        <w:t xml:space="preserve">Fowler, K., Windschitl, M. and Richards, J. (2019). Exit Tickets. </w:t>
      </w:r>
      <w:r w:rsidRPr="00C46AA1">
        <w:rPr>
          <w:rFonts w:ascii="Arial" w:hAnsi="Arial" w:cs="Arial"/>
          <w:i/>
          <w:iCs/>
        </w:rPr>
        <w:t>The Science Teacher</w:t>
      </w:r>
      <w:r w:rsidRPr="00C46AA1">
        <w:rPr>
          <w:rFonts w:ascii="Arial" w:hAnsi="Arial" w:cs="Arial"/>
        </w:rPr>
        <w:t xml:space="preserve">, 86(8), pp.18–26. </w:t>
      </w:r>
      <w:r>
        <w:rPr>
          <w:rFonts w:ascii="Arial" w:hAnsi="Arial" w:cs="Arial"/>
        </w:rPr>
        <w:t xml:space="preserve">Available from: </w:t>
      </w:r>
      <w:hyperlink r:id="rId30" w:history="1">
        <w:r w:rsidRPr="00C46AA1">
          <w:rPr>
            <w:rStyle w:val="Hyperlink"/>
            <w:rFonts w:ascii="Arial" w:hAnsi="Arial" w:cs="Arial"/>
          </w:rPr>
          <w:t>https://doi.org/10.1080/00368555.2019.12293416</w:t>
        </w:r>
      </w:hyperlink>
      <w:r>
        <w:rPr>
          <w:rFonts w:ascii="Arial" w:hAnsi="Arial" w:cs="Arial"/>
        </w:rPr>
        <w:t>, Accessed on: 01/03/25</w:t>
      </w:r>
    </w:p>
    <w:p w14:paraId="26A8C02E" w14:textId="545736A8" w:rsidR="00EF7B36" w:rsidRPr="00EF7B36" w:rsidRDefault="00EF7B36" w:rsidP="00EF7B36">
      <w:pPr>
        <w:spacing w:line="240" w:lineRule="auto"/>
        <w:rPr>
          <w:rFonts w:ascii="Arial" w:hAnsi="Arial" w:cs="Arial"/>
        </w:rPr>
      </w:pPr>
      <w:r w:rsidRPr="00EF7B36">
        <w:rPr>
          <w:rFonts w:ascii="Arial" w:hAnsi="Arial" w:cs="Arial"/>
        </w:rPr>
        <w:t xml:space="preserve">Galbally, P. and Fevronia Christodoulidi (2023). Personalised Learning Pedagogies and the Impact on Student Progression and retention: the Case of Counselling Training within a University Setting. </w:t>
      </w:r>
      <w:r w:rsidRPr="00EF7B36">
        <w:rPr>
          <w:rFonts w:ascii="Arial" w:hAnsi="Arial" w:cs="Arial"/>
          <w:i/>
          <w:iCs/>
        </w:rPr>
        <w:t>Teaching in Higher Education</w:t>
      </w:r>
      <w:r w:rsidRPr="00EF7B36">
        <w:rPr>
          <w:rFonts w:ascii="Arial" w:hAnsi="Arial" w:cs="Arial"/>
        </w:rPr>
        <w:t xml:space="preserve">, 3(2), pp.1–20. </w:t>
      </w:r>
      <w:r>
        <w:rPr>
          <w:rFonts w:ascii="Arial" w:hAnsi="Arial" w:cs="Arial"/>
        </w:rPr>
        <w:t xml:space="preserve">Available </w:t>
      </w:r>
      <w:proofErr w:type="spellStart"/>
      <w:proofErr w:type="gramStart"/>
      <w:r>
        <w:rPr>
          <w:rFonts w:ascii="Arial" w:hAnsi="Arial" w:cs="Arial"/>
        </w:rPr>
        <w:t>from:</w:t>
      </w:r>
      <w:r w:rsidRPr="00EF7B36">
        <w:rPr>
          <w:rFonts w:ascii="Arial" w:hAnsi="Arial" w:cs="Arial"/>
        </w:rPr>
        <w:t>https</w:t>
      </w:r>
      <w:proofErr w:type="spellEnd"/>
      <w:r w:rsidRPr="00EF7B36">
        <w:rPr>
          <w:rFonts w:ascii="Arial" w:hAnsi="Arial" w:cs="Arial"/>
        </w:rPr>
        <w:t>://doi.org/10.1080/13562517.2023.2211933</w:t>
      </w:r>
      <w:proofErr w:type="gramEnd"/>
      <w:r>
        <w:rPr>
          <w:rFonts w:ascii="Arial" w:hAnsi="Arial" w:cs="Arial"/>
        </w:rPr>
        <w:t>, Accessed on: 01/03/25</w:t>
      </w:r>
    </w:p>
    <w:p w14:paraId="203133E7" w14:textId="77777777" w:rsidR="003D632D" w:rsidRDefault="003D632D" w:rsidP="003D632D">
      <w:pPr>
        <w:spacing w:line="240" w:lineRule="auto"/>
        <w:rPr>
          <w:rFonts w:ascii="Arial" w:hAnsi="Arial" w:cs="Arial"/>
        </w:rPr>
      </w:pPr>
      <w:r w:rsidRPr="003706CB">
        <w:rPr>
          <w:rFonts w:ascii="Arial" w:hAnsi="Arial" w:cs="Arial"/>
        </w:rPr>
        <w:lastRenderedPageBreak/>
        <w:t xml:space="preserve">Goldstone, R. (2022). </w:t>
      </w:r>
      <w:r w:rsidRPr="003706CB">
        <w:rPr>
          <w:rFonts w:ascii="Arial" w:hAnsi="Arial" w:cs="Arial"/>
          <w:i/>
          <w:iCs/>
        </w:rPr>
        <w:t>School self-evaluation for School improvement: Principles of Effective Practice</w:t>
      </w:r>
      <w:r w:rsidRPr="003706CB">
        <w:rPr>
          <w:rFonts w:ascii="Arial" w:hAnsi="Arial" w:cs="Arial"/>
        </w:rPr>
        <w:t xml:space="preserve">. [online] www.bera.ac.uk. Available at: </w:t>
      </w:r>
      <w:hyperlink r:id="rId31" w:history="1">
        <w:r w:rsidRPr="003706CB">
          <w:rPr>
            <w:rStyle w:val="Hyperlink"/>
            <w:rFonts w:ascii="Arial" w:hAnsi="Arial" w:cs="Arial"/>
          </w:rPr>
          <w:t>https://www.bera.ac.uk/blog/school-self-evaluation-for-school-improvement-principles-of-effective-practice</w:t>
        </w:r>
      </w:hyperlink>
      <w:r>
        <w:rPr>
          <w:rFonts w:ascii="Arial" w:hAnsi="Arial" w:cs="Arial"/>
        </w:rPr>
        <w:t>, Accessed on: 27/02/26</w:t>
      </w:r>
    </w:p>
    <w:p w14:paraId="5A1B6836" w14:textId="63C6538A" w:rsidR="00EF7B36" w:rsidRPr="00EF7B36" w:rsidRDefault="00EF7B36" w:rsidP="00EF7B36">
      <w:pPr>
        <w:spacing w:line="240" w:lineRule="auto"/>
        <w:rPr>
          <w:rFonts w:ascii="Arial" w:hAnsi="Arial" w:cs="Arial"/>
        </w:rPr>
      </w:pPr>
      <w:r w:rsidRPr="00EF7B36">
        <w:rPr>
          <w:rFonts w:ascii="Arial" w:hAnsi="Arial" w:cs="Arial"/>
        </w:rPr>
        <w:t xml:space="preserve">Greany, T. and Higham, R. (2018). </w:t>
      </w:r>
      <w:r w:rsidRPr="00EF7B36">
        <w:rPr>
          <w:rFonts w:ascii="Arial" w:hAnsi="Arial" w:cs="Arial"/>
          <w:i/>
          <w:iCs/>
        </w:rPr>
        <w:t>Hierarchy, Markets and Networks: Analysing the ‘self-improving school-led system’ Agenda in England and the Implications for Schools</w:t>
      </w:r>
      <w:r w:rsidRPr="00EF7B36">
        <w:rPr>
          <w:rFonts w:ascii="Arial" w:hAnsi="Arial" w:cs="Arial"/>
        </w:rPr>
        <w:t xml:space="preserve">. [online] discovery.ucl.ac.uk. Available at: </w:t>
      </w:r>
      <w:hyperlink r:id="rId32" w:history="1">
        <w:r w:rsidRPr="00EF7B36">
          <w:rPr>
            <w:rStyle w:val="Hyperlink"/>
            <w:rFonts w:ascii="Arial" w:hAnsi="Arial" w:cs="Arial"/>
          </w:rPr>
          <w:t>https://discovery.ucl.ac.uk/id/eprint/10053501</w:t>
        </w:r>
        <w:r w:rsidRPr="00164C5F">
          <w:rPr>
            <w:rStyle w:val="Hyperlink"/>
            <w:rFonts w:ascii="Arial" w:hAnsi="Arial" w:cs="Arial"/>
          </w:rPr>
          <w:t>/</w:t>
        </w:r>
      </w:hyperlink>
      <w:r>
        <w:rPr>
          <w:rFonts w:ascii="Arial" w:hAnsi="Arial" w:cs="Arial"/>
        </w:rPr>
        <w:t>, Accessed on:01/03/25</w:t>
      </w:r>
    </w:p>
    <w:p w14:paraId="1AA0DBD8" w14:textId="77777777" w:rsidR="003D632D" w:rsidRPr="00A818B4" w:rsidRDefault="003D632D" w:rsidP="003D632D">
      <w:pPr>
        <w:spacing w:line="240" w:lineRule="auto"/>
        <w:rPr>
          <w:rFonts w:ascii="Arial" w:hAnsi="Arial" w:cs="Arial"/>
        </w:rPr>
      </w:pPr>
      <w:r w:rsidRPr="00A818B4">
        <w:rPr>
          <w:rFonts w:ascii="Arial" w:hAnsi="Arial" w:cs="Arial"/>
        </w:rPr>
        <w:t xml:space="preserve">Greene, J.A., Copeland, D.Z. and Deekens, V.M. (2020). A Model of Technology Incidental Learning Effects. </w:t>
      </w:r>
      <w:r w:rsidRPr="00A818B4">
        <w:rPr>
          <w:rFonts w:ascii="Arial" w:hAnsi="Arial" w:cs="Arial"/>
          <w:i/>
          <w:iCs/>
        </w:rPr>
        <w:t>Educational Psychology Review</w:t>
      </w:r>
      <w:r w:rsidRPr="00A818B4">
        <w:rPr>
          <w:rFonts w:ascii="Arial" w:hAnsi="Arial" w:cs="Arial"/>
        </w:rPr>
        <w:t xml:space="preserve">, 33. </w:t>
      </w:r>
      <w:r>
        <w:rPr>
          <w:rFonts w:ascii="Arial" w:hAnsi="Arial" w:cs="Arial"/>
        </w:rPr>
        <w:t xml:space="preserve">Available from: </w:t>
      </w:r>
      <w:hyperlink r:id="rId33" w:history="1">
        <w:r w:rsidRPr="00A818B4">
          <w:rPr>
            <w:rStyle w:val="Hyperlink"/>
            <w:rFonts w:ascii="Arial" w:hAnsi="Arial" w:cs="Arial"/>
          </w:rPr>
          <w:t>https://doi.org/10.1007/s10648-020-09575-5</w:t>
        </w:r>
      </w:hyperlink>
      <w:r>
        <w:rPr>
          <w:rFonts w:ascii="Arial" w:hAnsi="Arial" w:cs="Arial"/>
        </w:rPr>
        <w:t>, Accessed on: 28/02/25</w:t>
      </w:r>
    </w:p>
    <w:p w14:paraId="3AE30C25" w14:textId="77777777" w:rsidR="003D632D" w:rsidRDefault="003D632D" w:rsidP="003D632D">
      <w:pPr>
        <w:spacing w:line="240" w:lineRule="auto"/>
        <w:rPr>
          <w:rFonts w:ascii="Arial" w:hAnsi="Arial" w:cs="Arial"/>
        </w:rPr>
      </w:pPr>
      <w:r w:rsidRPr="00EC4A31">
        <w:rPr>
          <w:rFonts w:ascii="Arial" w:hAnsi="Arial" w:cs="Arial"/>
        </w:rPr>
        <w:t xml:space="preserve">Greenier, V., Fathi, J. and Seyyed-Foad Behzadpoor (2023). Teaching for Creativity in an EFL context: the Predictive Roles of School climate, Teaching enthusiasm, and Metacognition. </w:t>
      </w:r>
      <w:r w:rsidRPr="00EC4A31">
        <w:rPr>
          <w:rFonts w:ascii="Arial" w:hAnsi="Arial" w:cs="Arial"/>
          <w:i/>
          <w:iCs/>
        </w:rPr>
        <w:t>Thinking Skills and Creativity</w:t>
      </w:r>
      <w:r w:rsidRPr="00EC4A31">
        <w:rPr>
          <w:rFonts w:ascii="Arial" w:hAnsi="Arial" w:cs="Arial"/>
        </w:rPr>
        <w:t xml:space="preserve">, 50, pp.101419–101419. </w:t>
      </w:r>
      <w:r>
        <w:rPr>
          <w:rFonts w:ascii="Arial" w:hAnsi="Arial" w:cs="Arial"/>
        </w:rPr>
        <w:t xml:space="preserve">Available from: </w:t>
      </w:r>
      <w:hyperlink r:id="rId34" w:history="1">
        <w:r w:rsidRPr="00EC4A31">
          <w:rPr>
            <w:rStyle w:val="Hyperlink"/>
            <w:rFonts w:ascii="Arial" w:hAnsi="Arial" w:cs="Arial"/>
          </w:rPr>
          <w:t>https://doi.org/10.1016/j.tsc.2023.101419</w:t>
        </w:r>
      </w:hyperlink>
      <w:r>
        <w:rPr>
          <w:rFonts w:ascii="Arial" w:hAnsi="Arial" w:cs="Arial"/>
        </w:rPr>
        <w:t>, Accessed on: 28/02/25</w:t>
      </w:r>
    </w:p>
    <w:p w14:paraId="6BF6D491" w14:textId="15E3898B" w:rsidR="00D90885" w:rsidRPr="00D90885" w:rsidRDefault="00D90885" w:rsidP="00D90885">
      <w:pPr>
        <w:spacing w:line="240" w:lineRule="auto"/>
        <w:rPr>
          <w:rFonts w:ascii="Arial" w:hAnsi="Arial" w:cs="Arial"/>
        </w:rPr>
      </w:pPr>
      <w:r w:rsidRPr="00D90885">
        <w:rPr>
          <w:rFonts w:ascii="Arial" w:hAnsi="Arial" w:cs="Arial"/>
        </w:rPr>
        <w:t xml:space="preserve">Gulikers, J., Veugen, M. and Baartman, L. (2021). What Are We Really Aiming for? Identifying Concrete Student </w:t>
      </w:r>
      <w:proofErr w:type="spellStart"/>
      <w:r w:rsidRPr="00D90885">
        <w:rPr>
          <w:rFonts w:ascii="Arial" w:hAnsi="Arial" w:cs="Arial"/>
        </w:rPr>
        <w:t>Behavior</w:t>
      </w:r>
      <w:proofErr w:type="spellEnd"/>
      <w:r w:rsidRPr="00D90885">
        <w:rPr>
          <w:rFonts w:ascii="Arial" w:hAnsi="Arial" w:cs="Arial"/>
        </w:rPr>
        <w:t xml:space="preserve"> in Co-Regulatory Formative Assessment Processes in the Classroom. </w:t>
      </w:r>
      <w:r w:rsidRPr="00D90885">
        <w:rPr>
          <w:rFonts w:ascii="Arial" w:hAnsi="Arial" w:cs="Arial"/>
          <w:i/>
          <w:iCs/>
        </w:rPr>
        <w:t>Frontiers in Education</w:t>
      </w:r>
      <w:r w:rsidRPr="00D90885">
        <w:rPr>
          <w:rFonts w:ascii="Arial" w:hAnsi="Arial" w:cs="Arial"/>
        </w:rPr>
        <w:t xml:space="preserve">, 6. </w:t>
      </w:r>
      <w:r>
        <w:rPr>
          <w:rFonts w:ascii="Arial" w:hAnsi="Arial" w:cs="Arial"/>
        </w:rPr>
        <w:t xml:space="preserve">Available from: </w:t>
      </w:r>
      <w:hyperlink r:id="rId35" w:history="1">
        <w:r w:rsidRPr="00D90885">
          <w:rPr>
            <w:rStyle w:val="Hyperlink"/>
            <w:rFonts w:ascii="Arial" w:hAnsi="Arial" w:cs="Arial"/>
          </w:rPr>
          <w:t>https://doi.org/10.3389/feduc.2021.750281</w:t>
        </w:r>
      </w:hyperlink>
      <w:r>
        <w:rPr>
          <w:rFonts w:ascii="Arial" w:hAnsi="Arial" w:cs="Arial"/>
        </w:rPr>
        <w:t>, Accessed on: 01/03/25</w:t>
      </w:r>
    </w:p>
    <w:p w14:paraId="3355C6E7" w14:textId="77777777" w:rsidR="003D632D" w:rsidRPr="00AC1F51" w:rsidRDefault="003D632D" w:rsidP="003D632D">
      <w:pPr>
        <w:spacing w:line="240" w:lineRule="auto"/>
        <w:rPr>
          <w:rFonts w:ascii="Arial" w:hAnsi="Arial" w:cs="Arial"/>
        </w:rPr>
      </w:pPr>
      <w:r w:rsidRPr="00AC1F51">
        <w:rPr>
          <w:rFonts w:ascii="Arial" w:hAnsi="Arial" w:cs="Arial"/>
        </w:rPr>
        <w:t xml:space="preserve">İnan-Kaya, G. and Rubie-Davies, C.M. (2021). Teacher Classroom Interactions and behaviours: Indications of Bias. </w:t>
      </w:r>
      <w:r w:rsidRPr="00AC1F51">
        <w:rPr>
          <w:rFonts w:ascii="Arial" w:hAnsi="Arial" w:cs="Arial"/>
          <w:i/>
          <w:iCs/>
        </w:rPr>
        <w:t>Learning and Instruction</w:t>
      </w:r>
      <w:r w:rsidRPr="00AC1F51">
        <w:rPr>
          <w:rFonts w:ascii="Arial" w:hAnsi="Arial" w:cs="Arial"/>
        </w:rPr>
        <w:t xml:space="preserve">, 78, p.101516. </w:t>
      </w:r>
      <w:r>
        <w:rPr>
          <w:rFonts w:ascii="Arial" w:hAnsi="Arial" w:cs="Arial"/>
        </w:rPr>
        <w:t xml:space="preserve">Available from: </w:t>
      </w:r>
      <w:hyperlink r:id="rId36" w:history="1">
        <w:r w:rsidRPr="00AC1F51">
          <w:rPr>
            <w:rStyle w:val="Hyperlink"/>
            <w:rFonts w:ascii="Arial" w:hAnsi="Arial" w:cs="Arial"/>
          </w:rPr>
          <w:t>https://doi.org/10.1016/j.learninstruc.2021.101516</w:t>
        </w:r>
      </w:hyperlink>
      <w:r>
        <w:rPr>
          <w:rFonts w:ascii="Arial" w:hAnsi="Arial" w:cs="Arial"/>
        </w:rPr>
        <w:t>, Accessed on: 28/02/25</w:t>
      </w:r>
    </w:p>
    <w:p w14:paraId="6AE19F7B" w14:textId="368EC939" w:rsidR="00AE2123" w:rsidRPr="00AE2123" w:rsidRDefault="00AE2123" w:rsidP="00AE2123">
      <w:pPr>
        <w:spacing w:line="240" w:lineRule="auto"/>
        <w:rPr>
          <w:rFonts w:ascii="Arial" w:hAnsi="Arial" w:cs="Arial"/>
        </w:rPr>
      </w:pPr>
      <w:r w:rsidRPr="00AE2123">
        <w:rPr>
          <w:rFonts w:ascii="Arial" w:hAnsi="Arial" w:cs="Arial"/>
        </w:rPr>
        <w:t xml:space="preserve">Jobborova Gulnoza Kadamovna (2022). </w:t>
      </w:r>
      <w:r w:rsidRPr="00AE2123">
        <w:rPr>
          <w:rFonts w:ascii="Arial" w:hAnsi="Arial" w:cs="Arial"/>
          <w:i/>
          <w:iCs/>
        </w:rPr>
        <w:t>Formation of Ecological Culture of Primary School Students</w:t>
      </w:r>
      <w:r w:rsidRPr="00AE2123">
        <w:rPr>
          <w:rFonts w:ascii="Arial" w:hAnsi="Arial" w:cs="Arial"/>
        </w:rPr>
        <w:t xml:space="preserve">. [online] Philpapers.org. Available at: </w:t>
      </w:r>
      <w:hyperlink r:id="rId37" w:history="1">
        <w:r w:rsidRPr="00AE2123">
          <w:rPr>
            <w:rStyle w:val="Hyperlink"/>
            <w:rFonts w:ascii="Arial" w:hAnsi="Arial" w:cs="Arial"/>
          </w:rPr>
          <w:t>https://philpapers.org/rec/KADFOE</w:t>
        </w:r>
      </w:hyperlink>
      <w:r>
        <w:rPr>
          <w:rFonts w:ascii="Arial" w:hAnsi="Arial" w:cs="Arial"/>
        </w:rPr>
        <w:t>, Accessed on: 01/03/25</w:t>
      </w:r>
    </w:p>
    <w:p w14:paraId="5F347C34" w14:textId="77777777" w:rsidR="003D632D" w:rsidRPr="00C23D1B" w:rsidRDefault="003D632D" w:rsidP="003D632D">
      <w:pPr>
        <w:spacing w:line="240" w:lineRule="auto"/>
        <w:rPr>
          <w:rFonts w:ascii="Arial" w:hAnsi="Arial" w:cs="Arial"/>
        </w:rPr>
      </w:pPr>
      <w:r w:rsidRPr="00C23D1B">
        <w:rPr>
          <w:rFonts w:ascii="Arial" w:hAnsi="Arial" w:cs="Arial"/>
        </w:rPr>
        <w:t xml:space="preserve">Joshi, R., Hadley, D., </w:t>
      </w:r>
      <w:proofErr w:type="spellStart"/>
      <w:r w:rsidRPr="00C23D1B">
        <w:rPr>
          <w:rFonts w:ascii="Arial" w:hAnsi="Arial" w:cs="Arial"/>
        </w:rPr>
        <w:t>Nuthikattu</w:t>
      </w:r>
      <w:proofErr w:type="spellEnd"/>
      <w:r w:rsidRPr="00C23D1B">
        <w:rPr>
          <w:rFonts w:ascii="Arial" w:hAnsi="Arial" w:cs="Arial"/>
        </w:rPr>
        <w:t xml:space="preserve">, S., Fok, S., </w:t>
      </w:r>
      <w:proofErr w:type="spellStart"/>
      <w:r w:rsidRPr="00C23D1B">
        <w:rPr>
          <w:rFonts w:ascii="Arial" w:hAnsi="Arial" w:cs="Arial"/>
        </w:rPr>
        <w:t>Goldbloom-Helzner</w:t>
      </w:r>
      <w:proofErr w:type="spellEnd"/>
      <w:r w:rsidRPr="00C23D1B">
        <w:rPr>
          <w:rFonts w:ascii="Arial" w:hAnsi="Arial" w:cs="Arial"/>
        </w:rPr>
        <w:t xml:space="preserve">, L. and Curtis, M. (2022). Concept Mapping as a Metacognition Tool in a Problem-Solving-Based BME Course During In-Person and Online Instruction. </w:t>
      </w:r>
      <w:r w:rsidRPr="00C23D1B">
        <w:rPr>
          <w:rFonts w:ascii="Arial" w:hAnsi="Arial" w:cs="Arial"/>
          <w:i/>
          <w:iCs/>
        </w:rPr>
        <w:t>Biomedical Engineering Education</w:t>
      </w:r>
      <w:r w:rsidRPr="00C23D1B">
        <w:rPr>
          <w:rFonts w:ascii="Arial" w:hAnsi="Arial" w:cs="Arial"/>
        </w:rPr>
        <w:t xml:space="preserve">, 2. </w:t>
      </w:r>
      <w:r>
        <w:rPr>
          <w:rFonts w:ascii="Arial" w:hAnsi="Arial" w:cs="Arial"/>
        </w:rPr>
        <w:t xml:space="preserve">Available from: </w:t>
      </w:r>
      <w:hyperlink r:id="rId38" w:history="1">
        <w:r w:rsidRPr="00C23D1B">
          <w:rPr>
            <w:rStyle w:val="Hyperlink"/>
            <w:rFonts w:ascii="Arial" w:hAnsi="Arial" w:cs="Arial"/>
          </w:rPr>
          <w:t>https://doi.org/10.1007/s43683-022-00066-3</w:t>
        </w:r>
      </w:hyperlink>
      <w:r>
        <w:rPr>
          <w:rFonts w:ascii="Arial" w:hAnsi="Arial" w:cs="Arial"/>
        </w:rPr>
        <w:t>, Accessed on: 28/02/25</w:t>
      </w:r>
    </w:p>
    <w:p w14:paraId="083A2B28" w14:textId="77777777" w:rsidR="003D632D" w:rsidRDefault="003D632D" w:rsidP="003D632D">
      <w:pPr>
        <w:spacing w:line="240" w:lineRule="auto"/>
        <w:rPr>
          <w:rFonts w:ascii="Arial" w:hAnsi="Arial" w:cs="Arial"/>
        </w:rPr>
      </w:pPr>
      <w:r w:rsidRPr="001C5CC2">
        <w:rPr>
          <w:rFonts w:ascii="Arial" w:hAnsi="Arial" w:cs="Arial"/>
        </w:rPr>
        <w:t xml:space="preserve">Karatas, K. and Arpaci, I. (2021). The Role of Self-Directed Learning, Metacognition, and 21st Century Skills Predicting the Readiness for Online Learning. </w:t>
      </w:r>
      <w:r w:rsidRPr="001C5CC2">
        <w:rPr>
          <w:rFonts w:ascii="Arial" w:hAnsi="Arial" w:cs="Arial"/>
          <w:i/>
          <w:iCs/>
        </w:rPr>
        <w:t>Contemporary Educational Technology</w:t>
      </w:r>
      <w:r w:rsidRPr="001C5CC2">
        <w:rPr>
          <w:rFonts w:ascii="Arial" w:hAnsi="Arial" w:cs="Arial"/>
        </w:rPr>
        <w:t xml:space="preserve">, [online] 13(3). Available at: </w:t>
      </w:r>
      <w:hyperlink r:id="rId39" w:history="1">
        <w:r w:rsidRPr="001C5CC2">
          <w:rPr>
            <w:rStyle w:val="Hyperlink"/>
            <w:rFonts w:ascii="Arial" w:hAnsi="Arial" w:cs="Arial"/>
          </w:rPr>
          <w:t>https://eric.ed.gov/?id=EJ1306506</w:t>
        </w:r>
      </w:hyperlink>
      <w:r>
        <w:rPr>
          <w:rFonts w:ascii="Arial" w:hAnsi="Arial" w:cs="Arial"/>
        </w:rPr>
        <w:t>, Accessed on: 28/02/25</w:t>
      </w:r>
    </w:p>
    <w:p w14:paraId="46D511C0" w14:textId="5CFDB8B8" w:rsidR="007D3F09" w:rsidRDefault="007D3F09" w:rsidP="007D3F09">
      <w:pPr>
        <w:spacing w:line="240" w:lineRule="auto"/>
        <w:rPr>
          <w:rFonts w:ascii="Arial" w:hAnsi="Arial" w:cs="Arial"/>
        </w:rPr>
      </w:pPr>
      <w:r w:rsidRPr="007D3F09">
        <w:rPr>
          <w:rFonts w:ascii="Arial" w:hAnsi="Arial" w:cs="Arial"/>
        </w:rPr>
        <w:t xml:space="preserve">Keerthirathne, W. (2020). Peer Learning: an Overview. </w:t>
      </w:r>
      <w:r w:rsidRPr="007D3F09">
        <w:rPr>
          <w:rFonts w:ascii="Arial" w:hAnsi="Arial" w:cs="Arial"/>
          <w:i/>
          <w:iCs/>
        </w:rPr>
        <w:t>International Journal of Scientific Engineering and Science</w:t>
      </w:r>
      <w:r w:rsidRPr="007D3F09">
        <w:rPr>
          <w:rFonts w:ascii="Arial" w:hAnsi="Arial" w:cs="Arial"/>
        </w:rPr>
        <w:t xml:space="preserve">, [online] 4(11), pp.2456–7361. Available at: </w:t>
      </w:r>
      <w:hyperlink r:id="rId40" w:history="1">
        <w:r w:rsidRPr="007D3F09">
          <w:rPr>
            <w:rStyle w:val="Hyperlink"/>
            <w:rFonts w:ascii="Arial" w:hAnsi="Arial" w:cs="Arial"/>
          </w:rPr>
          <w:t>https://www.researchgate.net/profile/Dr-Keerthirathne/publication/355209445_Peer_Learning_an_Overview/links/616873f13851f9599407d660/Peer-Learning-an-Overview.pdf</w:t>
        </w:r>
      </w:hyperlink>
      <w:r>
        <w:rPr>
          <w:rFonts w:ascii="Arial" w:hAnsi="Arial" w:cs="Arial"/>
        </w:rPr>
        <w:t>, Accessed on: 28/02/25</w:t>
      </w:r>
    </w:p>
    <w:p w14:paraId="33FB7512" w14:textId="387EF2FD" w:rsidR="001F44F8" w:rsidRPr="001F44F8" w:rsidRDefault="001F44F8" w:rsidP="001F44F8">
      <w:pPr>
        <w:spacing w:line="240" w:lineRule="auto"/>
        <w:rPr>
          <w:rFonts w:ascii="Arial" w:hAnsi="Arial" w:cs="Arial"/>
        </w:rPr>
      </w:pPr>
      <w:r w:rsidRPr="001F44F8">
        <w:rPr>
          <w:rFonts w:ascii="Arial" w:hAnsi="Arial" w:cs="Arial"/>
        </w:rPr>
        <w:t xml:space="preserve">Kelly, D. (2018). The Individual and Social Complexities of Metacognition in Education-Based Learning. </w:t>
      </w:r>
      <w:r w:rsidRPr="001F44F8">
        <w:rPr>
          <w:rFonts w:ascii="Arial" w:hAnsi="Arial" w:cs="Arial"/>
          <w:i/>
          <w:iCs/>
        </w:rPr>
        <w:t>Stir.ac.uk</w:t>
      </w:r>
      <w:r w:rsidRPr="001F44F8">
        <w:rPr>
          <w:rFonts w:ascii="Arial" w:hAnsi="Arial" w:cs="Arial"/>
        </w:rPr>
        <w:t xml:space="preserve">, [online] 40(2). </w:t>
      </w:r>
      <w:r>
        <w:rPr>
          <w:rFonts w:ascii="Arial" w:hAnsi="Arial" w:cs="Arial"/>
        </w:rPr>
        <w:t xml:space="preserve">Available from: </w:t>
      </w:r>
      <w:hyperlink r:id="rId41" w:history="1">
        <w:r w:rsidRPr="001F44F8">
          <w:rPr>
            <w:rStyle w:val="Hyperlink"/>
            <w:rFonts w:ascii="Arial" w:hAnsi="Arial" w:cs="Arial"/>
          </w:rPr>
          <w:t>http://hdl.handle.net/1893/27627</w:t>
        </w:r>
      </w:hyperlink>
      <w:r>
        <w:rPr>
          <w:rFonts w:ascii="Arial" w:hAnsi="Arial" w:cs="Arial"/>
        </w:rPr>
        <w:t>, Accessed on: 28/02/25</w:t>
      </w:r>
    </w:p>
    <w:p w14:paraId="35BF739A" w14:textId="77777777" w:rsidR="003D632D" w:rsidRDefault="003D632D" w:rsidP="003D632D">
      <w:pPr>
        <w:spacing w:line="240" w:lineRule="auto"/>
        <w:rPr>
          <w:rFonts w:ascii="Arial" w:hAnsi="Arial" w:cs="Arial"/>
        </w:rPr>
      </w:pPr>
      <w:r w:rsidRPr="00120FED">
        <w:rPr>
          <w:rFonts w:ascii="Arial" w:hAnsi="Arial" w:cs="Arial"/>
        </w:rPr>
        <w:t xml:space="preserve">Kemethofer, D., Helm, C. and Warwas, J. (2022). Does educational leadership enhance instructional quality and student achievement? The case of Austrian primary school leaders. </w:t>
      </w:r>
      <w:r w:rsidRPr="00120FED">
        <w:rPr>
          <w:rFonts w:ascii="Arial" w:hAnsi="Arial" w:cs="Arial"/>
          <w:i/>
          <w:iCs/>
        </w:rPr>
        <w:t>International Journal of Leadership in Education</w:t>
      </w:r>
      <w:r w:rsidRPr="00120FED">
        <w:rPr>
          <w:rFonts w:ascii="Arial" w:hAnsi="Arial" w:cs="Arial"/>
        </w:rPr>
        <w:t xml:space="preserve">, 1(25), pp.1–25. </w:t>
      </w:r>
      <w:r>
        <w:rPr>
          <w:rFonts w:ascii="Arial" w:hAnsi="Arial" w:cs="Arial"/>
        </w:rPr>
        <w:t xml:space="preserve">Available from: </w:t>
      </w:r>
      <w:hyperlink r:id="rId42" w:history="1">
        <w:r w:rsidRPr="00120FED">
          <w:rPr>
            <w:rStyle w:val="Hyperlink"/>
            <w:rFonts w:ascii="Arial" w:hAnsi="Arial" w:cs="Arial"/>
          </w:rPr>
          <w:t>https://doi.org/10.1080/13603124.2021.2021294</w:t>
        </w:r>
      </w:hyperlink>
      <w:r>
        <w:rPr>
          <w:rFonts w:ascii="Arial" w:hAnsi="Arial" w:cs="Arial"/>
        </w:rPr>
        <w:t>, Accessed on: 27/02/25</w:t>
      </w:r>
    </w:p>
    <w:p w14:paraId="0CC2BD54" w14:textId="77777777" w:rsidR="003D632D" w:rsidRPr="00735A44" w:rsidRDefault="003D632D" w:rsidP="003D632D">
      <w:pPr>
        <w:spacing w:line="240" w:lineRule="auto"/>
        <w:rPr>
          <w:rFonts w:ascii="Arial" w:hAnsi="Arial" w:cs="Arial"/>
        </w:rPr>
      </w:pPr>
      <w:r w:rsidRPr="00735A44">
        <w:rPr>
          <w:rFonts w:ascii="Arial" w:hAnsi="Arial" w:cs="Arial"/>
        </w:rPr>
        <w:t xml:space="preserve">Kimbrough, E.O., McGee, A.D. and Shigeoka, H. (2020). How Do Peers Impact Learning? an Experimental Investigation of Peer-to-Peer Teaching and Ability Tracking. </w:t>
      </w:r>
      <w:r w:rsidRPr="00735A44">
        <w:rPr>
          <w:rFonts w:ascii="Arial" w:hAnsi="Arial" w:cs="Arial"/>
          <w:i/>
          <w:iCs/>
        </w:rPr>
        <w:t xml:space="preserve">Journal of </w:t>
      </w:r>
      <w:r w:rsidRPr="00735A44">
        <w:rPr>
          <w:rFonts w:ascii="Arial" w:hAnsi="Arial" w:cs="Arial"/>
          <w:i/>
          <w:iCs/>
        </w:rPr>
        <w:lastRenderedPageBreak/>
        <w:t>Human Resources</w:t>
      </w:r>
      <w:r w:rsidRPr="00735A44">
        <w:rPr>
          <w:rFonts w:ascii="Arial" w:hAnsi="Arial" w:cs="Arial"/>
        </w:rPr>
        <w:t xml:space="preserve">, 57(1), pp.0918-9770R2. </w:t>
      </w:r>
      <w:r>
        <w:rPr>
          <w:rFonts w:ascii="Arial" w:hAnsi="Arial" w:cs="Arial"/>
        </w:rPr>
        <w:t xml:space="preserve">Available from: </w:t>
      </w:r>
      <w:hyperlink r:id="rId43" w:history="1">
        <w:r w:rsidRPr="00735A44">
          <w:rPr>
            <w:rStyle w:val="Hyperlink"/>
            <w:rFonts w:ascii="Arial" w:hAnsi="Arial" w:cs="Arial"/>
          </w:rPr>
          <w:t>https://doi.org/10.3368/jhr.57.1.0918-9770r2</w:t>
        </w:r>
      </w:hyperlink>
      <w:r>
        <w:rPr>
          <w:rFonts w:ascii="Arial" w:hAnsi="Arial" w:cs="Arial"/>
        </w:rPr>
        <w:t>, Accessed on: 28/02/25</w:t>
      </w:r>
    </w:p>
    <w:p w14:paraId="047F0B3B" w14:textId="77777777" w:rsidR="003D632D" w:rsidRDefault="003D632D" w:rsidP="003D632D">
      <w:pPr>
        <w:spacing w:line="240" w:lineRule="auto"/>
        <w:rPr>
          <w:rFonts w:ascii="Arial" w:hAnsi="Arial" w:cs="Arial"/>
        </w:rPr>
      </w:pPr>
      <w:r w:rsidRPr="00292FF3">
        <w:rPr>
          <w:rFonts w:ascii="Arial" w:hAnsi="Arial" w:cs="Arial"/>
        </w:rPr>
        <w:t xml:space="preserve">Kwok, A. (2021). Flexible or Rigid? Exploring Preservice Teachers’ Classroom Preferences. </w:t>
      </w:r>
      <w:r w:rsidRPr="00292FF3">
        <w:rPr>
          <w:rFonts w:ascii="Arial" w:hAnsi="Arial" w:cs="Arial"/>
          <w:i/>
          <w:iCs/>
        </w:rPr>
        <w:t>Educational Researcher</w:t>
      </w:r>
      <w:r w:rsidRPr="00292FF3">
        <w:rPr>
          <w:rFonts w:ascii="Arial" w:hAnsi="Arial" w:cs="Arial"/>
        </w:rPr>
        <w:t xml:space="preserve">, 50(7), p.0013189X2110114. </w:t>
      </w:r>
      <w:r>
        <w:rPr>
          <w:rFonts w:ascii="Arial" w:hAnsi="Arial" w:cs="Arial"/>
        </w:rPr>
        <w:t xml:space="preserve">Available from: </w:t>
      </w:r>
      <w:hyperlink r:id="rId44" w:history="1">
        <w:r w:rsidRPr="00292FF3">
          <w:rPr>
            <w:rStyle w:val="Hyperlink"/>
            <w:rFonts w:ascii="Arial" w:hAnsi="Arial" w:cs="Arial"/>
          </w:rPr>
          <w:t>https://doi.org/10.3102/0013189x211011426</w:t>
        </w:r>
      </w:hyperlink>
      <w:r>
        <w:rPr>
          <w:rFonts w:ascii="Arial" w:hAnsi="Arial" w:cs="Arial"/>
        </w:rPr>
        <w:t>, Accessed on: 26/02/25</w:t>
      </w:r>
    </w:p>
    <w:p w14:paraId="5E95F0AB" w14:textId="3F6A00A3" w:rsidR="003B3E88" w:rsidRPr="003B3E88" w:rsidRDefault="003B3E88" w:rsidP="003B3E88">
      <w:pPr>
        <w:spacing w:line="240" w:lineRule="auto"/>
        <w:rPr>
          <w:rFonts w:ascii="Arial" w:hAnsi="Arial" w:cs="Arial"/>
        </w:rPr>
      </w:pPr>
      <w:r w:rsidRPr="003B3E88">
        <w:rPr>
          <w:rFonts w:ascii="Arial" w:hAnsi="Arial" w:cs="Arial"/>
        </w:rPr>
        <w:t xml:space="preserve">Ladosz, P., Weng, L., Kim, M. and Oh, H. (2022). Exploration in deep reinforcement learning: A survey. </w:t>
      </w:r>
      <w:r w:rsidRPr="003B3E88">
        <w:rPr>
          <w:rFonts w:ascii="Arial" w:hAnsi="Arial" w:cs="Arial"/>
          <w:i/>
          <w:iCs/>
        </w:rPr>
        <w:t>Information Fusion</w:t>
      </w:r>
      <w:r w:rsidRPr="003B3E88">
        <w:rPr>
          <w:rFonts w:ascii="Arial" w:hAnsi="Arial" w:cs="Arial"/>
        </w:rPr>
        <w:t xml:space="preserve">, 85. </w:t>
      </w:r>
      <w:r>
        <w:rPr>
          <w:rFonts w:ascii="Arial" w:hAnsi="Arial" w:cs="Arial"/>
        </w:rPr>
        <w:t xml:space="preserve">Available from: </w:t>
      </w:r>
      <w:hyperlink r:id="rId45" w:history="1">
        <w:r w:rsidRPr="003B3E88">
          <w:rPr>
            <w:rStyle w:val="Hyperlink"/>
            <w:rFonts w:ascii="Arial" w:hAnsi="Arial" w:cs="Arial"/>
          </w:rPr>
          <w:t>https://doi.org/10.1016/j.inffus.2022.03.003</w:t>
        </w:r>
      </w:hyperlink>
      <w:r>
        <w:rPr>
          <w:rFonts w:ascii="Arial" w:hAnsi="Arial" w:cs="Arial"/>
        </w:rPr>
        <w:t>, Accessed on: 01/03/25</w:t>
      </w:r>
    </w:p>
    <w:p w14:paraId="15FA3442" w14:textId="3AB38532" w:rsidR="003B3E88" w:rsidRDefault="003D632D" w:rsidP="003D632D">
      <w:pPr>
        <w:spacing w:line="240" w:lineRule="auto"/>
        <w:rPr>
          <w:rFonts w:ascii="Arial" w:hAnsi="Arial" w:cs="Arial"/>
        </w:rPr>
      </w:pPr>
      <w:r w:rsidRPr="00F15A1C">
        <w:rPr>
          <w:rFonts w:ascii="Arial" w:hAnsi="Arial" w:cs="Arial"/>
        </w:rPr>
        <w:t xml:space="preserve">Latifi, S., </w:t>
      </w:r>
      <w:proofErr w:type="spellStart"/>
      <w:r w:rsidRPr="00F15A1C">
        <w:rPr>
          <w:rFonts w:ascii="Arial" w:hAnsi="Arial" w:cs="Arial"/>
        </w:rPr>
        <w:t>Noroozi</w:t>
      </w:r>
      <w:proofErr w:type="spellEnd"/>
      <w:r w:rsidRPr="00F15A1C">
        <w:rPr>
          <w:rFonts w:ascii="Arial" w:hAnsi="Arial" w:cs="Arial"/>
        </w:rPr>
        <w:t xml:space="preserve">, O. and Talaee, E. (2021). Peer Feedback or Peer feedforward? Enhancing Students’ Argumentative Peer Learning Processes and Outcomes. </w:t>
      </w:r>
      <w:r w:rsidRPr="00F15A1C">
        <w:rPr>
          <w:rFonts w:ascii="Arial" w:hAnsi="Arial" w:cs="Arial"/>
          <w:i/>
          <w:iCs/>
        </w:rPr>
        <w:t>British Journal of Educational Technology</w:t>
      </w:r>
      <w:r w:rsidRPr="00F15A1C">
        <w:rPr>
          <w:rFonts w:ascii="Arial" w:hAnsi="Arial" w:cs="Arial"/>
        </w:rPr>
        <w:t xml:space="preserve">, 52(2). </w:t>
      </w:r>
      <w:r>
        <w:rPr>
          <w:rFonts w:ascii="Arial" w:hAnsi="Arial" w:cs="Arial"/>
        </w:rPr>
        <w:t xml:space="preserve">Available from: </w:t>
      </w:r>
      <w:hyperlink r:id="rId46" w:history="1">
        <w:r w:rsidRPr="00F15A1C">
          <w:rPr>
            <w:rStyle w:val="Hyperlink"/>
            <w:rFonts w:ascii="Arial" w:hAnsi="Arial" w:cs="Arial"/>
          </w:rPr>
          <w:t>https://doi.org/10.1111/bjet.13054</w:t>
        </w:r>
      </w:hyperlink>
      <w:r>
        <w:rPr>
          <w:rFonts w:ascii="Arial" w:hAnsi="Arial" w:cs="Arial"/>
        </w:rPr>
        <w:t>, Accessed on: 28/02/25</w:t>
      </w:r>
    </w:p>
    <w:p w14:paraId="079474F7" w14:textId="55E8DDA5" w:rsidR="006B7EA7" w:rsidRDefault="006B7EA7" w:rsidP="003D632D">
      <w:pPr>
        <w:spacing w:line="240" w:lineRule="auto"/>
        <w:rPr>
          <w:rFonts w:ascii="Arial" w:hAnsi="Arial" w:cs="Arial"/>
        </w:rPr>
      </w:pPr>
      <w:r w:rsidRPr="006B7EA7">
        <w:rPr>
          <w:rFonts w:ascii="Arial" w:hAnsi="Arial" w:cs="Arial"/>
        </w:rPr>
        <w:t xml:space="preserve">Liu, K. (2015). Critical Reflection as a Framework for Transformative Learning in Teacher Education. </w:t>
      </w:r>
      <w:r w:rsidRPr="006B7EA7">
        <w:rPr>
          <w:rFonts w:ascii="Arial" w:hAnsi="Arial" w:cs="Arial"/>
          <w:i/>
          <w:iCs/>
        </w:rPr>
        <w:t>Educational Review</w:t>
      </w:r>
      <w:r w:rsidRPr="006B7EA7">
        <w:rPr>
          <w:rFonts w:ascii="Arial" w:hAnsi="Arial" w:cs="Arial"/>
        </w:rPr>
        <w:t xml:space="preserve">, [online] 67(2), pp.135–157. </w:t>
      </w:r>
      <w:r>
        <w:rPr>
          <w:rFonts w:ascii="Arial" w:hAnsi="Arial" w:cs="Arial"/>
        </w:rPr>
        <w:t xml:space="preserve">Available from: </w:t>
      </w:r>
      <w:hyperlink r:id="rId47" w:history="1">
        <w:r w:rsidRPr="006B7EA7">
          <w:rPr>
            <w:rStyle w:val="Hyperlink"/>
            <w:rFonts w:ascii="Arial" w:hAnsi="Arial" w:cs="Arial"/>
          </w:rPr>
          <w:t>https://doi.org/10.1080/00131911.2013.839546</w:t>
        </w:r>
      </w:hyperlink>
      <w:r>
        <w:rPr>
          <w:rFonts w:ascii="Arial" w:hAnsi="Arial" w:cs="Arial"/>
        </w:rPr>
        <w:t>, Accessed on: 01/03/25</w:t>
      </w:r>
    </w:p>
    <w:p w14:paraId="3A129B45" w14:textId="77777777" w:rsidR="00C46AA1" w:rsidRPr="006B7EA7" w:rsidRDefault="00C46AA1" w:rsidP="00C46AA1">
      <w:pPr>
        <w:spacing w:line="240" w:lineRule="auto"/>
        <w:rPr>
          <w:rFonts w:ascii="Arial" w:hAnsi="Arial" w:cs="Arial"/>
        </w:rPr>
      </w:pPr>
      <w:r w:rsidRPr="006B7EA7">
        <w:rPr>
          <w:rFonts w:ascii="Arial" w:hAnsi="Arial" w:cs="Arial"/>
        </w:rPr>
        <w:t xml:space="preserve">Lone Hvalby, Guldbrandsen, A. and Hildegunn Fandrem (2024). Life Skills in Compulsory Education: </w:t>
      </w:r>
      <w:proofErr w:type="gramStart"/>
      <w:r w:rsidRPr="006B7EA7">
        <w:rPr>
          <w:rFonts w:ascii="Arial" w:hAnsi="Arial" w:cs="Arial"/>
        </w:rPr>
        <w:t>a</w:t>
      </w:r>
      <w:proofErr w:type="gramEnd"/>
      <w:r w:rsidRPr="006B7EA7">
        <w:rPr>
          <w:rFonts w:ascii="Arial" w:hAnsi="Arial" w:cs="Arial"/>
        </w:rPr>
        <w:t xml:space="preserve"> Systematic Scoping Review. </w:t>
      </w:r>
      <w:r w:rsidRPr="006B7EA7">
        <w:rPr>
          <w:rFonts w:ascii="Arial" w:hAnsi="Arial" w:cs="Arial"/>
          <w:i/>
          <w:iCs/>
        </w:rPr>
        <w:t>Education Sciences</w:t>
      </w:r>
      <w:r w:rsidRPr="006B7EA7">
        <w:rPr>
          <w:rFonts w:ascii="Arial" w:hAnsi="Arial" w:cs="Arial"/>
        </w:rPr>
        <w:t xml:space="preserve">, [online] 14(10), pp.1112–1112. </w:t>
      </w:r>
      <w:r>
        <w:rPr>
          <w:rFonts w:ascii="Arial" w:hAnsi="Arial" w:cs="Arial"/>
        </w:rPr>
        <w:t xml:space="preserve">Available from: </w:t>
      </w:r>
      <w:hyperlink r:id="rId48" w:history="1">
        <w:r w:rsidRPr="006B7EA7">
          <w:rPr>
            <w:rStyle w:val="Hyperlink"/>
            <w:rFonts w:ascii="Arial" w:hAnsi="Arial" w:cs="Arial"/>
          </w:rPr>
          <w:t>https://doi.org/10.3390/educsci14101112</w:t>
        </w:r>
      </w:hyperlink>
      <w:r>
        <w:rPr>
          <w:rFonts w:ascii="Arial" w:hAnsi="Arial" w:cs="Arial"/>
        </w:rPr>
        <w:t>, Accessed on: 01/03/25</w:t>
      </w:r>
    </w:p>
    <w:p w14:paraId="5188BA6C" w14:textId="77777777" w:rsidR="003D632D" w:rsidRDefault="003D632D" w:rsidP="003D632D">
      <w:pPr>
        <w:spacing w:line="240" w:lineRule="auto"/>
        <w:rPr>
          <w:rFonts w:ascii="Arial" w:hAnsi="Arial" w:cs="Arial"/>
        </w:rPr>
      </w:pPr>
      <w:r w:rsidRPr="001C5CC2">
        <w:rPr>
          <w:rFonts w:ascii="Arial" w:hAnsi="Arial" w:cs="Arial"/>
        </w:rPr>
        <w:t xml:space="preserve">López-Vargas, O., Ibáñez-Ibáñez, J. and Racines-Prada, O. (2017). Students’ Metacognition and Cognitive Style and Their Effect on Cognitive Load and Learning Achievement. </w:t>
      </w:r>
      <w:r w:rsidRPr="001C5CC2">
        <w:rPr>
          <w:rFonts w:ascii="Arial" w:hAnsi="Arial" w:cs="Arial"/>
          <w:i/>
          <w:iCs/>
        </w:rPr>
        <w:t>Journal of Educational Technology &amp; Society</w:t>
      </w:r>
      <w:r w:rsidRPr="001C5CC2">
        <w:rPr>
          <w:rFonts w:ascii="Arial" w:hAnsi="Arial" w:cs="Arial"/>
        </w:rPr>
        <w:t xml:space="preserve">, [online] 20(3), pp.145–157. Available at: </w:t>
      </w:r>
      <w:hyperlink r:id="rId49" w:history="1">
        <w:r w:rsidRPr="001C5CC2">
          <w:rPr>
            <w:rStyle w:val="Hyperlink"/>
            <w:rFonts w:ascii="Arial" w:hAnsi="Arial" w:cs="Arial"/>
          </w:rPr>
          <w:t>https://www.jstor.org/stable/26196126</w:t>
        </w:r>
      </w:hyperlink>
      <w:r>
        <w:rPr>
          <w:rFonts w:ascii="Arial" w:hAnsi="Arial" w:cs="Arial"/>
        </w:rPr>
        <w:t>, Accessed on: 27/02/25</w:t>
      </w:r>
    </w:p>
    <w:p w14:paraId="0564917D" w14:textId="77777777" w:rsidR="003D632D" w:rsidRDefault="003D632D" w:rsidP="003D632D">
      <w:pPr>
        <w:spacing w:line="240" w:lineRule="auto"/>
        <w:rPr>
          <w:rFonts w:ascii="Arial" w:hAnsi="Arial" w:cs="Arial"/>
        </w:rPr>
      </w:pPr>
      <w:r w:rsidRPr="00A818B4">
        <w:rPr>
          <w:rFonts w:ascii="Arial" w:hAnsi="Arial" w:cs="Arial"/>
        </w:rPr>
        <w:t xml:space="preserve">Love, S., Truelove, V., Rowland, B. and </w:t>
      </w:r>
      <w:proofErr w:type="spellStart"/>
      <w:r w:rsidRPr="00A818B4">
        <w:rPr>
          <w:rFonts w:ascii="Arial" w:hAnsi="Arial" w:cs="Arial"/>
        </w:rPr>
        <w:t>Kannis</w:t>
      </w:r>
      <w:r w:rsidRPr="00A818B4">
        <w:rPr>
          <w:rFonts w:ascii="Cambria Math" w:hAnsi="Cambria Math" w:cs="Cambria Math"/>
        </w:rPr>
        <w:t>‐</w:t>
      </w:r>
      <w:r w:rsidRPr="00A818B4">
        <w:rPr>
          <w:rFonts w:ascii="Arial" w:hAnsi="Arial" w:cs="Arial"/>
        </w:rPr>
        <w:t>Dymand</w:t>
      </w:r>
      <w:proofErr w:type="spellEnd"/>
      <w:r w:rsidRPr="00A818B4">
        <w:rPr>
          <w:rFonts w:ascii="Arial" w:hAnsi="Arial" w:cs="Arial"/>
        </w:rPr>
        <w:t>, L. (2022). Metacognition and Self</w:t>
      </w:r>
      <w:r w:rsidRPr="00A818B4">
        <w:rPr>
          <w:rFonts w:ascii="Cambria Math" w:hAnsi="Cambria Math" w:cs="Cambria Math"/>
        </w:rPr>
        <w:t>‐</w:t>
      </w:r>
      <w:r w:rsidRPr="00A818B4">
        <w:rPr>
          <w:rFonts w:ascii="Arial" w:hAnsi="Arial" w:cs="Arial"/>
        </w:rPr>
        <w:t xml:space="preserve">regulation on the road: a Qualitative Approach to Driver Attention and Distraction. </w:t>
      </w:r>
      <w:r w:rsidRPr="00A818B4">
        <w:rPr>
          <w:rFonts w:ascii="Arial" w:hAnsi="Arial" w:cs="Arial"/>
          <w:i/>
          <w:iCs/>
        </w:rPr>
        <w:t>Applied Cognitive Psychology</w:t>
      </w:r>
      <w:r w:rsidRPr="00A818B4">
        <w:rPr>
          <w:rFonts w:ascii="Arial" w:hAnsi="Arial" w:cs="Arial"/>
        </w:rPr>
        <w:t xml:space="preserve">, 36(6). </w:t>
      </w:r>
      <w:r>
        <w:rPr>
          <w:rFonts w:ascii="Arial" w:hAnsi="Arial" w:cs="Arial"/>
        </w:rPr>
        <w:t xml:space="preserve">Available from: </w:t>
      </w:r>
      <w:hyperlink r:id="rId50" w:history="1">
        <w:r w:rsidRPr="00A818B4">
          <w:rPr>
            <w:rStyle w:val="Hyperlink"/>
            <w:rFonts w:ascii="Arial" w:hAnsi="Arial" w:cs="Arial"/>
          </w:rPr>
          <w:t>https://doi.org/10.1002/acp.4015</w:t>
        </w:r>
      </w:hyperlink>
      <w:r>
        <w:rPr>
          <w:rFonts w:ascii="Arial" w:hAnsi="Arial" w:cs="Arial"/>
        </w:rPr>
        <w:t>, Accessed on: 28/02/25</w:t>
      </w:r>
    </w:p>
    <w:p w14:paraId="0B0FA85A" w14:textId="77777777" w:rsidR="00C46AA1" w:rsidRDefault="00C46AA1" w:rsidP="00C46AA1">
      <w:pPr>
        <w:spacing w:line="240" w:lineRule="auto"/>
        <w:rPr>
          <w:rFonts w:ascii="Arial" w:hAnsi="Arial" w:cs="Arial"/>
        </w:rPr>
      </w:pPr>
      <w:r w:rsidRPr="00A818B4">
        <w:rPr>
          <w:rFonts w:ascii="Arial" w:hAnsi="Arial" w:cs="Arial"/>
        </w:rPr>
        <w:t xml:space="preserve">Mark Feng Teng and Mizumoto, A. (2024). Validation of Metacognitive Knowledge in Vocabulary Learning and Its Predictive Effects on Incidental Vocabulary Learning from Reading. </w:t>
      </w:r>
      <w:r w:rsidRPr="00A818B4">
        <w:rPr>
          <w:rFonts w:ascii="Arial" w:hAnsi="Arial" w:cs="Arial"/>
          <w:i/>
          <w:iCs/>
        </w:rPr>
        <w:t>International Review of Applied Linguistics in Language Teaching</w:t>
      </w:r>
      <w:r w:rsidRPr="00A818B4">
        <w:rPr>
          <w:rFonts w:ascii="Arial" w:hAnsi="Arial" w:cs="Arial"/>
        </w:rPr>
        <w:t xml:space="preserve">, 0(0). </w:t>
      </w:r>
      <w:r>
        <w:rPr>
          <w:rFonts w:ascii="Arial" w:hAnsi="Arial" w:cs="Arial"/>
        </w:rPr>
        <w:t xml:space="preserve">Available from: </w:t>
      </w:r>
      <w:hyperlink r:id="rId51" w:history="1">
        <w:r w:rsidRPr="00A818B4">
          <w:rPr>
            <w:rStyle w:val="Hyperlink"/>
            <w:rFonts w:ascii="Arial" w:hAnsi="Arial" w:cs="Arial"/>
          </w:rPr>
          <w:t>https://doi.org/10.1515/iral-2023-0294</w:t>
        </w:r>
      </w:hyperlink>
      <w:r>
        <w:rPr>
          <w:rFonts w:ascii="Arial" w:hAnsi="Arial" w:cs="Arial"/>
        </w:rPr>
        <w:t>, Accessed on: 27/02/25</w:t>
      </w:r>
    </w:p>
    <w:p w14:paraId="5CB3565B" w14:textId="02C0FAE6" w:rsidR="00101187" w:rsidRPr="00101187" w:rsidRDefault="00101187" w:rsidP="00101187">
      <w:pPr>
        <w:spacing w:line="240" w:lineRule="auto"/>
        <w:rPr>
          <w:rFonts w:ascii="Arial" w:hAnsi="Arial" w:cs="Arial"/>
        </w:rPr>
      </w:pPr>
      <w:r w:rsidRPr="00101187">
        <w:rPr>
          <w:rFonts w:ascii="Arial" w:hAnsi="Arial" w:cs="Arial"/>
        </w:rPr>
        <w:t xml:space="preserve">Mitchell, C., Fryer, K., Guess, N., Habiba Aminu, Jackson, B., Gordon, A., Reynolds, J.P., Huang, Q., </w:t>
      </w:r>
      <w:proofErr w:type="spellStart"/>
      <w:r w:rsidRPr="00101187">
        <w:rPr>
          <w:rFonts w:ascii="Arial" w:hAnsi="Arial" w:cs="Arial"/>
        </w:rPr>
        <w:t>Shamanthi</w:t>
      </w:r>
      <w:proofErr w:type="spellEnd"/>
      <w:r w:rsidRPr="00101187">
        <w:rPr>
          <w:rFonts w:ascii="Arial" w:hAnsi="Arial" w:cs="Arial"/>
        </w:rPr>
        <w:t xml:space="preserve"> </w:t>
      </w:r>
      <w:proofErr w:type="spellStart"/>
      <w:r w:rsidRPr="00101187">
        <w:rPr>
          <w:rFonts w:ascii="Arial" w:hAnsi="Arial" w:cs="Arial"/>
        </w:rPr>
        <w:t>Jayasooriya</w:t>
      </w:r>
      <w:proofErr w:type="spellEnd"/>
      <w:r w:rsidRPr="00101187">
        <w:rPr>
          <w:rFonts w:ascii="Arial" w:hAnsi="Arial" w:cs="Arial"/>
        </w:rPr>
        <w:t xml:space="preserve">, Mawson, R.L., </w:t>
      </w:r>
      <w:proofErr w:type="spellStart"/>
      <w:r w:rsidRPr="00101187">
        <w:rPr>
          <w:rFonts w:ascii="Arial" w:hAnsi="Arial" w:cs="Arial"/>
        </w:rPr>
        <w:t>Lawy</w:t>
      </w:r>
      <w:proofErr w:type="spellEnd"/>
      <w:r w:rsidRPr="00101187">
        <w:rPr>
          <w:rFonts w:ascii="Arial" w:hAnsi="Arial" w:cs="Arial"/>
        </w:rPr>
        <w:t xml:space="preserve">, T., Linton, E. and Brown, J. (2023). Underserved ‘Deep End’ populations: a critical analysis addressing the power imbalance in research. </w:t>
      </w:r>
      <w:r w:rsidRPr="00101187">
        <w:rPr>
          <w:rFonts w:ascii="Arial" w:hAnsi="Arial" w:cs="Arial"/>
          <w:i/>
          <w:iCs/>
        </w:rPr>
        <w:t>British Journal of General Practice</w:t>
      </w:r>
      <w:r w:rsidRPr="00101187">
        <w:rPr>
          <w:rFonts w:ascii="Arial" w:hAnsi="Arial" w:cs="Arial"/>
        </w:rPr>
        <w:t xml:space="preserve">, 73(732), pp.326–329. </w:t>
      </w:r>
      <w:r>
        <w:rPr>
          <w:rFonts w:ascii="Arial" w:hAnsi="Arial" w:cs="Arial"/>
        </w:rPr>
        <w:t xml:space="preserve">Available from: </w:t>
      </w:r>
      <w:hyperlink r:id="rId52" w:history="1">
        <w:r w:rsidRPr="00101187">
          <w:rPr>
            <w:rStyle w:val="Hyperlink"/>
            <w:rFonts w:ascii="Arial" w:hAnsi="Arial" w:cs="Arial"/>
          </w:rPr>
          <w:t>https://doi.org/10.3399/bjgp23x733461</w:t>
        </w:r>
      </w:hyperlink>
      <w:r>
        <w:rPr>
          <w:rFonts w:ascii="Arial" w:hAnsi="Arial" w:cs="Arial"/>
        </w:rPr>
        <w:t>, Accessed on: 01/03/25</w:t>
      </w:r>
    </w:p>
    <w:p w14:paraId="7E2E0A20" w14:textId="77777777" w:rsidR="003D632D" w:rsidRDefault="003D632D" w:rsidP="003D632D">
      <w:pPr>
        <w:spacing w:line="240" w:lineRule="auto"/>
        <w:rPr>
          <w:rFonts w:ascii="Arial" w:hAnsi="Arial" w:cs="Arial"/>
        </w:rPr>
      </w:pPr>
      <w:r w:rsidRPr="00911282">
        <w:rPr>
          <w:rFonts w:ascii="Arial" w:hAnsi="Arial" w:cs="Arial"/>
        </w:rPr>
        <w:t xml:space="preserve">Mitchell, D. (2018). </w:t>
      </w:r>
      <w:r w:rsidRPr="00911282">
        <w:rPr>
          <w:rFonts w:ascii="Arial" w:hAnsi="Arial" w:cs="Arial"/>
          <w:i/>
          <w:iCs/>
        </w:rPr>
        <w:t>The Ecology of Inclusive Education</w:t>
      </w:r>
      <w:r w:rsidRPr="00911282">
        <w:rPr>
          <w:rFonts w:ascii="Arial" w:hAnsi="Arial" w:cs="Arial"/>
        </w:rPr>
        <w:t>. Routledge</w:t>
      </w:r>
      <w:r>
        <w:rPr>
          <w:rFonts w:ascii="Arial" w:hAnsi="Arial" w:cs="Arial"/>
        </w:rPr>
        <w:t xml:space="preserve">, pp.7-15, Available from: </w:t>
      </w:r>
      <w:hyperlink r:id="rId53" w:history="1">
        <w:r w:rsidRPr="00911282">
          <w:rPr>
            <w:rStyle w:val="Hyperlink"/>
            <w:rFonts w:ascii="Arial" w:hAnsi="Arial" w:cs="Arial"/>
          </w:rPr>
          <w:t>https://doi.org/10.4324/9781315110448</w:t>
        </w:r>
      </w:hyperlink>
      <w:r>
        <w:rPr>
          <w:rFonts w:ascii="Arial" w:hAnsi="Arial" w:cs="Arial"/>
        </w:rPr>
        <w:t>, Accessed on: 28/02/25</w:t>
      </w:r>
    </w:p>
    <w:p w14:paraId="1A6FECD6" w14:textId="43BF69A2" w:rsidR="001F44F8" w:rsidRDefault="001F44F8" w:rsidP="001F44F8">
      <w:pPr>
        <w:spacing w:line="240" w:lineRule="auto"/>
        <w:rPr>
          <w:rFonts w:ascii="Arial" w:hAnsi="Arial" w:cs="Arial"/>
        </w:rPr>
      </w:pPr>
      <w:proofErr w:type="spellStart"/>
      <w:r w:rsidRPr="001F44F8">
        <w:rPr>
          <w:rFonts w:ascii="Arial" w:hAnsi="Arial" w:cs="Arial"/>
        </w:rPr>
        <w:t>Muijs</w:t>
      </w:r>
      <w:proofErr w:type="spellEnd"/>
      <w:r w:rsidRPr="001F44F8">
        <w:rPr>
          <w:rFonts w:ascii="Arial" w:hAnsi="Arial" w:cs="Arial"/>
        </w:rPr>
        <w:t xml:space="preserve">, D. and </w:t>
      </w:r>
      <w:proofErr w:type="spellStart"/>
      <w:r w:rsidRPr="001F44F8">
        <w:rPr>
          <w:rFonts w:ascii="Arial" w:hAnsi="Arial" w:cs="Arial"/>
        </w:rPr>
        <w:t>Bokhove</w:t>
      </w:r>
      <w:proofErr w:type="spellEnd"/>
      <w:r w:rsidRPr="001F44F8">
        <w:rPr>
          <w:rFonts w:ascii="Arial" w:hAnsi="Arial" w:cs="Arial"/>
        </w:rPr>
        <w:t xml:space="preserve">, C. (2020). </w:t>
      </w:r>
      <w:r w:rsidRPr="001F44F8">
        <w:rPr>
          <w:rFonts w:ascii="Arial" w:hAnsi="Arial" w:cs="Arial"/>
          <w:i/>
          <w:iCs/>
        </w:rPr>
        <w:t>Metacognition and Self-Regulation: Evidence Review</w:t>
      </w:r>
      <w:r w:rsidRPr="001F44F8">
        <w:rPr>
          <w:rFonts w:ascii="Arial" w:hAnsi="Arial" w:cs="Arial"/>
        </w:rPr>
        <w:t xml:space="preserve">. [online] </w:t>
      </w:r>
      <w:r w:rsidRPr="001F44F8">
        <w:rPr>
          <w:rFonts w:ascii="Arial" w:hAnsi="Arial" w:cs="Arial"/>
          <w:i/>
          <w:iCs/>
        </w:rPr>
        <w:t>ERIC</w:t>
      </w:r>
      <w:r w:rsidRPr="001F44F8">
        <w:rPr>
          <w:rFonts w:ascii="Arial" w:hAnsi="Arial" w:cs="Arial"/>
        </w:rPr>
        <w:t xml:space="preserve">. Education Endowment Foundation. Available at: </w:t>
      </w:r>
      <w:hyperlink r:id="rId54" w:history="1">
        <w:r w:rsidRPr="001F44F8">
          <w:rPr>
            <w:rStyle w:val="Hyperlink"/>
            <w:rFonts w:ascii="Arial" w:hAnsi="Arial" w:cs="Arial"/>
          </w:rPr>
          <w:t>https://eric.ed.gov/?id=ED612286</w:t>
        </w:r>
      </w:hyperlink>
      <w:r>
        <w:rPr>
          <w:rFonts w:ascii="Arial" w:hAnsi="Arial" w:cs="Arial"/>
        </w:rPr>
        <w:t>, Accessed on: 28/02/25</w:t>
      </w:r>
    </w:p>
    <w:p w14:paraId="57FA67A8" w14:textId="42E0053C" w:rsidR="00D90885" w:rsidRPr="00D90885" w:rsidRDefault="00D90885" w:rsidP="00D90885">
      <w:pPr>
        <w:spacing w:line="240" w:lineRule="auto"/>
        <w:rPr>
          <w:rFonts w:ascii="Arial" w:hAnsi="Arial" w:cs="Arial"/>
        </w:rPr>
      </w:pPr>
      <w:r w:rsidRPr="00D90885">
        <w:rPr>
          <w:rFonts w:ascii="Arial" w:hAnsi="Arial" w:cs="Arial"/>
        </w:rPr>
        <w:t xml:space="preserve">Mulyawati, Y., Zulela, M. and Edwita, E. (2022). Differentiation Learning to Improve Students Potential in Elementary School. </w:t>
      </w:r>
      <w:proofErr w:type="spellStart"/>
      <w:proofErr w:type="gramStart"/>
      <w:r w:rsidRPr="00D90885">
        <w:rPr>
          <w:rFonts w:ascii="Arial" w:hAnsi="Arial" w:cs="Arial"/>
          <w:i/>
          <w:iCs/>
        </w:rPr>
        <w:t>Pedagonal</w:t>
      </w:r>
      <w:proofErr w:type="spellEnd"/>
      <w:r w:rsidRPr="00D90885">
        <w:rPr>
          <w:rFonts w:ascii="Arial" w:hAnsi="Arial" w:cs="Arial"/>
          <w:i/>
          <w:iCs/>
        </w:rPr>
        <w:t xml:space="preserve"> :</w:t>
      </w:r>
      <w:proofErr w:type="gramEnd"/>
      <w:r w:rsidRPr="00D90885">
        <w:rPr>
          <w:rFonts w:ascii="Arial" w:hAnsi="Arial" w:cs="Arial"/>
          <w:i/>
          <w:iCs/>
        </w:rPr>
        <w:t xml:space="preserve"> </w:t>
      </w:r>
      <w:proofErr w:type="spellStart"/>
      <w:r w:rsidRPr="00D90885">
        <w:rPr>
          <w:rFonts w:ascii="Arial" w:hAnsi="Arial" w:cs="Arial"/>
          <w:i/>
          <w:iCs/>
        </w:rPr>
        <w:t>Jurnal</w:t>
      </w:r>
      <w:proofErr w:type="spellEnd"/>
      <w:r w:rsidRPr="00D90885">
        <w:rPr>
          <w:rFonts w:ascii="Arial" w:hAnsi="Arial" w:cs="Arial"/>
          <w:i/>
          <w:iCs/>
        </w:rPr>
        <w:t xml:space="preserve"> </w:t>
      </w:r>
      <w:proofErr w:type="spellStart"/>
      <w:r w:rsidRPr="00D90885">
        <w:rPr>
          <w:rFonts w:ascii="Arial" w:hAnsi="Arial" w:cs="Arial"/>
          <w:i/>
          <w:iCs/>
        </w:rPr>
        <w:t>Ilmiah</w:t>
      </w:r>
      <w:proofErr w:type="spellEnd"/>
      <w:r w:rsidRPr="00D90885">
        <w:rPr>
          <w:rFonts w:ascii="Arial" w:hAnsi="Arial" w:cs="Arial"/>
          <w:i/>
          <w:iCs/>
        </w:rPr>
        <w:t xml:space="preserve"> Pendidikan</w:t>
      </w:r>
      <w:r w:rsidRPr="00D90885">
        <w:rPr>
          <w:rFonts w:ascii="Arial" w:hAnsi="Arial" w:cs="Arial"/>
        </w:rPr>
        <w:t xml:space="preserve">, 6(1), pp.68–78. </w:t>
      </w:r>
      <w:r>
        <w:rPr>
          <w:rFonts w:ascii="Arial" w:hAnsi="Arial" w:cs="Arial"/>
        </w:rPr>
        <w:t xml:space="preserve">Available from: </w:t>
      </w:r>
      <w:hyperlink r:id="rId55" w:history="1">
        <w:r w:rsidRPr="00D90885">
          <w:rPr>
            <w:rStyle w:val="Hyperlink"/>
            <w:rFonts w:ascii="Arial" w:hAnsi="Arial" w:cs="Arial"/>
          </w:rPr>
          <w:t>https://doi.org/10.55215/pedagonal.v6i1.4485</w:t>
        </w:r>
      </w:hyperlink>
      <w:r>
        <w:rPr>
          <w:rFonts w:ascii="Arial" w:hAnsi="Arial" w:cs="Arial"/>
        </w:rPr>
        <w:t>, Accessed on: 01/03/25</w:t>
      </w:r>
    </w:p>
    <w:p w14:paraId="18CC0118" w14:textId="77777777" w:rsidR="003D632D" w:rsidRDefault="003D632D" w:rsidP="003D632D">
      <w:pPr>
        <w:spacing w:line="240" w:lineRule="auto"/>
        <w:rPr>
          <w:rFonts w:ascii="Arial" w:hAnsi="Arial" w:cs="Arial"/>
        </w:rPr>
      </w:pPr>
      <w:r w:rsidRPr="00292FF3">
        <w:rPr>
          <w:rFonts w:ascii="Arial" w:hAnsi="Arial" w:cs="Arial"/>
        </w:rPr>
        <w:t xml:space="preserve">Munna, A.S. and Kalam, M.A. (2021). Teaching and Learning Process to Enhance Teaching effectiveness: Literature Review. </w:t>
      </w:r>
      <w:r w:rsidRPr="00292FF3">
        <w:rPr>
          <w:rFonts w:ascii="Arial" w:hAnsi="Arial" w:cs="Arial"/>
          <w:i/>
          <w:iCs/>
        </w:rPr>
        <w:t>International Journal of Humanities and Innovation (IJHI)</w:t>
      </w:r>
      <w:r w:rsidRPr="00292FF3">
        <w:rPr>
          <w:rFonts w:ascii="Arial" w:hAnsi="Arial" w:cs="Arial"/>
        </w:rPr>
        <w:t xml:space="preserve">, 4(1), pp.1–4. </w:t>
      </w:r>
      <w:r>
        <w:rPr>
          <w:rFonts w:ascii="Arial" w:hAnsi="Arial" w:cs="Arial"/>
        </w:rPr>
        <w:t xml:space="preserve">Available from: </w:t>
      </w:r>
      <w:hyperlink r:id="rId56" w:history="1">
        <w:r w:rsidRPr="00292FF3">
          <w:rPr>
            <w:rStyle w:val="Hyperlink"/>
            <w:rFonts w:ascii="Arial" w:hAnsi="Arial" w:cs="Arial"/>
          </w:rPr>
          <w:t>https://doi.org/10.33750/ijhi.v4i1.102</w:t>
        </w:r>
      </w:hyperlink>
      <w:r>
        <w:rPr>
          <w:rFonts w:ascii="Arial" w:hAnsi="Arial" w:cs="Arial"/>
        </w:rPr>
        <w:t>, Accessed on: 26/02/25</w:t>
      </w:r>
    </w:p>
    <w:p w14:paraId="6552BED9" w14:textId="77777777" w:rsidR="003D632D" w:rsidRDefault="003D632D" w:rsidP="003D632D">
      <w:pPr>
        <w:spacing w:line="240" w:lineRule="auto"/>
        <w:rPr>
          <w:rFonts w:ascii="Arial" w:hAnsi="Arial" w:cs="Arial"/>
        </w:rPr>
      </w:pPr>
      <w:r w:rsidRPr="00EC4A31">
        <w:rPr>
          <w:rFonts w:ascii="Arial" w:hAnsi="Arial" w:cs="Arial"/>
        </w:rPr>
        <w:lastRenderedPageBreak/>
        <w:t xml:space="preserve">Muteti, C.Z., Zarraga, C., Jacob, B.I., </w:t>
      </w:r>
      <w:proofErr w:type="spellStart"/>
      <w:r w:rsidRPr="00EC4A31">
        <w:rPr>
          <w:rFonts w:ascii="Arial" w:hAnsi="Arial" w:cs="Arial"/>
        </w:rPr>
        <w:t>Mwarumba</w:t>
      </w:r>
      <w:proofErr w:type="spellEnd"/>
      <w:r w:rsidRPr="00EC4A31">
        <w:rPr>
          <w:rFonts w:ascii="Arial" w:hAnsi="Arial" w:cs="Arial"/>
        </w:rPr>
        <w:t xml:space="preserve">, T.M., </w:t>
      </w:r>
      <w:proofErr w:type="spellStart"/>
      <w:r w:rsidRPr="00EC4A31">
        <w:rPr>
          <w:rFonts w:ascii="Arial" w:hAnsi="Arial" w:cs="Arial"/>
        </w:rPr>
        <w:t>Nkhata</w:t>
      </w:r>
      <w:proofErr w:type="spellEnd"/>
      <w:r w:rsidRPr="00EC4A31">
        <w:rPr>
          <w:rFonts w:ascii="Arial" w:hAnsi="Arial" w:cs="Arial"/>
        </w:rPr>
        <w:t xml:space="preserve">, D.B., </w:t>
      </w:r>
      <w:proofErr w:type="spellStart"/>
      <w:r w:rsidRPr="00EC4A31">
        <w:rPr>
          <w:rFonts w:ascii="Arial" w:hAnsi="Arial" w:cs="Arial"/>
        </w:rPr>
        <w:t>Mwavita</w:t>
      </w:r>
      <w:proofErr w:type="spellEnd"/>
      <w:r w:rsidRPr="00EC4A31">
        <w:rPr>
          <w:rFonts w:ascii="Arial" w:hAnsi="Arial" w:cs="Arial"/>
        </w:rPr>
        <w:t xml:space="preserve">, M., Mohanty, S. and </w:t>
      </w:r>
      <w:proofErr w:type="spellStart"/>
      <w:r w:rsidRPr="00EC4A31">
        <w:rPr>
          <w:rFonts w:ascii="Arial" w:hAnsi="Arial" w:cs="Arial"/>
        </w:rPr>
        <w:t>Mutambuki</w:t>
      </w:r>
      <w:proofErr w:type="spellEnd"/>
      <w:r w:rsidRPr="00EC4A31">
        <w:rPr>
          <w:rFonts w:ascii="Arial" w:hAnsi="Arial" w:cs="Arial"/>
        </w:rPr>
        <w:t xml:space="preserve">, J.M. (2021). I realized what I was doing was not working: the influence of explicit teaching of metacognition on students’ study strategies in a general chemistry I course. </w:t>
      </w:r>
      <w:r w:rsidRPr="00EC4A31">
        <w:rPr>
          <w:rFonts w:ascii="Arial" w:hAnsi="Arial" w:cs="Arial"/>
          <w:i/>
          <w:iCs/>
        </w:rPr>
        <w:t>Chemistry Education Research and Practice</w:t>
      </w:r>
      <w:r w:rsidRPr="00EC4A31">
        <w:rPr>
          <w:rFonts w:ascii="Arial" w:hAnsi="Arial" w:cs="Arial"/>
        </w:rPr>
        <w:t xml:space="preserve">, 22(1), pp.122–135. </w:t>
      </w:r>
      <w:r>
        <w:rPr>
          <w:rFonts w:ascii="Arial" w:hAnsi="Arial" w:cs="Arial"/>
        </w:rPr>
        <w:t xml:space="preserve">Available from: </w:t>
      </w:r>
      <w:hyperlink r:id="rId57" w:history="1">
        <w:r w:rsidRPr="00EC4A31">
          <w:rPr>
            <w:rStyle w:val="Hyperlink"/>
            <w:rFonts w:ascii="Arial" w:hAnsi="Arial" w:cs="Arial"/>
          </w:rPr>
          <w:t>https://doi.org/10.1039/d0rp00217h</w:t>
        </w:r>
      </w:hyperlink>
      <w:r>
        <w:rPr>
          <w:rFonts w:ascii="Arial" w:hAnsi="Arial" w:cs="Arial"/>
        </w:rPr>
        <w:t>, Accessed on: 28/02/25</w:t>
      </w:r>
    </w:p>
    <w:p w14:paraId="32706F76" w14:textId="77777777" w:rsidR="003D632D" w:rsidRPr="00D93820" w:rsidRDefault="003D632D" w:rsidP="003D632D">
      <w:pPr>
        <w:spacing w:line="240" w:lineRule="auto"/>
        <w:rPr>
          <w:rFonts w:ascii="Arial" w:hAnsi="Arial" w:cs="Arial"/>
        </w:rPr>
      </w:pPr>
      <w:r w:rsidRPr="00D93820">
        <w:rPr>
          <w:rFonts w:ascii="Arial" w:hAnsi="Arial" w:cs="Arial"/>
        </w:rPr>
        <w:t xml:space="preserve">Muzari, T., Shava, G.N. and Shonhiwa, S. (2022). </w:t>
      </w:r>
      <w:r w:rsidRPr="00D93820">
        <w:rPr>
          <w:rFonts w:ascii="Arial" w:hAnsi="Arial" w:cs="Arial"/>
          <w:i/>
          <w:iCs/>
        </w:rPr>
        <w:t>Qualitative Research paradigm, a Key Research Design for Educational researchers, Processes and procedures: a Theoretical Overview</w:t>
      </w:r>
      <w:r w:rsidRPr="00D93820">
        <w:rPr>
          <w:rFonts w:ascii="Arial" w:hAnsi="Arial" w:cs="Arial"/>
        </w:rPr>
        <w:t xml:space="preserve">. [online] Available at: </w:t>
      </w:r>
      <w:hyperlink r:id="rId58" w:history="1">
        <w:r w:rsidRPr="00D93820">
          <w:rPr>
            <w:rStyle w:val="Hyperlink"/>
            <w:rFonts w:ascii="Arial" w:hAnsi="Arial" w:cs="Arial"/>
          </w:rPr>
          <w:t>https://indianapublications.com/articles/IJHSS_3(1)_14-20_61f38990115064.95135470.pdf</w:t>
        </w:r>
      </w:hyperlink>
      <w:r>
        <w:rPr>
          <w:rFonts w:ascii="Arial" w:hAnsi="Arial" w:cs="Arial"/>
        </w:rPr>
        <w:t>, Accessed on: 28/02/25</w:t>
      </w:r>
    </w:p>
    <w:p w14:paraId="6A56242D" w14:textId="77777777" w:rsidR="003D632D" w:rsidRDefault="003D632D" w:rsidP="003D632D">
      <w:pPr>
        <w:spacing w:after="0" w:line="240" w:lineRule="auto"/>
        <w:rPr>
          <w:rFonts w:ascii="Arial" w:hAnsi="Arial" w:cs="Arial"/>
        </w:rPr>
      </w:pPr>
      <w:r w:rsidRPr="007205E3">
        <w:rPr>
          <w:rFonts w:ascii="Arial" w:hAnsi="Arial" w:cs="Arial"/>
        </w:rPr>
        <w:t xml:space="preserve">MyLocalSchool (2022). </w:t>
      </w:r>
      <w:r w:rsidRPr="007205E3">
        <w:rPr>
          <w:rFonts w:ascii="Arial" w:hAnsi="Arial" w:cs="Arial"/>
          <w:i/>
          <w:iCs/>
        </w:rPr>
        <w:t xml:space="preserve"> Primary School</w:t>
      </w:r>
      <w:r w:rsidRPr="007205E3">
        <w:rPr>
          <w:rFonts w:ascii="Arial" w:hAnsi="Arial" w:cs="Arial"/>
        </w:rPr>
        <w:t xml:space="preserve">. [online] Gov.wales. Available at: </w:t>
      </w:r>
      <w:r w:rsidRPr="00134DDB">
        <w:rPr>
          <w:rFonts w:ascii="Arial" w:hAnsi="Arial" w:cs="Arial"/>
        </w:rPr>
        <w:fldChar w:fldCharType="begin"/>
      </w:r>
      <w:r w:rsidRPr="00134DDB">
        <w:rPr>
          <w:rFonts w:ascii="Arial" w:hAnsi="Arial" w:cs="Arial"/>
        </w:rPr>
        <w:instrText>HYPERLINK "</w:instrText>
      </w:r>
      <w:r w:rsidRPr="007205E3">
        <w:rPr>
          <w:rFonts w:ascii="Arial" w:hAnsi="Arial" w:cs="Arial"/>
        </w:rPr>
        <w:instrText>https://mylocalschool.gov.wales/School/?lang=en</w:instrText>
      </w:r>
      <w:r w:rsidRPr="00134DDB">
        <w:rPr>
          <w:rFonts w:ascii="Arial" w:hAnsi="Arial" w:cs="Arial"/>
        </w:rPr>
        <w:instrText>"</w:instrText>
      </w:r>
      <w:r w:rsidRPr="00134DDB">
        <w:rPr>
          <w:rFonts w:ascii="Arial" w:hAnsi="Arial" w:cs="Arial"/>
        </w:rPr>
        <w:fldChar w:fldCharType="separate"/>
      </w:r>
      <w:r w:rsidRPr="007205E3">
        <w:rPr>
          <w:rStyle w:val="Hyperlink"/>
          <w:rFonts w:ascii="Arial" w:hAnsi="Arial" w:cs="Arial"/>
        </w:rPr>
        <w:t>https://mylocalschool.gov.wales/School/?lang=en</w:t>
      </w:r>
      <w:r w:rsidRPr="00134DDB">
        <w:rPr>
          <w:rFonts w:ascii="Arial" w:hAnsi="Arial" w:cs="Arial"/>
        </w:rPr>
        <w:fldChar w:fldCharType="end"/>
      </w:r>
      <w:r w:rsidRPr="00134DDB">
        <w:rPr>
          <w:rFonts w:ascii="Arial" w:hAnsi="Arial" w:cs="Arial"/>
        </w:rPr>
        <w:t>, Accessed on 26/02/25</w:t>
      </w:r>
    </w:p>
    <w:p w14:paraId="6E216C80" w14:textId="77777777" w:rsidR="00C46AA1" w:rsidRDefault="00C46AA1" w:rsidP="00101187">
      <w:pPr>
        <w:spacing w:after="0" w:line="240" w:lineRule="auto"/>
        <w:rPr>
          <w:rFonts w:ascii="Arial" w:hAnsi="Arial" w:cs="Arial"/>
        </w:rPr>
      </w:pPr>
    </w:p>
    <w:p w14:paraId="03BE9BF6" w14:textId="72096981" w:rsidR="00101187" w:rsidRPr="00101187" w:rsidRDefault="00101187" w:rsidP="00101187">
      <w:pPr>
        <w:spacing w:after="0" w:line="240" w:lineRule="auto"/>
        <w:rPr>
          <w:rFonts w:ascii="Arial" w:hAnsi="Arial" w:cs="Arial"/>
        </w:rPr>
      </w:pPr>
      <w:r w:rsidRPr="00101187">
        <w:rPr>
          <w:rFonts w:ascii="Arial" w:hAnsi="Arial" w:cs="Arial"/>
        </w:rPr>
        <w:t xml:space="preserve">Nägele, C. and Stalder, B.E. (2016). Competence and the Need for Transferable Skills. </w:t>
      </w:r>
      <w:r w:rsidRPr="00101187">
        <w:rPr>
          <w:rFonts w:ascii="Arial" w:hAnsi="Arial" w:cs="Arial"/>
          <w:i/>
          <w:iCs/>
        </w:rPr>
        <w:t>Technical and Vocational Education and Training: Issues, Concerns and Prospects</w:t>
      </w:r>
      <w:r w:rsidRPr="00101187">
        <w:rPr>
          <w:rFonts w:ascii="Arial" w:hAnsi="Arial" w:cs="Arial"/>
        </w:rPr>
        <w:t xml:space="preserve">, [online] 23(23), pp.739–753. </w:t>
      </w:r>
      <w:r>
        <w:rPr>
          <w:rFonts w:ascii="Arial" w:hAnsi="Arial" w:cs="Arial"/>
        </w:rPr>
        <w:t xml:space="preserve">Available from: </w:t>
      </w:r>
      <w:hyperlink r:id="rId59" w:history="1">
        <w:r w:rsidRPr="00101187">
          <w:rPr>
            <w:rStyle w:val="Hyperlink"/>
            <w:rFonts w:ascii="Arial" w:hAnsi="Arial" w:cs="Arial"/>
          </w:rPr>
          <w:t>https://doi.org/10.1007/978-3-319-41713-4_34</w:t>
        </w:r>
      </w:hyperlink>
      <w:r>
        <w:rPr>
          <w:rFonts w:ascii="Arial" w:hAnsi="Arial" w:cs="Arial"/>
        </w:rPr>
        <w:t xml:space="preserve">, Accessed on: 01/03/25. </w:t>
      </w:r>
    </w:p>
    <w:p w14:paraId="7527D2D3" w14:textId="77777777" w:rsidR="00C46AA1" w:rsidRDefault="00C46AA1" w:rsidP="003D632D">
      <w:pPr>
        <w:spacing w:after="0" w:line="240" w:lineRule="auto"/>
        <w:rPr>
          <w:rFonts w:ascii="Arial" w:hAnsi="Arial" w:cs="Arial"/>
        </w:rPr>
      </w:pPr>
    </w:p>
    <w:p w14:paraId="4C90D841" w14:textId="134C6769" w:rsidR="003D632D" w:rsidRDefault="003D632D" w:rsidP="003D632D">
      <w:pPr>
        <w:spacing w:after="0" w:line="240" w:lineRule="auto"/>
        <w:rPr>
          <w:rFonts w:ascii="Arial" w:hAnsi="Arial" w:cs="Arial"/>
        </w:rPr>
      </w:pPr>
      <w:r w:rsidRPr="00735A44">
        <w:rPr>
          <w:rFonts w:ascii="Arial" w:hAnsi="Arial" w:cs="Arial"/>
        </w:rPr>
        <w:t xml:space="preserve">Ndabezitha, L.B. and Gravett, S. (2024). Guided Play as a Pedagogical Tool for the Early Grades. </w:t>
      </w:r>
      <w:r w:rsidRPr="00735A44">
        <w:rPr>
          <w:rFonts w:ascii="Arial" w:hAnsi="Arial" w:cs="Arial"/>
          <w:i/>
          <w:iCs/>
        </w:rPr>
        <w:t>South African Journal of Childhood Education</w:t>
      </w:r>
      <w:r w:rsidRPr="00735A44">
        <w:rPr>
          <w:rFonts w:ascii="Arial" w:hAnsi="Arial" w:cs="Arial"/>
        </w:rPr>
        <w:t xml:space="preserve">, 14(1). </w:t>
      </w:r>
      <w:r>
        <w:rPr>
          <w:rFonts w:ascii="Arial" w:hAnsi="Arial" w:cs="Arial"/>
        </w:rPr>
        <w:t xml:space="preserve">Available from: </w:t>
      </w:r>
      <w:hyperlink r:id="rId60" w:history="1">
        <w:r w:rsidRPr="00735A44">
          <w:rPr>
            <w:rStyle w:val="Hyperlink"/>
            <w:rFonts w:ascii="Arial" w:hAnsi="Arial" w:cs="Arial"/>
          </w:rPr>
          <w:t>https://doi.org/10.4102/sajce.v14i1.1345</w:t>
        </w:r>
      </w:hyperlink>
      <w:r>
        <w:rPr>
          <w:rFonts w:ascii="Arial" w:hAnsi="Arial" w:cs="Arial"/>
        </w:rPr>
        <w:t>, Accessed on: 28/02/25</w:t>
      </w:r>
    </w:p>
    <w:p w14:paraId="298C923C" w14:textId="77777777" w:rsidR="00C46AA1" w:rsidRDefault="00C46AA1" w:rsidP="001C6C48">
      <w:pPr>
        <w:spacing w:after="0" w:line="240" w:lineRule="auto"/>
        <w:rPr>
          <w:rFonts w:ascii="Arial" w:hAnsi="Arial" w:cs="Arial"/>
        </w:rPr>
      </w:pPr>
    </w:p>
    <w:p w14:paraId="74A302C6" w14:textId="13CFE4E3" w:rsidR="001C6C48" w:rsidRPr="001C6C48" w:rsidRDefault="001C6C48" w:rsidP="001C6C48">
      <w:pPr>
        <w:spacing w:after="0" w:line="240" w:lineRule="auto"/>
        <w:rPr>
          <w:rFonts w:ascii="Arial" w:hAnsi="Arial" w:cs="Arial"/>
        </w:rPr>
      </w:pPr>
      <w:r w:rsidRPr="001C6C48">
        <w:rPr>
          <w:rFonts w:ascii="Arial" w:hAnsi="Arial" w:cs="Arial"/>
        </w:rPr>
        <w:t xml:space="preserve">O’Reilly, C., Devitt, A. and Hayes, N. (2022). Critical Thinking in the Preschool Classroom - A systematic literature review. </w:t>
      </w:r>
      <w:r w:rsidRPr="001C6C48">
        <w:rPr>
          <w:rFonts w:ascii="Arial" w:hAnsi="Arial" w:cs="Arial"/>
          <w:i/>
          <w:iCs/>
        </w:rPr>
        <w:t>Thinking Skills and Creativity</w:t>
      </w:r>
      <w:r w:rsidRPr="001C6C48">
        <w:rPr>
          <w:rFonts w:ascii="Arial" w:hAnsi="Arial" w:cs="Arial"/>
        </w:rPr>
        <w:t xml:space="preserve">, 46, p.101110. </w:t>
      </w:r>
      <w:r>
        <w:rPr>
          <w:rFonts w:ascii="Arial" w:hAnsi="Arial" w:cs="Arial"/>
        </w:rPr>
        <w:t xml:space="preserve">Available from: </w:t>
      </w:r>
      <w:hyperlink r:id="rId61" w:history="1">
        <w:r w:rsidRPr="001C6C48">
          <w:rPr>
            <w:rStyle w:val="Hyperlink"/>
            <w:rFonts w:ascii="Arial" w:hAnsi="Arial" w:cs="Arial"/>
          </w:rPr>
          <w:t>https://doi.org/10.1016/j.tsc.2022.101110</w:t>
        </w:r>
      </w:hyperlink>
      <w:r>
        <w:rPr>
          <w:rFonts w:ascii="Arial" w:hAnsi="Arial" w:cs="Arial"/>
        </w:rPr>
        <w:t>, Accessed on: 01/03/25</w:t>
      </w:r>
    </w:p>
    <w:p w14:paraId="31594165" w14:textId="77777777" w:rsidR="001C6C48" w:rsidRPr="00735A44" w:rsidRDefault="001C6C48" w:rsidP="003D632D">
      <w:pPr>
        <w:spacing w:after="0" w:line="240" w:lineRule="auto"/>
        <w:rPr>
          <w:rFonts w:ascii="Arial" w:hAnsi="Arial" w:cs="Arial"/>
        </w:rPr>
      </w:pPr>
    </w:p>
    <w:p w14:paraId="6BC51AC4" w14:textId="77777777" w:rsidR="003D632D" w:rsidRDefault="003D632D" w:rsidP="003D632D">
      <w:pPr>
        <w:spacing w:after="0" w:line="240" w:lineRule="auto"/>
        <w:rPr>
          <w:rFonts w:ascii="Arial" w:hAnsi="Arial" w:cs="Arial"/>
        </w:rPr>
      </w:pPr>
    </w:p>
    <w:p w14:paraId="470AC884" w14:textId="77777777" w:rsidR="003D632D" w:rsidRPr="00A818B4" w:rsidRDefault="003D632D" w:rsidP="003D632D">
      <w:pPr>
        <w:spacing w:after="0" w:line="240" w:lineRule="auto"/>
        <w:rPr>
          <w:rFonts w:ascii="Arial" w:hAnsi="Arial" w:cs="Arial"/>
        </w:rPr>
      </w:pPr>
      <w:r w:rsidRPr="00A818B4">
        <w:rPr>
          <w:rFonts w:ascii="Arial" w:hAnsi="Arial" w:cs="Arial"/>
        </w:rPr>
        <w:t xml:space="preserve">Restad, F. and Mølstad, C.E. (2020). Social and Emotional Skills in Curriculum reform: a Red Line for measurability? </w:t>
      </w:r>
      <w:r w:rsidRPr="00A818B4">
        <w:rPr>
          <w:rFonts w:ascii="Arial" w:hAnsi="Arial" w:cs="Arial"/>
          <w:i/>
          <w:iCs/>
        </w:rPr>
        <w:t>Journal of Curriculum Studies</w:t>
      </w:r>
      <w:r w:rsidRPr="00A818B4">
        <w:rPr>
          <w:rFonts w:ascii="Arial" w:hAnsi="Arial" w:cs="Arial"/>
        </w:rPr>
        <w:t xml:space="preserve">, (4), pp.1–14. </w:t>
      </w:r>
      <w:r>
        <w:rPr>
          <w:rFonts w:ascii="Arial" w:hAnsi="Arial" w:cs="Arial"/>
        </w:rPr>
        <w:t xml:space="preserve">Available from: </w:t>
      </w:r>
      <w:hyperlink r:id="rId62" w:history="1">
        <w:r w:rsidRPr="00A818B4">
          <w:rPr>
            <w:rStyle w:val="Hyperlink"/>
            <w:rFonts w:ascii="Arial" w:hAnsi="Arial" w:cs="Arial"/>
          </w:rPr>
          <w:t>https://doi.org/10.1080/00220272.2020.1716391</w:t>
        </w:r>
      </w:hyperlink>
      <w:r>
        <w:rPr>
          <w:rFonts w:ascii="Arial" w:hAnsi="Arial" w:cs="Arial"/>
        </w:rPr>
        <w:t>, Accessed on: 28/02/25</w:t>
      </w:r>
    </w:p>
    <w:p w14:paraId="03BB575C" w14:textId="77777777" w:rsidR="003D632D" w:rsidRDefault="003D632D" w:rsidP="003D632D">
      <w:pPr>
        <w:spacing w:after="0" w:line="240" w:lineRule="auto"/>
        <w:rPr>
          <w:rFonts w:ascii="Arial" w:hAnsi="Arial" w:cs="Arial"/>
        </w:rPr>
      </w:pPr>
    </w:p>
    <w:p w14:paraId="1C3117E3" w14:textId="49DE16FE" w:rsidR="006B7EA7" w:rsidRPr="006B7EA7" w:rsidRDefault="006B7EA7" w:rsidP="006B7EA7">
      <w:pPr>
        <w:spacing w:after="0" w:line="240" w:lineRule="auto"/>
        <w:rPr>
          <w:rFonts w:ascii="Arial" w:hAnsi="Arial" w:cs="Arial"/>
        </w:rPr>
      </w:pPr>
      <w:r w:rsidRPr="006B7EA7">
        <w:rPr>
          <w:rFonts w:ascii="Arial" w:hAnsi="Arial" w:cs="Arial"/>
        </w:rPr>
        <w:t xml:space="preserve">Rodriguez, M., Cecile le Roux and Melville, M. (2024). Iteratively-Designed Exit Tickets Enhances Student Learning. </w:t>
      </w:r>
      <w:r w:rsidRPr="006B7EA7">
        <w:rPr>
          <w:rFonts w:ascii="Arial" w:hAnsi="Arial" w:cs="Arial"/>
          <w:i/>
          <w:iCs/>
        </w:rPr>
        <w:t>College teaching</w:t>
      </w:r>
      <w:r w:rsidRPr="006B7EA7">
        <w:rPr>
          <w:rFonts w:ascii="Arial" w:hAnsi="Arial" w:cs="Arial"/>
        </w:rPr>
        <w:t xml:space="preserve">, 1(9), pp.1–9. </w:t>
      </w:r>
      <w:r>
        <w:rPr>
          <w:rFonts w:ascii="Arial" w:hAnsi="Arial" w:cs="Arial"/>
        </w:rPr>
        <w:t xml:space="preserve">Available from: </w:t>
      </w:r>
      <w:hyperlink r:id="rId63" w:history="1">
        <w:r w:rsidRPr="006B7EA7">
          <w:rPr>
            <w:rStyle w:val="Hyperlink"/>
            <w:rFonts w:ascii="Arial" w:hAnsi="Arial" w:cs="Arial"/>
          </w:rPr>
          <w:t>https://doi.org/10.1080/87567555.2024.2355210</w:t>
        </w:r>
      </w:hyperlink>
      <w:r>
        <w:rPr>
          <w:rFonts w:ascii="Arial" w:hAnsi="Arial" w:cs="Arial"/>
        </w:rPr>
        <w:t>, Accessed on: 01/03/25</w:t>
      </w:r>
    </w:p>
    <w:p w14:paraId="5D0F76EA" w14:textId="77777777" w:rsidR="006B7EA7" w:rsidRDefault="006B7EA7" w:rsidP="003D632D">
      <w:pPr>
        <w:spacing w:after="0" w:line="240" w:lineRule="auto"/>
        <w:rPr>
          <w:rFonts w:ascii="Arial" w:hAnsi="Arial" w:cs="Arial"/>
        </w:rPr>
      </w:pPr>
    </w:p>
    <w:p w14:paraId="45130B03" w14:textId="77777777" w:rsidR="003D632D" w:rsidRDefault="003D632D" w:rsidP="003D632D">
      <w:pPr>
        <w:spacing w:after="0" w:line="240" w:lineRule="auto"/>
        <w:rPr>
          <w:rFonts w:ascii="Arial" w:hAnsi="Arial" w:cs="Arial"/>
        </w:rPr>
      </w:pPr>
    </w:p>
    <w:p w14:paraId="069A3A79" w14:textId="77777777" w:rsidR="003D632D" w:rsidRDefault="003D632D" w:rsidP="003D632D">
      <w:pPr>
        <w:spacing w:after="0" w:line="240" w:lineRule="auto"/>
        <w:rPr>
          <w:rFonts w:ascii="Arial" w:hAnsi="Arial" w:cs="Arial"/>
        </w:rPr>
      </w:pPr>
      <w:r w:rsidRPr="00A818B4">
        <w:rPr>
          <w:rFonts w:ascii="Arial" w:hAnsi="Arial" w:cs="Arial"/>
        </w:rPr>
        <w:t>Spiegel, J. A., Goodrich, J. M., Morris, B. M., Osborne, C. M., &amp; Lonigan, C. J. (2021). Relations between executive functions and academic outcomes in elementary school children: A meta-analysis. </w:t>
      </w:r>
      <w:r w:rsidRPr="00A818B4">
        <w:rPr>
          <w:rFonts w:ascii="Arial" w:hAnsi="Arial" w:cs="Arial"/>
          <w:i/>
          <w:iCs/>
        </w:rPr>
        <w:t>Psychological Bulletin, 147</w:t>
      </w:r>
      <w:r w:rsidRPr="00A818B4">
        <w:rPr>
          <w:rFonts w:ascii="Arial" w:hAnsi="Arial" w:cs="Arial"/>
        </w:rPr>
        <w:t>(4), 329–351.</w:t>
      </w:r>
      <w:r>
        <w:rPr>
          <w:rFonts w:ascii="Arial" w:hAnsi="Arial" w:cs="Arial"/>
        </w:rPr>
        <w:t xml:space="preserve">Available from: </w:t>
      </w:r>
      <w:r w:rsidRPr="00A818B4">
        <w:rPr>
          <w:rFonts w:ascii="Arial" w:hAnsi="Arial" w:cs="Arial"/>
        </w:rPr>
        <w:t> </w:t>
      </w:r>
      <w:hyperlink r:id="rId64" w:tgtFrame="_blank" w:history="1">
        <w:r w:rsidRPr="00A818B4">
          <w:rPr>
            <w:rStyle w:val="Hyperlink"/>
            <w:rFonts w:ascii="Arial" w:hAnsi="Arial" w:cs="Arial"/>
          </w:rPr>
          <w:t>https://doi.org/10.1037/bul0000322</w:t>
        </w:r>
      </w:hyperlink>
      <w:r>
        <w:rPr>
          <w:rFonts w:ascii="Arial" w:hAnsi="Arial" w:cs="Arial"/>
        </w:rPr>
        <w:t>, Accessed on: 28/02/25</w:t>
      </w:r>
    </w:p>
    <w:p w14:paraId="65C1F944" w14:textId="77777777" w:rsidR="003D632D" w:rsidRDefault="003D632D" w:rsidP="003D632D">
      <w:pPr>
        <w:spacing w:after="0" w:line="240" w:lineRule="auto"/>
        <w:rPr>
          <w:rFonts w:ascii="Arial" w:hAnsi="Arial" w:cs="Arial"/>
        </w:rPr>
      </w:pPr>
    </w:p>
    <w:p w14:paraId="5D848037" w14:textId="77777777" w:rsidR="003D632D" w:rsidRDefault="003D632D" w:rsidP="003D632D">
      <w:pPr>
        <w:spacing w:after="0" w:line="240" w:lineRule="auto"/>
        <w:rPr>
          <w:rFonts w:ascii="Arial" w:hAnsi="Arial" w:cs="Arial"/>
        </w:rPr>
      </w:pPr>
      <w:r>
        <w:rPr>
          <w:rFonts w:ascii="Arial" w:hAnsi="Arial" w:cs="Arial"/>
        </w:rPr>
        <w:t xml:space="preserve">Sukma L, Ramadoni R, Suryani M, (2022), The Implementation effect of peer teaching flipped classroom on student’s understanding of mathematical </w:t>
      </w:r>
      <w:proofErr w:type="spellStart"/>
      <w:r>
        <w:rPr>
          <w:rFonts w:ascii="Arial" w:hAnsi="Arial" w:cs="Arial"/>
        </w:rPr>
        <w:t>concpets</w:t>
      </w:r>
      <w:proofErr w:type="spellEnd"/>
      <w:r>
        <w:rPr>
          <w:rFonts w:ascii="Arial" w:hAnsi="Arial" w:cs="Arial"/>
        </w:rPr>
        <w:t xml:space="preserve"> in learning mathematics [Online], 4 (2), Available from: </w:t>
      </w:r>
      <w:hyperlink r:id="rId65" w:history="1">
        <w:r w:rsidRPr="00164C5F">
          <w:rPr>
            <w:rStyle w:val="Hyperlink"/>
            <w:rFonts w:ascii="Arial" w:hAnsi="Arial" w:cs="Arial"/>
          </w:rPr>
          <w:t>https://journal.ibrahimy.ac.id/index.php/Alifmatika/article/download/2281/1517</w:t>
        </w:r>
      </w:hyperlink>
      <w:r>
        <w:rPr>
          <w:rFonts w:ascii="Arial" w:hAnsi="Arial" w:cs="Arial"/>
        </w:rPr>
        <w:t>, Accessed on: 28/02/25</w:t>
      </w:r>
    </w:p>
    <w:p w14:paraId="3F37A801" w14:textId="77777777" w:rsidR="003D632D" w:rsidRDefault="003D632D" w:rsidP="003D632D">
      <w:pPr>
        <w:spacing w:after="0" w:line="240" w:lineRule="auto"/>
        <w:rPr>
          <w:rFonts w:ascii="Arial" w:hAnsi="Arial" w:cs="Arial"/>
        </w:rPr>
      </w:pPr>
    </w:p>
    <w:p w14:paraId="55350907" w14:textId="77777777" w:rsidR="003D632D" w:rsidRDefault="003D632D" w:rsidP="003D632D">
      <w:pPr>
        <w:spacing w:after="0" w:line="240" w:lineRule="auto"/>
        <w:rPr>
          <w:rFonts w:ascii="Arial" w:hAnsi="Arial" w:cs="Arial"/>
        </w:rPr>
      </w:pPr>
      <w:r w:rsidRPr="00461DB0">
        <w:rPr>
          <w:rFonts w:ascii="Arial" w:hAnsi="Arial" w:cs="Arial"/>
        </w:rPr>
        <w:t xml:space="preserve">Swann, C. (2022). The (over)use of SMART Goals for Physical Activity promotion: a Narrative Review and Critique. </w:t>
      </w:r>
      <w:r w:rsidRPr="00461DB0">
        <w:rPr>
          <w:rFonts w:ascii="Arial" w:hAnsi="Arial" w:cs="Arial"/>
          <w:i/>
          <w:iCs/>
        </w:rPr>
        <w:t>Health Psychology Review</w:t>
      </w:r>
      <w:r w:rsidRPr="00461DB0">
        <w:rPr>
          <w:rFonts w:ascii="Arial" w:hAnsi="Arial" w:cs="Arial"/>
        </w:rPr>
        <w:t xml:space="preserve">, 1(1), pp.1–16. </w:t>
      </w:r>
      <w:r>
        <w:rPr>
          <w:rFonts w:ascii="Arial" w:hAnsi="Arial" w:cs="Arial"/>
        </w:rPr>
        <w:t xml:space="preserve">Available from: </w:t>
      </w:r>
      <w:hyperlink r:id="rId66" w:history="1">
        <w:r w:rsidRPr="00461DB0">
          <w:rPr>
            <w:rStyle w:val="Hyperlink"/>
            <w:rFonts w:ascii="Arial" w:hAnsi="Arial" w:cs="Arial"/>
          </w:rPr>
          <w:t>https://doi.org/10.1080</w:t>
        </w:r>
        <w:r w:rsidRPr="00461DB0">
          <w:rPr>
            <w:rStyle w:val="Hyperlink"/>
            <w:rFonts w:ascii="Arial" w:hAnsi="Arial" w:cs="Arial"/>
          </w:rPr>
          <w:t>/</w:t>
        </w:r>
        <w:r w:rsidRPr="00461DB0">
          <w:rPr>
            <w:rStyle w:val="Hyperlink"/>
            <w:rFonts w:ascii="Arial" w:hAnsi="Arial" w:cs="Arial"/>
          </w:rPr>
          <w:t>17437199.2021.2023608</w:t>
        </w:r>
      </w:hyperlink>
      <w:r>
        <w:rPr>
          <w:rFonts w:ascii="Arial" w:hAnsi="Arial" w:cs="Arial"/>
        </w:rPr>
        <w:t xml:space="preserve">, </w:t>
      </w:r>
      <w:proofErr w:type="spellStart"/>
      <w:r>
        <w:rPr>
          <w:rFonts w:ascii="Arial" w:hAnsi="Arial" w:cs="Arial"/>
        </w:rPr>
        <w:t>Acccessed</w:t>
      </w:r>
      <w:proofErr w:type="spellEnd"/>
      <w:r>
        <w:rPr>
          <w:rFonts w:ascii="Arial" w:hAnsi="Arial" w:cs="Arial"/>
        </w:rPr>
        <w:t xml:space="preserve"> on: 27/02/25</w:t>
      </w:r>
    </w:p>
    <w:p w14:paraId="0089A056" w14:textId="77777777" w:rsidR="00AE2123" w:rsidRDefault="00AE2123" w:rsidP="003D632D">
      <w:pPr>
        <w:spacing w:after="0" w:line="240" w:lineRule="auto"/>
        <w:rPr>
          <w:rFonts w:ascii="Arial" w:hAnsi="Arial" w:cs="Arial"/>
        </w:rPr>
      </w:pPr>
    </w:p>
    <w:p w14:paraId="24A4BC83" w14:textId="5668251D" w:rsidR="00AE2123" w:rsidRDefault="00AE2123" w:rsidP="003D632D">
      <w:pPr>
        <w:spacing w:after="0" w:line="240" w:lineRule="auto"/>
        <w:rPr>
          <w:rFonts w:ascii="Arial" w:hAnsi="Arial" w:cs="Arial"/>
        </w:rPr>
      </w:pPr>
      <w:r>
        <w:rPr>
          <w:rFonts w:ascii="Arial" w:hAnsi="Arial" w:cs="Arial"/>
        </w:rPr>
        <w:t xml:space="preserve">Sword, (2021), Metacognition in the Classroom Benefits and Strategies [Online], Available from: </w:t>
      </w:r>
      <w:hyperlink r:id="rId67" w:history="1">
        <w:r w:rsidRPr="00164C5F">
          <w:rPr>
            <w:rStyle w:val="Hyperlink"/>
            <w:rFonts w:ascii="Arial" w:hAnsi="Arial" w:cs="Arial"/>
          </w:rPr>
          <w:t>https://www.highspeedtraining.co.uk/hub/metacognition-in-the-classroom/</w:t>
        </w:r>
      </w:hyperlink>
      <w:r>
        <w:rPr>
          <w:rFonts w:ascii="Arial" w:hAnsi="Arial" w:cs="Arial"/>
        </w:rPr>
        <w:t>, Accessed on: 01/03/25</w:t>
      </w:r>
    </w:p>
    <w:p w14:paraId="6EA82323" w14:textId="77777777" w:rsidR="003D632D" w:rsidRDefault="003D632D" w:rsidP="003D632D">
      <w:pPr>
        <w:spacing w:after="0" w:line="240" w:lineRule="auto"/>
        <w:rPr>
          <w:rFonts w:ascii="Arial" w:hAnsi="Arial" w:cs="Arial"/>
        </w:rPr>
      </w:pPr>
    </w:p>
    <w:p w14:paraId="4358EE80" w14:textId="77777777" w:rsidR="003D632D" w:rsidRPr="00590F1A" w:rsidRDefault="003D632D" w:rsidP="003D632D">
      <w:pPr>
        <w:spacing w:after="0" w:line="240" w:lineRule="auto"/>
        <w:rPr>
          <w:rFonts w:ascii="Arial" w:hAnsi="Arial" w:cs="Arial"/>
        </w:rPr>
      </w:pPr>
      <w:r w:rsidRPr="00590F1A">
        <w:rPr>
          <w:rFonts w:ascii="Arial" w:hAnsi="Arial" w:cs="Arial"/>
        </w:rPr>
        <w:t xml:space="preserve">Symonds, E. (2021). An ‘unavoidable’ dynamic? Understanding the ‘Traditional’ Learner–teacher Power Relationship within a Higher Education Context. </w:t>
      </w:r>
      <w:r w:rsidRPr="00590F1A">
        <w:rPr>
          <w:rFonts w:ascii="Arial" w:hAnsi="Arial" w:cs="Arial"/>
          <w:i/>
          <w:iCs/>
        </w:rPr>
        <w:t>British Journal of Sociology of Education</w:t>
      </w:r>
      <w:r w:rsidRPr="00590F1A">
        <w:rPr>
          <w:rFonts w:ascii="Arial" w:hAnsi="Arial" w:cs="Arial"/>
        </w:rPr>
        <w:t xml:space="preserve">, 42(7), pp.1070–1085. </w:t>
      </w:r>
      <w:r>
        <w:rPr>
          <w:rFonts w:ascii="Arial" w:hAnsi="Arial" w:cs="Arial"/>
        </w:rPr>
        <w:t xml:space="preserve">Available from: </w:t>
      </w:r>
      <w:hyperlink r:id="rId68" w:history="1">
        <w:r w:rsidRPr="00590F1A">
          <w:rPr>
            <w:rStyle w:val="Hyperlink"/>
            <w:rFonts w:ascii="Arial" w:hAnsi="Arial" w:cs="Arial"/>
          </w:rPr>
          <w:t>https://doi.org/10.1080/01425692.2021.1962246</w:t>
        </w:r>
      </w:hyperlink>
      <w:r>
        <w:rPr>
          <w:rFonts w:ascii="Arial" w:hAnsi="Arial" w:cs="Arial"/>
        </w:rPr>
        <w:t>, Accessed on: 28/02/25</w:t>
      </w:r>
    </w:p>
    <w:p w14:paraId="45C276D9" w14:textId="77777777" w:rsidR="003D632D" w:rsidRDefault="003D632D" w:rsidP="003D632D">
      <w:pPr>
        <w:spacing w:after="0" w:line="240" w:lineRule="auto"/>
        <w:rPr>
          <w:rFonts w:ascii="Arial" w:hAnsi="Arial" w:cs="Arial"/>
        </w:rPr>
      </w:pPr>
    </w:p>
    <w:p w14:paraId="50562E36" w14:textId="77777777" w:rsidR="003D632D" w:rsidRDefault="003D632D" w:rsidP="003D632D">
      <w:pPr>
        <w:spacing w:after="0" w:line="240" w:lineRule="auto"/>
        <w:rPr>
          <w:rFonts w:ascii="Arial" w:hAnsi="Arial" w:cs="Arial"/>
        </w:rPr>
      </w:pPr>
    </w:p>
    <w:p w14:paraId="15379D1E" w14:textId="77777777" w:rsidR="003D632D" w:rsidRDefault="003D632D" w:rsidP="003D632D">
      <w:pPr>
        <w:spacing w:after="0" w:line="240" w:lineRule="auto"/>
        <w:rPr>
          <w:rFonts w:ascii="Arial" w:hAnsi="Arial" w:cs="Arial"/>
        </w:rPr>
      </w:pPr>
      <w:r w:rsidRPr="004D251F">
        <w:rPr>
          <w:rFonts w:ascii="Arial" w:hAnsi="Arial" w:cs="Arial"/>
        </w:rPr>
        <w:t xml:space="preserve">Tang, K.-S. (2021). The Interconnections among </w:t>
      </w:r>
      <w:proofErr w:type="spellStart"/>
      <w:r w:rsidRPr="004D251F">
        <w:rPr>
          <w:rFonts w:ascii="Arial" w:hAnsi="Arial" w:cs="Arial"/>
        </w:rPr>
        <w:t>metadiscourse</w:t>
      </w:r>
      <w:proofErr w:type="spellEnd"/>
      <w:r w:rsidRPr="004D251F">
        <w:rPr>
          <w:rFonts w:ascii="Arial" w:hAnsi="Arial" w:cs="Arial"/>
        </w:rPr>
        <w:t xml:space="preserve">, metalanguage, and metacognition: Manifestation and Application in Classroom Discourse. </w:t>
      </w:r>
      <w:r w:rsidRPr="004D251F">
        <w:rPr>
          <w:rFonts w:ascii="Arial" w:hAnsi="Arial" w:cs="Arial"/>
          <w:i/>
          <w:iCs/>
        </w:rPr>
        <w:t>Linguistics and Education</w:t>
      </w:r>
      <w:r w:rsidRPr="004D251F">
        <w:rPr>
          <w:rFonts w:ascii="Arial" w:hAnsi="Arial" w:cs="Arial"/>
        </w:rPr>
        <w:t xml:space="preserve">, 65, p.100977. </w:t>
      </w:r>
      <w:r>
        <w:rPr>
          <w:rFonts w:ascii="Arial" w:hAnsi="Arial" w:cs="Arial"/>
        </w:rPr>
        <w:t xml:space="preserve">Available from: </w:t>
      </w:r>
      <w:hyperlink r:id="rId69" w:history="1">
        <w:r w:rsidRPr="004D251F">
          <w:rPr>
            <w:rStyle w:val="Hyperlink"/>
            <w:rFonts w:ascii="Arial" w:hAnsi="Arial" w:cs="Arial"/>
          </w:rPr>
          <w:t>https://doi.org/10.1016/j.linged.2021.10097</w:t>
        </w:r>
      </w:hyperlink>
      <w:r>
        <w:rPr>
          <w:rFonts w:ascii="Arial" w:hAnsi="Arial" w:cs="Arial"/>
        </w:rPr>
        <w:t>, Accessed on: 28/02/25</w:t>
      </w:r>
    </w:p>
    <w:p w14:paraId="11935707" w14:textId="77777777" w:rsidR="003D632D" w:rsidRDefault="003D632D" w:rsidP="003D632D">
      <w:pPr>
        <w:spacing w:after="0" w:line="240" w:lineRule="auto"/>
        <w:rPr>
          <w:rFonts w:ascii="Arial" w:hAnsi="Arial" w:cs="Arial"/>
        </w:rPr>
      </w:pPr>
    </w:p>
    <w:p w14:paraId="5C7E53D3" w14:textId="77777777" w:rsidR="003D632D" w:rsidRDefault="003D632D" w:rsidP="003D632D">
      <w:pPr>
        <w:spacing w:after="0" w:line="240" w:lineRule="auto"/>
        <w:rPr>
          <w:rFonts w:ascii="Arial" w:hAnsi="Arial" w:cs="Arial"/>
        </w:rPr>
      </w:pPr>
      <w:r w:rsidRPr="00735A44">
        <w:rPr>
          <w:rFonts w:ascii="Arial" w:hAnsi="Arial" w:cs="Arial"/>
        </w:rPr>
        <w:t xml:space="preserve">Taylor, S.N. (2013). Student Self-Assessment and Multisource Feedback Assessment. </w:t>
      </w:r>
      <w:r w:rsidRPr="00735A44">
        <w:rPr>
          <w:rFonts w:ascii="Arial" w:hAnsi="Arial" w:cs="Arial"/>
          <w:i/>
          <w:iCs/>
        </w:rPr>
        <w:t>Journal of Management Education</w:t>
      </w:r>
      <w:r w:rsidRPr="00735A44">
        <w:rPr>
          <w:rFonts w:ascii="Arial" w:hAnsi="Arial" w:cs="Arial"/>
        </w:rPr>
        <w:t xml:space="preserve">, 38(3), pp.359–383. </w:t>
      </w:r>
      <w:r>
        <w:rPr>
          <w:rFonts w:ascii="Arial" w:hAnsi="Arial" w:cs="Arial"/>
        </w:rPr>
        <w:t xml:space="preserve">Available from: </w:t>
      </w:r>
      <w:hyperlink r:id="rId70" w:history="1">
        <w:r w:rsidRPr="00735A44">
          <w:rPr>
            <w:rStyle w:val="Hyperlink"/>
            <w:rFonts w:ascii="Arial" w:hAnsi="Arial" w:cs="Arial"/>
          </w:rPr>
          <w:t>https://doi.org/10.1177/1052562913488111</w:t>
        </w:r>
      </w:hyperlink>
      <w:r>
        <w:rPr>
          <w:rFonts w:ascii="Arial" w:hAnsi="Arial" w:cs="Arial"/>
        </w:rPr>
        <w:t>, Accessed on: 28/02/25</w:t>
      </w:r>
    </w:p>
    <w:p w14:paraId="7562ACE7" w14:textId="77777777" w:rsidR="003D632D" w:rsidRDefault="003D632D" w:rsidP="003D632D">
      <w:pPr>
        <w:spacing w:after="0" w:line="240" w:lineRule="auto"/>
        <w:rPr>
          <w:rFonts w:ascii="Arial" w:hAnsi="Arial" w:cs="Arial"/>
        </w:rPr>
      </w:pPr>
    </w:p>
    <w:p w14:paraId="658FFF4B" w14:textId="77777777" w:rsidR="003D632D" w:rsidRDefault="003D632D" w:rsidP="003D632D">
      <w:pPr>
        <w:spacing w:after="0" w:line="240" w:lineRule="auto"/>
        <w:rPr>
          <w:rFonts w:ascii="Arial" w:hAnsi="Arial" w:cs="Arial"/>
        </w:rPr>
      </w:pPr>
      <w:r w:rsidRPr="00D93820">
        <w:rPr>
          <w:rFonts w:ascii="Arial" w:hAnsi="Arial" w:cs="Arial"/>
        </w:rPr>
        <w:t xml:space="preserve">Teslo, S., Thurston, M., Lerum, Ø., Brekke </w:t>
      </w:r>
      <w:proofErr w:type="spellStart"/>
      <w:r w:rsidRPr="00D93820">
        <w:rPr>
          <w:rFonts w:ascii="Arial" w:hAnsi="Arial" w:cs="Arial"/>
        </w:rPr>
        <w:t>Mandelid</w:t>
      </w:r>
      <w:proofErr w:type="spellEnd"/>
      <w:r w:rsidRPr="00D93820">
        <w:rPr>
          <w:rFonts w:ascii="Arial" w:hAnsi="Arial" w:cs="Arial"/>
        </w:rPr>
        <w:t xml:space="preserve">, M., </w:t>
      </w:r>
      <w:proofErr w:type="spellStart"/>
      <w:r w:rsidRPr="00D93820">
        <w:rPr>
          <w:rFonts w:ascii="Arial" w:hAnsi="Arial" w:cs="Arial"/>
        </w:rPr>
        <w:t>Sørnes</w:t>
      </w:r>
      <w:proofErr w:type="spellEnd"/>
      <w:r w:rsidRPr="00D93820">
        <w:rPr>
          <w:rFonts w:ascii="Arial" w:hAnsi="Arial" w:cs="Arial"/>
        </w:rPr>
        <w:t xml:space="preserve"> Jenssen, E., </w:t>
      </w:r>
      <w:proofErr w:type="spellStart"/>
      <w:r w:rsidRPr="00D93820">
        <w:rPr>
          <w:rFonts w:ascii="Arial" w:hAnsi="Arial" w:cs="Arial"/>
        </w:rPr>
        <w:t>Resaland</w:t>
      </w:r>
      <w:proofErr w:type="spellEnd"/>
      <w:r w:rsidRPr="00D93820">
        <w:rPr>
          <w:rFonts w:ascii="Arial" w:hAnsi="Arial" w:cs="Arial"/>
        </w:rPr>
        <w:t xml:space="preserve">, G.K. and </w:t>
      </w:r>
      <w:proofErr w:type="spellStart"/>
      <w:r w:rsidRPr="00D93820">
        <w:rPr>
          <w:rFonts w:ascii="Arial" w:hAnsi="Arial" w:cs="Arial"/>
        </w:rPr>
        <w:t>Eikeland</w:t>
      </w:r>
      <w:proofErr w:type="spellEnd"/>
      <w:r w:rsidRPr="00D93820">
        <w:rPr>
          <w:rFonts w:ascii="Arial" w:hAnsi="Arial" w:cs="Arial"/>
        </w:rPr>
        <w:t xml:space="preserve"> </w:t>
      </w:r>
      <w:proofErr w:type="spellStart"/>
      <w:r w:rsidRPr="00D93820">
        <w:rPr>
          <w:rFonts w:ascii="Arial" w:hAnsi="Arial" w:cs="Arial"/>
        </w:rPr>
        <w:t>Tjomsland</w:t>
      </w:r>
      <w:proofErr w:type="spellEnd"/>
      <w:r w:rsidRPr="00D93820">
        <w:rPr>
          <w:rFonts w:ascii="Arial" w:hAnsi="Arial" w:cs="Arial"/>
        </w:rPr>
        <w:t xml:space="preserve">, H. (2023). Teachers’ sensemaking of physically active learning: A qualitative study of primary and secondary school teachers participating in a continuing professional development program in Norway. </w:t>
      </w:r>
      <w:r w:rsidRPr="00D93820">
        <w:rPr>
          <w:rFonts w:ascii="Arial" w:hAnsi="Arial" w:cs="Arial"/>
          <w:i/>
          <w:iCs/>
        </w:rPr>
        <w:t>Teaching and Teacher Education</w:t>
      </w:r>
      <w:r w:rsidRPr="00D93820">
        <w:rPr>
          <w:rFonts w:ascii="Arial" w:hAnsi="Arial" w:cs="Arial"/>
        </w:rPr>
        <w:t>, [online] 127, p.104113.</w:t>
      </w:r>
      <w:r>
        <w:rPr>
          <w:rFonts w:ascii="Arial" w:hAnsi="Arial" w:cs="Arial"/>
        </w:rPr>
        <w:t xml:space="preserve"> Available from: </w:t>
      </w:r>
      <w:hyperlink r:id="rId71" w:history="1">
        <w:r w:rsidRPr="00D93820">
          <w:rPr>
            <w:rStyle w:val="Hyperlink"/>
            <w:rFonts w:ascii="Arial" w:hAnsi="Arial" w:cs="Arial"/>
          </w:rPr>
          <w:t>https://doi.org/10.1016/j.tate.2023.104113</w:t>
        </w:r>
      </w:hyperlink>
      <w:r>
        <w:rPr>
          <w:rFonts w:ascii="Arial" w:hAnsi="Arial" w:cs="Arial"/>
        </w:rPr>
        <w:t>, Accessed on: 28/02/25</w:t>
      </w:r>
    </w:p>
    <w:p w14:paraId="0318F229" w14:textId="77777777" w:rsidR="001F44F8" w:rsidRDefault="001F44F8" w:rsidP="003D632D">
      <w:pPr>
        <w:spacing w:after="0" w:line="240" w:lineRule="auto"/>
        <w:rPr>
          <w:rFonts w:ascii="Arial" w:hAnsi="Arial" w:cs="Arial"/>
        </w:rPr>
      </w:pPr>
    </w:p>
    <w:p w14:paraId="3562CA18" w14:textId="2D2275A3" w:rsidR="001F44F8" w:rsidRPr="001F44F8" w:rsidRDefault="001F44F8" w:rsidP="001F44F8">
      <w:pPr>
        <w:spacing w:after="0" w:line="240" w:lineRule="auto"/>
        <w:rPr>
          <w:rFonts w:ascii="Arial" w:hAnsi="Arial" w:cs="Arial"/>
        </w:rPr>
      </w:pPr>
      <w:r w:rsidRPr="001F44F8">
        <w:rPr>
          <w:rFonts w:ascii="Arial" w:hAnsi="Arial" w:cs="Arial"/>
        </w:rPr>
        <w:t xml:space="preserve">Thomas, L. (2008). Learning and Teaching Strategies to Promote Student Retention and Success. pp.87–134. </w:t>
      </w:r>
      <w:r>
        <w:rPr>
          <w:rFonts w:ascii="Arial" w:hAnsi="Arial" w:cs="Arial"/>
        </w:rPr>
        <w:t xml:space="preserve">Available from: </w:t>
      </w:r>
      <w:hyperlink r:id="rId72" w:history="1">
        <w:r w:rsidRPr="001F44F8">
          <w:rPr>
            <w:rStyle w:val="Hyperlink"/>
            <w:rFonts w:ascii="Arial" w:hAnsi="Arial" w:cs="Arial"/>
          </w:rPr>
          <w:t>https://doi.org/10.4324/9780203935453-11</w:t>
        </w:r>
      </w:hyperlink>
      <w:r>
        <w:rPr>
          <w:rFonts w:ascii="Arial" w:hAnsi="Arial" w:cs="Arial"/>
        </w:rPr>
        <w:t>, Accessed on: 28/02/25</w:t>
      </w:r>
    </w:p>
    <w:p w14:paraId="70653AFC" w14:textId="77777777" w:rsidR="00C46AA1" w:rsidRDefault="00C46AA1" w:rsidP="007D3F09">
      <w:pPr>
        <w:spacing w:after="0" w:line="240" w:lineRule="auto"/>
        <w:rPr>
          <w:rFonts w:ascii="Arial" w:hAnsi="Arial" w:cs="Arial"/>
        </w:rPr>
      </w:pPr>
    </w:p>
    <w:p w14:paraId="45A8780C" w14:textId="72BA4E92" w:rsidR="007D3F09" w:rsidRPr="007D3F09" w:rsidRDefault="007D3F09" w:rsidP="007D3F09">
      <w:pPr>
        <w:spacing w:after="0" w:line="240" w:lineRule="auto"/>
        <w:rPr>
          <w:rFonts w:ascii="Arial" w:hAnsi="Arial" w:cs="Arial"/>
        </w:rPr>
      </w:pPr>
      <w:r w:rsidRPr="007D3F09">
        <w:rPr>
          <w:rFonts w:ascii="Arial" w:hAnsi="Arial" w:cs="Arial"/>
        </w:rPr>
        <w:t xml:space="preserve">Topping, K., </w:t>
      </w:r>
      <w:proofErr w:type="spellStart"/>
      <w:r w:rsidRPr="007D3F09">
        <w:rPr>
          <w:rFonts w:ascii="Arial" w:hAnsi="Arial" w:cs="Arial"/>
        </w:rPr>
        <w:t>Buchs</w:t>
      </w:r>
      <w:proofErr w:type="spellEnd"/>
      <w:r w:rsidRPr="007D3F09">
        <w:rPr>
          <w:rFonts w:ascii="Arial" w:hAnsi="Arial" w:cs="Arial"/>
        </w:rPr>
        <w:t xml:space="preserve">, C., Duran, D. and van Keer, H. (2017). </w:t>
      </w:r>
      <w:r w:rsidRPr="007D3F09">
        <w:rPr>
          <w:rFonts w:ascii="Arial" w:hAnsi="Arial" w:cs="Arial"/>
          <w:i/>
          <w:iCs/>
        </w:rPr>
        <w:t>Effective Peer Learning</w:t>
      </w:r>
      <w:r w:rsidRPr="007D3F09">
        <w:rPr>
          <w:rFonts w:ascii="Arial" w:hAnsi="Arial" w:cs="Arial"/>
        </w:rPr>
        <w:t xml:space="preserve">. New York: Routledge, 2017.: Routledge. </w:t>
      </w:r>
      <w:r>
        <w:rPr>
          <w:rFonts w:ascii="Arial" w:hAnsi="Arial" w:cs="Arial"/>
        </w:rPr>
        <w:t xml:space="preserve">Available from: </w:t>
      </w:r>
      <w:hyperlink r:id="rId73" w:history="1">
        <w:r w:rsidRPr="007D3F09">
          <w:rPr>
            <w:rStyle w:val="Hyperlink"/>
            <w:rFonts w:ascii="Arial" w:hAnsi="Arial" w:cs="Arial"/>
          </w:rPr>
          <w:t>https://doi.org/10.4324/9781315695471</w:t>
        </w:r>
      </w:hyperlink>
      <w:r>
        <w:rPr>
          <w:rFonts w:ascii="Arial" w:hAnsi="Arial" w:cs="Arial"/>
        </w:rPr>
        <w:t>, Accessed on: 28/02/25</w:t>
      </w:r>
    </w:p>
    <w:p w14:paraId="6C98AD70" w14:textId="77777777" w:rsidR="007D3F09" w:rsidRPr="00D93820" w:rsidRDefault="007D3F09" w:rsidP="003D632D">
      <w:pPr>
        <w:spacing w:after="0" w:line="240" w:lineRule="auto"/>
        <w:rPr>
          <w:rFonts w:ascii="Arial" w:hAnsi="Arial" w:cs="Arial"/>
        </w:rPr>
      </w:pPr>
    </w:p>
    <w:p w14:paraId="58EDBD3A" w14:textId="77777777" w:rsidR="003D632D" w:rsidRDefault="003D632D" w:rsidP="003D632D">
      <w:pPr>
        <w:spacing w:after="0" w:line="240" w:lineRule="auto"/>
        <w:rPr>
          <w:rFonts w:ascii="Arial" w:hAnsi="Arial" w:cs="Arial"/>
        </w:rPr>
      </w:pPr>
      <w:r w:rsidRPr="00120FED">
        <w:rPr>
          <w:rFonts w:ascii="Arial" w:hAnsi="Arial" w:cs="Arial"/>
        </w:rPr>
        <w:t xml:space="preserve">Tout, K., Halle, T., Douglass, A., Cleveland, J., Doyle, S., </w:t>
      </w:r>
      <w:proofErr w:type="spellStart"/>
      <w:r w:rsidRPr="00120FED">
        <w:rPr>
          <w:rFonts w:ascii="Arial" w:hAnsi="Arial" w:cs="Arial"/>
        </w:rPr>
        <w:t>Agosti</w:t>
      </w:r>
      <w:proofErr w:type="spellEnd"/>
      <w:r w:rsidRPr="00120FED">
        <w:rPr>
          <w:rFonts w:ascii="Arial" w:hAnsi="Arial" w:cs="Arial"/>
        </w:rPr>
        <w:t xml:space="preserve">, J., </w:t>
      </w:r>
      <w:proofErr w:type="spellStart"/>
      <w:r w:rsidRPr="00120FED">
        <w:rPr>
          <w:rFonts w:ascii="Arial" w:hAnsi="Arial" w:cs="Arial"/>
        </w:rPr>
        <w:t>Bamdad</w:t>
      </w:r>
      <w:proofErr w:type="spellEnd"/>
      <w:r w:rsidRPr="00120FED">
        <w:rPr>
          <w:rFonts w:ascii="Arial" w:hAnsi="Arial" w:cs="Arial"/>
        </w:rPr>
        <w:t xml:space="preserve">, T. and Nagle, K. (2021). </w:t>
      </w:r>
      <w:r w:rsidRPr="00120FED">
        <w:rPr>
          <w:rFonts w:ascii="Arial" w:hAnsi="Arial" w:cs="Arial"/>
          <w:i/>
          <w:iCs/>
        </w:rPr>
        <w:t xml:space="preserve">Promoting a Culture of Continuous Learning in Early Care and Education Settings Promoting a Culture of Continuous Learning in Early Care and Education Settings: A Summary for ECE Leaders The Culture of Continuous Learning Project </w:t>
      </w:r>
      <w:proofErr w:type="gramStart"/>
      <w:r w:rsidRPr="00120FED">
        <w:rPr>
          <w:rFonts w:ascii="Arial" w:hAnsi="Arial" w:cs="Arial"/>
          <w:i/>
          <w:iCs/>
        </w:rPr>
        <w:t>The</w:t>
      </w:r>
      <w:proofErr w:type="gramEnd"/>
      <w:r w:rsidRPr="00120FED">
        <w:rPr>
          <w:rFonts w:ascii="Arial" w:hAnsi="Arial" w:cs="Arial"/>
          <w:i/>
          <w:iCs/>
        </w:rPr>
        <w:t xml:space="preserve"> Culture of Continuous Learning (CCL) Project: A Breakthrough Series Collaborative for Improving</w:t>
      </w:r>
      <w:r w:rsidRPr="00120FED">
        <w:rPr>
          <w:rFonts w:ascii="Arial" w:hAnsi="Arial" w:cs="Arial"/>
        </w:rPr>
        <w:t xml:space="preserve">. [online] Available at: </w:t>
      </w:r>
      <w:hyperlink r:id="rId74" w:history="1">
        <w:r w:rsidRPr="00120FED">
          <w:rPr>
            <w:rStyle w:val="Hyperlink"/>
            <w:rFonts w:ascii="Arial" w:hAnsi="Arial" w:cs="Arial"/>
          </w:rPr>
          <w:t>https://acf.gov/sites/default/files/documents/opre/ccl-report-summary-508_qc.pdf</w:t>
        </w:r>
      </w:hyperlink>
      <w:r>
        <w:rPr>
          <w:rFonts w:ascii="Arial" w:hAnsi="Arial" w:cs="Arial"/>
        </w:rPr>
        <w:t xml:space="preserve">, </w:t>
      </w:r>
      <w:r w:rsidRPr="00120FED">
        <w:rPr>
          <w:rFonts w:ascii="Arial" w:hAnsi="Arial" w:cs="Arial"/>
        </w:rPr>
        <w:t>Accessed 28 Feb. 2025</w:t>
      </w:r>
      <w:r>
        <w:rPr>
          <w:rFonts w:ascii="Arial" w:hAnsi="Arial" w:cs="Arial"/>
        </w:rPr>
        <w:t xml:space="preserve">. </w:t>
      </w:r>
    </w:p>
    <w:p w14:paraId="33813782" w14:textId="77777777" w:rsidR="003D632D" w:rsidRDefault="003D632D" w:rsidP="003D632D">
      <w:pPr>
        <w:spacing w:after="0" w:line="240" w:lineRule="auto"/>
        <w:rPr>
          <w:rFonts w:ascii="Arial" w:hAnsi="Arial" w:cs="Arial"/>
        </w:rPr>
      </w:pPr>
    </w:p>
    <w:p w14:paraId="7F3B3D1B" w14:textId="77777777" w:rsidR="003D632D" w:rsidRPr="001C5CC2" w:rsidRDefault="003D632D" w:rsidP="003D632D">
      <w:pPr>
        <w:spacing w:after="0" w:line="240" w:lineRule="auto"/>
        <w:rPr>
          <w:rFonts w:ascii="Arial" w:hAnsi="Arial" w:cs="Arial"/>
        </w:rPr>
      </w:pPr>
      <w:r w:rsidRPr="001C5CC2">
        <w:rPr>
          <w:rFonts w:ascii="Arial" w:hAnsi="Arial" w:cs="Arial"/>
        </w:rPr>
        <w:t xml:space="preserve">Viana-Sáenz, L., Sastre-Riba, S. and Urraca-Martínez, M.L. (2021). Executive Function and Metacognition: Relations and Measure on High Intellectual Ability and Typical Schoolchildren. </w:t>
      </w:r>
      <w:r w:rsidRPr="001C5CC2">
        <w:rPr>
          <w:rFonts w:ascii="Arial" w:hAnsi="Arial" w:cs="Arial"/>
          <w:i/>
          <w:iCs/>
        </w:rPr>
        <w:t>Sustainability</w:t>
      </w:r>
      <w:r w:rsidRPr="001C5CC2">
        <w:rPr>
          <w:rFonts w:ascii="Arial" w:hAnsi="Arial" w:cs="Arial"/>
        </w:rPr>
        <w:t xml:space="preserve">, 13(23), p.13083. </w:t>
      </w:r>
      <w:r>
        <w:rPr>
          <w:rFonts w:ascii="Arial" w:hAnsi="Arial" w:cs="Arial"/>
        </w:rPr>
        <w:t xml:space="preserve">`Available from: </w:t>
      </w:r>
      <w:hyperlink r:id="rId75" w:history="1">
        <w:r w:rsidRPr="001C5CC2">
          <w:rPr>
            <w:rStyle w:val="Hyperlink"/>
            <w:rFonts w:ascii="Arial" w:hAnsi="Arial" w:cs="Arial"/>
          </w:rPr>
          <w:t>https://doi.org/10.3390/su132313083</w:t>
        </w:r>
      </w:hyperlink>
      <w:r>
        <w:rPr>
          <w:rFonts w:ascii="Arial" w:hAnsi="Arial" w:cs="Arial"/>
        </w:rPr>
        <w:t>, Accessed on: 27/02/25</w:t>
      </w:r>
    </w:p>
    <w:p w14:paraId="1EA42E92" w14:textId="77777777" w:rsidR="003D632D" w:rsidRPr="00120FED" w:rsidRDefault="003D632D" w:rsidP="003D632D">
      <w:pPr>
        <w:spacing w:after="0" w:line="240" w:lineRule="auto"/>
        <w:rPr>
          <w:rFonts w:ascii="Arial" w:hAnsi="Arial" w:cs="Arial"/>
        </w:rPr>
      </w:pPr>
    </w:p>
    <w:p w14:paraId="1B9B50F6" w14:textId="77777777" w:rsidR="003D632D" w:rsidRDefault="003D632D" w:rsidP="003D632D">
      <w:pPr>
        <w:spacing w:after="0" w:line="240" w:lineRule="auto"/>
        <w:rPr>
          <w:rFonts w:ascii="Arial" w:hAnsi="Arial" w:cs="Arial"/>
        </w:rPr>
      </w:pPr>
    </w:p>
    <w:p w14:paraId="307DB081" w14:textId="77777777" w:rsidR="003D632D" w:rsidRPr="00461DB0" w:rsidRDefault="003D632D" w:rsidP="003D632D">
      <w:pPr>
        <w:spacing w:after="0" w:line="240" w:lineRule="auto"/>
        <w:rPr>
          <w:rFonts w:ascii="Arial" w:hAnsi="Arial" w:cs="Arial"/>
        </w:rPr>
      </w:pPr>
      <w:r w:rsidRPr="00461DB0">
        <w:rPr>
          <w:rFonts w:ascii="Arial" w:hAnsi="Arial" w:cs="Arial"/>
        </w:rPr>
        <w:t>Volkov, S. (2024). Metacognitive practices in training for essay writing in a target language.</w:t>
      </w:r>
      <w:r>
        <w:rPr>
          <w:rFonts w:ascii="Arial" w:hAnsi="Arial" w:cs="Arial"/>
        </w:rPr>
        <w:t xml:space="preserve"> </w:t>
      </w:r>
      <w:r w:rsidRPr="00461DB0">
        <w:rPr>
          <w:rFonts w:ascii="Arial" w:hAnsi="Arial" w:cs="Arial"/>
          <w:i/>
          <w:iCs/>
        </w:rPr>
        <w:t>Teaching languages at higher institutions</w:t>
      </w:r>
      <w:r w:rsidRPr="00461DB0">
        <w:rPr>
          <w:rFonts w:ascii="Arial" w:hAnsi="Arial" w:cs="Arial"/>
        </w:rPr>
        <w:t xml:space="preserve">, [online] (45), pp.10–23. </w:t>
      </w:r>
      <w:r>
        <w:rPr>
          <w:rFonts w:ascii="Arial" w:hAnsi="Arial" w:cs="Arial"/>
        </w:rPr>
        <w:t xml:space="preserve">Available from: </w:t>
      </w:r>
      <w:hyperlink r:id="rId76" w:history="1">
        <w:r w:rsidRPr="00461DB0">
          <w:rPr>
            <w:rStyle w:val="Hyperlink"/>
            <w:rFonts w:ascii="Arial" w:hAnsi="Arial" w:cs="Arial"/>
          </w:rPr>
          <w:t>https://doi.org/10.26565/2073-4379-2024-45-01</w:t>
        </w:r>
      </w:hyperlink>
      <w:r>
        <w:rPr>
          <w:rFonts w:ascii="Arial" w:hAnsi="Arial" w:cs="Arial"/>
        </w:rPr>
        <w:t>, Accessed on: 27/02/25</w:t>
      </w:r>
    </w:p>
    <w:p w14:paraId="60E9151C" w14:textId="77777777" w:rsidR="003D632D" w:rsidRDefault="003D632D" w:rsidP="003D632D">
      <w:pPr>
        <w:spacing w:after="0" w:line="240" w:lineRule="auto"/>
        <w:rPr>
          <w:rFonts w:ascii="Arial" w:hAnsi="Arial" w:cs="Arial"/>
        </w:rPr>
      </w:pPr>
    </w:p>
    <w:p w14:paraId="72EB5B29" w14:textId="77777777" w:rsidR="003D632D" w:rsidRPr="00CA2456" w:rsidRDefault="003D632D" w:rsidP="003D632D">
      <w:pPr>
        <w:spacing w:after="0" w:line="240" w:lineRule="auto"/>
        <w:rPr>
          <w:rFonts w:ascii="Arial" w:hAnsi="Arial" w:cs="Arial"/>
        </w:rPr>
      </w:pPr>
      <w:r w:rsidRPr="00CA2456">
        <w:rPr>
          <w:rFonts w:ascii="Arial" w:hAnsi="Arial" w:cs="Arial"/>
        </w:rPr>
        <w:t xml:space="preserve">Welsh Government (2022a). </w:t>
      </w:r>
      <w:r w:rsidRPr="00CA2456">
        <w:rPr>
          <w:rFonts w:ascii="Arial" w:hAnsi="Arial" w:cs="Arial"/>
          <w:i/>
          <w:iCs/>
        </w:rPr>
        <w:t>New Framework for School Improvement to Focus on Learner Progression</w:t>
      </w:r>
      <w:r w:rsidRPr="00CA2456">
        <w:rPr>
          <w:rFonts w:ascii="Arial" w:hAnsi="Arial" w:cs="Arial"/>
        </w:rPr>
        <w:t xml:space="preserve">. [online] Welsh Government News. Available at: </w:t>
      </w:r>
      <w:hyperlink r:id="rId77" w:history="1">
        <w:r w:rsidRPr="00CA2456">
          <w:rPr>
            <w:rStyle w:val="Hyperlink"/>
            <w:rFonts w:ascii="Arial" w:hAnsi="Arial" w:cs="Arial"/>
          </w:rPr>
          <w:t>https://media.service.gov.wales/news/new-framework-for-school-improvement-to-focus-on-learner-progression</w:t>
        </w:r>
      </w:hyperlink>
      <w:r>
        <w:rPr>
          <w:rFonts w:ascii="Arial" w:hAnsi="Arial" w:cs="Arial"/>
        </w:rPr>
        <w:t>, Accessed on: 28/02/25</w:t>
      </w:r>
    </w:p>
    <w:p w14:paraId="4A151C6B" w14:textId="77777777" w:rsidR="003D632D" w:rsidRDefault="003D632D" w:rsidP="003D632D">
      <w:pPr>
        <w:spacing w:after="0" w:line="240" w:lineRule="auto"/>
        <w:rPr>
          <w:rFonts w:ascii="Arial" w:hAnsi="Arial" w:cs="Arial"/>
        </w:rPr>
      </w:pPr>
    </w:p>
    <w:p w14:paraId="26F01DB3" w14:textId="77777777" w:rsidR="003D632D" w:rsidRDefault="003D632D" w:rsidP="003D632D">
      <w:pPr>
        <w:spacing w:after="0" w:line="240" w:lineRule="auto"/>
        <w:rPr>
          <w:rFonts w:ascii="Arial" w:hAnsi="Arial" w:cs="Arial"/>
        </w:rPr>
      </w:pPr>
    </w:p>
    <w:p w14:paraId="64B013EC" w14:textId="77777777" w:rsidR="003D632D" w:rsidRDefault="003D632D" w:rsidP="003D632D">
      <w:pPr>
        <w:spacing w:after="0" w:line="240" w:lineRule="auto"/>
        <w:rPr>
          <w:rFonts w:ascii="Arial" w:hAnsi="Arial" w:cs="Arial"/>
        </w:rPr>
      </w:pPr>
      <w:r w:rsidRPr="00292FF3">
        <w:rPr>
          <w:rFonts w:ascii="Arial" w:hAnsi="Arial" w:cs="Arial"/>
        </w:rPr>
        <w:lastRenderedPageBreak/>
        <w:t>Welsh Government (2022</w:t>
      </w:r>
      <w:r>
        <w:rPr>
          <w:rFonts w:ascii="Arial" w:hAnsi="Arial" w:cs="Arial"/>
        </w:rPr>
        <w:t>b</w:t>
      </w:r>
      <w:r w:rsidRPr="00292FF3">
        <w:rPr>
          <w:rFonts w:ascii="Arial" w:hAnsi="Arial" w:cs="Arial"/>
        </w:rPr>
        <w:t xml:space="preserve">). </w:t>
      </w:r>
      <w:r w:rsidRPr="00292FF3">
        <w:rPr>
          <w:rFonts w:ascii="Arial" w:hAnsi="Arial" w:cs="Arial"/>
          <w:i/>
          <w:iCs/>
        </w:rPr>
        <w:t>School Improvement guidance: Impact Assessment [HTML]</w:t>
      </w:r>
      <w:r w:rsidRPr="00292FF3">
        <w:rPr>
          <w:rFonts w:ascii="Arial" w:hAnsi="Arial" w:cs="Arial"/>
        </w:rPr>
        <w:t xml:space="preserve">. [online] GOV.WALES. Available at: </w:t>
      </w:r>
      <w:hyperlink r:id="rId78" w:history="1">
        <w:r w:rsidRPr="00292FF3">
          <w:rPr>
            <w:rStyle w:val="Hyperlink"/>
            <w:rFonts w:ascii="Arial" w:hAnsi="Arial" w:cs="Arial"/>
          </w:rPr>
          <w:t>https://www.gov.wales/school-improvement-guidance-impact-assessment-html</w:t>
        </w:r>
      </w:hyperlink>
      <w:r>
        <w:rPr>
          <w:rFonts w:ascii="Arial" w:hAnsi="Arial" w:cs="Arial"/>
        </w:rPr>
        <w:t>, Accessed on: 26/02/25</w:t>
      </w:r>
    </w:p>
    <w:p w14:paraId="51F931E7" w14:textId="77777777" w:rsidR="003D632D" w:rsidRDefault="003D632D" w:rsidP="003D632D">
      <w:pPr>
        <w:spacing w:after="0" w:line="240" w:lineRule="auto"/>
        <w:rPr>
          <w:rFonts w:ascii="Arial" w:hAnsi="Arial" w:cs="Arial"/>
        </w:rPr>
      </w:pPr>
    </w:p>
    <w:p w14:paraId="5FFC5DB5" w14:textId="65DC200C" w:rsidR="003D632D" w:rsidRDefault="003D632D" w:rsidP="003D632D">
      <w:pPr>
        <w:spacing w:after="0" w:line="240" w:lineRule="auto"/>
        <w:rPr>
          <w:rFonts w:ascii="Arial" w:hAnsi="Arial" w:cs="Arial"/>
        </w:rPr>
      </w:pPr>
      <w:r w:rsidRPr="00CA2456">
        <w:rPr>
          <w:rFonts w:ascii="Arial" w:hAnsi="Arial" w:cs="Arial"/>
        </w:rPr>
        <w:t>Welsh Government (2023</w:t>
      </w:r>
      <w:r w:rsidR="00AE2123">
        <w:rPr>
          <w:rFonts w:ascii="Arial" w:hAnsi="Arial" w:cs="Arial"/>
        </w:rPr>
        <w:t>a</w:t>
      </w:r>
      <w:r w:rsidRPr="00CA2456">
        <w:rPr>
          <w:rFonts w:ascii="Arial" w:hAnsi="Arial" w:cs="Arial"/>
        </w:rPr>
        <w:t xml:space="preserve">). </w:t>
      </w:r>
      <w:r w:rsidRPr="00CA2456">
        <w:rPr>
          <w:rFonts w:ascii="Arial" w:hAnsi="Arial" w:cs="Arial"/>
          <w:i/>
          <w:iCs/>
        </w:rPr>
        <w:t>Our national mission: high standards and aspirations for all [HTML] | GOV.WALES</w:t>
      </w:r>
      <w:r w:rsidRPr="00CA2456">
        <w:rPr>
          <w:rFonts w:ascii="Arial" w:hAnsi="Arial" w:cs="Arial"/>
        </w:rPr>
        <w:t xml:space="preserve">. [online] www.gov.wales. Available at: </w:t>
      </w:r>
      <w:hyperlink r:id="rId79" w:history="1">
        <w:r w:rsidRPr="00CA2456">
          <w:rPr>
            <w:rStyle w:val="Hyperlink"/>
            <w:rFonts w:ascii="Arial" w:hAnsi="Arial" w:cs="Arial"/>
          </w:rPr>
          <w:t>https://www.gov.wales/our-national-mission-high-standards-and-aspirations-all-html</w:t>
        </w:r>
      </w:hyperlink>
      <w:r w:rsidRPr="00CA2456">
        <w:rPr>
          <w:rFonts w:ascii="Arial" w:hAnsi="Arial" w:cs="Arial"/>
        </w:rPr>
        <w:t>.</w:t>
      </w:r>
      <w:r>
        <w:rPr>
          <w:rFonts w:ascii="Arial" w:hAnsi="Arial" w:cs="Arial"/>
        </w:rPr>
        <w:t xml:space="preserve"> Accessed on: 28/02/25</w:t>
      </w:r>
    </w:p>
    <w:p w14:paraId="70898703" w14:textId="77777777" w:rsidR="00AE2123" w:rsidRDefault="00AE2123" w:rsidP="003D632D">
      <w:pPr>
        <w:spacing w:after="0" w:line="240" w:lineRule="auto"/>
        <w:rPr>
          <w:rFonts w:ascii="Arial" w:hAnsi="Arial" w:cs="Arial"/>
        </w:rPr>
      </w:pPr>
    </w:p>
    <w:p w14:paraId="0B4B59A7" w14:textId="2BBBFCC0" w:rsidR="00AE2123" w:rsidRDefault="00AE2123" w:rsidP="003D632D">
      <w:pPr>
        <w:spacing w:after="0" w:line="240" w:lineRule="auto"/>
        <w:rPr>
          <w:rFonts w:ascii="Arial" w:hAnsi="Arial" w:cs="Arial"/>
        </w:rPr>
      </w:pPr>
      <w:r>
        <w:rPr>
          <w:rFonts w:ascii="Arial" w:hAnsi="Arial" w:cs="Arial"/>
        </w:rPr>
        <w:t xml:space="preserve">Welsh Government, (2023b), Continuous Learning and Improvement Plan 2023-2025, GOV.WALES, Available from: </w:t>
      </w:r>
      <w:hyperlink r:id="rId80" w:history="1">
        <w:r w:rsidRPr="00164C5F">
          <w:rPr>
            <w:rStyle w:val="Hyperlink"/>
            <w:rFonts w:ascii="Arial" w:hAnsi="Arial" w:cs="Arial"/>
          </w:rPr>
          <w:t>https://www.gov.wales/sites/default/files/publications/2023-02/continuous-learning-and-improvement-plan-for-2023-to-2025-v2.pdf</w:t>
        </w:r>
      </w:hyperlink>
      <w:r>
        <w:rPr>
          <w:rFonts w:ascii="Arial" w:hAnsi="Arial" w:cs="Arial"/>
        </w:rPr>
        <w:t>, Accessed on: 01/03/25</w:t>
      </w:r>
    </w:p>
    <w:p w14:paraId="73B340D4" w14:textId="77777777" w:rsidR="00AE2123" w:rsidRDefault="00AE2123" w:rsidP="003D632D">
      <w:pPr>
        <w:spacing w:after="0" w:line="240" w:lineRule="auto"/>
        <w:rPr>
          <w:rFonts w:ascii="Arial" w:hAnsi="Arial" w:cs="Arial"/>
        </w:rPr>
      </w:pPr>
    </w:p>
    <w:p w14:paraId="0A104FA6" w14:textId="342933FB" w:rsidR="00AE2123" w:rsidRPr="00CA2456" w:rsidRDefault="00AE2123" w:rsidP="003D632D">
      <w:pPr>
        <w:spacing w:after="0" w:line="240" w:lineRule="auto"/>
        <w:rPr>
          <w:rFonts w:ascii="Arial" w:hAnsi="Arial" w:cs="Arial"/>
        </w:rPr>
      </w:pPr>
      <w:r>
        <w:rPr>
          <w:rFonts w:ascii="Arial" w:hAnsi="Arial" w:cs="Arial"/>
        </w:rPr>
        <w:t xml:space="preserve">Welsh Government, (2023c) Enabling Learning [Online], Available from: </w:t>
      </w:r>
      <w:hyperlink r:id="rId81" w:history="1">
        <w:r w:rsidRPr="00164C5F">
          <w:rPr>
            <w:rStyle w:val="Hyperlink"/>
            <w:rFonts w:ascii="Arial" w:hAnsi="Arial" w:cs="Arial"/>
          </w:rPr>
          <w:t>https://hwb.gov.wales/curriculum-for-wales/designing-your-curriculum/enabling-learning</w:t>
        </w:r>
      </w:hyperlink>
      <w:r>
        <w:rPr>
          <w:rFonts w:ascii="Arial" w:hAnsi="Arial" w:cs="Arial"/>
        </w:rPr>
        <w:t>, Accessed on: 01/03/25</w:t>
      </w:r>
    </w:p>
    <w:p w14:paraId="6FA3CD15" w14:textId="77777777" w:rsidR="003D632D" w:rsidRDefault="003D632D" w:rsidP="003D632D">
      <w:pPr>
        <w:spacing w:after="0" w:line="240" w:lineRule="auto"/>
        <w:rPr>
          <w:rFonts w:ascii="Arial" w:hAnsi="Arial" w:cs="Arial"/>
        </w:rPr>
      </w:pPr>
    </w:p>
    <w:p w14:paraId="79FF80C8" w14:textId="77777777" w:rsidR="003D632D" w:rsidRDefault="003D632D" w:rsidP="003D632D">
      <w:pPr>
        <w:spacing w:after="0" w:line="240" w:lineRule="auto"/>
        <w:rPr>
          <w:rFonts w:ascii="Arial" w:hAnsi="Arial" w:cs="Arial"/>
        </w:rPr>
      </w:pPr>
    </w:p>
    <w:p w14:paraId="59FC770F" w14:textId="77777777" w:rsidR="003D632D" w:rsidRDefault="003D632D" w:rsidP="003D632D">
      <w:pPr>
        <w:spacing w:after="0" w:line="240" w:lineRule="auto"/>
        <w:rPr>
          <w:rFonts w:ascii="Arial" w:hAnsi="Arial" w:cs="Arial"/>
        </w:rPr>
      </w:pPr>
      <w:r>
        <w:rPr>
          <w:rFonts w:ascii="Arial" w:hAnsi="Arial" w:cs="Arial"/>
        </w:rPr>
        <w:t xml:space="preserve">Welsh Government (2024), School Improvement Guidance: framework for evaluation, improvement and accountability [Online], GOV.WALES, Available from: </w:t>
      </w:r>
      <w:hyperlink r:id="rId82" w:history="1">
        <w:r w:rsidRPr="00164C5F">
          <w:rPr>
            <w:rStyle w:val="Hyperlink"/>
            <w:rFonts w:ascii="Arial" w:hAnsi="Arial" w:cs="Arial"/>
          </w:rPr>
          <w:t>https://hwb.gov.wales/evaluation-improvement-and-accountability/school-improvement-guidance-framework-for-evaluation-improvement-and-accountability</w:t>
        </w:r>
      </w:hyperlink>
      <w:r>
        <w:rPr>
          <w:rFonts w:ascii="Arial" w:hAnsi="Arial" w:cs="Arial"/>
        </w:rPr>
        <w:t>, Accessed on: 27/02/25</w:t>
      </w:r>
    </w:p>
    <w:p w14:paraId="457064C6" w14:textId="77777777" w:rsidR="003D632D" w:rsidRDefault="003D632D" w:rsidP="003D632D">
      <w:pPr>
        <w:spacing w:after="0" w:line="240" w:lineRule="auto"/>
        <w:rPr>
          <w:rFonts w:ascii="Arial" w:hAnsi="Arial" w:cs="Arial"/>
        </w:rPr>
      </w:pPr>
    </w:p>
    <w:p w14:paraId="03D6D01B" w14:textId="77777777" w:rsidR="003D632D" w:rsidRPr="00EC4A31" w:rsidRDefault="003D632D" w:rsidP="003D632D">
      <w:pPr>
        <w:spacing w:after="0" w:line="240" w:lineRule="auto"/>
        <w:rPr>
          <w:rFonts w:ascii="Arial" w:hAnsi="Arial" w:cs="Arial"/>
        </w:rPr>
      </w:pPr>
      <w:r w:rsidRPr="00EC4A31">
        <w:rPr>
          <w:rFonts w:ascii="Arial" w:hAnsi="Arial" w:cs="Arial"/>
        </w:rPr>
        <w:t xml:space="preserve">Wick, S. (2021). Subjectivity in Performance Evaluations: </w:t>
      </w:r>
      <w:proofErr w:type="gramStart"/>
      <w:r w:rsidRPr="00EC4A31">
        <w:rPr>
          <w:rFonts w:ascii="Arial" w:hAnsi="Arial" w:cs="Arial"/>
        </w:rPr>
        <w:t>a</w:t>
      </w:r>
      <w:proofErr w:type="gramEnd"/>
      <w:r w:rsidRPr="00EC4A31">
        <w:rPr>
          <w:rFonts w:ascii="Arial" w:hAnsi="Arial" w:cs="Arial"/>
        </w:rPr>
        <w:t xml:space="preserve"> Review of the Literature*. </w:t>
      </w:r>
      <w:r w:rsidRPr="00EC4A31">
        <w:rPr>
          <w:rFonts w:ascii="Arial" w:hAnsi="Arial" w:cs="Arial"/>
          <w:i/>
          <w:iCs/>
        </w:rPr>
        <w:t>Accounting Perspectives</w:t>
      </w:r>
      <w:r w:rsidRPr="00EC4A31">
        <w:rPr>
          <w:rFonts w:ascii="Arial" w:hAnsi="Arial" w:cs="Arial"/>
        </w:rPr>
        <w:t xml:space="preserve">, 20(4), pp.653–685. </w:t>
      </w:r>
      <w:r>
        <w:rPr>
          <w:rFonts w:ascii="Arial" w:hAnsi="Arial" w:cs="Arial"/>
        </w:rPr>
        <w:t xml:space="preserve">Available from: </w:t>
      </w:r>
      <w:hyperlink r:id="rId83" w:history="1">
        <w:r w:rsidRPr="00EC4A31">
          <w:rPr>
            <w:rStyle w:val="Hyperlink"/>
            <w:rFonts w:ascii="Arial" w:hAnsi="Arial" w:cs="Arial"/>
          </w:rPr>
          <w:t>https://doi.org/10.1111/1911-3838.12273</w:t>
        </w:r>
      </w:hyperlink>
      <w:r>
        <w:rPr>
          <w:rFonts w:ascii="Arial" w:hAnsi="Arial" w:cs="Arial"/>
        </w:rPr>
        <w:t xml:space="preserve">, Accessed on: 28/02/25. </w:t>
      </w:r>
    </w:p>
    <w:p w14:paraId="62FA5CEB" w14:textId="77777777" w:rsidR="003D632D" w:rsidRPr="00292FF3" w:rsidRDefault="003D632D" w:rsidP="003D632D">
      <w:pPr>
        <w:spacing w:after="0" w:line="240" w:lineRule="auto"/>
        <w:rPr>
          <w:rFonts w:ascii="Arial" w:hAnsi="Arial" w:cs="Arial"/>
        </w:rPr>
      </w:pPr>
    </w:p>
    <w:p w14:paraId="536BFA4A" w14:textId="77777777" w:rsidR="003D632D" w:rsidRDefault="003D632D" w:rsidP="003D632D">
      <w:pPr>
        <w:spacing w:after="0" w:line="240" w:lineRule="auto"/>
        <w:rPr>
          <w:rFonts w:ascii="Arial" w:hAnsi="Arial" w:cs="Arial"/>
        </w:rPr>
      </w:pPr>
      <w:r w:rsidRPr="00292FF3">
        <w:rPr>
          <w:rFonts w:ascii="Arial" w:hAnsi="Arial" w:cs="Arial"/>
        </w:rPr>
        <w:t xml:space="preserve">Wolk, S. (2017). Educating Students for an Outdated World. </w:t>
      </w:r>
      <w:r w:rsidRPr="00292FF3">
        <w:rPr>
          <w:rFonts w:ascii="Arial" w:hAnsi="Arial" w:cs="Arial"/>
          <w:i/>
          <w:iCs/>
        </w:rPr>
        <w:t xml:space="preserve">Phi Delta </w:t>
      </w:r>
      <w:proofErr w:type="spellStart"/>
      <w:r w:rsidRPr="00292FF3">
        <w:rPr>
          <w:rFonts w:ascii="Arial" w:hAnsi="Arial" w:cs="Arial"/>
          <w:i/>
          <w:iCs/>
        </w:rPr>
        <w:t>Kappan</w:t>
      </w:r>
      <w:proofErr w:type="spellEnd"/>
      <w:r w:rsidRPr="00292FF3">
        <w:rPr>
          <w:rFonts w:ascii="Arial" w:hAnsi="Arial" w:cs="Arial"/>
        </w:rPr>
        <w:t xml:space="preserve">, 99(2), pp.46–52. </w:t>
      </w:r>
      <w:r w:rsidRPr="001F44F8">
        <w:rPr>
          <w:rFonts w:ascii="Arial" w:hAnsi="Arial" w:cs="Arial"/>
        </w:rPr>
        <w:t xml:space="preserve">Available from: </w:t>
      </w:r>
      <w:hyperlink r:id="rId84" w:history="1">
        <w:r w:rsidRPr="00292FF3">
          <w:rPr>
            <w:rStyle w:val="Hyperlink"/>
            <w:rFonts w:ascii="Arial" w:hAnsi="Arial" w:cs="Arial"/>
          </w:rPr>
          <w:t>https://doi.org/10.1177/0031721717734190</w:t>
        </w:r>
      </w:hyperlink>
      <w:r w:rsidRPr="001F44F8">
        <w:rPr>
          <w:rFonts w:ascii="Arial" w:hAnsi="Arial" w:cs="Arial"/>
        </w:rPr>
        <w:t>, Accessed on: 26/02/25</w:t>
      </w:r>
    </w:p>
    <w:p w14:paraId="7C89BA69" w14:textId="77777777" w:rsidR="00940E98" w:rsidRDefault="00940E98" w:rsidP="003D632D">
      <w:pPr>
        <w:spacing w:after="0" w:line="240" w:lineRule="auto"/>
        <w:rPr>
          <w:rFonts w:ascii="Arial" w:hAnsi="Arial" w:cs="Arial"/>
        </w:rPr>
      </w:pPr>
    </w:p>
    <w:p w14:paraId="40AAF270" w14:textId="2D5853B7" w:rsidR="00940E98" w:rsidRPr="00940E98" w:rsidRDefault="00940E98" w:rsidP="00C46AA1">
      <w:pPr>
        <w:spacing w:after="0" w:line="240" w:lineRule="auto"/>
        <w:rPr>
          <w:rFonts w:ascii="Arial" w:hAnsi="Arial" w:cs="Arial"/>
        </w:rPr>
      </w:pPr>
      <w:r w:rsidRPr="00940E98">
        <w:rPr>
          <w:rFonts w:ascii="Arial" w:hAnsi="Arial" w:cs="Arial"/>
        </w:rPr>
        <w:t xml:space="preserve">Xie, Y., Kawaguchi, K., Zhao, Y., Zhao, J.X., Kan, M.-Y., He, J. and Xie, M. (2024). Self-Evaluation Guided Beam Search for Reasoning. </w:t>
      </w:r>
      <w:r w:rsidRPr="00940E98">
        <w:rPr>
          <w:rFonts w:ascii="Arial" w:hAnsi="Arial" w:cs="Arial"/>
          <w:i/>
          <w:iCs/>
        </w:rPr>
        <w:t>Advances in Neural Information Processing Systems</w:t>
      </w:r>
      <w:r w:rsidRPr="00940E98">
        <w:rPr>
          <w:rFonts w:ascii="Arial" w:hAnsi="Arial" w:cs="Arial"/>
        </w:rPr>
        <w:t xml:space="preserve">, [online] 36. Available at: </w:t>
      </w:r>
      <w:hyperlink r:id="rId85" w:history="1">
        <w:r w:rsidRPr="00940E98">
          <w:rPr>
            <w:rStyle w:val="Hyperlink"/>
            <w:rFonts w:ascii="Arial" w:hAnsi="Arial" w:cs="Arial"/>
          </w:rPr>
          <w:t>https://proceedings.neurips.cc/paper_files/paper/2023/hash/81fde95c4dc79188a69ce5b24d63010b-Abstract-Conference.html</w:t>
        </w:r>
      </w:hyperlink>
      <w:r>
        <w:rPr>
          <w:rFonts w:ascii="Arial" w:hAnsi="Arial" w:cs="Arial"/>
        </w:rPr>
        <w:t>, Accessed on: 01/03/25</w:t>
      </w:r>
    </w:p>
    <w:p w14:paraId="75E472B2" w14:textId="77777777" w:rsidR="00940E98" w:rsidRPr="00292FF3" w:rsidRDefault="00940E98" w:rsidP="00C46AA1">
      <w:pPr>
        <w:spacing w:after="0" w:line="240" w:lineRule="auto"/>
        <w:rPr>
          <w:rFonts w:ascii="Arial" w:hAnsi="Arial" w:cs="Arial"/>
        </w:rPr>
      </w:pPr>
    </w:p>
    <w:p w14:paraId="1DA7D8F7" w14:textId="2A108C18" w:rsidR="001F44F8" w:rsidRPr="001F44F8" w:rsidRDefault="001F44F8" w:rsidP="00C46AA1">
      <w:pPr>
        <w:pStyle w:val="AssignBody"/>
        <w:spacing w:line="240" w:lineRule="auto"/>
      </w:pPr>
      <w:r w:rsidRPr="001F44F8">
        <w:t xml:space="preserve">Zhang, W., Zhang, D. and Zhang, L.J. (2021). Metacognitive Instruction for Sustainable Learning: Learners’ Perceptions of Task Difficulty and Use of Metacognitive Strategies in Completing Integrated Speaking Tasks. </w:t>
      </w:r>
      <w:r w:rsidRPr="001F44F8">
        <w:rPr>
          <w:i/>
          <w:iCs/>
        </w:rPr>
        <w:t>Sustainability</w:t>
      </w:r>
      <w:r w:rsidRPr="001F44F8">
        <w:t xml:space="preserve">, 13(11), p.6275. </w:t>
      </w:r>
      <w:r>
        <w:t xml:space="preserve">Available from: </w:t>
      </w:r>
      <w:hyperlink r:id="rId86" w:history="1">
        <w:r w:rsidRPr="001F44F8">
          <w:rPr>
            <w:rStyle w:val="Hyperlink"/>
          </w:rPr>
          <w:t>https://doi.org/10.3390/su13116275</w:t>
        </w:r>
      </w:hyperlink>
      <w:r>
        <w:t>, Accessed on: 28/02/25</w:t>
      </w:r>
    </w:p>
    <w:p w14:paraId="63BC9AE4" w14:textId="77777777" w:rsidR="001F44F8" w:rsidRPr="00EE24CE" w:rsidRDefault="001F44F8" w:rsidP="00EE24CE">
      <w:pPr>
        <w:pStyle w:val="AssignBody"/>
        <w:rPr>
          <w:b/>
          <w:bCs/>
          <w:sz w:val="28"/>
          <w:szCs w:val="28"/>
        </w:rPr>
      </w:pPr>
    </w:p>
    <w:p w14:paraId="3FE31E19" w14:textId="77777777" w:rsidR="00EE24CE" w:rsidRPr="00EE24CE" w:rsidRDefault="00EE24CE" w:rsidP="00EE24CE">
      <w:pPr>
        <w:pStyle w:val="AssignBody"/>
        <w:rPr>
          <w:b/>
          <w:bCs/>
          <w:sz w:val="28"/>
          <w:szCs w:val="28"/>
        </w:rPr>
      </w:pPr>
    </w:p>
    <w:p w14:paraId="12D7B247" w14:textId="77777777" w:rsidR="00EE24CE" w:rsidRPr="00EE24CE" w:rsidRDefault="00EE24CE" w:rsidP="00E611D9">
      <w:pPr>
        <w:pStyle w:val="AssignBody"/>
        <w:rPr>
          <w:b/>
          <w:bCs/>
          <w:sz w:val="28"/>
          <w:szCs w:val="28"/>
        </w:rPr>
      </w:pPr>
    </w:p>
    <w:sectPr w:rsidR="00EE24CE" w:rsidRPr="00EE24CE">
      <w:headerReference w:type="default" r:id="rId8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84C142" w14:textId="77777777" w:rsidR="00273FA0" w:rsidRDefault="00273FA0" w:rsidP="00E611D9">
      <w:pPr>
        <w:spacing w:after="0" w:line="240" w:lineRule="auto"/>
      </w:pPr>
      <w:r>
        <w:separator/>
      </w:r>
    </w:p>
  </w:endnote>
  <w:endnote w:type="continuationSeparator" w:id="0">
    <w:p w14:paraId="6A3A1047" w14:textId="77777777" w:rsidR="00273FA0" w:rsidRDefault="00273FA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1F5835" w14:textId="77777777" w:rsidR="00273FA0" w:rsidRDefault="00273FA0" w:rsidP="00E611D9">
      <w:pPr>
        <w:spacing w:after="0" w:line="240" w:lineRule="auto"/>
      </w:pPr>
      <w:r>
        <w:separator/>
      </w:r>
    </w:p>
  </w:footnote>
  <w:footnote w:type="continuationSeparator" w:id="0">
    <w:p w14:paraId="1A3DF078" w14:textId="77777777" w:rsidR="00273FA0" w:rsidRDefault="00273FA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DB828C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B0C25">
            <w:rPr>
              <w:rFonts w:ascii="Arial" w:hAnsi="Arial" w:cs="Arial"/>
            </w:rPr>
            <w:t xml:space="preserve"> 7005</w:t>
          </w:r>
        </w:p>
      </w:tc>
      <w:tc>
        <w:tcPr>
          <w:tcW w:w="4508" w:type="dxa"/>
        </w:tcPr>
        <w:p w14:paraId="51D506A0" w14:textId="659ACE67"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FB0C25">
            <w:rPr>
              <w:rFonts w:ascii="Arial" w:hAnsi="Arial" w:cs="Arial"/>
            </w:rPr>
            <w:t>: 2413682</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3E02"/>
    <w:rsid w:val="00044331"/>
    <w:rsid w:val="00057F27"/>
    <w:rsid w:val="00067DD9"/>
    <w:rsid w:val="00072007"/>
    <w:rsid w:val="00081E75"/>
    <w:rsid w:val="00087FFD"/>
    <w:rsid w:val="000904DB"/>
    <w:rsid w:val="000B311C"/>
    <w:rsid w:val="000B3692"/>
    <w:rsid w:val="000B766C"/>
    <w:rsid w:val="000D2002"/>
    <w:rsid w:val="00101187"/>
    <w:rsid w:val="001053EA"/>
    <w:rsid w:val="00113C1A"/>
    <w:rsid w:val="00134DDB"/>
    <w:rsid w:val="00154364"/>
    <w:rsid w:val="001864ED"/>
    <w:rsid w:val="0019272B"/>
    <w:rsid w:val="001938F4"/>
    <w:rsid w:val="001966C6"/>
    <w:rsid w:val="0019765A"/>
    <w:rsid w:val="00197AB8"/>
    <w:rsid w:val="001C33E6"/>
    <w:rsid w:val="001C6C48"/>
    <w:rsid w:val="001D29ED"/>
    <w:rsid w:val="001E2B71"/>
    <w:rsid w:val="001E2D00"/>
    <w:rsid w:val="001E3790"/>
    <w:rsid w:val="001F44F8"/>
    <w:rsid w:val="001F5574"/>
    <w:rsid w:val="00216213"/>
    <w:rsid w:val="002229F0"/>
    <w:rsid w:val="00234E59"/>
    <w:rsid w:val="00245DDB"/>
    <w:rsid w:val="00246861"/>
    <w:rsid w:val="002505D2"/>
    <w:rsid w:val="00273FA0"/>
    <w:rsid w:val="00276B42"/>
    <w:rsid w:val="00283551"/>
    <w:rsid w:val="00286FC4"/>
    <w:rsid w:val="00290A2A"/>
    <w:rsid w:val="00292FF3"/>
    <w:rsid w:val="002A3C5A"/>
    <w:rsid w:val="002E31F7"/>
    <w:rsid w:val="002F4AF3"/>
    <w:rsid w:val="003178D9"/>
    <w:rsid w:val="003418BA"/>
    <w:rsid w:val="00342BCA"/>
    <w:rsid w:val="00366D71"/>
    <w:rsid w:val="003811E8"/>
    <w:rsid w:val="003963D0"/>
    <w:rsid w:val="003A75D4"/>
    <w:rsid w:val="003B3E88"/>
    <w:rsid w:val="003D26D8"/>
    <w:rsid w:val="003D4C8D"/>
    <w:rsid w:val="003D632D"/>
    <w:rsid w:val="003E051C"/>
    <w:rsid w:val="003E55AE"/>
    <w:rsid w:val="00402BEC"/>
    <w:rsid w:val="00433F17"/>
    <w:rsid w:val="00482BAC"/>
    <w:rsid w:val="004A7DD7"/>
    <w:rsid w:val="004B10B4"/>
    <w:rsid w:val="004B2573"/>
    <w:rsid w:val="004B6DB2"/>
    <w:rsid w:val="004C6428"/>
    <w:rsid w:val="004E6781"/>
    <w:rsid w:val="00512038"/>
    <w:rsid w:val="00526B60"/>
    <w:rsid w:val="00534660"/>
    <w:rsid w:val="00552AA7"/>
    <w:rsid w:val="005753DF"/>
    <w:rsid w:val="0058717B"/>
    <w:rsid w:val="00591400"/>
    <w:rsid w:val="005A528D"/>
    <w:rsid w:val="005B5226"/>
    <w:rsid w:val="005F548B"/>
    <w:rsid w:val="006069A7"/>
    <w:rsid w:val="006241AB"/>
    <w:rsid w:val="00635916"/>
    <w:rsid w:val="006419C3"/>
    <w:rsid w:val="00672228"/>
    <w:rsid w:val="0068394C"/>
    <w:rsid w:val="00691A46"/>
    <w:rsid w:val="006A10D6"/>
    <w:rsid w:val="006B396C"/>
    <w:rsid w:val="006B5861"/>
    <w:rsid w:val="006B7EA7"/>
    <w:rsid w:val="006D3ED9"/>
    <w:rsid w:val="006F6070"/>
    <w:rsid w:val="006F79C3"/>
    <w:rsid w:val="00703781"/>
    <w:rsid w:val="007038F3"/>
    <w:rsid w:val="00733088"/>
    <w:rsid w:val="00753F07"/>
    <w:rsid w:val="00756FAF"/>
    <w:rsid w:val="007654A4"/>
    <w:rsid w:val="007B7007"/>
    <w:rsid w:val="007D3F09"/>
    <w:rsid w:val="0081298F"/>
    <w:rsid w:val="00817F7A"/>
    <w:rsid w:val="00822974"/>
    <w:rsid w:val="00836831"/>
    <w:rsid w:val="00863FA7"/>
    <w:rsid w:val="00864FE6"/>
    <w:rsid w:val="00865F26"/>
    <w:rsid w:val="0087618C"/>
    <w:rsid w:val="00877EB3"/>
    <w:rsid w:val="008809E6"/>
    <w:rsid w:val="008A4156"/>
    <w:rsid w:val="008C1B2C"/>
    <w:rsid w:val="008C4B13"/>
    <w:rsid w:val="008D38DD"/>
    <w:rsid w:val="008D662A"/>
    <w:rsid w:val="008F7899"/>
    <w:rsid w:val="0091299F"/>
    <w:rsid w:val="00920059"/>
    <w:rsid w:val="00924E60"/>
    <w:rsid w:val="00925E98"/>
    <w:rsid w:val="00940E98"/>
    <w:rsid w:val="00941332"/>
    <w:rsid w:val="0096320B"/>
    <w:rsid w:val="00991540"/>
    <w:rsid w:val="00993A51"/>
    <w:rsid w:val="009A514A"/>
    <w:rsid w:val="009A57B2"/>
    <w:rsid w:val="009C19C0"/>
    <w:rsid w:val="009E34B2"/>
    <w:rsid w:val="009E567A"/>
    <w:rsid w:val="009F7E5F"/>
    <w:rsid w:val="00A33B64"/>
    <w:rsid w:val="00A755AC"/>
    <w:rsid w:val="00A77397"/>
    <w:rsid w:val="00A85E31"/>
    <w:rsid w:val="00A8690F"/>
    <w:rsid w:val="00AA05DF"/>
    <w:rsid w:val="00AB26F6"/>
    <w:rsid w:val="00AD4EBD"/>
    <w:rsid w:val="00AD603E"/>
    <w:rsid w:val="00AE2123"/>
    <w:rsid w:val="00AE4D20"/>
    <w:rsid w:val="00AE5529"/>
    <w:rsid w:val="00B83252"/>
    <w:rsid w:val="00B878B5"/>
    <w:rsid w:val="00B93317"/>
    <w:rsid w:val="00BA0EED"/>
    <w:rsid w:val="00BA414F"/>
    <w:rsid w:val="00BB008A"/>
    <w:rsid w:val="00BC651E"/>
    <w:rsid w:val="00BD500D"/>
    <w:rsid w:val="00C17673"/>
    <w:rsid w:val="00C2533C"/>
    <w:rsid w:val="00C35692"/>
    <w:rsid w:val="00C46A5F"/>
    <w:rsid w:val="00C46AA1"/>
    <w:rsid w:val="00C60005"/>
    <w:rsid w:val="00C611B4"/>
    <w:rsid w:val="00C65832"/>
    <w:rsid w:val="00CB1E54"/>
    <w:rsid w:val="00CB48C9"/>
    <w:rsid w:val="00CC6AF6"/>
    <w:rsid w:val="00CD1240"/>
    <w:rsid w:val="00CF110A"/>
    <w:rsid w:val="00D13501"/>
    <w:rsid w:val="00D27C71"/>
    <w:rsid w:val="00D572FF"/>
    <w:rsid w:val="00D614AE"/>
    <w:rsid w:val="00D64136"/>
    <w:rsid w:val="00D7082F"/>
    <w:rsid w:val="00D8423B"/>
    <w:rsid w:val="00D849A8"/>
    <w:rsid w:val="00D90885"/>
    <w:rsid w:val="00DA3634"/>
    <w:rsid w:val="00DB2C27"/>
    <w:rsid w:val="00DB7CE2"/>
    <w:rsid w:val="00DC0A64"/>
    <w:rsid w:val="00DE374C"/>
    <w:rsid w:val="00E0086A"/>
    <w:rsid w:val="00E548EC"/>
    <w:rsid w:val="00E55D66"/>
    <w:rsid w:val="00E611D9"/>
    <w:rsid w:val="00EA0984"/>
    <w:rsid w:val="00EA62DE"/>
    <w:rsid w:val="00EB02EC"/>
    <w:rsid w:val="00EB13D2"/>
    <w:rsid w:val="00ED0752"/>
    <w:rsid w:val="00EE24CE"/>
    <w:rsid w:val="00EF6EA7"/>
    <w:rsid w:val="00EF7B36"/>
    <w:rsid w:val="00F006A9"/>
    <w:rsid w:val="00F05E7A"/>
    <w:rsid w:val="00F3421B"/>
    <w:rsid w:val="00F4757D"/>
    <w:rsid w:val="00F477A5"/>
    <w:rsid w:val="00F67C7A"/>
    <w:rsid w:val="00FA7226"/>
    <w:rsid w:val="00FB090F"/>
    <w:rsid w:val="00FB0C25"/>
    <w:rsid w:val="00FB206D"/>
    <w:rsid w:val="00FC2831"/>
    <w:rsid w:val="00FD07B9"/>
    <w:rsid w:val="00FD28EE"/>
    <w:rsid w:val="00FE0DB9"/>
    <w:rsid w:val="00FE55E8"/>
    <w:rsid w:val="00FE6D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966C6"/>
    <w:rPr>
      <w:color w:val="0563C1" w:themeColor="hyperlink"/>
      <w:u w:val="single"/>
    </w:rPr>
  </w:style>
  <w:style w:type="character" w:styleId="UnresolvedMention">
    <w:name w:val="Unresolved Mention"/>
    <w:basedOn w:val="DefaultParagraphFont"/>
    <w:uiPriority w:val="99"/>
    <w:semiHidden/>
    <w:unhideWhenUsed/>
    <w:rsid w:val="001966C6"/>
    <w:rPr>
      <w:color w:val="605E5C"/>
      <w:shd w:val="clear" w:color="auto" w:fill="E1DFDD"/>
    </w:rPr>
  </w:style>
  <w:style w:type="character" w:styleId="FollowedHyperlink">
    <w:name w:val="FollowedHyperlink"/>
    <w:basedOn w:val="DefaultParagraphFont"/>
    <w:uiPriority w:val="99"/>
    <w:semiHidden/>
    <w:unhideWhenUsed/>
    <w:rsid w:val="00134DDB"/>
    <w:rPr>
      <w:color w:val="954F72" w:themeColor="followedHyperlink"/>
      <w:u w:val="single"/>
    </w:rPr>
  </w:style>
  <w:style w:type="paragraph" w:styleId="Revision">
    <w:name w:val="Revision"/>
    <w:hidden/>
    <w:uiPriority w:val="99"/>
    <w:semiHidden/>
    <w:rsid w:val="00C35692"/>
    <w:pPr>
      <w:spacing w:after="0" w:line="240" w:lineRule="auto"/>
    </w:pPr>
  </w:style>
  <w:style w:type="character" w:styleId="CommentReference">
    <w:name w:val="annotation reference"/>
    <w:basedOn w:val="DefaultParagraphFont"/>
    <w:uiPriority w:val="99"/>
    <w:semiHidden/>
    <w:unhideWhenUsed/>
    <w:rsid w:val="00BB008A"/>
    <w:rPr>
      <w:sz w:val="16"/>
      <w:szCs w:val="16"/>
    </w:rPr>
  </w:style>
  <w:style w:type="paragraph" w:styleId="CommentText">
    <w:name w:val="annotation text"/>
    <w:basedOn w:val="Normal"/>
    <w:link w:val="CommentTextChar"/>
    <w:uiPriority w:val="99"/>
    <w:unhideWhenUsed/>
    <w:rsid w:val="00BB008A"/>
    <w:pPr>
      <w:spacing w:line="240" w:lineRule="auto"/>
    </w:pPr>
    <w:rPr>
      <w:sz w:val="20"/>
      <w:szCs w:val="20"/>
    </w:rPr>
  </w:style>
  <w:style w:type="character" w:customStyle="1" w:styleId="CommentTextChar">
    <w:name w:val="Comment Text Char"/>
    <w:basedOn w:val="DefaultParagraphFont"/>
    <w:link w:val="CommentText"/>
    <w:uiPriority w:val="99"/>
    <w:rsid w:val="00BB008A"/>
    <w:rPr>
      <w:sz w:val="20"/>
      <w:szCs w:val="20"/>
    </w:rPr>
  </w:style>
  <w:style w:type="paragraph" w:styleId="CommentSubject">
    <w:name w:val="annotation subject"/>
    <w:basedOn w:val="CommentText"/>
    <w:next w:val="CommentText"/>
    <w:link w:val="CommentSubjectChar"/>
    <w:uiPriority w:val="99"/>
    <w:semiHidden/>
    <w:unhideWhenUsed/>
    <w:rsid w:val="00BB008A"/>
    <w:rPr>
      <w:b/>
      <w:bCs/>
    </w:rPr>
  </w:style>
  <w:style w:type="character" w:customStyle="1" w:styleId="CommentSubjectChar">
    <w:name w:val="Comment Subject Char"/>
    <w:basedOn w:val="CommentTextChar"/>
    <w:link w:val="CommentSubject"/>
    <w:uiPriority w:val="99"/>
    <w:semiHidden/>
    <w:rsid w:val="00BB008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248024">
      <w:bodyDiv w:val="1"/>
      <w:marLeft w:val="0"/>
      <w:marRight w:val="0"/>
      <w:marTop w:val="0"/>
      <w:marBottom w:val="0"/>
      <w:divBdr>
        <w:top w:val="none" w:sz="0" w:space="0" w:color="auto"/>
        <w:left w:val="none" w:sz="0" w:space="0" w:color="auto"/>
        <w:bottom w:val="none" w:sz="0" w:space="0" w:color="auto"/>
        <w:right w:val="none" w:sz="0" w:space="0" w:color="auto"/>
      </w:divBdr>
      <w:divsChild>
        <w:div w:id="1851017408">
          <w:marLeft w:val="0"/>
          <w:marRight w:val="0"/>
          <w:marTop w:val="0"/>
          <w:marBottom w:val="0"/>
          <w:divBdr>
            <w:top w:val="none" w:sz="0" w:space="0" w:color="auto"/>
            <w:left w:val="none" w:sz="0" w:space="0" w:color="auto"/>
            <w:bottom w:val="none" w:sz="0" w:space="0" w:color="auto"/>
            <w:right w:val="none" w:sz="0" w:space="0" w:color="auto"/>
          </w:divBdr>
        </w:div>
      </w:divsChild>
    </w:div>
    <w:div w:id="124935604">
      <w:bodyDiv w:val="1"/>
      <w:marLeft w:val="0"/>
      <w:marRight w:val="0"/>
      <w:marTop w:val="0"/>
      <w:marBottom w:val="0"/>
      <w:divBdr>
        <w:top w:val="none" w:sz="0" w:space="0" w:color="auto"/>
        <w:left w:val="none" w:sz="0" w:space="0" w:color="auto"/>
        <w:bottom w:val="none" w:sz="0" w:space="0" w:color="auto"/>
        <w:right w:val="none" w:sz="0" w:space="0" w:color="auto"/>
      </w:divBdr>
      <w:divsChild>
        <w:div w:id="1937518992">
          <w:marLeft w:val="0"/>
          <w:marRight w:val="0"/>
          <w:marTop w:val="0"/>
          <w:marBottom w:val="0"/>
          <w:divBdr>
            <w:top w:val="none" w:sz="0" w:space="0" w:color="auto"/>
            <w:left w:val="none" w:sz="0" w:space="0" w:color="auto"/>
            <w:bottom w:val="none" w:sz="0" w:space="0" w:color="auto"/>
            <w:right w:val="none" w:sz="0" w:space="0" w:color="auto"/>
          </w:divBdr>
        </w:div>
      </w:divsChild>
    </w:div>
    <w:div w:id="194001251">
      <w:bodyDiv w:val="1"/>
      <w:marLeft w:val="0"/>
      <w:marRight w:val="0"/>
      <w:marTop w:val="0"/>
      <w:marBottom w:val="0"/>
      <w:divBdr>
        <w:top w:val="none" w:sz="0" w:space="0" w:color="auto"/>
        <w:left w:val="none" w:sz="0" w:space="0" w:color="auto"/>
        <w:bottom w:val="none" w:sz="0" w:space="0" w:color="auto"/>
        <w:right w:val="none" w:sz="0" w:space="0" w:color="auto"/>
      </w:divBdr>
    </w:div>
    <w:div w:id="243297590">
      <w:bodyDiv w:val="1"/>
      <w:marLeft w:val="0"/>
      <w:marRight w:val="0"/>
      <w:marTop w:val="0"/>
      <w:marBottom w:val="0"/>
      <w:divBdr>
        <w:top w:val="none" w:sz="0" w:space="0" w:color="auto"/>
        <w:left w:val="none" w:sz="0" w:space="0" w:color="auto"/>
        <w:bottom w:val="none" w:sz="0" w:space="0" w:color="auto"/>
        <w:right w:val="none" w:sz="0" w:space="0" w:color="auto"/>
      </w:divBdr>
    </w:div>
    <w:div w:id="243537635">
      <w:bodyDiv w:val="1"/>
      <w:marLeft w:val="0"/>
      <w:marRight w:val="0"/>
      <w:marTop w:val="0"/>
      <w:marBottom w:val="0"/>
      <w:divBdr>
        <w:top w:val="none" w:sz="0" w:space="0" w:color="auto"/>
        <w:left w:val="none" w:sz="0" w:space="0" w:color="auto"/>
        <w:bottom w:val="none" w:sz="0" w:space="0" w:color="auto"/>
        <w:right w:val="none" w:sz="0" w:space="0" w:color="auto"/>
      </w:divBdr>
      <w:divsChild>
        <w:div w:id="1879396144">
          <w:marLeft w:val="0"/>
          <w:marRight w:val="0"/>
          <w:marTop w:val="0"/>
          <w:marBottom w:val="0"/>
          <w:divBdr>
            <w:top w:val="none" w:sz="0" w:space="0" w:color="auto"/>
            <w:left w:val="none" w:sz="0" w:space="0" w:color="auto"/>
            <w:bottom w:val="none" w:sz="0" w:space="0" w:color="auto"/>
            <w:right w:val="none" w:sz="0" w:space="0" w:color="auto"/>
          </w:divBdr>
        </w:div>
      </w:divsChild>
    </w:div>
    <w:div w:id="251009204">
      <w:bodyDiv w:val="1"/>
      <w:marLeft w:val="0"/>
      <w:marRight w:val="0"/>
      <w:marTop w:val="0"/>
      <w:marBottom w:val="0"/>
      <w:divBdr>
        <w:top w:val="none" w:sz="0" w:space="0" w:color="auto"/>
        <w:left w:val="none" w:sz="0" w:space="0" w:color="auto"/>
        <w:bottom w:val="none" w:sz="0" w:space="0" w:color="auto"/>
        <w:right w:val="none" w:sz="0" w:space="0" w:color="auto"/>
      </w:divBdr>
      <w:divsChild>
        <w:div w:id="2006856651">
          <w:marLeft w:val="0"/>
          <w:marRight w:val="0"/>
          <w:marTop w:val="0"/>
          <w:marBottom w:val="0"/>
          <w:divBdr>
            <w:top w:val="none" w:sz="0" w:space="0" w:color="auto"/>
            <w:left w:val="none" w:sz="0" w:space="0" w:color="auto"/>
            <w:bottom w:val="none" w:sz="0" w:space="0" w:color="auto"/>
            <w:right w:val="none" w:sz="0" w:space="0" w:color="auto"/>
          </w:divBdr>
        </w:div>
      </w:divsChild>
    </w:div>
    <w:div w:id="271979640">
      <w:bodyDiv w:val="1"/>
      <w:marLeft w:val="0"/>
      <w:marRight w:val="0"/>
      <w:marTop w:val="0"/>
      <w:marBottom w:val="0"/>
      <w:divBdr>
        <w:top w:val="none" w:sz="0" w:space="0" w:color="auto"/>
        <w:left w:val="none" w:sz="0" w:space="0" w:color="auto"/>
        <w:bottom w:val="none" w:sz="0" w:space="0" w:color="auto"/>
        <w:right w:val="none" w:sz="0" w:space="0" w:color="auto"/>
      </w:divBdr>
      <w:divsChild>
        <w:div w:id="1922444488">
          <w:marLeft w:val="0"/>
          <w:marRight w:val="0"/>
          <w:marTop w:val="0"/>
          <w:marBottom w:val="0"/>
          <w:divBdr>
            <w:top w:val="none" w:sz="0" w:space="0" w:color="auto"/>
            <w:left w:val="none" w:sz="0" w:space="0" w:color="auto"/>
            <w:bottom w:val="none" w:sz="0" w:space="0" w:color="auto"/>
            <w:right w:val="none" w:sz="0" w:space="0" w:color="auto"/>
          </w:divBdr>
        </w:div>
      </w:divsChild>
    </w:div>
    <w:div w:id="290289724">
      <w:bodyDiv w:val="1"/>
      <w:marLeft w:val="0"/>
      <w:marRight w:val="0"/>
      <w:marTop w:val="0"/>
      <w:marBottom w:val="0"/>
      <w:divBdr>
        <w:top w:val="none" w:sz="0" w:space="0" w:color="auto"/>
        <w:left w:val="none" w:sz="0" w:space="0" w:color="auto"/>
        <w:bottom w:val="none" w:sz="0" w:space="0" w:color="auto"/>
        <w:right w:val="none" w:sz="0" w:space="0" w:color="auto"/>
      </w:divBdr>
      <w:divsChild>
        <w:div w:id="116873409">
          <w:marLeft w:val="0"/>
          <w:marRight w:val="0"/>
          <w:marTop w:val="0"/>
          <w:marBottom w:val="0"/>
          <w:divBdr>
            <w:top w:val="none" w:sz="0" w:space="0" w:color="auto"/>
            <w:left w:val="none" w:sz="0" w:space="0" w:color="auto"/>
            <w:bottom w:val="none" w:sz="0" w:space="0" w:color="auto"/>
            <w:right w:val="none" w:sz="0" w:space="0" w:color="auto"/>
          </w:divBdr>
        </w:div>
      </w:divsChild>
    </w:div>
    <w:div w:id="316110499">
      <w:bodyDiv w:val="1"/>
      <w:marLeft w:val="0"/>
      <w:marRight w:val="0"/>
      <w:marTop w:val="0"/>
      <w:marBottom w:val="0"/>
      <w:divBdr>
        <w:top w:val="none" w:sz="0" w:space="0" w:color="auto"/>
        <w:left w:val="none" w:sz="0" w:space="0" w:color="auto"/>
        <w:bottom w:val="none" w:sz="0" w:space="0" w:color="auto"/>
        <w:right w:val="none" w:sz="0" w:space="0" w:color="auto"/>
      </w:divBdr>
      <w:divsChild>
        <w:div w:id="1103190583">
          <w:marLeft w:val="0"/>
          <w:marRight w:val="0"/>
          <w:marTop w:val="0"/>
          <w:marBottom w:val="0"/>
          <w:divBdr>
            <w:top w:val="none" w:sz="0" w:space="0" w:color="auto"/>
            <w:left w:val="none" w:sz="0" w:space="0" w:color="auto"/>
            <w:bottom w:val="none" w:sz="0" w:space="0" w:color="auto"/>
            <w:right w:val="none" w:sz="0" w:space="0" w:color="auto"/>
          </w:divBdr>
        </w:div>
      </w:divsChild>
    </w:div>
    <w:div w:id="319620230">
      <w:bodyDiv w:val="1"/>
      <w:marLeft w:val="0"/>
      <w:marRight w:val="0"/>
      <w:marTop w:val="0"/>
      <w:marBottom w:val="0"/>
      <w:divBdr>
        <w:top w:val="none" w:sz="0" w:space="0" w:color="auto"/>
        <w:left w:val="none" w:sz="0" w:space="0" w:color="auto"/>
        <w:bottom w:val="none" w:sz="0" w:space="0" w:color="auto"/>
        <w:right w:val="none" w:sz="0" w:space="0" w:color="auto"/>
      </w:divBdr>
      <w:divsChild>
        <w:div w:id="1477919479">
          <w:marLeft w:val="0"/>
          <w:marRight w:val="0"/>
          <w:marTop w:val="0"/>
          <w:marBottom w:val="0"/>
          <w:divBdr>
            <w:top w:val="none" w:sz="0" w:space="0" w:color="auto"/>
            <w:left w:val="none" w:sz="0" w:space="0" w:color="auto"/>
            <w:bottom w:val="none" w:sz="0" w:space="0" w:color="auto"/>
            <w:right w:val="none" w:sz="0" w:space="0" w:color="auto"/>
          </w:divBdr>
        </w:div>
      </w:divsChild>
    </w:div>
    <w:div w:id="386534144">
      <w:bodyDiv w:val="1"/>
      <w:marLeft w:val="0"/>
      <w:marRight w:val="0"/>
      <w:marTop w:val="0"/>
      <w:marBottom w:val="0"/>
      <w:divBdr>
        <w:top w:val="none" w:sz="0" w:space="0" w:color="auto"/>
        <w:left w:val="none" w:sz="0" w:space="0" w:color="auto"/>
        <w:bottom w:val="none" w:sz="0" w:space="0" w:color="auto"/>
        <w:right w:val="none" w:sz="0" w:space="0" w:color="auto"/>
      </w:divBdr>
      <w:divsChild>
        <w:div w:id="1581017933">
          <w:marLeft w:val="0"/>
          <w:marRight w:val="0"/>
          <w:marTop w:val="0"/>
          <w:marBottom w:val="0"/>
          <w:divBdr>
            <w:top w:val="none" w:sz="0" w:space="0" w:color="auto"/>
            <w:left w:val="none" w:sz="0" w:space="0" w:color="auto"/>
            <w:bottom w:val="none" w:sz="0" w:space="0" w:color="auto"/>
            <w:right w:val="none" w:sz="0" w:space="0" w:color="auto"/>
          </w:divBdr>
        </w:div>
      </w:divsChild>
    </w:div>
    <w:div w:id="392702365">
      <w:bodyDiv w:val="1"/>
      <w:marLeft w:val="0"/>
      <w:marRight w:val="0"/>
      <w:marTop w:val="0"/>
      <w:marBottom w:val="0"/>
      <w:divBdr>
        <w:top w:val="none" w:sz="0" w:space="0" w:color="auto"/>
        <w:left w:val="none" w:sz="0" w:space="0" w:color="auto"/>
        <w:bottom w:val="none" w:sz="0" w:space="0" w:color="auto"/>
        <w:right w:val="none" w:sz="0" w:space="0" w:color="auto"/>
      </w:divBdr>
      <w:divsChild>
        <w:div w:id="1148012039">
          <w:marLeft w:val="0"/>
          <w:marRight w:val="0"/>
          <w:marTop w:val="0"/>
          <w:marBottom w:val="0"/>
          <w:divBdr>
            <w:top w:val="none" w:sz="0" w:space="0" w:color="auto"/>
            <w:left w:val="none" w:sz="0" w:space="0" w:color="auto"/>
            <w:bottom w:val="none" w:sz="0" w:space="0" w:color="auto"/>
            <w:right w:val="none" w:sz="0" w:space="0" w:color="auto"/>
          </w:divBdr>
        </w:div>
      </w:divsChild>
    </w:div>
    <w:div w:id="429545904">
      <w:bodyDiv w:val="1"/>
      <w:marLeft w:val="0"/>
      <w:marRight w:val="0"/>
      <w:marTop w:val="0"/>
      <w:marBottom w:val="0"/>
      <w:divBdr>
        <w:top w:val="none" w:sz="0" w:space="0" w:color="auto"/>
        <w:left w:val="none" w:sz="0" w:space="0" w:color="auto"/>
        <w:bottom w:val="none" w:sz="0" w:space="0" w:color="auto"/>
        <w:right w:val="none" w:sz="0" w:space="0" w:color="auto"/>
      </w:divBdr>
      <w:divsChild>
        <w:div w:id="841089061">
          <w:marLeft w:val="0"/>
          <w:marRight w:val="0"/>
          <w:marTop w:val="0"/>
          <w:marBottom w:val="0"/>
          <w:divBdr>
            <w:top w:val="none" w:sz="0" w:space="0" w:color="auto"/>
            <w:left w:val="none" w:sz="0" w:space="0" w:color="auto"/>
            <w:bottom w:val="none" w:sz="0" w:space="0" w:color="auto"/>
            <w:right w:val="none" w:sz="0" w:space="0" w:color="auto"/>
          </w:divBdr>
        </w:div>
      </w:divsChild>
    </w:div>
    <w:div w:id="531920338">
      <w:bodyDiv w:val="1"/>
      <w:marLeft w:val="0"/>
      <w:marRight w:val="0"/>
      <w:marTop w:val="0"/>
      <w:marBottom w:val="0"/>
      <w:divBdr>
        <w:top w:val="none" w:sz="0" w:space="0" w:color="auto"/>
        <w:left w:val="none" w:sz="0" w:space="0" w:color="auto"/>
        <w:bottom w:val="none" w:sz="0" w:space="0" w:color="auto"/>
        <w:right w:val="none" w:sz="0" w:space="0" w:color="auto"/>
      </w:divBdr>
      <w:divsChild>
        <w:div w:id="1148743472">
          <w:marLeft w:val="0"/>
          <w:marRight w:val="0"/>
          <w:marTop w:val="0"/>
          <w:marBottom w:val="0"/>
          <w:divBdr>
            <w:top w:val="none" w:sz="0" w:space="0" w:color="auto"/>
            <w:left w:val="none" w:sz="0" w:space="0" w:color="auto"/>
            <w:bottom w:val="none" w:sz="0" w:space="0" w:color="auto"/>
            <w:right w:val="none" w:sz="0" w:space="0" w:color="auto"/>
          </w:divBdr>
        </w:div>
      </w:divsChild>
    </w:div>
    <w:div w:id="554238468">
      <w:bodyDiv w:val="1"/>
      <w:marLeft w:val="0"/>
      <w:marRight w:val="0"/>
      <w:marTop w:val="0"/>
      <w:marBottom w:val="0"/>
      <w:divBdr>
        <w:top w:val="none" w:sz="0" w:space="0" w:color="auto"/>
        <w:left w:val="none" w:sz="0" w:space="0" w:color="auto"/>
        <w:bottom w:val="none" w:sz="0" w:space="0" w:color="auto"/>
        <w:right w:val="none" w:sz="0" w:space="0" w:color="auto"/>
      </w:divBdr>
      <w:divsChild>
        <w:div w:id="747191584">
          <w:marLeft w:val="0"/>
          <w:marRight w:val="0"/>
          <w:marTop w:val="0"/>
          <w:marBottom w:val="0"/>
          <w:divBdr>
            <w:top w:val="none" w:sz="0" w:space="0" w:color="auto"/>
            <w:left w:val="none" w:sz="0" w:space="0" w:color="auto"/>
            <w:bottom w:val="none" w:sz="0" w:space="0" w:color="auto"/>
            <w:right w:val="none" w:sz="0" w:space="0" w:color="auto"/>
          </w:divBdr>
        </w:div>
      </w:divsChild>
    </w:div>
    <w:div w:id="555893739">
      <w:bodyDiv w:val="1"/>
      <w:marLeft w:val="0"/>
      <w:marRight w:val="0"/>
      <w:marTop w:val="0"/>
      <w:marBottom w:val="0"/>
      <w:divBdr>
        <w:top w:val="none" w:sz="0" w:space="0" w:color="auto"/>
        <w:left w:val="none" w:sz="0" w:space="0" w:color="auto"/>
        <w:bottom w:val="none" w:sz="0" w:space="0" w:color="auto"/>
        <w:right w:val="none" w:sz="0" w:space="0" w:color="auto"/>
      </w:divBdr>
      <w:divsChild>
        <w:div w:id="1588074852">
          <w:marLeft w:val="0"/>
          <w:marRight w:val="0"/>
          <w:marTop w:val="0"/>
          <w:marBottom w:val="0"/>
          <w:divBdr>
            <w:top w:val="none" w:sz="0" w:space="0" w:color="auto"/>
            <w:left w:val="none" w:sz="0" w:space="0" w:color="auto"/>
            <w:bottom w:val="none" w:sz="0" w:space="0" w:color="auto"/>
            <w:right w:val="none" w:sz="0" w:space="0" w:color="auto"/>
          </w:divBdr>
        </w:div>
      </w:divsChild>
    </w:div>
    <w:div w:id="568804489">
      <w:bodyDiv w:val="1"/>
      <w:marLeft w:val="0"/>
      <w:marRight w:val="0"/>
      <w:marTop w:val="0"/>
      <w:marBottom w:val="0"/>
      <w:divBdr>
        <w:top w:val="none" w:sz="0" w:space="0" w:color="auto"/>
        <w:left w:val="none" w:sz="0" w:space="0" w:color="auto"/>
        <w:bottom w:val="none" w:sz="0" w:space="0" w:color="auto"/>
        <w:right w:val="none" w:sz="0" w:space="0" w:color="auto"/>
      </w:divBdr>
      <w:divsChild>
        <w:div w:id="253709839">
          <w:marLeft w:val="0"/>
          <w:marRight w:val="0"/>
          <w:marTop w:val="0"/>
          <w:marBottom w:val="0"/>
          <w:divBdr>
            <w:top w:val="none" w:sz="0" w:space="0" w:color="auto"/>
            <w:left w:val="none" w:sz="0" w:space="0" w:color="auto"/>
            <w:bottom w:val="none" w:sz="0" w:space="0" w:color="auto"/>
            <w:right w:val="none" w:sz="0" w:space="0" w:color="auto"/>
          </w:divBdr>
        </w:div>
      </w:divsChild>
    </w:div>
    <w:div w:id="608199221">
      <w:bodyDiv w:val="1"/>
      <w:marLeft w:val="0"/>
      <w:marRight w:val="0"/>
      <w:marTop w:val="0"/>
      <w:marBottom w:val="0"/>
      <w:divBdr>
        <w:top w:val="none" w:sz="0" w:space="0" w:color="auto"/>
        <w:left w:val="none" w:sz="0" w:space="0" w:color="auto"/>
        <w:bottom w:val="none" w:sz="0" w:space="0" w:color="auto"/>
        <w:right w:val="none" w:sz="0" w:space="0" w:color="auto"/>
      </w:divBdr>
      <w:divsChild>
        <w:div w:id="1610700820">
          <w:marLeft w:val="0"/>
          <w:marRight w:val="0"/>
          <w:marTop w:val="0"/>
          <w:marBottom w:val="0"/>
          <w:divBdr>
            <w:top w:val="none" w:sz="0" w:space="0" w:color="auto"/>
            <w:left w:val="none" w:sz="0" w:space="0" w:color="auto"/>
            <w:bottom w:val="none" w:sz="0" w:space="0" w:color="auto"/>
            <w:right w:val="none" w:sz="0" w:space="0" w:color="auto"/>
          </w:divBdr>
        </w:div>
      </w:divsChild>
    </w:div>
    <w:div w:id="641811967">
      <w:bodyDiv w:val="1"/>
      <w:marLeft w:val="0"/>
      <w:marRight w:val="0"/>
      <w:marTop w:val="0"/>
      <w:marBottom w:val="0"/>
      <w:divBdr>
        <w:top w:val="none" w:sz="0" w:space="0" w:color="auto"/>
        <w:left w:val="none" w:sz="0" w:space="0" w:color="auto"/>
        <w:bottom w:val="none" w:sz="0" w:space="0" w:color="auto"/>
        <w:right w:val="none" w:sz="0" w:space="0" w:color="auto"/>
      </w:divBdr>
      <w:divsChild>
        <w:div w:id="523245801">
          <w:marLeft w:val="0"/>
          <w:marRight w:val="0"/>
          <w:marTop w:val="0"/>
          <w:marBottom w:val="0"/>
          <w:divBdr>
            <w:top w:val="none" w:sz="0" w:space="0" w:color="auto"/>
            <w:left w:val="none" w:sz="0" w:space="0" w:color="auto"/>
            <w:bottom w:val="none" w:sz="0" w:space="0" w:color="auto"/>
            <w:right w:val="none" w:sz="0" w:space="0" w:color="auto"/>
          </w:divBdr>
        </w:div>
      </w:divsChild>
    </w:div>
    <w:div w:id="651904651">
      <w:bodyDiv w:val="1"/>
      <w:marLeft w:val="0"/>
      <w:marRight w:val="0"/>
      <w:marTop w:val="0"/>
      <w:marBottom w:val="0"/>
      <w:divBdr>
        <w:top w:val="none" w:sz="0" w:space="0" w:color="auto"/>
        <w:left w:val="none" w:sz="0" w:space="0" w:color="auto"/>
        <w:bottom w:val="none" w:sz="0" w:space="0" w:color="auto"/>
        <w:right w:val="none" w:sz="0" w:space="0" w:color="auto"/>
      </w:divBdr>
      <w:divsChild>
        <w:div w:id="691037212">
          <w:marLeft w:val="0"/>
          <w:marRight w:val="0"/>
          <w:marTop w:val="0"/>
          <w:marBottom w:val="0"/>
          <w:divBdr>
            <w:top w:val="none" w:sz="0" w:space="0" w:color="auto"/>
            <w:left w:val="none" w:sz="0" w:space="0" w:color="auto"/>
            <w:bottom w:val="none" w:sz="0" w:space="0" w:color="auto"/>
            <w:right w:val="none" w:sz="0" w:space="0" w:color="auto"/>
          </w:divBdr>
        </w:div>
      </w:divsChild>
    </w:div>
    <w:div w:id="658466673">
      <w:bodyDiv w:val="1"/>
      <w:marLeft w:val="0"/>
      <w:marRight w:val="0"/>
      <w:marTop w:val="0"/>
      <w:marBottom w:val="0"/>
      <w:divBdr>
        <w:top w:val="none" w:sz="0" w:space="0" w:color="auto"/>
        <w:left w:val="none" w:sz="0" w:space="0" w:color="auto"/>
        <w:bottom w:val="none" w:sz="0" w:space="0" w:color="auto"/>
        <w:right w:val="none" w:sz="0" w:space="0" w:color="auto"/>
      </w:divBdr>
      <w:divsChild>
        <w:div w:id="1552107636">
          <w:marLeft w:val="0"/>
          <w:marRight w:val="0"/>
          <w:marTop w:val="0"/>
          <w:marBottom w:val="0"/>
          <w:divBdr>
            <w:top w:val="none" w:sz="0" w:space="0" w:color="auto"/>
            <w:left w:val="none" w:sz="0" w:space="0" w:color="auto"/>
            <w:bottom w:val="none" w:sz="0" w:space="0" w:color="auto"/>
            <w:right w:val="none" w:sz="0" w:space="0" w:color="auto"/>
          </w:divBdr>
        </w:div>
      </w:divsChild>
    </w:div>
    <w:div w:id="740442422">
      <w:bodyDiv w:val="1"/>
      <w:marLeft w:val="0"/>
      <w:marRight w:val="0"/>
      <w:marTop w:val="0"/>
      <w:marBottom w:val="0"/>
      <w:divBdr>
        <w:top w:val="none" w:sz="0" w:space="0" w:color="auto"/>
        <w:left w:val="none" w:sz="0" w:space="0" w:color="auto"/>
        <w:bottom w:val="none" w:sz="0" w:space="0" w:color="auto"/>
        <w:right w:val="none" w:sz="0" w:space="0" w:color="auto"/>
      </w:divBdr>
      <w:divsChild>
        <w:div w:id="1387801988">
          <w:marLeft w:val="0"/>
          <w:marRight w:val="0"/>
          <w:marTop w:val="0"/>
          <w:marBottom w:val="0"/>
          <w:divBdr>
            <w:top w:val="none" w:sz="0" w:space="0" w:color="auto"/>
            <w:left w:val="none" w:sz="0" w:space="0" w:color="auto"/>
            <w:bottom w:val="none" w:sz="0" w:space="0" w:color="auto"/>
            <w:right w:val="none" w:sz="0" w:space="0" w:color="auto"/>
          </w:divBdr>
        </w:div>
      </w:divsChild>
    </w:div>
    <w:div w:id="749934668">
      <w:bodyDiv w:val="1"/>
      <w:marLeft w:val="0"/>
      <w:marRight w:val="0"/>
      <w:marTop w:val="0"/>
      <w:marBottom w:val="0"/>
      <w:divBdr>
        <w:top w:val="none" w:sz="0" w:space="0" w:color="auto"/>
        <w:left w:val="none" w:sz="0" w:space="0" w:color="auto"/>
        <w:bottom w:val="none" w:sz="0" w:space="0" w:color="auto"/>
        <w:right w:val="none" w:sz="0" w:space="0" w:color="auto"/>
      </w:divBdr>
      <w:divsChild>
        <w:div w:id="324672271">
          <w:marLeft w:val="0"/>
          <w:marRight w:val="0"/>
          <w:marTop w:val="0"/>
          <w:marBottom w:val="0"/>
          <w:divBdr>
            <w:top w:val="none" w:sz="0" w:space="0" w:color="auto"/>
            <w:left w:val="none" w:sz="0" w:space="0" w:color="auto"/>
            <w:bottom w:val="none" w:sz="0" w:space="0" w:color="auto"/>
            <w:right w:val="none" w:sz="0" w:space="0" w:color="auto"/>
          </w:divBdr>
        </w:div>
      </w:divsChild>
    </w:div>
    <w:div w:id="769199887">
      <w:bodyDiv w:val="1"/>
      <w:marLeft w:val="0"/>
      <w:marRight w:val="0"/>
      <w:marTop w:val="0"/>
      <w:marBottom w:val="0"/>
      <w:divBdr>
        <w:top w:val="none" w:sz="0" w:space="0" w:color="auto"/>
        <w:left w:val="none" w:sz="0" w:space="0" w:color="auto"/>
        <w:bottom w:val="none" w:sz="0" w:space="0" w:color="auto"/>
        <w:right w:val="none" w:sz="0" w:space="0" w:color="auto"/>
      </w:divBdr>
      <w:divsChild>
        <w:div w:id="493036768">
          <w:marLeft w:val="0"/>
          <w:marRight w:val="0"/>
          <w:marTop w:val="0"/>
          <w:marBottom w:val="0"/>
          <w:divBdr>
            <w:top w:val="none" w:sz="0" w:space="0" w:color="auto"/>
            <w:left w:val="none" w:sz="0" w:space="0" w:color="auto"/>
            <w:bottom w:val="none" w:sz="0" w:space="0" w:color="auto"/>
            <w:right w:val="none" w:sz="0" w:space="0" w:color="auto"/>
          </w:divBdr>
        </w:div>
      </w:divsChild>
    </w:div>
    <w:div w:id="828793613">
      <w:bodyDiv w:val="1"/>
      <w:marLeft w:val="0"/>
      <w:marRight w:val="0"/>
      <w:marTop w:val="0"/>
      <w:marBottom w:val="0"/>
      <w:divBdr>
        <w:top w:val="none" w:sz="0" w:space="0" w:color="auto"/>
        <w:left w:val="none" w:sz="0" w:space="0" w:color="auto"/>
        <w:bottom w:val="none" w:sz="0" w:space="0" w:color="auto"/>
        <w:right w:val="none" w:sz="0" w:space="0" w:color="auto"/>
      </w:divBdr>
      <w:divsChild>
        <w:div w:id="120270362">
          <w:marLeft w:val="0"/>
          <w:marRight w:val="0"/>
          <w:marTop w:val="0"/>
          <w:marBottom w:val="0"/>
          <w:divBdr>
            <w:top w:val="none" w:sz="0" w:space="0" w:color="auto"/>
            <w:left w:val="none" w:sz="0" w:space="0" w:color="auto"/>
            <w:bottom w:val="none" w:sz="0" w:space="0" w:color="auto"/>
            <w:right w:val="none" w:sz="0" w:space="0" w:color="auto"/>
          </w:divBdr>
        </w:div>
      </w:divsChild>
    </w:div>
    <w:div w:id="878662827">
      <w:bodyDiv w:val="1"/>
      <w:marLeft w:val="0"/>
      <w:marRight w:val="0"/>
      <w:marTop w:val="0"/>
      <w:marBottom w:val="0"/>
      <w:divBdr>
        <w:top w:val="none" w:sz="0" w:space="0" w:color="auto"/>
        <w:left w:val="none" w:sz="0" w:space="0" w:color="auto"/>
        <w:bottom w:val="none" w:sz="0" w:space="0" w:color="auto"/>
        <w:right w:val="none" w:sz="0" w:space="0" w:color="auto"/>
      </w:divBdr>
      <w:divsChild>
        <w:div w:id="1755470766">
          <w:marLeft w:val="0"/>
          <w:marRight w:val="0"/>
          <w:marTop w:val="0"/>
          <w:marBottom w:val="0"/>
          <w:divBdr>
            <w:top w:val="none" w:sz="0" w:space="0" w:color="auto"/>
            <w:left w:val="none" w:sz="0" w:space="0" w:color="auto"/>
            <w:bottom w:val="none" w:sz="0" w:space="0" w:color="auto"/>
            <w:right w:val="none" w:sz="0" w:space="0" w:color="auto"/>
          </w:divBdr>
        </w:div>
      </w:divsChild>
    </w:div>
    <w:div w:id="916062536">
      <w:bodyDiv w:val="1"/>
      <w:marLeft w:val="0"/>
      <w:marRight w:val="0"/>
      <w:marTop w:val="0"/>
      <w:marBottom w:val="0"/>
      <w:divBdr>
        <w:top w:val="none" w:sz="0" w:space="0" w:color="auto"/>
        <w:left w:val="none" w:sz="0" w:space="0" w:color="auto"/>
        <w:bottom w:val="none" w:sz="0" w:space="0" w:color="auto"/>
        <w:right w:val="none" w:sz="0" w:space="0" w:color="auto"/>
      </w:divBdr>
      <w:divsChild>
        <w:div w:id="1426220674">
          <w:marLeft w:val="0"/>
          <w:marRight w:val="0"/>
          <w:marTop w:val="0"/>
          <w:marBottom w:val="0"/>
          <w:divBdr>
            <w:top w:val="none" w:sz="0" w:space="0" w:color="auto"/>
            <w:left w:val="none" w:sz="0" w:space="0" w:color="auto"/>
            <w:bottom w:val="none" w:sz="0" w:space="0" w:color="auto"/>
            <w:right w:val="none" w:sz="0" w:space="0" w:color="auto"/>
          </w:divBdr>
        </w:div>
      </w:divsChild>
    </w:div>
    <w:div w:id="923487522">
      <w:bodyDiv w:val="1"/>
      <w:marLeft w:val="0"/>
      <w:marRight w:val="0"/>
      <w:marTop w:val="0"/>
      <w:marBottom w:val="0"/>
      <w:divBdr>
        <w:top w:val="none" w:sz="0" w:space="0" w:color="auto"/>
        <w:left w:val="none" w:sz="0" w:space="0" w:color="auto"/>
        <w:bottom w:val="none" w:sz="0" w:space="0" w:color="auto"/>
        <w:right w:val="none" w:sz="0" w:space="0" w:color="auto"/>
      </w:divBdr>
      <w:divsChild>
        <w:div w:id="704791038">
          <w:marLeft w:val="0"/>
          <w:marRight w:val="0"/>
          <w:marTop w:val="0"/>
          <w:marBottom w:val="0"/>
          <w:divBdr>
            <w:top w:val="none" w:sz="0" w:space="0" w:color="auto"/>
            <w:left w:val="none" w:sz="0" w:space="0" w:color="auto"/>
            <w:bottom w:val="none" w:sz="0" w:space="0" w:color="auto"/>
            <w:right w:val="none" w:sz="0" w:space="0" w:color="auto"/>
          </w:divBdr>
        </w:div>
      </w:divsChild>
    </w:div>
    <w:div w:id="981349858">
      <w:bodyDiv w:val="1"/>
      <w:marLeft w:val="0"/>
      <w:marRight w:val="0"/>
      <w:marTop w:val="0"/>
      <w:marBottom w:val="0"/>
      <w:divBdr>
        <w:top w:val="none" w:sz="0" w:space="0" w:color="auto"/>
        <w:left w:val="none" w:sz="0" w:space="0" w:color="auto"/>
        <w:bottom w:val="none" w:sz="0" w:space="0" w:color="auto"/>
        <w:right w:val="none" w:sz="0" w:space="0" w:color="auto"/>
      </w:divBdr>
      <w:divsChild>
        <w:div w:id="1047797393">
          <w:marLeft w:val="0"/>
          <w:marRight w:val="0"/>
          <w:marTop w:val="0"/>
          <w:marBottom w:val="0"/>
          <w:divBdr>
            <w:top w:val="none" w:sz="0" w:space="0" w:color="auto"/>
            <w:left w:val="none" w:sz="0" w:space="0" w:color="auto"/>
            <w:bottom w:val="none" w:sz="0" w:space="0" w:color="auto"/>
            <w:right w:val="none" w:sz="0" w:space="0" w:color="auto"/>
          </w:divBdr>
        </w:div>
      </w:divsChild>
    </w:div>
    <w:div w:id="1090271790">
      <w:bodyDiv w:val="1"/>
      <w:marLeft w:val="0"/>
      <w:marRight w:val="0"/>
      <w:marTop w:val="0"/>
      <w:marBottom w:val="0"/>
      <w:divBdr>
        <w:top w:val="none" w:sz="0" w:space="0" w:color="auto"/>
        <w:left w:val="none" w:sz="0" w:space="0" w:color="auto"/>
        <w:bottom w:val="none" w:sz="0" w:space="0" w:color="auto"/>
        <w:right w:val="none" w:sz="0" w:space="0" w:color="auto"/>
      </w:divBdr>
      <w:divsChild>
        <w:div w:id="1818455583">
          <w:marLeft w:val="0"/>
          <w:marRight w:val="0"/>
          <w:marTop w:val="0"/>
          <w:marBottom w:val="0"/>
          <w:divBdr>
            <w:top w:val="none" w:sz="0" w:space="0" w:color="auto"/>
            <w:left w:val="none" w:sz="0" w:space="0" w:color="auto"/>
            <w:bottom w:val="none" w:sz="0" w:space="0" w:color="auto"/>
            <w:right w:val="none" w:sz="0" w:space="0" w:color="auto"/>
          </w:divBdr>
        </w:div>
      </w:divsChild>
    </w:div>
    <w:div w:id="1123035699">
      <w:bodyDiv w:val="1"/>
      <w:marLeft w:val="0"/>
      <w:marRight w:val="0"/>
      <w:marTop w:val="0"/>
      <w:marBottom w:val="0"/>
      <w:divBdr>
        <w:top w:val="none" w:sz="0" w:space="0" w:color="auto"/>
        <w:left w:val="none" w:sz="0" w:space="0" w:color="auto"/>
        <w:bottom w:val="none" w:sz="0" w:space="0" w:color="auto"/>
        <w:right w:val="none" w:sz="0" w:space="0" w:color="auto"/>
      </w:divBdr>
      <w:divsChild>
        <w:div w:id="1949851520">
          <w:marLeft w:val="0"/>
          <w:marRight w:val="0"/>
          <w:marTop w:val="0"/>
          <w:marBottom w:val="0"/>
          <w:divBdr>
            <w:top w:val="none" w:sz="0" w:space="0" w:color="auto"/>
            <w:left w:val="none" w:sz="0" w:space="0" w:color="auto"/>
            <w:bottom w:val="none" w:sz="0" w:space="0" w:color="auto"/>
            <w:right w:val="none" w:sz="0" w:space="0" w:color="auto"/>
          </w:divBdr>
        </w:div>
      </w:divsChild>
    </w:div>
    <w:div w:id="1168251969">
      <w:bodyDiv w:val="1"/>
      <w:marLeft w:val="0"/>
      <w:marRight w:val="0"/>
      <w:marTop w:val="0"/>
      <w:marBottom w:val="0"/>
      <w:divBdr>
        <w:top w:val="none" w:sz="0" w:space="0" w:color="auto"/>
        <w:left w:val="none" w:sz="0" w:space="0" w:color="auto"/>
        <w:bottom w:val="none" w:sz="0" w:space="0" w:color="auto"/>
        <w:right w:val="none" w:sz="0" w:space="0" w:color="auto"/>
      </w:divBdr>
      <w:divsChild>
        <w:div w:id="288164790">
          <w:marLeft w:val="0"/>
          <w:marRight w:val="0"/>
          <w:marTop w:val="0"/>
          <w:marBottom w:val="0"/>
          <w:divBdr>
            <w:top w:val="none" w:sz="0" w:space="0" w:color="auto"/>
            <w:left w:val="none" w:sz="0" w:space="0" w:color="auto"/>
            <w:bottom w:val="none" w:sz="0" w:space="0" w:color="auto"/>
            <w:right w:val="none" w:sz="0" w:space="0" w:color="auto"/>
          </w:divBdr>
        </w:div>
      </w:divsChild>
    </w:div>
    <w:div w:id="1170290309">
      <w:bodyDiv w:val="1"/>
      <w:marLeft w:val="0"/>
      <w:marRight w:val="0"/>
      <w:marTop w:val="0"/>
      <w:marBottom w:val="0"/>
      <w:divBdr>
        <w:top w:val="none" w:sz="0" w:space="0" w:color="auto"/>
        <w:left w:val="none" w:sz="0" w:space="0" w:color="auto"/>
        <w:bottom w:val="none" w:sz="0" w:space="0" w:color="auto"/>
        <w:right w:val="none" w:sz="0" w:space="0" w:color="auto"/>
      </w:divBdr>
      <w:divsChild>
        <w:div w:id="244534189">
          <w:marLeft w:val="0"/>
          <w:marRight w:val="0"/>
          <w:marTop w:val="0"/>
          <w:marBottom w:val="0"/>
          <w:divBdr>
            <w:top w:val="none" w:sz="0" w:space="0" w:color="auto"/>
            <w:left w:val="none" w:sz="0" w:space="0" w:color="auto"/>
            <w:bottom w:val="none" w:sz="0" w:space="0" w:color="auto"/>
            <w:right w:val="none" w:sz="0" w:space="0" w:color="auto"/>
          </w:divBdr>
        </w:div>
      </w:divsChild>
    </w:div>
    <w:div w:id="1186555443">
      <w:bodyDiv w:val="1"/>
      <w:marLeft w:val="0"/>
      <w:marRight w:val="0"/>
      <w:marTop w:val="0"/>
      <w:marBottom w:val="0"/>
      <w:divBdr>
        <w:top w:val="none" w:sz="0" w:space="0" w:color="auto"/>
        <w:left w:val="none" w:sz="0" w:space="0" w:color="auto"/>
        <w:bottom w:val="none" w:sz="0" w:space="0" w:color="auto"/>
        <w:right w:val="none" w:sz="0" w:space="0" w:color="auto"/>
      </w:divBdr>
      <w:divsChild>
        <w:div w:id="149366702">
          <w:marLeft w:val="0"/>
          <w:marRight w:val="0"/>
          <w:marTop w:val="0"/>
          <w:marBottom w:val="0"/>
          <w:divBdr>
            <w:top w:val="none" w:sz="0" w:space="0" w:color="auto"/>
            <w:left w:val="none" w:sz="0" w:space="0" w:color="auto"/>
            <w:bottom w:val="none" w:sz="0" w:space="0" w:color="auto"/>
            <w:right w:val="none" w:sz="0" w:space="0" w:color="auto"/>
          </w:divBdr>
        </w:div>
      </w:divsChild>
    </w:div>
    <w:div w:id="1260871732">
      <w:bodyDiv w:val="1"/>
      <w:marLeft w:val="0"/>
      <w:marRight w:val="0"/>
      <w:marTop w:val="0"/>
      <w:marBottom w:val="0"/>
      <w:divBdr>
        <w:top w:val="none" w:sz="0" w:space="0" w:color="auto"/>
        <w:left w:val="none" w:sz="0" w:space="0" w:color="auto"/>
        <w:bottom w:val="none" w:sz="0" w:space="0" w:color="auto"/>
        <w:right w:val="none" w:sz="0" w:space="0" w:color="auto"/>
      </w:divBdr>
      <w:divsChild>
        <w:div w:id="223221116">
          <w:marLeft w:val="0"/>
          <w:marRight w:val="0"/>
          <w:marTop w:val="0"/>
          <w:marBottom w:val="0"/>
          <w:divBdr>
            <w:top w:val="none" w:sz="0" w:space="0" w:color="auto"/>
            <w:left w:val="none" w:sz="0" w:space="0" w:color="auto"/>
            <w:bottom w:val="none" w:sz="0" w:space="0" w:color="auto"/>
            <w:right w:val="none" w:sz="0" w:space="0" w:color="auto"/>
          </w:divBdr>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82613933">
      <w:bodyDiv w:val="1"/>
      <w:marLeft w:val="0"/>
      <w:marRight w:val="0"/>
      <w:marTop w:val="0"/>
      <w:marBottom w:val="0"/>
      <w:divBdr>
        <w:top w:val="none" w:sz="0" w:space="0" w:color="auto"/>
        <w:left w:val="none" w:sz="0" w:space="0" w:color="auto"/>
        <w:bottom w:val="none" w:sz="0" w:space="0" w:color="auto"/>
        <w:right w:val="none" w:sz="0" w:space="0" w:color="auto"/>
      </w:divBdr>
      <w:divsChild>
        <w:div w:id="1651641063">
          <w:marLeft w:val="0"/>
          <w:marRight w:val="0"/>
          <w:marTop w:val="0"/>
          <w:marBottom w:val="0"/>
          <w:divBdr>
            <w:top w:val="none" w:sz="0" w:space="0" w:color="auto"/>
            <w:left w:val="none" w:sz="0" w:space="0" w:color="auto"/>
            <w:bottom w:val="none" w:sz="0" w:space="0" w:color="auto"/>
            <w:right w:val="none" w:sz="0" w:space="0" w:color="auto"/>
          </w:divBdr>
        </w:div>
      </w:divsChild>
    </w:div>
    <w:div w:id="1298030425">
      <w:bodyDiv w:val="1"/>
      <w:marLeft w:val="0"/>
      <w:marRight w:val="0"/>
      <w:marTop w:val="0"/>
      <w:marBottom w:val="0"/>
      <w:divBdr>
        <w:top w:val="none" w:sz="0" w:space="0" w:color="auto"/>
        <w:left w:val="none" w:sz="0" w:space="0" w:color="auto"/>
        <w:bottom w:val="none" w:sz="0" w:space="0" w:color="auto"/>
        <w:right w:val="none" w:sz="0" w:space="0" w:color="auto"/>
      </w:divBdr>
      <w:divsChild>
        <w:div w:id="1754934747">
          <w:marLeft w:val="0"/>
          <w:marRight w:val="0"/>
          <w:marTop w:val="0"/>
          <w:marBottom w:val="0"/>
          <w:divBdr>
            <w:top w:val="none" w:sz="0" w:space="0" w:color="auto"/>
            <w:left w:val="none" w:sz="0" w:space="0" w:color="auto"/>
            <w:bottom w:val="none" w:sz="0" w:space="0" w:color="auto"/>
            <w:right w:val="none" w:sz="0" w:space="0" w:color="auto"/>
          </w:divBdr>
        </w:div>
      </w:divsChild>
    </w:div>
    <w:div w:id="1308627869">
      <w:bodyDiv w:val="1"/>
      <w:marLeft w:val="0"/>
      <w:marRight w:val="0"/>
      <w:marTop w:val="0"/>
      <w:marBottom w:val="0"/>
      <w:divBdr>
        <w:top w:val="none" w:sz="0" w:space="0" w:color="auto"/>
        <w:left w:val="none" w:sz="0" w:space="0" w:color="auto"/>
        <w:bottom w:val="none" w:sz="0" w:space="0" w:color="auto"/>
        <w:right w:val="none" w:sz="0" w:space="0" w:color="auto"/>
      </w:divBdr>
      <w:divsChild>
        <w:div w:id="409617551">
          <w:marLeft w:val="0"/>
          <w:marRight w:val="0"/>
          <w:marTop w:val="0"/>
          <w:marBottom w:val="0"/>
          <w:divBdr>
            <w:top w:val="none" w:sz="0" w:space="0" w:color="auto"/>
            <w:left w:val="none" w:sz="0" w:space="0" w:color="auto"/>
            <w:bottom w:val="none" w:sz="0" w:space="0" w:color="auto"/>
            <w:right w:val="none" w:sz="0" w:space="0" w:color="auto"/>
          </w:divBdr>
        </w:div>
      </w:divsChild>
    </w:div>
    <w:div w:id="1316227981">
      <w:bodyDiv w:val="1"/>
      <w:marLeft w:val="0"/>
      <w:marRight w:val="0"/>
      <w:marTop w:val="0"/>
      <w:marBottom w:val="0"/>
      <w:divBdr>
        <w:top w:val="none" w:sz="0" w:space="0" w:color="auto"/>
        <w:left w:val="none" w:sz="0" w:space="0" w:color="auto"/>
        <w:bottom w:val="none" w:sz="0" w:space="0" w:color="auto"/>
        <w:right w:val="none" w:sz="0" w:space="0" w:color="auto"/>
      </w:divBdr>
      <w:divsChild>
        <w:div w:id="636574255">
          <w:marLeft w:val="0"/>
          <w:marRight w:val="0"/>
          <w:marTop w:val="0"/>
          <w:marBottom w:val="0"/>
          <w:divBdr>
            <w:top w:val="none" w:sz="0" w:space="0" w:color="auto"/>
            <w:left w:val="none" w:sz="0" w:space="0" w:color="auto"/>
            <w:bottom w:val="none" w:sz="0" w:space="0" w:color="auto"/>
            <w:right w:val="none" w:sz="0" w:space="0" w:color="auto"/>
          </w:divBdr>
        </w:div>
      </w:divsChild>
    </w:div>
    <w:div w:id="1320424981">
      <w:bodyDiv w:val="1"/>
      <w:marLeft w:val="0"/>
      <w:marRight w:val="0"/>
      <w:marTop w:val="0"/>
      <w:marBottom w:val="0"/>
      <w:divBdr>
        <w:top w:val="none" w:sz="0" w:space="0" w:color="auto"/>
        <w:left w:val="none" w:sz="0" w:space="0" w:color="auto"/>
        <w:bottom w:val="none" w:sz="0" w:space="0" w:color="auto"/>
        <w:right w:val="none" w:sz="0" w:space="0" w:color="auto"/>
      </w:divBdr>
      <w:divsChild>
        <w:div w:id="2112695831">
          <w:marLeft w:val="0"/>
          <w:marRight w:val="0"/>
          <w:marTop w:val="0"/>
          <w:marBottom w:val="0"/>
          <w:divBdr>
            <w:top w:val="none" w:sz="0" w:space="0" w:color="auto"/>
            <w:left w:val="none" w:sz="0" w:space="0" w:color="auto"/>
            <w:bottom w:val="none" w:sz="0" w:space="0" w:color="auto"/>
            <w:right w:val="none" w:sz="0" w:space="0" w:color="auto"/>
          </w:divBdr>
        </w:div>
      </w:divsChild>
    </w:div>
    <w:div w:id="1329018789">
      <w:bodyDiv w:val="1"/>
      <w:marLeft w:val="0"/>
      <w:marRight w:val="0"/>
      <w:marTop w:val="0"/>
      <w:marBottom w:val="0"/>
      <w:divBdr>
        <w:top w:val="none" w:sz="0" w:space="0" w:color="auto"/>
        <w:left w:val="none" w:sz="0" w:space="0" w:color="auto"/>
        <w:bottom w:val="none" w:sz="0" w:space="0" w:color="auto"/>
        <w:right w:val="none" w:sz="0" w:space="0" w:color="auto"/>
      </w:divBdr>
      <w:divsChild>
        <w:div w:id="131288151">
          <w:marLeft w:val="0"/>
          <w:marRight w:val="0"/>
          <w:marTop w:val="0"/>
          <w:marBottom w:val="0"/>
          <w:divBdr>
            <w:top w:val="none" w:sz="0" w:space="0" w:color="auto"/>
            <w:left w:val="none" w:sz="0" w:space="0" w:color="auto"/>
            <w:bottom w:val="none" w:sz="0" w:space="0" w:color="auto"/>
            <w:right w:val="none" w:sz="0" w:space="0" w:color="auto"/>
          </w:divBdr>
        </w:div>
      </w:divsChild>
    </w:div>
    <w:div w:id="1359046990">
      <w:bodyDiv w:val="1"/>
      <w:marLeft w:val="0"/>
      <w:marRight w:val="0"/>
      <w:marTop w:val="0"/>
      <w:marBottom w:val="0"/>
      <w:divBdr>
        <w:top w:val="none" w:sz="0" w:space="0" w:color="auto"/>
        <w:left w:val="none" w:sz="0" w:space="0" w:color="auto"/>
        <w:bottom w:val="none" w:sz="0" w:space="0" w:color="auto"/>
        <w:right w:val="none" w:sz="0" w:space="0" w:color="auto"/>
      </w:divBdr>
      <w:divsChild>
        <w:div w:id="1211574030">
          <w:marLeft w:val="0"/>
          <w:marRight w:val="0"/>
          <w:marTop w:val="0"/>
          <w:marBottom w:val="0"/>
          <w:divBdr>
            <w:top w:val="none" w:sz="0" w:space="0" w:color="auto"/>
            <w:left w:val="none" w:sz="0" w:space="0" w:color="auto"/>
            <w:bottom w:val="none" w:sz="0" w:space="0" w:color="auto"/>
            <w:right w:val="none" w:sz="0" w:space="0" w:color="auto"/>
          </w:divBdr>
        </w:div>
      </w:divsChild>
    </w:div>
    <w:div w:id="1361933482">
      <w:bodyDiv w:val="1"/>
      <w:marLeft w:val="0"/>
      <w:marRight w:val="0"/>
      <w:marTop w:val="0"/>
      <w:marBottom w:val="0"/>
      <w:divBdr>
        <w:top w:val="none" w:sz="0" w:space="0" w:color="auto"/>
        <w:left w:val="none" w:sz="0" w:space="0" w:color="auto"/>
        <w:bottom w:val="none" w:sz="0" w:space="0" w:color="auto"/>
        <w:right w:val="none" w:sz="0" w:space="0" w:color="auto"/>
      </w:divBdr>
      <w:divsChild>
        <w:div w:id="240718448">
          <w:marLeft w:val="0"/>
          <w:marRight w:val="0"/>
          <w:marTop w:val="0"/>
          <w:marBottom w:val="0"/>
          <w:divBdr>
            <w:top w:val="none" w:sz="0" w:space="0" w:color="auto"/>
            <w:left w:val="none" w:sz="0" w:space="0" w:color="auto"/>
            <w:bottom w:val="none" w:sz="0" w:space="0" w:color="auto"/>
            <w:right w:val="none" w:sz="0" w:space="0" w:color="auto"/>
          </w:divBdr>
        </w:div>
      </w:divsChild>
    </w:div>
    <w:div w:id="1433740365">
      <w:bodyDiv w:val="1"/>
      <w:marLeft w:val="0"/>
      <w:marRight w:val="0"/>
      <w:marTop w:val="0"/>
      <w:marBottom w:val="0"/>
      <w:divBdr>
        <w:top w:val="none" w:sz="0" w:space="0" w:color="auto"/>
        <w:left w:val="none" w:sz="0" w:space="0" w:color="auto"/>
        <w:bottom w:val="none" w:sz="0" w:space="0" w:color="auto"/>
        <w:right w:val="none" w:sz="0" w:space="0" w:color="auto"/>
      </w:divBdr>
      <w:divsChild>
        <w:div w:id="959529360">
          <w:marLeft w:val="0"/>
          <w:marRight w:val="0"/>
          <w:marTop w:val="0"/>
          <w:marBottom w:val="0"/>
          <w:divBdr>
            <w:top w:val="none" w:sz="0" w:space="0" w:color="auto"/>
            <w:left w:val="none" w:sz="0" w:space="0" w:color="auto"/>
            <w:bottom w:val="none" w:sz="0" w:space="0" w:color="auto"/>
            <w:right w:val="none" w:sz="0" w:space="0" w:color="auto"/>
          </w:divBdr>
        </w:div>
      </w:divsChild>
    </w:div>
    <w:div w:id="1457138339">
      <w:bodyDiv w:val="1"/>
      <w:marLeft w:val="0"/>
      <w:marRight w:val="0"/>
      <w:marTop w:val="0"/>
      <w:marBottom w:val="0"/>
      <w:divBdr>
        <w:top w:val="none" w:sz="0" w:space="0" w:color="auto"/>
        <w:left w:val="none" w:sz="0" w:space="0" w:color="auto"/>
        <w:bottom w:val="none" w:sz="0" w:space="0" w:color="auto"/>
        <w:right w:val="none" w:sz="0" w:space="0" w:color="auto"/>
      </w:divBdr>
      <w:divsChild>
        <w:div w:id="644044885">
          <w:marLeft w:val="0"/>
          <w:marRight w:val="0"/>
          <w:marTop w:val="0"/>
          <w:marBottom w:val="0"/>
          <w:divBdr>
            <w:top w:val="none" w:sz="0" w:space="0" w:color="auto"/>
            <w:left w:val="none" w:sz="0" w:space="0" w:color="auto"/>
            <w:bottom w:val="none" w:sz="0" w:space="0" w:color="auto"/>
            <w:right w:val="none" w:sz="0" w:space="0" w:color="auto"/>
          </w:divBdr>
        </w:div>
      </w:divsChild>
    </w:div>
    <w:div w:id="1469593132">
      <w:bodyDiv w:val="1"/>
      <w:marLeft w:val="0"/>
      <w:marRight w:val="0"/>
      <w:marTop w:val="0"/>
      <w:marBottom w:val="0"/>
      <w:divBdr>
        <w:top w:val="none" w:sz="0" w:space="0" w:color="auto"/>
        <w:left w:val="none" w:sz="0" w:space="0" w:color="auto"/>
        <w:bottom w:val="none" w:sz="0" w:space="0" w:color="auto"/>
        <w:right w:val="none" w:sz="0" w:space="0" w:color="auto"/>
      </w:divBdr>
      <w:divsChild>
        <w:div w:id="1813671498">
          <w:marLeft w:val="0"/>
          <w:marRight w:val="0"/>
          <w:marTop w:val="0"/>
          <w:marBottom w:val="0"/>
          <w:divBdr>
            <w:top w:val="none" w:sz="0" w:space="0" w:color="auto"/>
            <w:left w:val="none" w:sz="0" w:space="0" w:color="auto"/>
            <w:bottom w:val="none" w:sz="0" w:space="0" w:color="auto"/>
            <w:right w:val="none" w:sz="0" w:space="0" w:color="auto"/>
          </w:divBdr>
        </w:div>
        <w:div w:id="967779230">
          <w:marLeft w:val="0"/>
          <w:marRight w:val="0"/>
          <w:marTop w:val="0"/>
          <w:marBottom w:val="0"/>
          <w:divBdr>
            <w:top w:val="none" w:sz="0" w:space="0" w:color="auto"/>
            <w:left w:val="none" w:sz="0" w:space="0" w:color="auto"/>
            <w:bottom w:val="none" w:sz="0" w:space="0" w:color="auto"/>
            <w:right w:val="none" w:sz="0" w:space="0" w:color="auto"/>
          </w:divBdr>
        </w:div>
        <w:div w:id="1829976501">
          <w:marLeft w:val="0"/>
          <w:marRight w:val="0"/>
          <w:marTop w:val="0"/>
          <w:marBottom w:val="0"/>
          <w:divBdr>
            <w:top w:val="none" w:sz="0" w:space="0" w:color="auto"/>
            <w:left w:val="none" w:sz="0" w:space="0" w:color="auto"/>
            <w:bottom w:val="none" w:sz="0" w:space="0" w:color="auto"/>
            <w:right w:val="none" w:sz="0" w:space="0" w:color="auto"/>
          </w:divBdr>
        </w:div>
        <w:div w:id="1751078891">
          <w:marLeft w:val="0"/>
          <w:marRight w:val="0"/>
          <w:marTop w:val="0"/>
          <w:marBottom w:val="0"/>
          <w:divBdr>
            <w:top w:val="none" w:sz="0" w:space="0" w:color="auto"/>
            <w:left w:val="none" w:sz="0" w:space="0" w:color="auto"/>
            <w:bottom w:val="none" w:sz="0" w:space="0" w:color="auto"/>
            <w:right w:val="none" w:sz="0" w:space="0" w:color="auto"/>
          </w:divBdr>
        </w:div>
        <w:div w:id="2090882484">
          <w:marLeft w:val="0"/>
          <w:marRight w:val="0"/>
          <w:marTop w:val="0"/>
          <w:marBottom w:val="0"/>
          <w:divBdr>
            <w:top w:val="none" w:sz="0" w:space="0" w:color="auto"/>
            <w:left w:val="none" w:sz="0" w:space="0" w:color="auto"/>
            <w:bottom w:val="none" w:sz="0" w:space="0" w:color="auto"/>
            <w:right w:val="none" w:sz="0" w:space="0" w:color="auto"/>
          </w:divBdr>
        </w:div>
        <w:div w:id="2083477393">
          <w:marLeft w:val="0"/>
          <w:marRight w:val="0"/>
          <w:marTop w:val="0"/>
          <w:marBottom w:val="0"/>
          <w:divBdr>
            <w:top w:val="none" w:sz="0" w:space="0" w:color="auto"/>
            <w:left w:val="none" w:sz="0" w:space="0" w:color="auto"/>
            <w:bottom w:val="none" w:sz="0" w:space="0" w:color="auto"/>
            <w:right w:val="none" w:sz="0" w:space="0" w:color="auto"/>
          </w:divBdr>
        </w:div>
        <w:div w:id="1801344460">
          <w:marLeft w:val="0"/>
          <w:marRight w:val="0"/>
          <w:marTop w:val="0"/>
          <w:marBottom w:val="0"/>
          <w:divBdr>
            <w:top w:val="none" w:sz="0" w:space="0" w:color="auto"/>
            <w:left w:val="none" w:sz="0" w:space="0" w:color="auto"/>
            <w:bottom w:val="none" w:sz="0" w:space="0" w:color="auto"/>
            <w:right w:val="none" w:sz="0" w:space="0" w:color="auto"/>
          </w:divBdr>
        </w:div>
        <w:div w:id="267931418">
          <w:marLeft w:val="0"/>
          <w:marRight w:val="0"/>
          <w:marTop w:val="0"/>
          <w:marBottom w:val="0"/>
          <w:divBdr>
            <w:top w:val="none" w:sz="0" w:space="0" w:color="auto"/>
            <w:left w:val="none" w:sz="0" w:space="0" w:color="auto"/>
            <w:bottom w:val="none" w:sz="0" w:space="0" w:color="auto"/>
            <w:right w:val="none" w:sz="0" w:space="0" w:color="auto"/>
          </w:divBdr>
        </w:div>
        <w:div w:id="1149783815">
          <w:marLeft w:val="0"/>
          <w:marRight w:val="0"/>
          <w:marTop w:val="0"/>
          <w:marBottom w:val="0"/>
          <w:divBdr>
            <w:top w:val="none" w:sz="0" w:space="0" w:color="auto"/>
            <w:left w:val="none" w:sz="0" w:space="0" w:color="auto"/>
            <w:bottom w:val="none" w:sz="0" w:space="0" w:color="auto"/>
            <w:right w:val="none" w:sz="0" w:space="0" w:color="auto"/>
          </w:divBdr>
        </w:div>
      </w:divsChild>
    </w:div>
    <w:div w:id="1531411134">
      <w:bodyDiv w:val="1"/>
      <w:marLeft w:val="0"/>
      <w:marRight w:val="0"/>
      <w:marTop w:val="0"/>
      <w:marBottom w:val="0"/>
      <w:divBdr>
        <w:top w:val="none" w:sz="0" w:space="0" w:color="auto"/>
        <w:left w:val="none" w:sz="0" w:space="0" w:color="auto"/>
        <w:bottom w:val="none" w:sz="0" w:space="0" w:color="auto"/>
        <w:right w:val="none" w:sz="0" w:space="0" w:color="auto"/>
      </w:divBdr>
      <w:divsChild>
        <w:div w:id="2052994734">
          <w:marLeft w:val="0"/>
          <w:marRight w:val="0"/>
          <w:marTop w:val="0"/>
          <w:marBottom w:val="0"/>
          <w:divBdr>
            <w:top w:val="none" w:sz="0" w:space="0" w:color="auto"/>
            <w:left w:val="none" w:sz="0" w:space="0" w:color="auto"/>
            <w:bottom w:val="none" w:sz="0" w:space="0" w:color="auto"/>
            <w:right w:val="none" w:sz="0" w:space="0" w:color="auto"/>
          </w:divBdr>
        </w:div>
      </w:divsChild>
    </w:div>
    <w:div w:id="1543177146">
      <w:bodyDiv w:val="1"/>
      <w:marLeft w:val="0"/>
      <w:marRight w:val="0"/>
      <w:marTop w:val="0"/>
      <w:marBottom w:val="0"/>
      <w:divBdr>
        <w:top w:val="none" w:sz="0" w:space="0" w:color="auto"/>
        <w:left w:val="none" w:sz="0" w:space="0" w:color="auto"/>
        <w:bottom w:val="none" w:sz="0" w:space="0" w:color="auto"/>
        <w:right w:val="none" w:sz="0" w:space="0" w:color="auto"/>
      </w:divBdr>
      <w:divsChild>
        <w:div w:id="761990394">
          <w:marLeft w:val="0"/>
          <w:marRight w:val="0"/>
          <w:marTop w:val="0"/>
          <w:marBottom w:val="0"/>
          <w:divBdr>
            <w:top w:val="none" w:sz="0" w:space="0" w:color="auto"/>
            <w:left w:val="none" w:sz="0" w:space="0" w:color="auto"/>
            <w:bottom w:val="none" w:sz="0" w:space="0" w:color="auto"/>
            <w:right w:val="none" w:sz="0" w:space="0" w:color="auto"/>
          </w:divBdr>
        </w:div>
      </w:divsChild>
    </w:div>
    <w:div w:id="1564607281">
      <w:bodyDiv w:val="1"/>
      <w:marLeft w:val="0"/>
      <w:marRight w:val="0"/>
      <w:marTop w:val="0"/>
      <w:marBottom w:val="0"/>
      <w:divBdr>
        <w:top w:val="none" w:sz="0" w:space="0" w:color="auto"/>
        <w:left w:val="none" w:sz="0" w:space="0" w:color="auto"/>
        <w:bottom w:val="none" w:sz="0" w:space="0" w:color="auto"/>
        <w:right w:val="none" w:sz="0" w:space="0" w:color="auto"/>
      </w:divBdr>
      <w:divsChild>
        <w:div w:id="657268841">
          <w:marLeft w:val="0"/>
          <w:marRight w:val="0"/>
          <w:marTop w:val="0"/>
          <w:marBottom w:val="0"/>
          <w:divBdr>
            <w:top w:val="none" w:sz="0" w:space="0" w:color="auto"/>
            <w:left w:val="none" w:sz="0" w:space="0" w:color="auto"/>
            <w:bottom w:val="none" w:sz="0" w:space="0" w:color="auto"/>
            <w:right w:val="none" w:sz="0" w:space="0" w:color="auto"/>
          </w:divBdr>
        </w:div>
      </w:divsChild>
    </w:div>
    <w:div w:id="1599017561">
      <w:bodyDiv w:val="1"/>
      <w:marLeft w:val="0"/>
      <w:marRight w:val="0"/>
      <w:marTop w:val="0"/>
      <w:marBottom w:val="0"/>
      <w:divBdr>
        <w:top w:val="none" w:sz="0" w:space="0" w:color="auto"/>
        <w:left w:val="none" w:sz="0" w:space="0" w:color="auto"/>
        <w:bottom w:val="none" w:sz="0" w:space="0" w:color="auto"/>
        <w:right w:val="none" w:sz="0" w:space="0" w:color="auto"/>
      </w:divBdr>
      <w:divsChild>
        <w:div w:id="1760910004">
          <w:marLeft w:val="0"/>
          <w:marRight w:val="0"/>
          <w:marTop w:val="0"/>
          <w:marBottom w:val="0"/>
          <w:divBdr>
            <w:top w:val="none" w:sz="0" w:space="0" w:color="auto"/>
            <w:left w:val="none" w:sz="0" w:space="0" w:color="auto"/>
            <w:bottom w:val="none" w:sz="0" w:space="0" w:color="auto"/>
            <w:right w:val="none" w:sz="0" w:space="0" w:color="auto"/>
          </w:divBdr>
        </w:div>
      </w:divsChild>
    </w:div>
    <w:div w:id="1603996430">
      <w:bodyDiv w:val="1"/>
      <w:marLeft w:val="0"/>
      <w:marRight w:val="0"/>
      <w:marTop w:val="0"/>
      <w:marBottom w:val="0"/>
      <w:divBdr>
        <w:top w:val="none" w:sz="0" w:space="0" w:color="auto"/>
        <w:left w:val="none" w:sz="0" w:space="0" w:color="auto"/>
        <w:bottom w:val="none" w:sz="0" w:space="0" w:color="auto"/>
        <w:right w:val="none" w:sz="0" w:space="0" w:color="auto"/>
      </w:divBdr>
      <w:divsChild>
        <w:div w:id="1087770921">
          <w:marLeft w:val="0"/>
          <w:marRight w:val="0"/>
          <w:marTop w:val="0"/>
          <w:marBottom w:val="0"/>
          <w:divBdr>
            <w:top w:val="none" w:sz="0" w:space="0" w:color="auto"/>
            <w:left w:val="none" w:sz="0" w:space="0" w:color="auto"/>
            <w:bottom w:val="none" w:sz="0" w:space="0" w:color="auto"/>
            <w:right w:val="none" w:sz="0" w:space="0" w:color="auto"/>
          </w:divBdr>
        </w:div>
      </w:divsChild>
    </w:div>
    <w:div w:id="1660498185">
      <w:bodyDiv w:val="1"/>
      <w:marLeft w:val="0"/>
      <w:marRight w:val="0"/>
      <w:marTop w:val="0"/>
      <w:marBottom w:val="0"/>
      <w:divBdr>
        <w:top w:val="none" w:sz="0" w:space="0" w:color="auto"/>
        <w:left w:val="none" w:sz="0" w:space="0" w:color="auto"/>
        <w:bottom w:val="none" w:sz="0" w:space="0" w:color="auto"/>
        <w:right w:val="none" w:sz="0" w:space="0" w:color="auto"/>
      </w:divBdr>
      <w:divsChild>
        <w:div w:id="854660707">
          <w:marLeft w:val="0"/>
          <w:marRight w:val="0"/>
          <w:marTop w:val="0"/>
          <w:marBottom w:val="0"/>
          <w:divBdr>
            <w:top w:val="none" w:sz="0" w:space="0" w:color="auto"/>
            <w:left w:val="none" w:sz="0" w:space="0" w:color="auto"/>
            <w:bottom w:val="none" w:sz="0" w:space="0" w:color="auto"/>
            <w:right w:val="none" w:sz="0" w:space="0" w:color="auto"/>
          </w:divBdr>
        </w:div>
      </w:divsChild>
    </w:div>
    <w:div w:id="1741439043">
      <w:bodyDiv w:val="1"/>
      <w:marLeft w:val="0"/>
      <w:marRight w:val="0"/>
      <w:marTop w:val="0"/>
      <w:marBottom w:val="0"/>
      <w:divBdr>
        <w:top w:val="none" w:sz="0" w:space="0" w:color="auto"/>
        <w:left w:val="none" w:sz="0" w:space="0" w:color="auto"/>
        <w:bottom w:val="none" w:sz="0" w:space="0" w:color="auto"/>
        <w:right w:val="none" w:sz="0" w:space="0" w:color="auto"/>
      </w:divBdr>
      <w:divsChild>
        <w:div w:id="1163081214">
          <w:marLeft w:val="0"/>
          <w:marRight w:val="0"/>
          <w:marTop w:val="0"/>
          <w:marBottom w:val="0"/>
          <w:divBdr>
            <w:top w:val="none" w:sz="0" w:space="0" w:color="auto"/>
            <w:left w:val="none" w:sz="0" w:space="0" w:color="auto"/>
            <w:bottom w:val="none" w:sz="0" w:space="0" w:color="auto"/>
            <w:right w:val="none" w:sz="0" w:space="0" w:color="auto"/>
          </w:divBdr>
        </w:div>
      </w:divsChild>
    </w:div>
    <w:div w:id="1752922045">
      <w:bodyDiv w:val="1"/>
      <w:marLeft w:val="0"/>
      <w:marRight w:val="0"/>
      <w:marTop w:val="0"/>
      <w:marBottom w:val="0"/>
      <w:divBdr>
        <w:top w:val="none" w:sz="0" w:space="0" w:color="auto"/>
        <w:left w:val="none" w:sz="0" w:space="0" w:color="auto"/>
        <w:bottom w:val="none" w:sz="0" w:space="0" w:color="auto"/>
        <w:right w:val="none" w:sz="0" w:space="0" w:color="auto"/>
      </w:divBdr>
      <w:divsChild>
        <w:div w:id="431903502">
          <w:marLeft w:val="0"/>
          <w:marRight w:val="0"/>
          <w:marTop w:val="0"/>
          <w:marBottom w:val="0"/>
          <w:divBdr>
            <w:top w:val="none" w:sz="0" w:space="0" w:color="auto"/>
            <w:left w:val="none" w:sz="0" w:space="0" w:color="auto"/>
            <w:bottom w:val="none" w:sz="0" w:space="0" w:color="auto"/>
            <w:right w:val="none" w:sz="0" w:space="0" w:color="auto"/>
          </w:divBdr>
        </w:div>
      </w:divsChild>
    </w:div>
    <w:div w:id="1852523202">
      <w:bodyDiv w:val="1"/>
      <w:marLeft w:val="0"/>
      <w:marRight w:val="0"/>
      <w:marTop w:val="0"/>
      <w:marBottom w:val="0"/>
      <w:divBdr>
        <w:top w:val="none" w:sz="0" w:space="0" w:color="auto"/>
        <w:left w:val="none" w:sz="0" w:space="0" w:color="auto"/>
        <w:bottom w:val="none" w:sz="0" w:space="0" w:color="auto"/>
        <w:right w:val="none" w:sz="0" w:space="0" w:color="auto"/>
      </w:divBdr>
      <w:divsChild>
        <w:div w:id="100994592">
          <w:marLeft w:val="0"/>
          <w:marRight w:val="0"/>
          <w:marTop w:val="0"/>
          <w:marBottom w:val="0"/>
          <w:divBdr>
            <w:top w:val="none" w:sz="0" w:space="0" w:color="auto"/>
            <w:left w:val="none" w:sz="0" w:space="0" w:color="auto"/>
            <w:bottom w:val="none" w:sz="0" w:space="0" w:color="auto"/>
            <w:right w:val="none" w:sz="0" w:space="0" w:color="auto"/>
          </w:divBdr>
        </w:div>
      </w:divsChild>
    </w:div>
    <w:div w:id="1867326039">
      <w:bodyDiv w:val="1"/>
      <w:marLeft w:val="0"/>
      <w:marRight w:val="0"/>
      <w:marTop w:val="0"/>
      <w:marBottom w:val="0"/>
      <w:divBdr>
        <w:top w:val="none" w:sz="0" w:space="0" w:color="auto"/>
        <w:left w:val="none" w:sz="0" w:space="0" w:color="auto"/>
        <w:bottom w:val="none" w:sz="0" w:space="0" w:color="auto"/>
        <w:right w:val="none" w:sz="0" w:space="0" w:color="auto"/>
      </w:divBdr>
      <w:divsChild>
        <w:div w:id="954291305">
          <w:marLeft w:val="0"/>
          <w:marRight w:val="0"/>
          <w:marTop w:val="0"/>
          <w:marBottom w:val="0"/>
          <w:divBdr>
            <w:top w:val="none" w:sz="0" w:space="0" w:color="auto"/>
            <w:left w:val="none" w:sz="0" w:space="0" w:color="auto"/>
            <w:bottom w:val="none" w:sz="0" w:space="0" w:color="auto"/>
            <w:right w:val="none" w:sz="0" w:space="0" w:color="auto"/>
          </w:divBdr>
        </w:div>
      </w:divsChild>
    </w:div>
    <w:div w:id="1873687064">
      <w:bodyDiv w:val="1"/>
      <w:marLeft w:val="0"/>
      <w:marRight w:val="0"/>
      <w:marTop w:val="0"/>
      <w:marBottom w:val="0"/>
      <w:divBdr>
        <w:top w:val="none" w:sz="0" w:space="0" w:color="auto"/>
        <w:left w:val="none" w:sz="0" w:space="0" w:color="auto"/>
        <w:bottom w:val="none" w:sz="0" w:space="0" w:color="auto"/>
        <w:right w:val="none" w:sz="0" w:space="0" w:color="auto"/>
      </w:divBdr>
      <w:divsChild>
        <w:div w:id="1892158247">
          <w:marLeft w:val="0"/>
          <w:marRight w:val="0"/>
          <w:marTop w:val="0"/>
          <w:marBottom w:val="0"/>
          <w:divBdr>
            <w:top w:val="none" w:sz="0" w:space="0" w:color="auto"/>
            <w:left w:val="none" w:sz="0" w:space="0" w:color="auto"/>
            <w:bottom w:val="none" w:sz="0" w:space="0" w:color="auto"/>
            <w:right w:val="none" w:sz="0" w:space="0" w:color="auto"/>
          </w:divBdr>
        </w:div>
      </w:divsChild>
    </w:div>
    <w:div w:id="1892426206">
      <w:bodyDiv w:val="1"/>
      <w:marLeft w:val="0"/>
      <w:marRight w:val="0"/>
      <w:marTop w:val="0"/>
      <w:marBottom w:val="0"/>
      <w:divBdr>
        <w:top w:val="none" w:sz="0" w:space="0" w:color="auto"/>
        <w:left w:val="none" w:sz="0" w:space="0" w:color="auto"/>
        <w:bottom w:val="none" w:sz="0" w:space="0" w:color="auto"/>
        <w:right w:val="none" w:sz="0" w:space="0" w:color="auto"/>
      </w:divBdr>
      <w:divsChild>
        <w:div w:id="648629036">
          <w:marLeft w:val="0"/>
          <w:marRight w:val="0"/>
          <w:marTop w:val="0"/>
          <w:marBottom w:val="0"/>
          <w:divBdr>
            <w:top w:val="none" w:sz="0" w:space="0" w:color="auto"/>
            <w:left w:val="none" w:sz="0" w:space="0" w:color="auto"/>
            <w:bottom w:val="none" w:sz="0" w:space="0" w:color="auto"/>
            <w:right w:val="none" w:sz="0" w:space="0" w:color="auto"/>
          </w:divBdr>
        </w:div>
      </w:divsChild>
    </w:div>
    <w:div w:id="1970471146">
      <w:bodyDiv w:val="1"/>
      <w:marLeft w:val="0"/>
      <w:marRight w:val="0"/>
      <w:marTop w:val="0"/>
      <w:marBottom w:val="0"/>
      <w:divBdr>
        <w:top w:val="none" w:sz="0" w:space="0" w:color="auto"/>
        <w:left w:val="none" w:sz="0" w:space="0" w:color="auto"/>
        <w:bottom w:val="none" w:sz="0" w:space="0" w:color="auto"/>
        <w:right w:val="none" w:sz="0" w:space="0" w:color="auto"/>
      </w:divBdr>
      <w:divsChild>
        <w:div w:id="552741481">
          <w:marLeft w:val="0"/>
          <w:marRight w:val="0"/>
          <w:marTop w:val="0"/>
          <w:marBottom w:val="0"/>
          <w:divBdr>
            <w:top w:val="none" w:sz="0" w:space="0" w:color="auto"/>
            <w:left w:val="none" w:sz="0" w:space="0" w:color="auto"/>
            <w:bottom w:val="none" w:sz="0" w:space="0" w:color="auto"/>
            <w:right w:val="none" w:sz="0" w:space="0" w:color="auto"/>
          </w:divBdr>
        </w:div>
        <w:div w:id="93550417">
          <w:marLeft w:val="0"/>
          <w:marRight w:val="0"/>
          <w:marTop w:val="0"/>
          <w:marBottom w:val="0"/>
          <w:divBdr>
            <w:top w:val="none" w:sz="0" w:space="0" w:color="auto"/>
            <w:left w:val="none" w:sz="0" w:space="0" w:color="auto"/>
            <w:bottom w:val="none" w:sz="0" w:space="0" w:color="auto"/>
            <w:right w:val="none" w:sz="0" w:space="0" w:color="auto"/>
          </w:divBdr>
        </w:div>
        <w:div w:id="124473235">
          <w:marLeft w:val="0"/>
          <w:marRight w:val="0"/>
          <w:marTop w:val="0"/>
          <w:marBottom w:val="0"/>
          <w:divBdr>
            <w:top w:val="none" w:sz="0" w:space="0" w:color="auto"/>
            <w:left w:val="none" w:sz="0" w:space="0" w:color="auto"/>
            <w:bottom w:val="none" w:sz="0" w:space="0" w:color="auto"/>
            <w:right w:val="none" w:sz="0" w:space="0" w:color="auto"/>
          </w:divBdr>
        </w:div>
        <w:div w:id="1476606964">
          <w:marLeft w:val="0"/>
          <w:marRight w:val="0"/>
          <w:marTop w:val="0"/>
          <w:marBottom w:val="0"/>
          <w:divBdr>
            <w:top w:val="none" w:sz="0" w:space="0" w:color="auto"/>
            <w:left w:val="none" w:sz="0" w:space="0" w:color="auto"/>
            <w:bottom w:val="none" w:sz="0" w:space="0" w:color="auto"/>
            <w:right w:val="none" w:sz="0" w:space="0" w:color="auto"/>
          </w:divBdr>
        </w:div>
        <w:div w:id="312567962">
          <w:marLeft w:val="0"/>
          <w:marRight w:val="0"/>
          <w:marTop w:val="0"/>
          <w:marBottom w:val="0"/>
          <w:divBdr>
            <w:top w:val="none" w:sz="0" w:space="0" w:color="auto"/>
            <w:left w:val="none" w:sz="0" w:space="0" w:color="auto"/>
            <w:bottom w:val="none" w:sz="0" w:space="0" w:color="auto"/>
            <w:right w:val="none" w:sz="0" w:space="0" w:color="auto"/>
          </w:divBdr>
        </w:div>
        <w:div w:id="83649495">
          <w:marLeft w:val="0"/>
          <w:marRight w:val="0"/>
          <w:marTop w:val="0"/>
          <w:marBottom w:val="0"/>
          <w:divBdr>
            <w:top w:val="none" w:sz="0" w:space="0" w:color="auto"/>
            <w:left w:val="none" w:sz="0" w:space="0" w:color="auto"/>
            <w:bottom w:val="none" w:sz="0" w:space="0" w:color="auto"/>
            <w:right w:val="none" w:sz="0" w:space="0" w:color="auto"/>
          </w:divBdr>
        </w:div>
        <w:div w:id="1677078281">
          <w:marLeft w:val="0"/>
          <w:marRight w:val="0"/>
          <w:marTop w:val="0"/>
          <w:marBottom w:val="0"/>
          <w:divBdr>
            <w:top w:val="none" w:sz="0" w:space="0" w:color="auto"/>
            <w:left w:val="none" w:sz="0" w:space="0" w:color="auto"/>
            <w:bottom w:val="none" w:sz="0" w:space="0" w:color="auto"/>
            <w:right w:val="none" w:sz="0" w:space="0" w:color="auto"/>
          </w:divBdr>
        </w:div>
        <w:div w:id="251932529">
          <w:marLeft w:val="0"/>
          <w:marRight w:val="0"/>
          <w:marTop w:val="0"/>
          <w:marBottom w:val="0"/>
          <w:divBdr>
            <w:top w:val="none" w:sz="0" w:space="0" w:color="auto"/>
            <w:left w:val="none" w:sz="0" w:space="0" w:color="auto"/>
            <w:bottom w:val="none" w:sz="0" w:space="0" w:color="auto"/>
            <w:right w:val="none" w:sz="0" w:space="0" w:color="auto"/>
          </w:divBdr>
        </w:div>
        <w:div w:id="597635872">
          <w:marLeft w:val="0"/>
          <w:marRight w:val="0"/>
          <w:marTop w:val="0"/>
          <w:marBottom w:val="0"/>
          <w:divBdr>
            <w:top w:val="none" w:sz="0" w:space="0" w:color="auto"/>
            <w:left w:val="none" w:sz="0" w:space="0" w:color="auto"/>
            <w:bottom w:val="none" w:sz="0" w:space="0" w:color="auto"/>
            <w:right w:val="none" w:sz="0" w:space="0" w:color="auto"/>
          </w:divBdr>
        </w:div>
      </w:divsChild>
    </w:div>
    <w:div w:id="1992830639">
      <w:bodyDiv w:val="1"/>
      <w:marLeft w:val="0"/>
      <w:marRight w:val="0"/>
      <w:marTop w:val="0"/>
      <w:marBottom w:val="0"/>
      <w:divBdr>
        <w:top w:val="none" w:sz="0" w:space="0" w:color="auto"/>
        <w:left w:val="none" w:sz="0" w:space="0" w:color="auto"/>
        <w:bottom w:val="none" w:sz="0" w:space="0" w:color="auto"/>
        <w:right w:val="none" w:sz="0" w:space="0" w:color="auto"/>
      </w:divBdr>
      <w:divsChild>
        <w:div w:id="6296901">
          <w:marLeft w:val="0"/>
          <w:marRight w:val="0"/>
          <w:marTop w:val="0"/>
          <w:marBottom w:val="0"/>
          <w:divBdr>
            <w:top w:val="none" w:sz="0" w:space="0" w:color="auto"/>
            <w:left w:val="none" w:sz="0" w:space="0" w:color="auto"/>
            <w:bottom w:val="none" w:sz="0" w:space="0" w:color="auto"/>
            <w:right w:val="none" w:sz="0" w:space="0" w:color="auto"/>
          </w:divBdr>
        </w:div>
      </w:divsChild>
    </w:div>
    <w:div w:id="2038463865">
      <w:bodyDiv w:val="1"/>
      <w:marLeft w:val="0"/>
      <w:marRight w:val="0"/>
      <w:marTop w:val="0"/>
      <w:marBottom w:val="0"/>
      <w:divBdr>
        <w:top w:val="none" w:sz="0" w:space="0" w:color="auto"/>
        <w:left w:val="none" w:sz="0" w:space="0" w:color="auto"/>
        <w:bottom w:val="none" w:sz="0" w:space="0" w:color="auto"/>
        <w:right w:val="none" w:sz="0" w:space="0" w:color="auto"/>
      </w:divBdr>
      <w:divsChild>
        <w:div w:id="1018389361">
          <w:marLeft w:val="0"/>
          <w:marRight w:val="0"/>
          <w:marTop w:val="0"/>
          <w:marBottom w:val="0"/>
          <w:divBdr>
            <w:top w:val="none" w:sz="0" w:space="0" w:color="auto"/>
            <w:left w:val="none" w:sz="0" w:space="0" w:color="auto"/>
            <w:bottom w:val="none" w:sz="0" w:space="0" w:color="auto"/>
            <w:right w:val="none" w:sz="0" w:space="0" w:color="auto"/>
          </w:divBdr>
        </w:div>
      </w:divsChild>
    </w:div>
    <w:div w:id="2041978774">
      <w:bodyDiv w:val="1"/>
      <w:marLeft w:val="0"/>
      <w:marRight w:val="0"/>
      <w:marTop w:val="0"/>
      <w:marBottom w:val="0"/>
      <w:divBdr>
        <w:top w:val="none" w:sz="0" w:space="0" w:color="auto"/>
        <w:left w:val="none" w:sz="0" w:space="0" w:color="auto"/>
        <w:bottom w:val="none" w:sz="0" w:space="0" w:color="auto"/>
        <w:right w:val="none" w:sz="0" w:space="0" w:color="auto"/>
      </w:divBdr>
      <w:divsChild>
        <w:div w:id="619990902">
          <w:marLeft w:val="0"/>
          <w:marRight w:val="0"/>
          <w:marTop w:val="0"/>
          <w:marBottom w:val="0"/>
          <w:divBdr>
            <w:top w:val="none" w:sz="0" w:space="0" w:color="auto"/>
            <w:left w:val="none" w:sz="0" w:space="0" w:color="auto"/>
            <w:bottom w:val="none" w:sz="0" w:space="0" w:color="auto"/>
            <w:right w:val="none" w:sz="0" w:space="0" w:color="auto"/>
          </w:divBdr>
        </w:div>
      </w:divsChild>
    </w:div>
    <w:div w:id="2044406867">
      <w:bodyDiv w:val="1"/>
      <w:marLeft w:val="0"/>
      <w:marRight w:val="0"/>
      <w:marTop w:val="0"/>
      <w:marBottom w:val="0"/>
      <w:divBdr>
        <w:top w:val="none" w:sz="0" w:space="0" w:color="auto"/>
        <w:left w:val="none" w:sz="0" w:space="0" w:color="auto"/>
        <w:bottom w:val="none" w:sz="0" w:space="0" w:color="auto"/>
        <w:right w:val="none" w:sz="0" w:space="0" w:color="auto"/>
      </w:divBdr>
      <w:divsChild>
        <w:div w:id="110245308">
          <w:marLeft w:val="0"/>
          <w:marRight w:val="0"/>
          <w:marTop w:val="0"/>
          <w:marBottom w:val="0"/>
          <w:divBdr>
            <w:top w:val="none" w:sz="0" w:space="0" w:color="auto"/>
            <w:left w:val="none" w:sz="0" w:space="0" w:color="auto"/>
            <w:bottom w:val="none" w:sz="0" w:space="0" w:color="auto"/>
            <w:right w:val="none" w:sz="0" w:space="0" w:color="auto"/>
          </w:divBdr>
        </w:div>
      </w:divsChild>
    </w:div>
    <w:div w:id="2065256217">
      <w:bodyDiv w:val="1"/>
      <w:marLeft w:val="0"/>
      <w:marRight w:val="0"/>
      <w:marTop w:val="0"/>
      <w:marBottom w:val="0"/>
      <w:divBdr>
        <w:top w:val="none" w:sz="0" w:space="0" w:color="auto"/>
        <w:left w:val="none" w:sz="0" w:space="0" w:color="auto"/>
        <w:bottom w:val="none" w:sz="0" w:space="0" w:color="auto"/>
        <w:right w:val="none" w:sz="0" w:space="0" w:color="auto"/>
      </w:divBdr>
      <w:divsChild>
        <w:div w:id="757865163">
          <w:marLeft w:val="0"/>
          <w:marRight w:val="0"/>
          <w:marTop w:val="0"/>
          <w:marBottom w:val="0"/>
          <w:divBdr>
            <w:top w:val="none" w:sz="0" w:space="0" w:color="auto"/>
            <w:left w:val="none" w:sz="0" w:space="0" w:color="auto"/>
            <w:bottom w:val="none" w:sz="0" w:space="0" w:color="auto"/>
            <w:right w:val="none" w:sz="0" w:space="0" w:color="auto"/>
          </w:divBdr>
        </w:div>
      </w:divsChild>
    </w:div>
    <w:div w:id="2093624620">
      <w:bodyDiv w:val="1"/>
      <w:marLeft w:val="0"/>
      <w:marRight w:val="0"/>
      <w:marTop w:val="0"/>
      <w:marBottom w:val="0"/>
      <w:divBdr>
        <w:top w:val="none" w:sz="0" w:space="0" w:color="auto"/>
        <w:left w:val="none" w:sz="0" w:space="0" w:color="auto"/>
        <w:bottom w:val="none" w:sz="0" w:space="0" w:color="auto"/>
        <w:right w:val="none" w:sz="0" w:space="0" w:color="auto"/>
      </w:divBdr>
      <w:divsChild>
        <w:div w:id="1189444663">
          <w:marLeft w:val="0"/>
          <w:marRight w:val="0"/>
          <w:marTop w:val="0"/>
          <w:marBottom w:val="0"/>
          <w:divBdr>
            <w:top w:val="none" w:sz="0" w:space="0" w:color="auto"/>
            <w:left w:val="none" w:sz="0" w:space="0" w:color="auto"/>
            <w:bottom w:val="none" w:sz="0" w:space="0" w:color="auto"/>
            <w:right w:val="none" w:sz="0" w:space="0" w:color="auto"/>
          </w:divBdr>
        </w:div>
      </w:divsChild>
    </w:div>
    <w:div w:id="2093699854">
      <w:bodyDiv w:val="1"/>
      <w:marLeft w:val="0"/>
      <w:marRight w:val="0"/>
      <w:marTop w:val="0"/>
      <w:marBottom w:val="0"/>
      <w:divBdr>
        <w:top w:val="none" w:sz="0" w:space="0" w:color="auto"/>
        <w:left w:val="none" w:sz="0" w:space="0" w:color="auto"/>
        <w:bottom w:val="none" w:sz="0" w:space="0" w:color="auto"/>
        <w:right w:val="none" w:sz="0" w:space="0" w:color="auto"/>
      </w:divBdr>
      <w:divsChild>
        <w:div w:id="14414912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styn.gov.wales/improvement-resources/creating-a-strategic-framework/" TargetMode="External"/><Relationship Id="rId21" Type="http://schemas.openxmlformats.org/officeDocument/2006/relationships/hyperlink" Target="https://missdcoxblog.wordpress.com/2015/10/11/school-development-plans-are-they-really-needed/" TargetMode="External"/><Relationship Id="rId42" Type="http://schemas.openxmlformats.org/officeDocument/2006/relationships/hyperlink" Target="https://doi.org/10.1080/13603124.2021.2021294" TargetMode="External"/><Relationship Id="rId47" Type="http://schemas.openxmlformats.org/officeDocument/2006/relationships/hyperlink" Target="https://doi.org/10.1080/00131911.2013.839546" TargetMode="External"/><Relationship Id="rId63" Type="http://schemas.openxmlformats.org/officeDocument/2006/relationships/hyperlink" Target="https://doi.org/10.1080/87567555.2024.2355210" TargetMode="External"/><Relationship Id="rId68" Type="http://schemas.openxmlformats.org/officeDocument/2006/relationships/hyperlink" Target="https://doi.org/10.1080/01425692.2021.1962246" TargetMode="External"/><Relationship Id="rId84" Type="http://schemas.openxmlformats.org/officeDocument/2006/relationships/hyperlink" Target="https://doi.org/10.1177/0031721717734190" TargetMode="External"/><Relationship Id="rId89" Type="http://schemas.openxmlformats.org/officeDocument/2006/relationships/fontTable" Target="fontTable.xml"/><Relationship Id="rId16" Type="http://schemas.openxmlformats.org/officeDocument/2006/relationships/hyperlink" Target="https://www.bera.ac.uk/publication/ethical-guidelines-for-educational-research-fifth-edition-2024" TargetMode="External"/><Relationship Id="rId11" Type="http://schemas.openxmlformats.org/officeDocument/2006/relationships/hyperlink" Target="https://www.researchgate.net/publication/335986161_Schools_as_professional_learning_communities_what_can_schools_do_to_support_professional_development_of_their_teachers," TargetMode="External"/><Relationship Id="rId32" Type="http://schemas.openxmlformats.org/officeDocument/2006/relationships/hyperlink" Target="https://discovery.ucl.ac.uk/id/eprint/10053501/" TargetMode="External"/><Relationship Id="rId37" Type="http://schemas.openxmlformats.org/officeDocument/2006/relationships/hyperlink" Target="https://philpapers.org/rec/KADFOE" TargetMode="External"/><Relationship Id="rId53" Type="http://schemas.openxmlformats.org/officeDocument/2006/relationships/hyperlink" Target="https://doi.org/10.4324/9781315110448" TargetMode="External"/><Relationship Id="rId58" Type="http://schemas.openxmlformats.org/officeDocument/2006/relationships/hyperlink" Target="https://indianapublications.com/articles/IJHSS_3(1)_14-20_61f38990115064.95135470.pdf" TargetMode="External"/><Relationship Id="rId74" Type="http://schemas.openxmlformats.org/officeDocument/2006/relationships/hyperlink" Target="https://acf.gov/sites/default/files/documents/opre/ccl-report-summary-508_qc.pdf" TargetMode="External"/><Relationship Id="rId79" Type="http://schemas.openxmlformats.org/officeDocument/2006/relationships/hyperlink" Target="https://www.gov.wales/our-national-mission-high-standards-and-aspirations-all-html" TargetMode="External"/><Relationship Id="rId5" Type="http://schemas.openxmlformats.org/officeDocument/2006/relationships/settings" Target="settings.xml"/><Relationship Id="rId90" Type="http://schemas.openxmlformats.org/officeDocument/2006/relationships/theme" Target="theme/theme1.xml"/><Relationship Id="rId14" Type="http://schemas.openxmlformats.org/officeDocument/2006/relationships/hyperlink" Target="https://doi.org/10.1007%2Fs10654-021-00839-0" TargetMode="External"/><Relationship Id="rId22" Type="http://schemas.openxmlformats.org/officeDocument/2006/relationships/hyperlink" Target="https://doi.org/10.1080/13540602.2013.741837" TargetMode="External"/><Relationship Id="rId27" Type="http://schemas.openxmlformats.org/officeDocument/2006/relationships/hyperlink" Target="https://estyn.gov.wales/system/files/2024-04/Estyn%20Strategic%20Equality%20Plan%202024-2028_0.pdf" TargetMode="External"/><Relationship Id="rId30" Type="http://schemas.openxmlformats.org/officeDocument/2006/relationships/hyperlink" Target="https://doi.org/10.1080/00368555.2019.12293416" TargetMode="External"/><Relationship Id="rId35" Type="http://schemas.openxmlformats.org/officeDocument/2006/relationships/hyperlink" Target="https://doi.org/10.3389/feduc.2021.750281" TargetMode="External"/><Relationship Id="rId43" Type="http://schemas.openxmlformats.org/officeDocument/2006/relationships/hyperlink" Target="https://doi.org/10.3368/jhr.57.1.0918-9770r2" TargetMode="External"/><Relationship Id="rId48" Type="http://schemas.openxmlformats.org/officeDocument/2006/relationships/hyperlink" Target="https://doi.org/10.3390/educsci14101112" TargetMode="External"/><Relationship Id="rId56" Type="http://schemas.openxmlformats.org/officeDocument/2006/relationships/hyperlink" Target="https://doi.org/10.33750/ijhi.v4i1.102" TargetMode="External"/><Relationship Id="rId64" Type="http://schemas.openxmlformats.org/officeDocument/2006/relationships/hyperlink" Target="https://psycnet.apa.org/doi/10.1037/bul0000322" TargetMode="External"/><Relationship Id="rId69" Type="http://schemas.openxmlformats.org/officeDocument/2006/relationships/hyperlink" Target="https://doi.org/10.1016/j.linged.2021.10097" TargetMode="External"/><Relationship Id="rId77" Type="http://schemas.openxmlformats.org/officeDocument/2006/relationships/hyperlink" Target="https://media.service.gov.wales/news/new-framework-for-school-improvement-to-focus-on-learner-progression" TargetMode="External"/><Relationship Id="rId8" Type="http://schemas.openxmlformats.org/officeDocument/2006/relationships/endnotes" Target="endnotes.xml"/><Relationship Id="rId51" Type="http://schemas.openxmlformats.org/officeDocument/2006/relationships/hyperlink" Target="https://doi.org/10.1515/iral-2023-0294" TargetMode="External"/><Relationship Id="rId72" Type="http://schemas.openxmlformats.org/officeDocument/2006/relationships/hyperlink" Target="https://doi.org/10.4324/9780203935453-11" TargetMode="External"/><Relationship Id="rId80" Type="http://schemas.openxmlformats.org/officeDocument/2006/relationships/hyperlink" Target="https://www.gov.wales/sites/default/files/publications/2023-02/continuous-learning-and-improvement-plan-for-2023-to-2025-v2.pdf" TargetMode="External"/><Relationship Id="rId85" Type="http://schemas.openxmlformats.org/officeDocument/2006/relationships/hyperlink" Target="https://proceedings.neurips.cc/paper_files/paper/2023/hash/81fde95c4dc79188a69ce5b24d63010b-Abstract-Conference.html" TargetMode="External"/><Relationship Id="rId3" Type="http://schemas.openxmlformats.org/officeDocument/2006/relationships/customXml" Target="../customXml/item3.xml"/><Relationship Id="rId12" Type="http://schemas.openxmlformats.org/officeDocument/2006/relationships/hyperlink" Target="https://www.researchgate.net/publication/380814749_Metacognitive_Strategies_in_the_Classroom" TargetMode="External"/><Relationship Id="rId17" Type="http://schemas.openxmlformats.org/officeDocument/2006/relationships/hyperlink" Target="https://doi.org/10.1080/02607476.2021.1902748" TargetMode="External"/><Relationship Id="rId25" Type="http://schemas.openxmlformats.org/officeDocument/2006/relationships/hyperlink" Target="https://educationendowmentfoundation.org.uk/education-evidence/teaching-learning-toolkit/metacognition-and-self-regulation" TargetMode="External"/><Relationship Id="rId33" Type="http://schemas.openxmlformats.org/officeDocument/2006/relationships/hyperlink" Target="https://doi.org/10.1007/s10648-020-09575-5" TargetMode="External"/><Relationship Id="rId38" Type="http://schemas.openxmlformats.org/officeDocument/2006/relationships/hyperlink" Target="https://doi.org/10.1007/s43683-022-00066-3" TargetMode="External"/><Relationship Id="rId46" Type="http://schemas.openxmlformats.org/officeDocument/2006/relationships/hyperlink" Target="https://doi.org/10.1111/bjet.13054" TargetMode="External"/><Relationship Id="rId59" Type="http://schemas.openxmlformats.org/officeDocument/2006/relationships/hyperlink" Target="https://doi.org/10.1007/978-3-319-41713-4_34" TargetMode="External"/><Relationship Id="rId67" Type="http://schemas.openxmlformats.org/officeDocument/2006/relationships/hyperlink" Target="https://www.highspeedtraining.co.uk/hub/metacognition-in-the-classroom/" TargetMode="External"/><Relationship Id="rId20" Type="http://schemas.openxmlformats.org/officeDocument/2006/relationships/hyperlink" Target="https://doi.org/10.1017/cts.2021.834" TargetMode="External"/><Relationship Id="rId41" Type="http://schemas.openxmlformats.org/officeDocument/2006/relationships/hyperlink" Target="http://hdl.handle.net/1893/27627" TargetMode="External"/><Relationship Id="rId54" Type="http://schemas.openxmlformats.org/officeDocument/2006/relationships/hyperlink" Target="https://eric.ed.gov/?id=ED612286" TargetMode="External"/><Relationship Id="rId62" Type="http://schemas.openxmlformats.org/officeDocument/2006/relationships/hyperlink" Target="https://doi.org/10.1080/00220272.2020.1716391" TargetMode="External"/><Relationship Id="rId70" Type="http://schemas.openxmlformats.org/officeDocument/2006/relationships/hyperlink" Target="https://doi.org/10.1177/1052562913488111" TargetMode="External"/><Relationship Id="rId75" Type="http://schemas.openxmlformats.org/officeDocument/2006/relationships/hyperlink" Target="https://doi.org/10.3390/su132313083" TargetMode="External"/><Relationship Id="rId83" Type="http://schemas.openxmlformats.org/officeDocument/2006/relationships/hyperlink" Target="https://doi.org/10.1111/1911-3838.12273"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80/14623943.2014.982525" TargetMode="External"/><Relationship Id="rId23" Type="http://schemas.openxmlformats.org/officeDocument/2006/relationships/hyperlink" Target="https://doi.org/10.1111/1471-0528.17150" TargetMode="External"/><Relationship Id="rId28" Type="http://schemas.openxmlformats.org/officeDocument/2006/relationships/hyperlink" Target="https://estyn.gov.wales/improvement-resources/developing-leadership-at-all-levels-to-improve-the-quality-of-provision-pupil-progress-and-well-being-and-to-ensure-resilience-of-leadership-in-the-future/" TargetMode="External"/><Relationship Id="rId36" Type="http://schemas.openxmlformats.org/officeDocument/2006/relationships/hyperlink" Target="https://doi.org/10.1016/j.learninstruc.2021.101516" TargetMode="External"/><Relationship Id="rId49" Type="http://schemas.openxmlformats.org/officeDocument/2006/relationships/hyperlink" Target="https://www.jstor.org/stable/26196126" TargetMode="External"/><Relationship Id="rId57" Type="http://schemas.openxmlformats.org/officeDocument/2006/relationships/hyperlink" Target="https://doi.org/10.1039/d0rp00217h" TargetMode="External"/><Relationship Id="rId10" Type="http://schemas.openxmlformats.org/officeDocument/2006/relationships/hyperlink" Target="https://estyn.gov.wales/system/files/2024-04/Estyn%20Strategic%20Equality%20Plan%202024-2028_0.pdf" TargetMode="External"/><Relationship Id="rId31" Type="http://schemas.openxmlformats.org/officeDocument/2006/relationships/hyperlink" Target="https://www.bera.ac.uk/blog/school-self-evaluation-for-school-improvement-principles-of-effective-practice" TargetMode="External"/><Relationship Id="rId44" Type="http://schemas.openxmlformats.org/officeDocument/2006/relationships/hyperlink" Target="https://doi.org/10.3102/0013189x211011426" TargetMode="External"/><Relationship Id="rId52" Type="http://schemas.openxmlformats.org/officeDocument/2006/relationships/hyperlink" Target="https://doi.org/10.3399/bjgp23x733461" TargetMode="External"/><Relationship Id="rId60" Type="http://schemas.openxmlformats.org/officeDocument/2006/relationships/hyperlink" Target="https://doi.org/10.4102/sajce.v14i1.1345" TargetMode="External"/><Relationship Id="rId65" Type="http://schemas.openxmlformats.org/officeDocument/2006/relationships/hyperlink" Target="https://journal.ibrahimy.ac.id/index.php/Alifmatika/article/download/2281/1517" TargetMode="External"/><Relationship Id="rId73" Type="http://schemas.openxmlformats.org/officeDocument/2006/relationships/hyperlink" Target="https://doi.org/10.4324/9781315695471" TargetMode="External"/><Relationship Id="rId78" Type="http://schemas.openxmlformats.org/officeDocument/2006/relationships/hyperlink" Target="https://www.gov.wales/school-improvement-guidance-impact-assessment-html" TargetMode="External"/><Relationship Id="rId81" Type="http://schemas.openxmlformats.org/officeDocument/2006/relationships/hyperlink" Target="https://hwb.gov.wales/curriculum-for-wales/designing-your-curriculum/enabling-learning" TargetMode="External"/><Relationship Id="rId86" Type="http://schemas.openxmlformats.org/officeDocument/2006/relationships/hyperlink" Target="https://doi.org/10.3390/su13116275" TargetMode="External"/><Relationship Id="rId4" Type="http://schemas.openxmlformats.org/officeDocument/2006/relationships/styles" Target="styles.xml"/><Relationship Id="rId9" Type="http://schemas.openxmlformats.org/officeDocument/2006/relationships/hyperlink" Target="https://chatgpt.com/" TargetMode="External"/><Relationship Id="rId13" Type="http://schemas.openxmlformats.org/officeDocument/2006/relationships/hyperlink" Target="https://www.researchgate.net/profile/Ifeyinwa-Awagu-2/publication/350604021_Language_in_Academic_Writing_Features_and_Topical_Issues/links/606827f592851c91b19c21e9/Language-in-Academic-Writing-Features-and-Topical-Issues.pdf" TargetMode="External"/><Relationship Id="rId18" Type="http://schemas.openxmlformats.org/officeDocument/2006/relationships/hyperlink" Target="https://padlet.com/jessicaroberts4/school-improvement-gwella-ysgolion-e04tfqe8jmln73vb/wish/0BA3ZpJ3EOp9anPb" TargetMode="External"/><Relationship Id="rId39" Type="http://schemas.openxmlformats.org/officeDocument/2006/relationships/hyperlink" Target="https://eric.ed.gov/?id=EJ1306506" TargetMode="External"/><Relationship Id="rId34" Type="http://schemas.openxmlformats.org/officeDocument/2006/relationships/hyperlink" Target="https://doi.org/10.1016/j.tsc.2023.101419" TargetMode="External"/><Relationship Id="rId50" Type="http://schemas.openxmlformats.org/officeDocument/2006/relationships/hyperlink" Target="https://doi.org/10.1002/acp.4015" TargetMode="External"/><Relationship Id="rId55" Type="http://schemas.openxmlformats.org/officeDocument/2006/relationships/hyperlink" Target="https://doi.org/10.55215/pedagonal.v6i1.4485" TargetMode="External"/><Relationship Id="rId76" Type="http://schemas.openxmlformats.org/officeDocument/2006/relationships/hyperlink" Target="https://doi.org/10.26565/2073-4379-2024-45-01" TargetMode="External"/><Relationship Id="rId7" Type="http://schemas.openxmlformats.org/officeDocument/2006/relationships/footnotes" Target="footnotes.xml"/><Relationship Id="rId71" Type="http://schemas.openxmlformats.org/officeDocument/2006/relationships/hyperlink" Target="https://doi.org/10.1016/j.tate.2023.104113" TargetMode="External"/><Relationship Id="rId2" Type="http://schemas.openxmlformats.org/officeDocument/2006/relationships/customXml" Target="../customXml/item2.xml"/><Relationship Id="rId29" Type="http://schemas.openxmlformats.org/officeDocument/2006/relationships/hyperlink" Target="https://doi.org/10.1038/s41539-021-00089-5" TargetMode="External"/><Relationship Id="rId24" Type="http://schemas.openxmlformats.org/officeDocument/2006/relationships/hyperlink" Target="https://educationendowmentfoundation.org.uk/education-evidence/guidance-reports/implementation" TargetMode="External"/><Relationship Id="rId40" Type="http://schemas.openxmlformats.org/officeDocument/2006/relationships/hyperlink" Target="https://www.researchgate.net/profile/Dr-Keerthirathne/publication/355209445_Peer_Learning_an_Overview/links/616873f13851f9599407d660/Peer-Learning-an-Overview.pdf" TargetMode="External"/><Relationship Id="rId45" Type="http://schemas.openxmlformats.org/officeDocument/2006/relationships/hyperlink" Target="https://doi.org/10.1016/j.inffus.2022.03.003" TargetMode="External"/><Relationship Id="rId66" Type="http://schemas.openxmlformats.org/officeDocument/2006/relationships/hyperlink" Target="https://doi.org/10.1080/17437199.2021.2023608" TargetMode="External"/><Relationship Id="rId87" Type="http://schemas.openxmlformats.org/officeDocument/2006/relationships/header" Target="header1.xml"/><Relationship Id="rId61" Type="http://schemas.openxmlformats.org/officeDocument/2006/relationships/hyperlink" Target="https://doi.org/10.1016/j.tsc.2022.101110" TargetMode="External"/><Relationship Id="rId82" Type="http://schemas.openxmlformats.org/officeDocument/2006/relationships/hyperlink" Target="https://hwb.gov.wales/evaluation-improvement-and-accountability/school-improvement-guidance-framework-for-evaluation-improvement-and-accountability" TargetMode="External"/><Relationship Id="rId19" Type="http://schemas.openxmlformats.org/officeDocument/2006/relationships/hyperlink" Target="https://doi.org/10.1007/s11145-021-1018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16</Pages>
  <Words>7035</Words>
  <Characters>40102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Alexandra Frost (2413682)</cp:lastModifiedBy>
  <cp:revision>24</cp:revision>
  <dcterms:created xsi:type="dcterms:W3CDTF">2025-02-28T16:11:00Z</dcterms:created>
  <dcterms:modified xsi:type="dcterms:W3CDTF">2025-03-02T10:26:00Z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