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DE5AC2" w:rsidRDefault="00E46FA9" w:rsidP="00E46FA9">
      <w:pPr>
        <w:jc w:val="center"/>
        <w:rPr>
          <w:sz w:val="28"/>
          <w:szCs w:val="28"/>
        </w:rPr>
      </w:pPr>
      <w:r>
        <w:rPr>
          <w:sz w:val="28"/>
          <w:szCs w:val="28"/>
        </w:rPr>
        <w:t>L</w:t>
      </w:r>
      <w:r w:rsidRPr="00E46FA9">
        <w:rPr>
          <w:sz w:val="28"/>
          <w:szCs w:val="28"/>
        </w:rPr>
        <w:t>ecture on human rights and prison reform</w:t>
      </w:r>
      <w:r>
        <w:rPr>
          <w:sz w:val="28"/>
          <w:szCs w:val="28"/>
        </w:rPr>
        <w:t xml:space="preserve"> – internet sources</w:t>
      </w:r>
    </w:p>
    <w:p w:rsidR="00E46FA9" w:rsidRDefault="00E46FA9" w:rsidP="00E46FA9">
      <w:pPr>
        <w:jc w:val="center"/>
        <w:rPr>
          <w:sz w:val="28"/>
          <w:szCs w:val="28"/>
        </w:rPr>
      </w:pPr>
    </w:p>
    <w:p w:rsidR="00E46FA9" w:rsidRPr="00E46FA9" w:rsidRDefault="00E46FA9" w:rsidP="00E46FA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E46FA9">
        <w:rPr>
          <w:rFonts w:ascii="Arial" w:eastAsia="Times New Roman" w:hAnsi="Arial" w:cs="Arial"/>
          <w:color w:val="1155CC"/>
          <w:sz w:val="19"/>
          <w:szCs w:val="19"/>
          <w:u w:val="single"/>
          <w:shd w:val="clear" w:color="auto" w:fill="FFFFFF"/>
          <w:lang w:eastAsia="en-GB"/>
        </w:rPr>
        <w:t>https://rightsinfo.org/prisoners-still-afforded-h</w:t>
      </w:r>
      <w:bookmarkStart w:id="0" w:name="_GoBack"/>
      <w:bookmarkEnd w:id="0"/>
      <w:r w:rsidRPr="00E46FA9">
        <w:rPr>
          <w:rFonts w:ascii="Arial" w:eastAsia="Times New Roman" w:hAnsi="Arial" w:cs="Arial"/>
          <w:color w:val="1155CC"/>
          <w:sz w:val="19"/>
          <w:szCs w:val="19"/>
          <w:u w:val="single"/>
          <w:shd w:val="clear" w:color="auto" w:fill="FFFFFF"/>
          <w:lang w:eastAsia="en-GB"/>
        </w:rPr>
        <w:t>uman-rights/</w:t>
      </w:r>
    </w:p>
    <w:p w:rsidR="00E46FA9" w:rsidRPr="00E46FA9" w:rsidRDefault="00E46FA9" w:rsidP="00E46FA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19"/>
          <w:szCs w:val="19"/>
          <w:lang w:eastAsia="en-GB"/>
        </w:rPr>
      </w:pPr>
    </w:p>
    <w:p w:rsidR="00E46FA9" w:rsidRPr="00E46FA9" w:rsidRDefault="00E46FA9" w:rsidP="00E46FA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19"/>
          <w:szCs w:val="19"/>
          <w:lang w:eastAsia="en-GB"/>
        </w:rPr>
      </w:pPr>
      <w:hyperlink r:id="rId4" w:tgtFrame="_blank" w:history="1">
        <w:r w:rsidRPr="00E46FA9">
          <w:rPr>
            <w:rFonts w:ascii="Arial" w:eastAsia="Times New Roman" w:hAnsi="Arial" w:cs="Arial"/>
            <w:color w:val="1155CC"/>
            <w:sz w:val="19"/>
            <w:szCs w:val="19"/>
            <w:u w:val="single"/>
            <w:lang w:eastAsia="en-GB"/>
          </w:rPr>
          <w:t>http://www.ohchr.org/EN/ProfessionalInterest/Pages/BasicPrinciplesTreatmentOfPrisoners.aspx</w:t>
        </w:r>
      </w:hyperlink>
    </w:p>
    <w:p w:rsidR="00E46FA9" w:rsidRPr="00E46FA9" w:rsidRDefault="00E46FA9" w:rsidP="00E46FA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19"/>
          <w:szCs w:val="19"/>
          <w:lang w:eastAsia="en-GB"/>
        </w:rPr>
      </w:pPr>
    </w:p>
    <w:p w:rsidR="00E46FA9" w:rsidRPr="00E46FA9" w:rsidRDefault="00E46FA9" w:rsidP="00E46FA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19"/>
          <w:szCs w:val="19"/>
          <w:lang w:eastAsia="en-GB"/>
        </w:rPr>
      </w:pPr>
      <w:hyperlink r:id="rId5" w:tgtFrame="_blank" w:history="1">
        <w:r w:rsidRPr="00E46FA9">
          <w:rPr>
            <w:rFonts w:ascii="Arial" w:eastAsia="Times New Roman" w:hAnsi="Arial" w:cs="Arial"/>
            <w:color w:val="1155CC"/>
            <w:sz w:val="19"/>
            <w:szCs w:val="19"/>
            <w:u w:val="single"/>
            <w:lang w:eastAsia="en-GB"/>
          </w:rPr>
          <w:t>https://www.lawontheweb.co.uk/legal-help/prison-law</w:t>
        </w:r>
      </w:hyperlink>
    </w:p>
    <w:p w:rsidR="00E46FA9" w:rsidRPr="00E46FA9" w:rsidRDefault="00E46FA9" w:rsidP="00E46FA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19"/>
          <w:szCs w:val="19"/>
          <w:lang w:eastAsia="en-GB"/>
        </w:rPr>
      </w:pPr>
    </w:p>
    <w:p w:rsidR="00E46FA9" w:rsidRPr="00E46FA9" w:rsidRDefault="00E46FA9" w:rsidP="00E46FA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19"/>
          <w:szCs w:val="19"/>
          <w:lang w:eastAsia="en-GB"/>
        </w:rPr>
      </w:pPr>
      <w:hyperlink r:id="rId6" w:tgtFrame="_blank" w:history="1">
        <w:r w:rsidRPr="00E46FA9">
          <w:rPr>
            <w:rFonts w:ascii="Arial" w:eastAsia="Times New Roman" w:hAnsi="Arial" w:cs="Arial"/>
            <w:color w:val="1155CC"/>
            <w:sz w:val="19"/>
            <w:szCs w:val="19"/>
            <w:u w:val="single"/>
            <w:lang w:eastAsia="en-GB"/>
          </w:rPr>
          <w:t>https://www.theguardian.com/politics/2015/feb/12/uk-prisoners-banned-voting-echr</w:t>
        </w:r>
      </w:hyperlink>
    </w:p>
    <w:p w:rsidR="00E46FA9" w:rsidRPr="00E46FA9" w:rsidRDefault="00E46FA9" w:rsidP="00E46FA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19"/>
          <w:szCs w:val="19"/>
          <w:lang w:eastAsia="en-GB"/>
        </w:rPr>
      </w:pPr>
    </w:p>
    <w:p w:rsidR="00E46FA9" w:rsidRPr="00E46FA9" w:rsidRDefault="00E46FA9" w:rsidP="00E46FA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19"/>
          <w:szCs w:val="19"/>
          <w:lang w:eastAsia="en-GB"/>
        </w:rPr>
      </w:pPr>
      <w:hyperlink r:id="rId7" w:tgtFrame="_blank" w:history="1">
        <w:r w:rsidRPr="00E46FA9">
          <w:rPr>
            <w:rFonts w:ascii="Arial" w:eastAsia="Times New Roman" w:hAnsi="Arial" w:cs="Arial"/>
            <w:color w:val="1155CC"/>
            <w:sz w:val="19"/>
            <w:szCs w:val="19"/>
            <w:u w:val="single"/>
            <w:lang w:eastAsia="en-GB"/>
          </w:rPr>
          <w:t>https://www.penalreform.org/wp-content/uploads/2016/08/The-right-of-prisoners-to-vote_March-2016.pdf</w:t>
        </w:r>
      </w:hyperlink>
    </w:p>
    <w:p w:rsidR="00E46FA9" w:rsidRPr="00E46FA9" w:rsidRDefault="00E46FA9" w:rsidP="00E46FA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19"/>
          <w:szCs w:val="19"/>
          <w:lang w:eastAsia="en-GB"/>
        </w:rPr>
      </w:pPr>
    </w:p>
    <w:p w:rsidR="00E46FA9" w:rsidRPr="00E46FA9" w:rsidRDefault="00E46FA9" w:rsidP="00E46FA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19"/>
          <w:szCs w:val="19"/>
          <w:lang w:eastAsia="en-GB"/>
        </w:rPr>
      </w:pPr>
      <w:hyperlink r:id="rId8" w:tgtFrame="_blank" w:history="1">
        <w:r w:rsidRPr="00E46FA9">
          <w:rPr>
            <w:rFonts w:ascii="Arial" w:eastAsia="Times New Roman" w:hAnsi="Arial" w:cs="Arial"/>
            <w:color w:val="1155CC"/>
            <w:sz w:val="19"/>
            <w:szCs w:val="19"/>
            <w:u w:val="single"/>
            <w:lang w:eastAsia="en-GB"/>
          </w:rPr>
          <w:t>https://en.wikipedia.org/wiki/Felony_disenfranchisement</w:t>
        </w:r>
      </w:hyperlink>
    </w:p>
    <w:p w:rsidR="00E46FA9" w:rsidRPr="00E46FA9" w:rsidRDefault="00E46FA9" w:rsidP="00E46FA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19"/>
          <w:szCs w:val="19"/>
          <w:lang w:eastAsia="en-GB"/>
        </w:rPr>
      </w:pPr>
    </w:p>
    <w:p w:rsidR="00E46FA9" w:rsidRPr="00E46FA9" w:rsidRDefault="00E46FA9" w:rsidP="00E46FA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19"/>
          <w:szCs w:val="19"/>
          <w:lang w:eastAsia="en-GB"/>
        </w:rPr>
      </w:pPr>
      <w:hyperlink r:id="rId9" w:tgtFrame="_blank" w:history="1">
        <w:r w:rsidRPr="00E46FA9">
          <w:rPr>
            <w:rFonts w:ascii="Arial" w:eastAsia="Times New Roman" w:hAnsi="Arial" w:cs="Arial"/>
            <w:color w:val="1155CC"/>
            <w:sz w:val="19"/>
            <w:szCs w:val="19"/>
            <w:u w:val="single"/>
            <w:lang w:eastAsia="en-GB"/>
          </w:rPr>
          <w:t>https://www.victoria.ac.nz/law/centres/nzcpl/publications/nz-journal-of-public-and-international-law/previous-issues/volume-42,-december-2006/robins.pdf</w:t>
        </w:r>
      </w:hyperlink>
    </w:p>
    <w:p w:rsidR="00E46FA9" w:rsidRPr="00E46FA9" w:rsidRDefault="00E46FA9" w:rsidP="00E46FA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19"/>
          <w:szCs w:val="19"/>
          <w:lang w:eastAsia="en-GB"/>
        </w:rPr>
      </w:pPr>
    </w:p>
    <w:p w:rsidR="00E46FA9" w:rsidRPr="00E46FA9" w:rsidRDefault="00E46FA9" w:rsidP="00E46FA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19"/>
          <w:szCs w:val="19"/>
          <w:lang w:eastAsia="en-GB"/>
        </w:rPr>
      </w:pPr>
    </w:p>
    <w:p w:rsidR="00E46FA9" w:rsidRPr="00E46FA9" w:rsidRDefault="00E46FA9" w:rsidP="00E46FA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19"/>
          <w:szCs w:val="19"/>
          <w:lang w:eastAsia="en-GB"/>
        </w:rPr>
      </w:pPr>
      <w:hyperlink r:id="rId10" w:tgtFrame="_blank" w:history="1">
        <w:r w:rsidRPr="00E46FA9">
          <w:rPr>
            <w:rFonts w:ascii="Arial" w:eastAsia="Times New Roman" w:hAnsi="Arial" w:cs="Arial"/>
            <w:color w:val="1155CC"/>
            <w:sz w:val="19"/>
            <w:szCs w:val="19"/>
            <w:u w:val="single"/>
            <w:lang w:eastAsia="en-GB"/>
          </w:rPr>
          <w:t>https://www.coe.int/ca/web/commissioner/-/prisoners-should-have-the-right-to-vo-1</w:t>
        </w:r>
      </w:hyperlink>
    </w:p>
    <w:p w:rsidR="00E46FA9" w:rsidRDefault="00E46FA9" w:rsidP="00E46FA9">
      <w:pPr>
        <w:rPr>
          <w:sz w:val="28"/>
          <w:szCs w:val="28"/>
        </w:rPr>
      </w:pPr>
    </w:p>
    <w:p w:rsidR="00E46FA9" w:rsidRPr="00E46FA9" w:rsidRDefault="00E46FA9" w:rsidP="00E46FA9">
      <w:pPr>
        <w:rPr>
          <w:sz w:val="28"/>
          <w:szCs w:val="28"/>
        </w:rPr>
      </w:pPr>
    </w:p>
    <w:sectPr w:rsidR="00E46FA9" w:rsidRPr="00E46FA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46FA9"/>
    <w:rsid w:val="00DE5AC2"/>
    <w:rsid w:val="00E46F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82B7EAA-C31A-4DA9-B5C9-6945F0334E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995404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0045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9193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1300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96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58257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99515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21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9191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29755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711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19206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3823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7227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874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3457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1494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n.wikipedia.org/wiki/Felony_disenfranchisement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penalreform.org/wp-content/uploads/2016/08/The-right-of-prisoners-to-vote_March-2016.pdf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theguardian.com/politics/2015/feb/12/uk-prisoners-banned-voting-echr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www.lawontheweb.co.uk/legal-help/prison-law" TargetMode="External"/><Relationship Id="rId10" Type="http://schemas.openxmlformats.org/officeDocument/2006/relationships/hyperlink" Target="https://www.coe.int/ca/web/commissioner/-/prisoners-should-have-the-right-to-vo-1" TargetMode="External"/><Relationship Id="rId4" Type="http://schemas.openxmlformats.org/officeDocument/2006/relationships/hyperlink" Target="http://www.ohchr.org/EN/ProfessionalInterest/Pages/BasicPrinciplesTreatmentOfPrisoners.aspx" TargetMode="External"/><Relationship Id="rId9" Type="http://schemas.openxmlformats.org/officeDocument/2006/relationships/hyperlink" Target="https://www.victoria.ac.nz/law/centres/nzcpl/publications/nz-journal-of-public-and-international-law/previous-issues/volume-42,-december-2006/robins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233</Words>
  <Characters>1331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1561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Adrian Davis</dc:creator>
  <cp:keywords/>
  <dc:description/>
  <cp:lastModifiedBy>Adrian Davis</cp:lastModifiedBy>
  <cp:revision>1</cp:revision>
  <dcterms:created xsi:type="dcterms:W3CDTF">2017-11-22T14:24:00Z</dcterms:created>
  <dcterms:modified xsi:type="dcterms:W3CDTF">2017-11-22T14:27:00Z</dcterms:modified>
</cp:coreProperties>
</file>