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CC606" w14:textId="3D1F71E6" w:rsidR="00B66D10" w:rsidRPr="00587EB7" w:rsidRDefault="00B66D10" w:rsidP="00B66D10">
      <w:pPr>
        <w:pStyle w:val="Heading1"/>
        <w:jc w:val="center"/>
        <w:rPr>
          <w:color w:val="auto"/>
          <w:sz w:val="23"/>
          <w:szCs w:val="23"/>
        </w:rPr>
      </w:pPr>
      <w:r w:rsidRPr="00587EB7">
        <w:rPr>
          <w:color w:val="auto"/>
          <w:sz w:val="23"/>
          <w:szCs w:val="23"/>
        </w:rPr>
        <w:t>Name: Mick Lowe</w:t>
      </w:r>
    </w:p>
    <w:p w14:paraId="0AF5D955" w14:textId="77777777" w:rsidR="00B66D10" w:rsidRPr="00587EB7" w:rsidRDefault="00B66D10" w:rsidP="00B66D10">
      <w:pPr>
        <w:pStyle w:val="Heading1"/>
        <w:jc w:val="center"/>
        <w:rPr>
          <w:color w:val="auto"/>
          <w:sz w:val="23"/>
          <w:szCs w:val="23"/>
        </w:rPr>
      </w:pPr>
      <w:r w:rsidRPr="00587EB7">
        <w:rPr>
          <w:color w:val="auto"/>
          <w:sz w:val="23"/>
          <w:szCs w:val="23"/>
        </w:rPr>
        <w:t>Student Number: 2434734</w:t>
      </w:r>
    </w:p>
    <w:p w14:paraId="149F3CD1" w14:textId="049198D1" w:rsidR="00B66D10" w:rsidRPr="00587EB7" w:rsidRDefault="00B66D10" w:rsidP="00B66D10">
      <w:pPr>
        <w:pStyle w:val="Heading1"/>
        <w:jc w:val="center"/>
        <w:rPr>
          <w:color w:val="auto"/>
          <w:sz w:val="23"/>
          <w:szCs w:val="23"/>
        </w:rPr>
      </w:pPr>
      <w:r w:rsidRPr="00587EB7">
        <w:rPr>
          <w:color w:val="auto"/>
          <w:sz w:val="23"/>
          <w:szCs w:val="23"/>
        </w:rPr>
        <w:t>Module Code: LCLM500</w:t>
      </w:r>
      <w:r>
        <w:rPr>
          <w:color w:val="auto"/>
          <w:sz w:val="23"/>
          <w:szCs w:val="23"/>
        </w:rPr>
        <w:t>2</w:t>
      </w:r>
    </w:p>
    <w:p w14:paraId="3BECD479" w14:textId="7996C91B" w:rsidR="00B66D10" w:rsidRPr="00587EB7" w:rsidRDefault="00B66D10" w:rsidP="00B66D10">
      <w:pPr>
        <w:pStyle w:val="Heading1"/>
        <w:jc w:val="center"/>
        <w:rPr>
          <w:color w:val="auto"/>
          <w:sz w:val="23"/>
          <w:szCs w:val="23"/>
        </w:rPr>
      </w:pPr>
      <w:r w:rsidRPr="00587EB7">
        <w:rPr>
          <w:color w:val="auto"/>
          <w:sz w:val="23"/>
          <w:szCs w:val="23"/>
        </w:rPr>
        <w:t xml:space="preserve">Module: </w:t>
      </w:r>
      <w:r>
        <w:rPr>
          <w:color w:val="auto"/>
          <w:sz w:val="23"/>
          <w:szCs w:val="23"/>
        </w:rPr>
        <w:t>Developing and Managing Individual Temas</w:t>
      </w:r>
    </w:p>
    <w:p w14:paraId="07A008CB" w14:textId="5516B976" w:rsidR="00B66D10" w:rsidRPr="00587EB7" w:rsidRDefault="00B66D10" w:rsidP="00B66D10">
      <w:pPr>
        <w:pStyle w:val="Heading1"/>
        <w:jc w:val="center"/>
        <w:rPr>
          <w:color w:val="auto"/>
          <w:sz w:val="23"/>
          <w:szCs w:val="23"/>
        </w:rPr>
      </w:pPr>
      <w:r w:rsidRPr="00587EB7">
        <w:rPr>
          <w:color w:val="auto"/>
          <w:sz w:val="23"/>
          <w:szCs w:val="23"/>
        </w:rPr>
        <w:t xml:space="preserve">Assignment title: </w:t>
      </w:r>
      <w:r>
        <w:rPr>
          <w:color w:val="auto"/>
          <w:sz w:val="23"/>
          <w:szCs w:val="23"/>
        </w:rPr>
        <w:t>Component 2 – Individual Report</w:t>
      </w:r>
    </w:p>
    <w:p w14:paraId="217DF744" w14:textId="2D633356" w:rsidR="00B66D10" w:rsidRPr="00587EB7" w:rsidRDefault="00B66D10" w:rsidP="00B66D10">
      <w:pPr>
        <w:pStyle w:val="Heading1"/>
        <w:jc w:val="center"/>
        <w:rPr>
          <w:color w:val="auto"/>
          <w:sz w:val="23"/>
          <w:szCs w:val="23"/>
        </w:rPr>
      </w:pPr>
      <w:r w:rsidRPr="00587EB7">
        <w:rPr>
          <w:color w:val="auto"/>
          <w:sz w:val="23"/>
          <w:szCs w:val="23"/>
        </w:rPr>
        <w:t xml:space="preserve">Lecturer: </w:t>
      </w:r>
      <w:r>
        <w:rPr>
          <w:color w:val="auto"/>
          <w:sz w:val="23"/>
          <w:szCs w:val="23"/>
        </w:rPr>
        <w:t>Samson Oladejo</w:t>
      </w:r>
    </w:p>
    <w:p w14:paraId="0E5E0F00" w14:textId="7883A2EC" w:rsidR="00157F35" w:rsidRDefault="00157F35"/>
    <w:p w14:paraId="326EE663" w14:textId="77777777" w:rsidR="00157F35" w:rsidRDefault="00157F35"/>
    <w:p w14:paraId="228ADFB8" w14:textId="77777777" w:rsidR="00B66D10" w:rsidRDefault="00B66D10"/>
    <w:p w14:paraId="7A9F56E3" w14:textId="77777777" w:rsidR="00B66D10" w:rsidRDefault="00B66D10"/>
    <w:p w14:paraId="49723BE8" w14:textId="77777777" w:rsidR="00B66D10" w:rsidRDefault="00B66D10">
      <w:pPr>
        <w:sectPr w:rsidR="00B66D10">
          <w:pgSz w:w="11906" w:h="16838"/>
          <w:pgMar w:top="1440" w:right="1440" w:bottom="1440" w:left="1440" w:header="708" w:footer="708" w:gutter="0"/>
          <w:cols w:space="720"/>
          <w:docGrid w:linePitch="360"/>
        </w:sectPr>
      </w:pPr>
    </w:p>
    <w:p w14:paraId="09A4E949" w14:textId="4C567C3F" w:rsidR="00B66D10" w:rsidRDefault="00B66D10" w:rsidP="00B66D10">
      <w:pPr>
        <w:spacing w:after="200" w:line="276" w:lineRule="auto"/>
        <w:jc w:val="center"/>
        <w:rPr>
          <w:b/>
          <w:bCs/>
        </w:rPr>
      </w:pPr>
      <w:r w:rsidRPr="00B66D10">
        <w:rPr>
          <w:b/>
          <w:bCs/>
        </w:rPr>
        <w:lastRenderedPageBreak/>
        <w:t>Table of Contents</w:t>
      </w:r>
    </w:p>
    <w:p w14:paraId="0D078263" w14:textId="4CCD77C9" w:rsidR="00B66D10" w:rsidRDefault="00B66D10" w:rsidP="00B66D10">
      <w:pPr>
        <w:spacing w:after="200" w:line="276" w:lineRule="auto"/>
        <w:rPr>
          <w:b/>
          <w:bCs/>
        </w:rPr>
      </w:pPr>
      <w:r>
        <w:rPr>
          <w:b/>
          <w:bCs/>
        </w:rPr>
        <w:t>Pages:</w:t>
      </w:r>
    </w:p>
    <w:p w14:paraId="4125159C" w14:textId="1C217D56" w:rsidR="00B66D10" w:rsidRDefault="00B66D10" w:rsidP="00B66D10">
      <w:pPr>
        <w:spacing w:after="200" w:line="276" w:lineRule="auto"/>
      </w:pPr>
      <w:r>
        <w:rPr>
          <w:b/>
          <w:bCs/>
        </w:rPr>
        <w:t xml:space="preserve">3: </w:t>
      </w:r>
      <w:r>
        <w:t>Introduction</w:t>
      </w:r>
    </w:p>
    <w:p w14:paraId="57237537" w14:textId="52752605" w:rsidR="00B66D10" w:rsidRDefault="00B66D10" w:rsidP="00B66D10">
      <w:pPr>
        <w:spacing w:after="200" w:line="276" w:lineRule="auto"/>
      </w:pPr>
      <w:r>
        <w:t xml:space="preserve">    Explanation of Key Factors</w:t>
      </w:r>
    </w:p>
    <w:p w14:paraId="38F6BEE5" w14:textId="77777777" w:rsidR="00B66D10" w:rsidRDefault="00B66D10" w:rsidP="00B66D10">
      <w:pPr>
        <w:spacing w:after="200" w:line="276" w:lineRule="auto"/>
      </w:pPr>
      <w:r w:rsidRPr="00B66D10">
        <w:rPr>
          <w:b/>
          <w:bCs/>
        </w:rPr>
        <w:t>5</w:t>
      </w:r>
      <w:r>
        <w:t xml:space="preserve">: </w:t>
      </w:r>
      <w:r w:rsidRPr="00B66D10">
        <w:t>Evaluation of Contemporary HR practices</w:t>
      </w:r>
    </w:p>
    <w:p w14:paraId="29EBC6DA" w14:textId="77777777" w:rsidR="00B66D10" w:rsidRPr="00530288" w:rsidRDefault="00B66D10" w:rsidP="00B66D10">
      <w:pPr>
        <w:spacing w:after="200" w:line="276" w:lineRule="auto"/>
        <w:rPr>
          <w:b/>
          <w:bCs/>
        </w:rPr>
      </w:pPr>
      <w:r>
        <w:rPr>
          <w:b/>
          <w:bCs/>
        </w:rPr>
        <w:t xml:space="preserve">7: </w:t>
      </w:r>
      <w:r w:rsidRPr="00B66D10">
        <w:t>Critical Evaluation of Managerial Implementation</w:t>
      </w:r>
    </w:p>
    <w:p w14:paraId="5C7576F6" w14:textId="067EEA07" w:rsidR="00B66D10" w:rsidRDefault="00B66D10" w:rsidP="00B66D10">
      <w:pPr>
        <w:spacing w:after="200" w:line="276" w:lineRule="auto"/>
      </w:pPr>
      <w:r>
        <w:rPr>
          <w:b/>
          <w:bCs/>
        </w:rPr>
        <w:t xml:space="preserve">8: </w:t>
      </w:r>
      <w:r w:rsidRPr="00B66D10">
        <w:t>Conclusion and Recommendations</w:t>
      </w:r>
    </w:p>
    <w:p w14:paraId="3BD7E871" w14:textId="742D6ACE" w:rsidR="00B66D10" w:rsidRPr="006B2959" w:rsidRDefault="00B66D10" w:rsidP="00B66D10">
      <w:pPr>
        <w:spacing w:after="200" w:line="276" w:lineRule="auto"/>
        <w:rPr>
          <w:b/>
          <w:bCs/>
        </w:rPr>
      </w:pPr>
      <w:r>
        <w:rPr>
          <w:b/>
          <w:bCs/>
        </w:rPr>
        <w:t xml:space="preserve">9: </w:t>
      </w:r>
      <w:r>
        <w:t>References</w:t>
      </w:r>
    </w:p>
    <w:p w14:paraId="5B55F29A" w14:textId="64FD04D3" w:rsidR="00B66D10" w:rsidRPr="006B2959" w:rsidRDefault="00B66D10" w:rsidP="00B66D10">
      <w:pPr>
        <w:spacing w:after="200" w:line="276" w:lineRule="auto"/>
        <w:rPr>
          <w:b/>
          <w:bCs/>
        </w:rPr>
      </w:pPr>
    </w:p>
    <w:p w14:paraId="409ED0F5" w14:textId="21619A87" w:rsidR="00B66D10" w:rsidRPr="00530288" w:rsidRDefault="00B66D10" w:rsidP="00B66D10">
      <w:pPr>
        <w:spacing w:after="200" w:line="276" w:lineRule="auto"/>
        <w:rPr>
          <w:b/>
          <w:bCs/>
        </w:rPr>
      </w:pPr>
    </w:p>
    <w:p w14:paraId="0C00053D" w14:textId="6D062723" w:rsidR="00B66D10" w:rsidRDefault="00B66D10" w:rsidP="00B66D10">
      <w:pPr>
        <w:spacing w:after="200" w:line="276" w:lineRule="auto"/>
      </w:pPr>
    </w:p>
    <w:p w14:paraId="53405C86" w14:textId="77777777" w:rsidR="00B66D10" w:rsidRPr="00B66D10" w:rsidRDefault="00B66D10" w:rsidP="00B66D10">
      <w:pPr>
        <w:spacing w:after="200" w:line="276" w:lineRule="auto"/>
      </w:pPr>
    </w:p>
    <w:p w14:paraId="2290878B" w14:textId="77777777" w:rsidR="00B66D10" w:rsidRPr="00B66D10" w:rsidRDefault="00B66D10" w:rsidP="00B66D10">
      <w:pPr>
        <w:spacing w:after="200" w:line="276" w:lineRule="auto"/>
        <w:rPr>
          <w:b/>
          <w:bCs/>
        </w:rPr>
      </w:pPr>
    </w:p>
    <w:p w14:paraId="1E9ACEE3" w14:textId="77777777" w:rsidR="00B66D10" w:rsidRDefault="00B66D10">
      <w:pPr>
        <w:spacing w:after="200" w:line="276" w:lineRule="auto"/>
      </w:pPr>
    </w:p>
    <w:p w14:paraId="729852CF" w14:textId="77777777" w:rsidR="00B66D10" w:rsidRDefault="00B66D10">
      <w:pPr>
        <w:spacing w:after="200" w:line="276" w:lineRule="auto"/>
      </w:pPr>
    </w:p>
    <w:p w14:paraId="1CCFAD34" w14:textId="77777777" w:rsidR="00B66D10" w:rsidRDefault="00B66D10">
      <w:pPr>
        <w:spacing w:after="200" w:line="276" w:lineRule="auto"/>
      </w:pPr>
    </w:p>
    <w:p w14:paraId="01841D43" w14:textId="77777777" w:rsidR="00B66D10" w:rsidRDefault="00B66D10">
      <w:pPr>
        <w:spacing w:after="200" w:line="276" w:lineRule="auto"/>
      </w:pPr>
    </w:p>
    <w:p w14:paraId="31BFD928" w14:textId="77777777" w:rsidR="00B66D10" w:rsidRDefault="00B66D10">
      <w:pPr>
        <w:spacing w:after="200" w:line="276" w:lineRule="auto"/>
      </w:pPr>
    </w:p>
    <w:p w14:paraId="56C2E838" w14:textId="77777777" w:rsidR="00B66D10" w:rsidRDefault="00B66D10">
      <w:pPr>
        <w:spacing w:after="200" w:line="276" w:lineRule="auto"/>
      </w:pPr>
    </w:p>
    <w:p w14:paraId="346F54D6" w14:textId="77777777" w:rsidR="00B66D10" w:rsidRDefault="00B66D10">
      <w:pPr>
        <w:spacing w:after="200" w:line="276" w:lineRule="auto"/>
      </w:pPr>
    </w:p>
    <w:p w14:paraId="2A2022B4" w14:textId="77777777" w:rsidR="00B66D10" w:rsidRDefault="00B66D10">
      <w:pPr>
        <w:spacing w:after="200" w:line="276" w:lineRule="auto"/>
      </w:pPr>
    </w:p>
    <w:p w14:paraId="0B034FD1" w14:textId="77777777" w:rsidR="00B66D10" w:rsidRDefault="00B66D10">
      <w:pPr>
        <w:spacing w:after="200" w:line="276" w:lineRule="auto"/>
      </w:pPr>
    </w:p>
    <w:p w14:paraId="03411899" w14:textId="77777777" w:rsidR="00B66D10" w:rsidRDefault="00B66D10">
      <w:pPr>
        <w:spacing w:after="200" w:line="276" w:lineRule="auto"/>
      </w:pPr>
    </w:p>
    <w:p w14:paraId="435D5159" w14:textId="77777777" w:rsidR="00B66D10" w:rsidRDefault="00B66D10">
      <w:pPr>
        <w:spacing w:after="200" w:line="276" w:lineRule="auto"/>
      </w:pPr>
    </w:p>
    <w:p w14:paraId="0D138651" w14:textId="77777777" w:rsidR="00B66D10" w:rsidRDefault="00B66D10">
      <w:pPr>
        <w:spacing w:after="200" w:line="276" w:lineRule="auto"/>
      </w:pPr>
    </w:p>
    <w:p w14:paraId="4D12CE61" w14:textId="77777777" w:rsidR="00B66D10" w:rsidRDefault="00B66D10">
      <w:pPr>
        <w:spacing w:after="200" w:line="276" w:lineRule="auto"/>
      </w:pPr>
    </w:p>
    <w:p w14:paraId="1EB0AD5E" w14:textId="77777777" w:rsidR="00B66D10" w:rsidRDefault="00B66D10">
      <w:pPr>
        <w:spacing w:after="200" w:line="276" w:lineRule="auto"/>
      </w:pPr>
    </w:p>
    <w:p w14:paraId="4F173001" w14:textId="77777777" w:rsidR="00B66D10" w:rsidRDefault="00B66D10" w:rsidP="00B66D10">
      <w:pPr>
        <w:spacing w:after="200" w:line="276" w:lineRule="auto"/>
      </w:pPr>
    </w:p>
    <w:p w14:paraId="513E7BDF" w14:textId="0D674D8F" w:rsidR="00530288" w:rsidRPr="00B66D10" w:rsidRDefault="00530288" w:rsidP="00B66D10">
      <w:pPr>
        <w:spacing w:after="200" w:line="276" w:lineRule="auto"/>
        <w:jc w:val="center"/>
        <w:rPr>
          <w:b/>
          <w:bCs/>
        </w:rPr>
      </w:pPr>
      <w:r w:rsidRPr="00B66D10">
        <w:rPr>
          <w:b/>
          <w:bCs/>
        </w:rPr>
        <w:lastRenderedPageBreak/>
        <w:t>Introduction</w:t>
      </w:r>
    </w:p>
    <w:p w14:paraId="108D2165" w14:textId="429E62BB" w:rsidR="00157F35" w:rsidRDefault="00000000">
      <w:pPr>
        <w:spacing w:after="200" w:line="276" w:lineRule="auto"/>
      </w:pPr>
      <w:r>
        <w:t>Human Resource (HR) functions in the United Kingdom face mounting pressure from rapid technological change, intense competition for talent, and rising expectations around diversity, equity and inclusion (DEI). Organisations that fail to adapt risk reduced performance, lower engagement and weakened long-term sustainability (Armstrong and Taylor, 2023). This formal report examines these three contemporary challenges within Tesco PLC, the UK’s largest private-sector employer with a global workforce of approximately 315,000 people (</w:t>
      </w:r>
      <w:proofErr w:type="spellStart"/>
      <w:r>
        <w:t>Revelio</w:t>
      </w:r>
      <w:proofErr w:type="spellEnd"/>
      <w:r>
        <w:t xml:space="preserve"> Labs, 2026).</w:t>
      </w:r>
    </w:p>
    <w:p w14:paraId="7EB49276" w14:textId="77777777" w:rsidR="00EA0E7B" w:rsidRDefault="00000000">
      <w:pPr>
        <w:spacing w:after="200" w:line="276" w:lineRule="auto"/>
      </w:pPr>
      <w:r>
        <w:t xml:space="preserve">The purpose of the report is to: </w:t>
      </w:r>
    </w:p>
    <w:p w14:paraId="3DB9CE1C" w14:textId="0B964E59" w:rsidR="00EA0E7B" w:rsidRDefault="00B66D10">
      <w:pPr>
        <w:spacing w:after="200" w:line="276" w:lineRule="auto"/>
      </w:pPr>
      <w:r>
        <w:t>1,</w:t>
      </w:r>
      <w:r w:rsidR="00000000">
        <w:t xml:space="preserve"> </w:t>
      </w:r>
      <w:r w:rsidR="00EA0E7B">
        <w:t>E</w:t>
      </w:r>
      <w:r w:rsidR="00000000">
        <w:t>xplain the organisational issues Tesco faces in adapting to technology, acquiring and retaining talent, and advancing DEI</w:t>
      </w:r>
      <w:r w:rsidR="00EA0E7B">
        <w:t>.</w:t>
      </w:r>
    </w:p>
    <w:p w14:paraId="11FCDFCC" w14:textId="5E5530E9" w:rsidR="00EA0E7B" w:rsidRDefault="00B66D10">
      <w:pPr>
        <w:spacing w:after="200" w:line="276" w:lineRule="auto"/>
      </w:pPr>
      <w:r>
        <w:t>2,</w:t>
      </w:r>
      <w:r w:rsidR="00000000">
        <w:t xml:space="preserve"> </w:t>
      </w:r>
      <w:r w:rsidR="00EA0E7B">
        <w:t>C</w:t>
      </w:r>
      <w:r w:rsidR="00000000">
        <w:t>ritically evaluate contemporary HR practices that can address these issues</w:t>
      </w:r>
      <w:r w:rsidR="00EA0E7B">
        <w:t>.</w:t>
      </w:r>
      <w:r w:rsidR="00000000">
        <w:t xml:space="preserve"> </w:t>
      </w:r>
    </w:p>
    <w:p w14:paraId="1146E5FA" w14:textId="4F7BD285" w:rsidR="00157F35" w:rsidRDefault="00B66D10">
      <w:pPr>
        <w:spacing w:after="200" w:line="276" w:lineRule="auto"/>
      </w:pPr>
      <w:r>
        <w:t xml:space="preserve">3, </w:t>
      </w:r>
      <w:r w:rsidR="00EA0E7B">
        <w:t>A</w:t>
      </w:r>
      <w:r w:rsidR="00000000">
        <w:t>nalyse how departmental managers can implement those practices effectively and urgently. The analysis draws on strategic HRM theory, recent empirical research, CIPD case evidence and Tesco’s own published materials. Real-world examples from Tesco are used throughout to demonstrate practical application and the limits of current approaches.</w:t>
      </w:r>
    </w:p>
    <w:p w14:paraId="06C8BBB7" w14:textId="77777777" w:rsidR="00530288" w:rsidRDefault="00530288">
      <w:pPr>
        <w:spacing w:after="200" w:line="276" w:lineRule="auto"/>
      </w:pPr>
    </w:p>
    <w:p w14:paraId="6ECA493E" w14:textId="2322BD66" w:rsidR="00530288" w:rsidRPr="00530288" w:rsidRDefault="00530288" w:rsidP="00530288">
      <w:pPr>
        <w:spacing w:after="200" w:line="276" w:lineRule="auto"/>
        <w:jc w:val="center"/>
        <w:rPr>
          <w:b/>
          <w:bCs/>
        </w:rPr>
      </w:pPr>
      <w:r w:rsidRPr="00530288">
        <w:rPr>
          <w:b/>
          <w:bCs/>
        </w:rPr>
        <w:t>Explanation of Key Factors</w:t>
      </w:r>
    </w:p>
    <w:p w14:paraId="4D8C86F8" w14:textId="77777777" w:rsidR="00530288" w:rsidRPr="00530288" w:rsidRDefault="00530288">
      <w:pPr>
        <w:spacing w:after="200" w:line="276" w:lineRule="auto"/>
        <w:rPr>
          <w:b/>
          <w:bCs/>
        </w:rPr>
      </w:pPr>
      <w:r w:rsidRPr="00530288">
        <w:rPr>
          <w:b/>
          <w:bCs/>
        </w:rPr>
        <w:t>Adapting to technological advancements</w:t>
      </w:r>
    </w:p>
    <w:p w14:paraId="4DCC9655" w14:textId="6693C229" w:rsidR="00157F35" w:rsidRDefault="00000000">
      <w:pPr>
        <w:spacing w:after="200" w:line="276" w:lineRule="auto"/>
      </w:pPr>
      <w:r>
        <w:t>Tesco is pursuing an ambitious digital transformation involving artificial intelligence, advanced analytics, automation and personalisation, including AI-powered Clubcard initiatives and multi-year efficiency programmes (</w:t>
      </w:r>
      <w:proofErr w:type="spellStart"/>
      <w:r>
        <w:t>InfotechLead</w:t>
      </w:r>
      <w:proofErr w:type="spellEnd"/>
      <w:r>
        <w:t>, 2026). These changes alter the skills required across stores, fulfilment centres and head-office functions. Roles that previously relied on manual routines now demand digital literacy and the ability to collaborate with automated systems (Armstrong and Taylor, 2023).</w:t>
      </w:r>
    </w:p>
    <w:p w14:paraId="3CB02B6C" w14:textId="77777777" w:rsidR="00157F35" w:rsidRDefault="00000000">
      <w:pPr>
        <w:spacing w:after="200" w:line="276" w:lineRule="auto"/>
      </w:pPr>
      <w:r>
        <w:t>The organisational issues are significant. Many frontline colleagues have limited prior exposure to advanced digital tools, creating a risk of skills polarisation. CIPD (2024) notes that differing levels of technology maturity across Tesco’s Group operations complicate the delivery of a consistent colleague experience. Unmanaged technological change can reduce productivity, increase error rates and generate anxiety that damages engagement. Long-term sustainability is threatened if Tesco cannot build a sufficiently agile workforce to realise returns on its technology investments and to compete with pure-play online retailers.</w:t>
      </w:r>
    </w:p>
    <w:p w14:paraId="428FB5DB" w14:textId="2A2C23FA" w:rsidR="00530288" w:rsidRPr="00530288" w:rsidRDefault="00530288">
      <w:pPr>
        <w:spacing w:after="200" w:line="276" w:lineRule="auto"/>
        <w:rPr>
          <w:b/>
          <w:bCs/>
        </w:rPr>
      </w:pPr>
      <w:r w:rsidRPr="00530288">
        <w:rPr>
          <w:b/>
          <w:bCs/>
        </w:rPr>
        <w:t>Talent Acquisition and Retention</w:t>
      </w:r>
    </w:p>
    <w:p w14:paraId="0DFFFE38" w14:textId="5F38FFFA" w:rsidR="00157F35" w:rsidRDefault="00000000">
      <w:pPr>
        <w:spacing w:after="200" w:line="276" w:lineRule="auto"/>
      </w:pPr>
      <w:r>
        <w:t>The UK retail labour market remains highly competitive. Tesco must attract and retain people across a wide spectrum of roles</w:t>
      </w:r>
      <w:r w:rsidR="00F47464">
        <w:t xml:space="preserve"> </w:t>
      </w:r>
      <w:r>
        <w:t>from store colleagues to data scientists and senior commercial leaders. Recent headcount adjustments have combined efficiency-driven reductions with the creation of new digitally oriented posts (The Grocer, 2026). High frontline turnover, competition from logistics and hospitality, and shortages of specialist technical skills create persistent acquisition and retention pressures (Armstrong and Taylor, 2023).</w:t>
      </w:r>
    </w:p>
    <w:p w14:paraId="30C850A2" w14:textId="77777777" w:rsidR="00157F35" w:rsidRDefault="00000000">
      <w:pPr>
        <w:spacing w:after="200" w:line="276" w:lineRule="auto"/>
      </w:pPr>
      <w:r>
        <w:lastRenderedPageBreak/>
        <w:t>These pressures affect performance through elevated recruitment costs, lost productivity during vacancies, and knowledge loss when experienced colleagues leave. Engagement suffers when career pathways appear limited or workloads intensify. Pay investments, including a 5.1 per cent above-inflation increase for hourly-paid colleagues in 2026, signal recognition of the retention challenge (Tesco PLC, 2026a). Nevertheless, structural labour-market constraints persist, and failure to secure the right talent risks capability gaps in areas central to Tesco’s strategy, such as data science and customer personalisation.</w:t>
      </w:r>
    </w:p>
    <w:p w14:paraId="49B2C34B" w14:textId="77777777" w:rsidR="00530288" w:rsidRDefault="00530288">
      <w:pPr>
        <w:spacing w:after="200" w:line="276" w:lineRule="auto"/>
      </w:pPr>
    </w:p>
    <w:p w14:paraId="60814BBD" w14:textId="5B438E31" w:rsidR="00530288" w:rsidRPr="00530288" w:rsidRDefault="00530288" w:rsidP="00530288">
      <w:pPr>
        <w:spacing w:after="200" w:line="276" w:lineRule="auto"/>
        <w:rPr>
          <w:b/>
          <w:bCs/>
        </w:rPr>
      </w:pPr>
      <w:r w:rsidRPr="00530288">
        <w:rPr>
          <w:b/>
          <w:bCs/>
        </w:rPr>
        <w:t>Diversity, equity and inclusion (DEI)</w:t>
      </w:r>
    </w:p>
    <w:p w14:paraId="59AF7400" w14:textId="3DA0E516" w:rsidR="00157F35" w:rsidRDefault="00000000">
      <w:pPr>
        <w:spacing w:after="200" w:line="276" w:lineRule="auto"/>
      </w:pPr>
      <w:r>
        <w:t>Tesco has publicly committed to an inclusive culture under the banner “Everyone’s Welcome”. The company has set measurable targets for female and ethnically diverse representation in senior leadership, achieved Disability Confident Leader status, and invested in programmes supporting Black colleagues, LGBTQ+ inclusion and social mobility (Tesco PLC, 2025; Tesco Careers, 2025). Colleague surveys report high perceived inclusion, with 86 per cent of respondents stating they can be themselves without fear of judgement.</w:t>
      </w:r>
    </w:p>
    <w:p w14:paraId="3B01FD04" w14:textId="30AC8B7B" w:rsidR="00157F35" w:rsidRDefault="00000000">
      <w:pPr>
        <w:spacing w:after="200" w:line="276" w:lineRule="auto"/>
      </w:pPr>
      <w:r>
        <w:t>Structural challenges remain. Representation gaps persist at senior levels, and socioeconomic background continues to influence career progression across UK retail (Social Mobility Commission, 2022; The Grocer, 2025). Bias can operate at multiple stages of the employment lifecycle, limiting both fairness and access to the full talent pool (Friedman, O’Brien and Laurison, 2017).</w:t>
      </w:r>
      <w:r w:rsidR="006B2959">
        <w:t xml:space="preserve"> Similarity within teams limits the range of views considered, superficial inclusion also drives down engagement and retention among </w:t>
      </w:r>
      <w:proofErr w:type="spellStart"/>
      <w:proofErr w:type="gramStart"/>
      <w:r w:rsidR="006B2959">
        <w:t>under represented</w:t>
      </w:r>
      <w:proofErr w:type="spellEnd"/>
      <w:proofErr w:type="gramEnd"/>
      <w:r w:rsidR="006B2959">
        <w:t xml:space="preserve"> groups</w:t>
      </w:r>
      <w:r>
        <w:t>. Strong DEI supports regulatory compliance, employer brand and the social licence to operate in an ESG-focused environment, making progress both a moral and a strategic imperative (Armstrong and Taylor, 2023).</w:t>
      </w:r>
    </w:p>
    <w:p w14:paraId="4D2A5030" w14:textId="77777777" w:rsidR="00530288" w:rsidRDefault="00530288" w:rsidP="00530288">
      <w:pPr>
        <w:spacing w:after="200" w:line="276" w:lineRule="auto"/>
        <w:jc w:val="center"/>
        <w:rPr>
          <w:b/>
          <w:bCs/>
        </w:rPr>
      </w:pPr>
    </w:p>
    <w:p w14:paraId="055C4DB9" w14:textId="77777777" w:rsidR="00B66D10" w:rsidRDefault="00B66D10" w:rsidP="00530288">
      <w:pPr>
        <w:spacing w:after="200" w:line="276" w:lineRule="auto"/>
        <w:jc w:val="center"/>
        <w:rPr>
          <w:b/>
          <w:bCs/>
        </w:rPr>
      </w:pPr>
    </w:p>
    <w:p w14:paraId="44F0AA9A" w14:textId="77777777" w:rsidR="00B66D10" w:rsidRDefault="00B66D10" w:rsidP="00530288">
      <w:pPr>
        <w:spacing w:after="200" w:line="276" w:lineRule="auto"/>
        <w:jc w:val="center"/>
        <w:rPr>
          <w:b/>
          <w:bCs/>
        </w:rPr>
      </w:pPr>
    </w:p>
    <w:p w14:paraId="705C2982" w14:textId="77777777" w:rsidR="00B66D10" w:rsidRDefault="00B66D10" w:rsidP="00530288">
      <w:pPr>
        <w:spacing w:after="200" w:line="276" w:lineRule="auto"/>
        <w:jc w:val="center"/>
        <w:rPr>
          <w:b/>
          <w:bCs/>
        </w:rPr>
      </w:pPr>
    </w:p>
    <w:p w14:paraId="20C79967" w14:textId="77777777" w:rsidR="00B66D10" w:rsidRDefault="00B66D10" w:rsidP="00530288">
      <w:pPr>
        <w:spacing w:after="200" w:line="276" w:lineRule="auto"/>
        <w:jc w:val="center"/>
        <w:rPr>
          <w:b/>
          <w:bCs/>
        </w:rPr>
      </w:pPr>
    </w:p>
    <w:p w14:paraId="65838B4B" w14:textId="77777777" w:rsidR="00B66D10" w:rsidRDefault="00B66D10" w:rsidP="00530288">
      <w:pPr>
        <w:spacing w:after="200" w:line="276" w:lineRule="auto"/>
        <w:jc w:val="center"/>
        <w:rPr>
          <w:b/>
          <w:bCs/>
        </w:rPr>
      </w:pPr>
    </w:p>
    <w:p w14:paraId="12CD3A5C" w14:textId="77777777" w:rsidR="00B66D10" w:rsidRDefault="00B66D10" w:rsidP="00530288">
      <w:pPr>
        <w:spacing w:after="200" w:line="276" w:lineRule="auto"/>
        <w:jc w:val="center"/>
        <w:rPr>
          <w:b/>
          <w:bCs/>
        </w:rPr>
      </w:pPr>
    </w:p>
    <w:p w14:paraId="6DACA76D" w14:textId="77777777" w:rsidR="00B66D10" w:rsidRDefault="00B66D10" w:rsidP="00530288">
      <w:pPr>
        <w:spacing w:after="200" w:line="276" w:lineRule="auto"/>
        <w:jc w:val="center"/>
        <w:rPr>
          <w:b/>
          <w:bCs/>
        </w:rPr>
      </w:pPr>
    </w:p>
    <w:p w14:paraId="7C8507A1" w14:textId="77777777" w:rsidR="00B66D10" w:rsidRDefault="00B66D10" w:rsidP="00530288">
      <w:pPr>
        <w:spacing w:after="200" w:line="276" w:lineRule="auto"/>
        <w:jc w:val="center"/>
        <w:rPr>
          <w:b/>
          <w:bCs/>
        </w:rPr>
      </w:pPr>
    </w:p>
    <w:p w14:paraId="3515C4A9" w14:textId="77777777" w:rsidR="00B66D10" w:rsidRDefault="00B66D10" w:rsidP="00530288">
      <w:pPr>
        <w:spacing w:after="200" w:line="276" w:lineRule="auto"/>
        <w:jc w:val="center"/>
        <w:rPr>
          <w:b/>
          <w:bCs/>
        </w:rPr>
      </w:pPr>
    </w:p>
    <w:p w14:paraId="6504E5F7" w14:textId="77777777" w:rsidR="00B66D10" w:rsidRDefault="00B66D10" w:rsidP="00530288">
      <w:pPr>
        <w:spacing w:after="200" w:line="276" w:lineRule="auto"/>
        <w:jc w:val="center"/>
        <w:rPr>
          <w:b/>
          <w:bCs/>
        </w:rPr>
      </w:pPr>
    </w:p>
    <w:p w14:paraId="2EE506F5" w14:textId="77777777" w:rsidR="00B66D10" w:rsidRDefault="00B66D10" w:rsidP="00530288">
      <w:pPr>
        <w:spacing w:after="200" w:line="276" w:lineRule="auto"/>
        <w:jc w:val="center"/>
        <w:rPr>
          <w:b/>
          <w:bCs/>
        </w:rPr>
      </w:pPr>
    </w:p>
    <w:p w14:paraId="45EB83E5" w14:textId="07F72221" w:rsidR="00530288" w:rsidRDefault="00530288" w:rsidP="00530288">
      <w:pPr>
        <w:spacing w:after="200" w:line="276" w:lineRule="auto"/>
        <w:jc w:val="center"/>
        <w:rPr>
          <w:b/>
          <w:bCs/>
        </w:rPr>
      </w:pPr>
      <w:r w:rsidRPr="00530288">
        <w:rPr>
          <w:b/>
          <w:bCs/>
        </w:rPr>
        <w:lastRenderedPageBreak/>
        <w:t>Evaluation of Contemporary HR practices</w:t>
      </w:r>
    </w:p>
    <w:p w14:paraId="38865960" w14:textId="77777777" w:rsidR="00B66D10" w:rsidRPr="00530288" w:rsidRDefault="00B66D10" w:rsidP="00530288">
      <w:pPr>
        <w:spacing w:after="200" w:line="276" w:lineRule="auto"/>
        <w:jc w:val="center"/>
        <w:rPr>
          <w:b/>
          <w:bCs/>
        </w:rPr>
      </w:pPr>
    </w:p>
    <w:p w14:paraId="427C3948" w14:textId="3736139D" w:rsidR="00530288" w:rsidRPr="00530288" w:rsidRDefault="00530288">
      <w:pPr>
        <w:spacing w:after="200" w:line="276" w:lineRule="auto"/>
        <w:rPr>
          <w:b/>
          <w:bCs/>
        </w:rPr>
      </w:pPr>
      <w:r w:rsidRPr="00530288">
        <w:rPr>
          <w:b/>
          <w:bCs/>
        </w:rPr>
        <w:t>Digital HR Systems and Workforce Analytics</w:t>
      </w:r>
    </w:p>
    <w:p w14:paraId="3374B692" w14:textId="65D698EC" w:rsidR="00157F35" w:rsidRDefault="00000000">
      <w:pPr>
        <w:spacing w:after="200" w:line="276" w:lineRule="auto"/>
      </w:pPr>
      <w:r>
        <w:t xml:space="preserve">Contemporary practice centres on </w:t>
      </w:r>
      <w:r w:rsidR="006B2959">
        <w:t>unified</w:t>
      </w:r>
      <w:r>
        <w:t xml:space="preserve"> digital HR platforms and workforce analytics for skills mapping, predictive turnover modelling and personalised learning. Tesco’s people operating model transformation has emphasised digital enablement, self-service tools and future-skills partners (CIPD, 2024). More recent partnerships that embed AI-powered employee listening further illustrate the shift toward continuous, insight-led people management (</w:t>
      </w:r>
      <w:proofErr w:type="spellStart"/>
      <w:r>
        <w:t>Perceptyx</w:t>
      </w:r>
      <w:proofErr w:type="spellEnd"/>
      <w:r>
        <w:t>, 2026).</w:t>
      </w:r>
    </w:p>
    <w:p w14:paraId="1F8CCB3E" w14:textId="33C9A081" w:rsidR="00157F35" w:rsidRDefault="00000000">
      <w:pPr>
        <w:spacing w:after="200" w:line="276" w:lineRule="auto"/>
      </w:pPr>
      <w:r>
        <w:t xml:space="preserve">Strengths include greater speed and consistency of decision-making, identification of skill gaps, and reduced administrative </w:t>
      </w:r>
      <w:r w:rsidR="006B2959">
        <w:t>load</w:t>
      </w:r>
      <w:r>
        <w:t xml:space="preserve"> (Marler and Boudreau, 2017). Analytics can link people data to business outcomes and support strategic workforce planning. Limitations are equally important. Implementation costs are high</w:t>
      </w:r>
      <w:r w:rsidR="006B2959">
        <w:t>,</w:t>
      </w:r>
      <w:r>
        <w:t xml:space="preserve"> data quality and privacy (including GDPR) require robust governance; and algorithmic bias can reinforce historical patterns of disadvantage if training data are unrepresentative (Armstrong and Taylor, 2023). In a large multi-site retailer, uneven digital maturity across stores and distribution centres can produce inconsistent colleague experiences. Effectiveness therefore depends on complementary investment in digital skills, change management and ethical oversight</w:t>
      </w:r>
      <w:r w:rsidR="006B2959">
        <w:t xml:space="preserve"> </w:t>
      </w:r>
      <w:r>
        <w:t>areas where Tesco still faces variation across its operations.</w:t>
      </w:r>
    </w:p>
    <w:p w14:paraId="07ADBA6A" w14:textId="77777777" w:rsidR="00530288" w:rsidRPr="00530288" w:rsidRDefault="00530288">
      <w:pPr>
        <w:spacing w:after="200" w:line="276" w:lineRule="auto"/>
        <w:rPr>
          <w:b/>
          <w:bCs/>
        </w:rPr>
      </w:pPr>
      <w:r w:rsidRPr="00530288">
        <w:rPr>
          <w:b/>
          <w:bCs/>
        </w:rPr>
        <w:t>Employer Branding, Strategic Workforce planning and Retention Strategies</w:t>
      </w:r>
    </w:p>
    <w:p w14:paraId="6658AA6E" w14:textId="3AC181FF" w:rsidR="00157F35" w:rsidRDefault="00000000">
      <w:pPr>
        <w:spacing w:after="200" w:line="276" w:lineRule="auto"/>
      </w:pPr>
      <w:r>
        <w:t>Employer branding that emphasises career development, flexibility and inclusive culture, combined with rigorous strategic workforce planning, forms a second cluster of practices. Tesco’s global careers platform, centralised recruitment processes and above</w:t>
      </w:r>
      <w:r w:rsidR="006B2959">
        <w:t xml:space="preserve"> </w:t>
      </w:r>
      <w:r>
        <w:t xml:space="preserve">inflation pay awards form part of a </w:t>
      </w:r>
      <w:r w:rsidR="006B2959">
        <w:t>wider</w:t>
      </w:r>
      <w:r>
        <w:t xml:space="preserve"> employee value proposition (Tesco PLC, 2026b). Strategic workforce planning that anticipates both demand </w:t>
      </w:r>
      <w:r w:rsidR="006B2959">
        <w:t>variations</w:t>
      </w:r>
      <w:r>
        <w:t xml:space="preserve"> and evolving skill requirements enables more proactive resourcing decisions (Armstrong and Taylor, 2023).</w:t>
      </w:r>
    </w:p>
    <w:p w14:paraId="728F3B2A" w14:textId="4CB60452" w:rsidR="00157F35" w:rsidRDefault="00000000">
      <w:pPr>
        <w:spacing w:after="200" w:line="276" w:lineRule="auto"/>
      </w:pPr>
      <w:r>
        <w:t>These practices are effective when they create a coherent and credible “deal” that differentiates the organisation in a competitive labour market. Strengths include improved candidate quality, reduced time-to-hire for critical roles, and higher retention where career pathways are visible. Limitations include the difficulty of overcoming sector</w:t>
      </w:r>
      <w:r w:rsidR="006B2959">
        <w:t xml:space="preserve"> </w:t>
      </w:r>
      <w:r>
        <w:t>wide perceptions of retail work, the cost of sustained investment in pay and benefits, and the risk that branding messages become hollow if internal mobility and development opportunities remain limited. Critical evaluation suggests that branding and planning are necessary but insufficient unless underpinned by authentic career architecture and competitive total reward (Armstrong and Taylor, 2023).</w:t>
      </w:r>
    </w:p>
    <w:p w14:paraId="3C255C32" w14:textId="77777777" w:rsidR="00530288" w:rsidRPr="00530288" w:rsidRDefault="00530288">
      <w:pPr>
        <w:spacing w:after="200" w:line="276" w:lineRule="auto"/>
        <w:rPr>
          <w:b/>
          <w:bCs/>
        </w:rPr>
      </w:pPr>
    </w:p>
    <w:p w14:paraId="3B4FBC1F" w14:textId="7CF0C793" w:rsidR="00530288" w:rsidRPr="00530288" w:rsidRDefault="00530288">
      <w:pPr>
        <w:spacing w:after="200" w:line="276" w:lineRule="auto"/>
        <w:rPr>
          <w:b/>
          <w:bCs/>
        </w:rPr>
      </w:pPr>
      <w:r w:rsidRPr="00530288">
        <w:rPr>
          <w:b/>
          <w:bCs/>
        </w:rPr>
        <w:t>Inclusive Recruitment Practices and DEI Leadership Development</w:t>
      </w:r>
    </w:p>
    <w:p w14:paraId="0186D261" w14:textId="6C246B1F" w:rsidR="00157F35" w:rsidRDefault="00000000">
      <w:pPr>
        <w:spacing w:after="200" w:line="276" w:lineRule="auto"/>
      </w:pPr>
      <w:r>
        <w:t>Inclusive recruitment practices</w:t>
      </w:r>
      <w:r w:rsidR="00F47464">
        <w:t xml:space="preserve"> </w:t>
      </w:r>
      <w:r>
        <w:t>diverse talent pools, bias</w:t>
      </w:r>
      <w:r w:rsidR="006B2959">
        <w:t xml:space="preserve"> </w:t>
      </w:r>
      <w:r>
        <w:t xml:space="preserve">aware hiring guides, accessible careers platforms and targeted early-careers </w:t>
      </w:r>
      <w:r w:rsidR="006B2959">
        <w:t>programmes together</w:t>
      </w:r>
      <w:r>
        <w:t xml:space="preserve"> with leadership development for under-represented groups, constitute core contemporary responses to DEI challenges. Tesco has introduced a global careers site designed for accessibility, centralised </w:t>
      </w:r>
      <w:r>
        <w:lastRenderedPageBreak/>
        <w:t>screening for fairness, and programmes supporting women, Black colleagues and candidates from disadvantaged backgrounds (Tesco PLC, 2025; Tesco Careers, 2025).</w:t>
      </w:r>
    </w:p>
    <w:p w14:paraId="2C417A21" w14:textId="04B3095C" w:rsidR="00157F35" w:rsidRDefault="00000000">
      <w:pPr>
        <w:spacing w:after="200" w:line="276" w:lineRule="auto"/>
      </w:pPr>
      <w:r>
        <w:t>Strengths lie in the potential to widen the talent pipeline, reduce systemic bias and signal organisational commitment, thereby enhancing engagement and external reputation. Leadership development that builds inclusive behaviours at scale can shift culture over time. Limitations include the risk of tokenism if numerical targets are pursued without cultural change</w:t>
      </w:r>
      <w:r w:rsidR="006B2959">
        <w:t>,</w:t>
      </w:r>
      <w:r>
        <w:t xml:space="preserve"> measurement difficulties in capturing true inclusion beyond demographic metrics and inconsistency of application across a large hierarchical organisation. Research shows that non</w:t>
      </w:r>
      <w:r w:rsidR="006B2959">
        <w:t xml:space="preserve"> </w:t>
      </w:r>
      <w:r>
        <w:t>meritocratic factors continue to influence access to higher</w:t>
      </w:r>
      <w:r w:rsidR="006B2959">
        <w:t xml:space="preserve"> </w:t>
      </w:r>
      <w:r>
        <w:t>level roles and that individuals from less advantaged backgrounds often need to demonstrate higher levels of “merit” to achieve equivalent outcomes (Breen and Goldthorpe, 1999; Friedman, O’Brien and Laurison, 2017). While Tesco’s practices are progressive relative to many peers, their ultimate effectiveness depends on sustained accountability, cultural embedding and attention to intersectional barriers, including socio-economic background (Social Mobility Commission, 2022).</w:t>
      </w:r>
    </w:p>
    <w:p w14:paraId="24999B52" w14:textId="77777777" w:rsidR="00530288" w:rsidRDefault="00530288" w:rsidP="00530288">
      <w:pPr>
        <w:spacing w:after="200" w:line="276" w:lineRule="auto"/>
        <w:jc w:val="center"/>
        <w:rPr>
          <w:b/>
          <w:bCs/>
        </w:rPr>
      </w:pPr>
    </w:p>
    <w:p w14:paraId="71F37C2C" w14:textId="77777777" w:rsidR="00530288" w:rsidRDefault="00530288" w:rsidP="00530288">
      <w:pPr>
        <w:spacing w:after="200" w:line="276" w:lineRule="auto"/>
        <w:jc w:val="center"/>
        <w:rPr>
          <w:b/>
          <w:bCs/>
        </w:rPr>
      </w:pPr>
    </w:p>
    <w:p w14:paraId="19692C87" w14:textId="77777777" w:rsidR="00530288" w:rsidRDefault="00530288" w:rsidP="00530288">
      <w:pPr>
        <w:spacing w:after="200" w:line="276" w:lineRule="auto"/>
        <w:jc w:val="center"/>
        <w:rPr>
          <w:b/>
          <w:bCs/>
        </w:rPr>
      </w:pPr>
    </w:p>
    <w:p w14:paraId="48FBC526" w14:textId="77777777" w:rsidR="00530288" w:rsidRDefault="00530288" w:rsidP="00530288">
      <w:pPr>
        <w:spacing w:after="200" w:line="276" w:lineRule="auto"/>
        <w:jc w:val="center"/>
        <w:rPr>
          <w:b/>
          <w:bCs/>
        </w:rPr>
      </w:pPr>
    </w:p>
    <w:p w14:paraId="1AB87726" w14:textId="77777777" w:rsidR="00B66D10" w:rsidRDefault="00B66D10" w:rsidP="00530288">
      <w:pPr>
        <w:spacing w:after="200" w:line="276" w:lineRule="auto"/>
        <w:jc w:val="center"/>
        <w:rPr>
          <w:b/>
          <w:bCs/>
        </w:rPr>
      </w:pPr>
    </w:p>
    <w:p w14:paraId="21F89EDC" w14:textId="77777777" w:rsidR="00B66D10" w:rsidRDefault="00B66D10" w:rsidP="00530288">
      <w:pPr>
        <w:spacing w:after="200" w:line="276" w:lineRule="auto"/>
        <w:jc w:val="center"/>
        <w:rPr>
          <w:b/>
          <w:bCs/>
        </w:rPr>
      </w:pPr>
    </w:p>
    <w:p w14:paraId="6241CA6D" w14:textId="77777777" w:rsidR="00B66D10" w:rsidRDefault="00B66D10" w:rsidP="00530288">
      <w:pPr>
        <w:spacing w:after="200" w:line="276" w:lineRule="auto"/>
        <w:jc w:val="center"/>
        <w:rPr>
          <w:b/>
          <w:bCs/>
        </w:rPr>
      </w:pPr>
    </w:p>
    <w:p w14:paraId="37E2C2B4" w14:textId="77777777" w:rsidR="00B66D10" w:rsidRDefault="00B66D10" w:rsidP="00530288">
      <w:pPr>
        <w:spacing w:after="200" w:line="276" w:lineRule="auto"/>
        <w:jc w:val="center"/>
        <w:rPr>
          <w:b/>
          <w:bCs/>
        </w:rPr>
      </w:pPr>
    </w:p>
    <w:p w14:paraId="6AD5DA16" w14:textId="77777777" w:rsidR="00B66D10" w:rsidRDefault="00B66D10" w:rsidP="00530288">
      <w:pPr>
        <w:spacing w:after="200" w:line="276" w:lineRule="auto"/>
        <w:jc w:val="center"/>
        <w:rPr>
          <w:b/>
          <w:bCs/>
        </w:rPr>
      </w:pPr>
    </w:p>
    <w:p w14:paraId="41454266" w14:textId="77777777" w:rsidR="00B66D10" w:rsidRDefault="00B66D10" w:rsidP="00530288">
      <w:pPr>
        <w:spacing w:after="200" w:line="276" w:lineRule="auto"/>
        <w:jc w:val="center"/>
        <w:rPr>
          <w:b/>
          <w:bCs/>
        </w:rPr>
      </w:pPr>
    </w:p>
    <w:p w14:paraId="414366B7" w14:textId="77777777" w:rsidR="00B66D10" w:rsidRDefault="00B66D10" w:rsidP="00530288">
      <w:pPr>
        <w:spacing w:after="200" w:line="276" w:lineRule="auto"/>
        <w:jc w:val="center"/>
        <w:rPr>
          <w:b/>
          <w:bCs/>
        </w:rPr>
      </w:pPr>
    </w:p>
    <w:p w14:paraId="0E9C70DA" w14:textId="77777777" w:rsidR="00B66D10" w:rsidRDefault="00B66D10" w:rsidP="00530288">
      <w:pPr>
        <w:spacing w:after="200" w:line="276" w:lineRule="auto"/>
        <w:jc w:val="center"/>
        <w:rPr>
          <w:b/>
          <w:bCs/>
        </w:rPr>
      </w:pPr>
    </w:p>
    <w:p w14:paraId="3D3C581D" w14:textId="77777777" w:rsidR="00B66D10" w:rsidRDefault="00B66D10" w:rsidP="00530288">
      <w:pPr>
        <w:spacing w:after="200" w:line="276" w:lineRule="auto"/>
        <w:jc w:val="center"/>
        <w:rPr>
          <w:b/>
          <w:bCs/>
        </w:rPr>
      </w:pPr>
    </w:p>
    <w:p w14:paraId="489DC559" w14:textId="77777777" w:rsidR="00B66D10" w:rsidRDefault="00B66D10" w:rsidP="00530288">
      <w:pPr>
        <w:spacing w:after="200" w:line="276" w:lineRule="auto"/>
        <w:jc w:val="center"/>
        <w:rPr>
          <w:b/>
          <w:bCs/>
        </w:rPr>
      </w:pPr>
    </w:p>
    <w:p w14:paraId="4E4FBA71" w14:textId="77777777" w:rsidR="00B66D10" w:rsidRDefault="00B66D10" w:rsidP="00530288">
      <w:pPr>
        <w:spacing w:after="200" w:line="276" w:lineRule="auto"/>
        <w:jc w:val="center"/>
        <w:rPr>
          <w:b/>
          <w:bCs/>
        </w:rPr>
      </w:pPr>
    </w:p>
    <w:p w14:paraId="020B7271" w14:textId="77777777" w:rsidR="00B66D10" w:rsidRDefault="00B66D10" w:rsidP="00530288">
      <w:pPr>
        <w:spacing w:after="200" w:line="276" w:lineRule="auto"/>
        <w:jc w:val="center"/>
        <w:rPr>
          <w:b/>
          <w:bCs/>
        </w:rPr>
      </w:pPr>
    </w:p>
    <w:p w14:paraId="753D1E0E" w14:textId="77777777" w:rsidR="00B66D10" w:rsidRDefault="00B66D10" w:rsidP="00530288">
      <w:pPr>
        <w:spacing w:after="200" w:line="276" w:lineRule="auto"/>
        <w:jc w:val="center"/>
        <w:rPr>
          <w:b/>
          <w:bCs/>
        </w:rPr>
      </w:pPr>
    </w:p>
    <w:p w14:paraId="37785D24" w14:textId="77777777" w:rsidR="00B66D10" w:rsidRDefault="00B66D10" w:rsidP="00530288">
      <w:pPr>
        <w:spacing w:after="200" w:line="276" w:lineRule="auto"/>
        <w:jc w:val="center"/>
        <w:rPr>
          <w:b/>
          <w:bCs/>
        </w:rPr>
      </w:pPr>
    </w:p>
    <w:p w14:paraId="72C438D3" w14:textId="77777777" w:rsidR="00B66D10" w:rsidRDefault="00B66D10" w:rsidP="00530288">
      <w:pPr>
        <w:spacing w:after="200" w:line="276" w:lineRule="auto"/>
        <w:jc w:val="center"/>
        <w:rPr>
          <w:b/>
          <w:bCs/>
        </w:rPr>
      </w:pPr>
    </w:p>
    <w:p w14:paraId="72A719EA" w14:textId="1F9A0526" w:rsidR="00530288" w:rsidRDefault="00530288" w:rsidP="00530288">
      <w:pPr>
        <w:spacing w:after="200" w:line="276" w:lineRule="auto"/>
        <w:jc w:val="center"/>
        <w:rPr>
          <w:b/>
          <w:bCs/>
        </w:rPr>
      </w:pPr>
      <w:r w:rsidRPr="00530288">
        <w:rPr>
          <w:b/>
          <w:bCs/>
        </w:rPr>
        <w:lastRenderedPageBreak/>
        <w:t>Critical Evaluation of Managerial Implementation</w:t>
      </w:r>
    </w:p>
    <w:p w14:paraId="2D0FFB6E" w14:textId="73AA9871" w:rsidR="00157F35" w:rsidRDefault="00000000">
      <w:pPr>
        <w:spacing w:after="200" w:line="276" w:lineRule="auto"/>
      </w:pPr>
      <w:r>
        <w:t>Departmental managers occupy a pivotal position in translating contemporary HR practices into day-to-day reality. Without their active ownership, even well-designed systems risk remaining largely symbolic (Armstrong and Taylor, 2023). Implementation must therefore be treated as a matter of urgency if Tesco is to realise performance, engagement and sustainability benefits.</w:t>
      </w:r>
    </w:p>
    <w:p w14:paraId="36510D9D" w14:textId="77777777" w:rsidR="00530288" w:rsidRPr="006B2959" w:rsidRDefault="00530288">
      <w:pPr>
        <w:spacing w:after="200" w:line="276" w:lineRule="auto"/>
        <w:rPr>
          <w:b/>
          <w:bCs/>
        </w:rPr>
      </w:pPr>
      <w:r w:rsidRPr="006B2959">
        <w:rPr>
          <w:b/>
          <w:bCs/>
        </w:rPr>
        <w:t>Leadership Accountability</w:t>
      </w:r>
    </w:p>
    <w:p w14:paraId="3F138343" w14:textId="2AD130FC" w:rsidR="00157F35" w:rsidRDefault="00000000">
      <w:pPr>
        <w:spacing w:after="200" w:line="276" w:lineRule="auto"/>
      </w:pPr>
      <w:r>
        <w:t>Accountability requires that managers own clear, measurable outcomes related to technology adoption, retention and DEI within their areas of responsibility. Linking these outcomes to performance objectives and, where appropriate, reward creates alignment. Tesco’s shift toward more strategic people partnering supports this by providing managers with insight and challenge rather than purely transactional support (CIPD, 2024). Critically, however, accountability without capability or resources can generate defensive behaviour or superficial compliance. Effective implementation therefore demands that senior leaders model expected behaviours, resource managers adequately, and hold both success and failure to account in a developmental rather than purely punitive manner.</w:t>
      </w:r>
    </w:p>
    <w:p w14:paraId="02716344" w14:textId="77777777" w:rsidR="00530288" w:rsidRPr="006B2959" w:rsidRDefault="00530288">
      <w:pPr>
        <w:spacing w:after="200" w:line="276" w:lineRule="auto"/>
        <w:rPr>
          <w:b/>
          <w:bCs/>
        </w:rPr>
      </w:pPr>
      <w:r w:rsidRPr="006B2959">
        <w:rPr>
          <w:b/>
          <w:bCs/>
        </w:rPr>
        <w:t>Communication Strategies</w:t>
      </w:r>
    </w:p>
    <w:p w14:paraId="023A116A" w14:textId="1216741E" w:rsidR="00157F35" w:rsidRDefault="00000000">
      <w:pPr>
        <w:spacing w:after="200" w:line="276" w:lineRule="auto"/>
      </w:pPr>
      <w:r>
        <w:t>Transparent, two-way communication is essential to reduce uncertainty during technological change, surface retention risks and make DEI expectations concrete. Managers need to explain the rationale behind new systems and practices, listen to concerns, and translate corporate messages into local relevance. In a geographically dispersed retailer, cascade processes can dilute or distort messages. Communication is most effective when continuous rather than episodic, when it uses multiple channels appropriate to different colleague groups, and when it is reinforced by visible managerial behaviour. Failure to close the feedback loop risks cynicism and disengagement (Armstrong and Taylor, 2023).</w:t>
      </w:r>
    </w:p>
    <w:p w14:paraId="71186712" w14:textId="6935A51E" w:rsidR="00EA0E7B" w:rsidRPr="006B2959" w:rsidRDefault="00EA0E7B">
      <w:pPr>
        <w:spacing w:after="200" w:line="276" w:lineRule="auto"/>
        <w:rPr>
          <w:b/>
          <w:bCs/>
        </w:rPr>
      </w:pPr>
      <w:r w:rsidRPr="006B2959">
        <w:rPr>
          <w:b/>
          <w:bCs/>
        </w:rPr>
        <w:t xml:space="preserve">Monitoring, Performance Measurement and Organisational Culture </w:t>
      </w:r>
    </w:p>
    <w:p w14:paraId="7FB770A4" w14:textId="0B26F883" w:rsidR="00157F35" w:rsidRDefault="00000000">
      <w:pPr>
        <w:spacing w:after="200" w:line="276" w:lineRule="auto"/>
      </w:pPr>
      <w:r>
        <w:t>Regular monitoring through dashboards, pulse surveys and people analytics enables early identification of implementation gaps. Metrics should cover leading indicators (completion of digital upskilling, quality of hiring panels, inclusive leadership behaviours) as well as lagging outcomes (turnover, representation and engagement scores). Over-reliance on quantitative metrics can produce a “tick-box” culture that neglects qualitative experience (Marler and Boudreau, 2017). Organisational culture ultimately determines whether practices take root. A culture that values learning, psychological safety and constructive challenge will accelerate adoption; a culture of blame or short-termism will impede it. Managers shape culture daily through the behaviours they reward, ignore or sanction.</w:t>
      </w:r>
    </w:p>
    <w:p w14:paraId="77FFFFA1" w14:textId="77777777" w:rsidR="006B2959" w:rsidRDefault="006B2959">
      <w:pPr>
        <w:spacing w:after="200" w:line="276" w:lineRule="auto"/>
        <w:rPr>
          <w:b/>
          <w:bCs/>
        </w:rPr>
      </w:pPr>
    </w:p>
    <w:p w14:paraId="4ED0E5D9" w14:textId="637AC5B8" w:rsidR="00EA0E7B" w:rsidRPr="00EA0E7B" w:rsidRDefault="00EA0E7B">
      <w:pPr>
        <w:spacing w:after="200" w:line="276" w:lineRule="auto"/>
        <w:rPr>
          <w:b/>
          <w:bCs/>
        </w:rPr>
      </w:pPr>
      <w:r w:rsidRPr="00EA0E7B">
        <w:rPr>
          <w:b/>
          <w:bCs/>
        </w:rPr>
        <w:t>Barriers and How They Can Be Overcome</w:t>
      </w:r>
    </w:p>
    <w:p w14:paraId="4F0694A7" w14:textId="3CB7FF15" w:rsidR="00157F35" w:rsidRDefault="00000000">
      <w:pPr>
        <w:spacing w:after="200" w:line="276" w:lineRule="auto"/>
      </w:pPr>
      <w:r>
        <w:t xml:space="preserve">Key barriers include time pressure on store and operational managers, variable digital and people-management capability, resource constraints, and residual cultural resistance to change or to DEI initiatives. These barriers are systemic rather than purely individual. Overcoming them requires targeted capability-building (including change-management </w:t>
      </w:r>
      <w:r>
        <w:lastRenderedPageBreak/>
        <w:t xml:space="preserve">skills), simplification of processes so that “the right way is the easy way”, dedicated project support for major transitions, and visible senior sponsorship that protects implementation time. Phased </w:t>
      </w:r>
      <w:r w:rsidR="006B2959">
        <w:t>rollouts</w:t>
      </w:r>
      <w:r>
        <w:t xml:space="preserve"> with rapid feedback loops allow learning and adjustment. Treating barriers as technical problems to be solved, rather than as resistance to be overcome, increases the likelihood of sustainable adoption (CIPD, 2024; Armstrong and Taylor, 2023).</w:t>
      </w:r>
    </w:p>
    <w:p w14:paraId="6FD4AF6E" w14:textId="77777777" w:rsidR="006B2959" w:rsidRDefault="006B2959" w:rsidP="006B2959">
      <w:pPr>
        <w:spacing w:after="200" w:line="276" w:lineRule="auto"/>
        <w:jc w:val="center"/>
        <w:rPr>
          <w:b/>
          <w:bCs/>
        </w:rPr>
      </w:pPr>
    </w:p>
    <w:p w14:paraId="07B4FEC5" w14:textId="32FEB0E2" w:rsidR="00EA0E7B" w:rsidRPr="006B2959" w:rsidRDefault="00EA0E7B" w:rsidP="006B2959">
      <w:pPr>
        <w:spacing w:after="200" w:line="276" w:lineRule="auto"/>
        <w:jc w:val="center"/>
        <w:rPr>
          <w:b/>
          <w:bCs/>
        </w:rPr>
      </w:pPr>
      <w:r w:rsidRPr="006B2959">
        <w:rPr>
          <w:b/>
          <w:bCs/>
        </w:rPr>
        <w:t>Conclusion and Recommendations</w:t>
      </w:r>
    </w:p>
    <w:p w14:paraId="695D4EBC" w14:textId="4D9CFCF7" w:rsidR="00157F35" w:rsidRDefault="00000000">
      <w:pPr>
        <w:spacing w:after="200" w:line="276" w:lineRule="auto"/>
      </w:pPr>
      <w:r>
        <w:t xml:space="preserve">This report has examined three interconnected contemporary HR challenges facing Tesco PLC: adapting to technological advancements, securing and retaining talent, and advancing diversity, equity and inclusion. Each challenge carries significant implications for organisational performance, employee engagement and </w:t>
      </w:r>
      <w:proofErr w:type="gramStart"/>
      <w:r>
        <w:t>long</w:t>
      </w:r>
      <w:r w:rsidR="006B2959">
        <w:t xml:space="preserve"> </w:t>
      </w:r>
      <w:r>
        <w:t>term</w:t>
      </w:r>
      <w:proofErr w:type="gramEnd"/>
      <w:r>
        <w:t xml:space="preserve"> sustainability. Contemporary practices</w:t>
      </w:r>
      <w:r w:rsidR="006B2959">
        <w:t xml:space="preserve"> </w:t>
      </w:r>
      <w:r>
        <w:t>digital HR systems and analytics, employer branding and strategic workforce planning, and inclusive recruitment combined with leadership development</w:t>
      </w:r>
      <w:r w:rsidR="006B2959">
        <w:t xml:space="preserve"> </w:t>
      </w:r>
      <w:r>
        <w:t>offer promising responses, yet each carries limitations related to cost, consistency, cultural embedding and the risk of superficial implementation. Departmental managers are central to turning policy into practice; their accountability, communication, monitoring and cultural leadership will determine whether urgency translates into lasting change.</w:t>
      </w:r>
    </w:p>
    <w:p w14:paraId="3BA26EA5" w14:textId="77777777" w:rsidR="00157F35" w:rsidRDefault="00000000">
      <w:pPr>
        <w:spacing w:after="120" w:line="276" w:lineRule="auto"/>
      </w:pPr>
      <w:r>
        <w:t>The following practical recommendations are offered:</w:t>
      </w:r>
    </w:p>
    <w:p w14:paraId="617B7C71" w14:textId="77777777" w:rsidR="00157F35" w:rsidRDefault="00000000">
      <w:pPr>
        <w:pStyle w:val="ListParagraph"/>
        <w:numPr>
          <w:ilvl w:val="0"/>
          <w:numId w:val="2"/>
        </w:numPr>
        <w:spacing w:after="120" w:line="276" w:lineRule="auto"/>
      </w:pPr>
      <w:r>
        <w:t>Accelerate the rollout of integrated digital HR and skills platforms, accompanied by mandatory, role-relevant digital upskilling for all colleagues and managers, with particular focus on frontline operations.</w:t>
      </w:r>
    </w:p>
    <w:p w14:paraId="5961E659" w14:textId="77777777" w:rsidR="00157F35" w:rsidRDefault="00000000">
      <w:pPr>
        <w:pStyle w:val="ListParagraph"/>
        <w:numPr>
          <w:ilvl w:val="0"/>
          <w:numId w:val="2"/>
        </w:numPr>
        <w:spacing w:after="120" w:line="276" w:lineRule="auto"/>
      </w:pPr>
      <w:r>
        <w:t>Strengthen the employee value proposition through clearer internal career pathways, transparent skills-based progression criteria, and continued competitive investment in total reward, while systematically tracking retention of critical talent segments.</w:t>
      </w:r>
    </w:p>
    <w:p w14:paraId="1BCEC25F" w14:textId="77777777" w:rsidR="00157F35" w:rsidRDefault="00000000">
      <w:pPr>
        <w:pStyle w:val="ListParagraph"/>
        <w:numPr>
          <w:ilvl w:val="0"/>
          <w:numId w:val="2"/>
        </w:numPr>
        <w:spacing w:after="120" w:line="276" w:lineRule="auto"/>
      </w:pPr>
      <w:r>
        <w:t>Embed inclusive leadership as a core managerial competency, supported by bias-aware recruitment standards, diverse shortlists for critical roles, and regular inclusion audits that examine both demographic and socio-economic outcomes.</w:t>
      </w:r>
    </w:p>
    <w:p w14:paraId="66036869" w14:textId="77777777" w:rsidR="00157F35" w:rsidRDefault="00000000">
      <w:pPr>
        <w:pStyle w:val="ListParagraph"/>
        <w:numPr>
          <w:ilvl w:val="0"/>
          <w:numId w:val="2"/>
        </w:numPr>
        <w:spacing w:after="120" w:line="276" w:lineRule="auto"/>
      </w:pPr>
      <w:r>
        <w:t>Establish cross-functional implementation teams with clear senior sponsorship, simplified processes, and real-time feedback mechanisms so that barriers are identified and removed rapidly.</w:t>
      </w:r>
    </w:p>
    <w:p w14:paraId="2BC9834D" w14:textId="77777777" w:rsidR="00157F35" w:rsidRDefault="00000000">
      <w:pPr>
        <w:pStyle w:val="ListParagraph"/>
        <w:numPr>
          <w:ilvl w:val="0"/>
          <w:numId w:val="2"/>
        </w:numPr>
        <w:spacing w:after="200" w:line="276" w:lineRule="auto"/>
      </w:pPr>
      <w:r>
        <w:t>Integrate people analytics into regular business reviews so that technology adoption, talent metrics and DEI progress are treated as strategic performance indicators rather than standalone HR concerns.</w:t>
      </w:r>
    </w:p>
    <w:p w14:paraId="6CBEDDD0" w14:textId="77777777" w:rsidR="00157F35" w:rsidRDefault="00000000">
      <w:pPr>
        <w:spacing w:after="200" w:line="276" w:lineRule="auto"/>
      </w:pPr>
      <w:r>
        <w:t>Taken together, these steps will help Tesco convert contemporary HR practices into sustained competitive advantage while strengthening the engagement and inclusion of its diverse workforce.</w:t>
      </w:r>
    </w:p>
    <w:p w14:paraId="03F2B28D" w14:textId="77777777" w:rsidR="00B66D10" w:rsidRDefault="00B66D10" w:rsidP="00EA0E7B">
      <w:pPr>
        <w:spacing w:after="160" w:line="276" w:lineRule="auto"/>
        <w:ind w:left="720" w:hanging="720"/>
        <w:jc w:val="center"/>
        <w:rPr>
          <w:b/>
          <w:bCs/>
        </w:rPr>
      </w:pPr>
    </w:p>
    <w:p w14:paraId="0F0CDFC8" w14:textId="77777777" w:rsidR="00B66D10" w:rsidRDefault="00B66D10" w:rsidP="00EA0E7B">
      <w:pPr>
        <w:spacing w:after="160" w:line="276" w:lineRule="auto"/>
        <w:ind w:left="720" w:hanging="720"/>
        <w:jc w:val="center"/>
        <w:rPr>
          <w:b/>
          <w:bCs/>
        </w:rPr>
      </w:pPr>
    </w:p>
    <w:p w14:paraId="51DEC304" w14:textId="10B8727D" w:rsidR="00EA0E7B" w:rsidRPr="00EA0E7B" w:rsidRDefault="00EA0E7B" w:rsidP="00EA0E7B">
      <w:pPr>
        <w:spacing w:after="160" w:line="276" w:lineRule="auto"/>
        <w:ind w:left="720" w:hanging="720"/>
        <w:jc w:val="center"/>
        <w:rPr>
          <w:b/>
          <w:bCs/>
        </w:rPr>
      </w:pPr>
      <w:r w:rsidRPr="00EA0E7B">
        <w:rPr>
          <w:b/>
          <w:bCs/>
        </w:rPr>
        <w:t>References</w:t>
      </w:r>
    </w:p>
    <w:p w14:paraId="33B0F693" w14:textId="4B3F2E44" w:rsidR="00157F35" w:rsidRDefault="00000000">
      <w:pPr>
        <w:spacing w:after="160" w:line="276" w:lineRule="auto"/>
        <w:ind w:left="720" w:hanging="720"/>
      </w:pPr>
      <w:r>
        <w:lastRenderedPageBreak/>
        <w:t xml:space="preserve">Armstrong, M. and Taylor, S. (2023) Armstrong’s Handbook of Human Resource Management Practice. 16th </w:t>
      </w:r>
      <w:proofErr w:type="spellStart"/>
      <w:r>
        <w:t>edn</w:t>
      </w:r>
      <w:proofErr w:type="spellEnd"/>
      <w:r>
        <w:t>. London: Kogan Page.</w:t>
      </w:r>
    </w:p>
    <w:p w14:paraId="26F04324" w14:textId="77777777" w:rsidR="00157F35" w:rsidRDefault="00000000">
      <w:pPr>
        <w:spacing w:after="160" w:line="276" w:lineRule="auto"/>
        <w:ind w:left="720" w:hanging="720"/>
      </w:pPr>
      <w:r>
        <w:t>Breen, R. and Goldthorpe, J.H. (1999) ‘Class inequality and meritocracy: a critique of Saunders and an alternative analysis’, British Journal of Sociology, 50(1), pp. 1–27.</w:t>
      </w:r>
    </w:p>
    <w:p w14:paraId="6A4C7878" w14:textId="77777777" w:rsidR="00157F35" w:rsidRDefault="00000000">
      <w:pPr>
        <w:spacing w:after="160" w:line="276" w:lineRule="auto"/>
        <w:ind w:left="720" w:hanging="720"/>
      </w:pPr>
      <w:r>
        <w:t>CIPD (2024) Transforming the HR operating model: Tesco. London: Chartered Institute of Personnel and Development. Available at: https://www.cipd.org (Accessed: 18 July 2026).</w:t>
      </w:r>
    </w:p>
    <w:p w14:paraId="12B67CDF" w14:textId="77777777" w:rsidR="00157F35" w:rsidRDefault="00000000">
      <w:pPr>
        <w:spacing w:after="160" w:line="276" w:lineRule="auto"/>
        <w:ind w:left="720" w:hanging="720"/>
      </w:pPr>
      <w:r>
        <w:t>Friedman, S., O’Brien, D. and Laurison, D. (2017) ‘“Like skydiving without a parachute”: how class origin shapes occupational trajectories in British acting’, Sociology, 51(5), pp. 992–1010.</w:t>
      </w:r>
    </w:p>
    <w:p w14:paraId="7DE1325A" w14:textId="77777777" w:rsidR="00157F35" w:rsidRDefault="00000000">
      <w:pPr>
        <w:spacing w:after="160" w:line="276" w:lineRule="auto"/>
        <w:ind w:left="720" w:hanging="720"/>
      </w:pPr>
      <w:proofErr w:type="spellStart"/>
      <w:r>
        <w:t>InfotechLead</w:t>
      </w:r>
      <w:proofErr w:type="spellEnd"/>
      <w:r>
        <w:t xml:space="preserve"> (2026) ‘Tesco digital transformation 2026: AI, Clubcard data, £1.5 bn capex drive growth and £500 </w:t>
      </w:r>
      <w:proofErr w:type="spellStart"/>
      <w:r>
        <w:t>mn</w:t>
      </w:r>
      <w:proofErr w:type="spellEnd"/>
      <w:r>
        <w:t xml:space="preserve"> </w:t>
      </w:r>
      <w:proofErr w:type="gramStart"/>
      <w:r>
        <w:t>savings’</w:t>
      </w:r>
      <w:proofErr w:type="gramEnd"/>
      <w:r>
        <w:t>. Available at: https://infotechlead.com (Accessed: 18 July 2026).</w:t>
      </w:r>
    </w:p>
    <w:p w14:paraId="4355A181" w14:textId="77777777" w:rsidR="00157F35" w:rsidRDefault="00000000">
      <w:pPr>
        <w:spacing w:after="160" w:line="276" w:lineRule="auto"/>
        <w:ind w:left="720" w:hanging="720"/>
      </w:pPr>
      <w:r>
        <w:t>Marler, J.H. and Boudreau, J.W. (2017) ‘An evidence-based review of HR Analytics’, International Journal of Human Resource Management, 28(1), pp. 3–26.</w:t>
      </w:r>
    </w:p>
    <w:p w14:paraId="4721A09D" w14:textId="77777777" w:rsidR="00157F35" w:rsidRDefault="00000000">
      <w:pPr>
        <w:spacing w:after="160" w:line="276" w:lineRule="auto"/>
        <w:ind w:left="720" w:hanging="720"/>
      </w:pPr>
      <w:proofErr w:type="spellStart"/>
      <w:r>
        <w:t>Perceptyx</w:t>
      </w:r>
      <w:proofErr w:type="spellEnd"/>
      <w:r>
        <w:t xml:space="preserve"> (2026) ‘Tesco partners with </w:t>
      </w:r>
      <w:proofErr w:type="spellStart"/>
      <w:r>
        <w:t>Perceptyx</w:t>
      </w:r>
      <w:proofErr w:type="spellEnd"/>
      <w:r>
        <w:t xml:space="preserve"> to advance employee experience’. Available at: https://blog.perceptyx.com (Accessed: 18 July 2026).</w:t>
      </w:r>
    </w:p>
    <w:p w14:paraId="701B7D33" w14:textId="77777777" w:rsidR="00157F35" w:rsidRDefault="00000000">
      <w:pPr>
        <w:spacing w:after="160" w:line="276" w:lineRule="auto"/>
        <w:ind w:left="720" w:hanging="720"/>
      </w:pPr>
      <w:proofErr w:type="spellStart"/>
      <w:r>
        <w:t>Revelio</w:t>
      </w:r>
      <w:proofErr w:type="spellEnd"/>
      <w:r>
        <w:t xml:space="preserve"> Labs (2026) Tesco number of employees 2026. Available at: https://www.reveliolabs.com (Accessed: 18 July 2026).</w:t>
      </w:r>
    </w:p>
    <w:p w14:paraId="699F0962" w14:textId="77777777" w:rsidR="00157F35" w:rsidRDefault="00000000">
      <w:pPr>
        <w:spacing w:after="160" w:line="276" w:lineRule="auto"/>
        <w:ind w:left="720" w:hanging="720"/>
      </w:pPr>
      <w:r>
        <w:t>Social Mobility Commission (2022) Retail toolkit. London: Social Mobility Commission. Available at: https://socialmobility.independent-commission.uk (Accessed: 18 July 2026).</w:t>
      </w:r>
    </w:p>
    <w:p w14:paraId="1537D82F" w14:textId="77777777" w:rsidR="00157F35" w:rsidRDefault="00000000">
      <w:pPr>
        <w:spacing w:after="160" w:line="276" w:lineRule="auto"/>
        <w:ind w:left="720" w:hanging="720"/>
      </w:pPr>
      <w:r>
        <w:t>Tesco Careers (2025) Diversity, Equity and Inclusion at Tesco. Available at: https://www.tesco.com/careers (Accessed: 18 July 2026).</w:t>
      </w:r>
    </w:p>
    <w:p w14:paraId="1A6D45EA" w14:textId="77777777" w:rsidR="00157F35" w:rsidRDefault="00000000">
      <w:pPr>
        <w:spacing w:after="160" w:line="276" w:lineRule="auto"/>
        <w:ind w:left="720" w:hanging="720"/>
      </w:pPr>
      <w:r>
        <w:t>Tesco PLC (2025) Board Diversity, Equity and Inclusion Policy. Welwyn Garden City: Tesco PLC.</w:t>
      </w:r>
    </w:p>
    <w:p w14:paraId="6D1FD661" w14:textId="77777777" w:rsidR="00157F35" w:rsidRDefault="00000000">
      <w:pPr>
        <w:spacing w:after="160" w:line="276" w:lineRule="auto"/>
        <w:ind w:left="720" w:hanging="720"/>
      </w:pPr>
      <w:r>
        <w:t>Tesco PLC (2026a) Tesco announces over £200m investment in pay, with 5.1% increase for hourly-paid colleagues. Available at: https://www.tescoplc.com (Accessed: 18 July 2026).</w:t>
      </w:r>
    </w:p>
    <w:p w14:paraId="7970462A" w14:textId="77777777" w:rsidR="00157F35" w:rsidRDefault="00000000">
      <w:pPr>
        <w:spacing w:after="160" w:line="276" w:lineRule="auto"/>
        <w:ind w:left="720" w:hanging="720"/>
      </w:pPr>
      <w:r>
        <w:t>Tesco PLC (2026b) Sustainability Report 2026. Welwyn Garden City: Tesco PLC.</w:t>
      </w:r>
    </w:p>
    <w:p w14:paraId="6340AE12" w14:textId="77777777" w:rsidR="00157F35" w:rsidRDefault="00000000">
      <w:pPr>
        <w:spacing w:after="160" w:line="276" w:lineRule="auto"/>
        <w:ind w:left="720" w:hanging="720"/>
      </w:pPr>
      <w:r>
        <w:t>The Grocer (2025) ‘Why grocery is failing working-class talent (except Co-op)’. Available at: https://www.thegrocer.co.uk (Accessed: 18 July 2026).</w:t>
      </w:r>
    </w:p>
    <w:p w14:paraId="4362C946" w14:textId="77777777" w:rsidR="00157F35" w:rsidRDefault="00000000">
      <w:pPr>
        <w:spacing w:after="160" w:line="276" w:lineRule="auto"/>
        <w:ind w:left="720" w:hanging="720"/>
      </w:pPr>
      <w:r>
        <w:t>The Grocer (2026) ‘Tesco headquarters staff in jobs modernisation shake-up’. Available at: https://www.thegrocer.co.uk (Accessed: 18 July 2026).</w:t>
      </w:r>
    </w:p>
    <w:sectPr w:rsidR="00157F35" w:rsidSect="00EA0E7B">
      <w:headerReference w:type="default" r:id="rId7"/>
      <w:footerReference w:type="default" r:id="rId8"/>
      <w:pgSz w:w="11906" w:h="16838"/>
      <w:pgMar w:top="1440" w:right="1440" w:bottom="1440" w:left="1440" w:header="0"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C96AE1" w14:textId="77777777" w:rsidR="007A1A97" w:rsidRDefault="007A1A97">
      <w:r>
        <w:separator/>
      </w:r>
    </w:p>
  </w:endnote>
  <w:endnote w:type="continuationSeparator" w:id="0">
    <w:p w14:paraId="50AED2DB" w14:textId="77777777" w:rsidR="007A1A97" w:rsidRDefault="007A1A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8055289"/>
      <w:docPartObj>
        <w:docPartGallery w:val="Page Numbers (Bottom of Page)"/>
        <w:docPartUnique/>
      </w:docPartObj>
    </w:sdtPr>
    <w:sdtEndPr>
      <w:rPr>
        <w:noProof/>
      </w:rPr>
    </w:sdtEndPr>
    <w:sdtContent>
      <w:p w14:paraId="2DFC0DC0" w14:textId="39281DDE" w:rsidR="00EA0E7B" w:rsidRDefault="00EA0E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BC440A" w14:textId="562D96B9" w:rsidR="00157F35" w:rsidRDefault="00157F35">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09A1BE" w14:textId="77777777" w:rsidR="007A1A97" w:rsidRDefault="007A1A97">
      <w:r>
        <w:separator/>
      </w:r>
    </w:p>
  </w:footnote>
  <w:footnote w:type="continuationSeparator" w:id="0">
    <w:p w14:paraId="2FE27F44" w14:textId="77777777" w:rsidR="007A1A97" w:rsidRDefault="007A1A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258C7D" w14:textId="0E6251F9" w:rsidR="00157F35" w:rsidRPr="00EA0E7B" w:rsidRDefault="00157F35" w:rsidP="00EA0E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B45C9"/>
    <w:multiLevelType w:val="hybridMultilevel"/>
    <w:tmpl w:val="F4A87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802619"/>
    <w:multiLevelType w:val="hybridMultilevel"/>
    <w:tmpl w:val="87460474"/>
    <w:lvl w:ilvl="0" w:tplc="109C7888">
      <w:start w:val="1"/>
      <w:numFmt w:val="bullet"/>
      <w:lvlText w:val="●"/>
      <w:lvlJc w:val="left"/>
      <w:pPr>
        <w:ind w:left="720" w:hanging="360"/>
      </w:pPr>
    </w:lvl>
    <w:lvl w:ilvl="1" w:tplc="732A9E26">
      <w:start w:val="1"/>
      <w:numFmt w:val="bullet"/>
      <w:lvlText w:val="○"/>
      <w:lvlJc w:val="left"/>
      <w:pPr>
        <w:ind w:left="1440" w:hanging="360"/>
      </w:pPr>
    </w:lvl>
    <w:lvl w:ilvl="2" w:tplc="A0AEBD68">
      <w:start w:val="1"/>
      <w:numFmt w:val="bullet"/>
      <w:lvlText w:val="■"/>
      <w:lvlJc w:val="left"/>
      <w:pPr>
        <w:ind w:left="2160" w:hanging="360"/>
      </w:pPr>
    </w:lvl>
    <w:lvl w:ilvl="3" w:tplc="BBE4CEA6">
      <w:start w:val="1"/>
      <w:numFmt w:val="bullet"/>
      <w:lvlText w:val="●"/>
      <w:lvlJc w:val="left"/>
      <w:pPr>
        <w:ind w:left="2880" w:hanging="360"/>
      </w:pPr>
    </w:lvl>
    <w:lvl w:ilvl="4" w:tplc="3E2A5E04">
      <w:start w:val="1"/>
      <w:numFmt w:val="bullet"/>
      <w:lvlText w:val="○"/>
      <w:lvlJc w:val="left"/>
      <w:pPr>
        <w:ind w:left="3600" w:hanging="360"/>
      </w:pPr>
    </w:lvl>
    <w:lvl w:ilvl="5" w:tplc="2EE67D30">
      <w:start w:val="1"/>
      <w:numFmt w:val="bullet"/>
      <w:lvlText w:val="■"/>
      <w:lvlJc w:val="left"/>
      <w:pPr>
        <w:ind w:left="4320" w:hanging="360"/>
      </w:pPr>
    </w:lvl>
    <w:lvl w:ilvl="6" w:tplc="FF2A984A">
      <w:start w:val="1"/>
      <w:numFmt w:val="bullet"/>
      <w:lvlText w:val="●"/>
      <w:lvlJc w:val="left"/>
      <w:pPr>
        <w:ind w:left="5040" w:hanging="360"/>
      </w:pPr>
    </w:lvl>
    <w:lvl w:ilvl="7" w:tplc="EF9A89FE">
      <w:start w:val="1"/>
      <w:numFmt w:val="bullet"/>
      <w:lvlText w:val="●"/>
      <w:lvlJc w:val="left"/>
      <w:pPr>
        <w:ind w:left="5760" w:hanging="360"/>
      </w:pPr>
    </w:lvl>
    <w:lvl w:ilvl="8" w:tplc="6B9234FC">
      <w:start w:val="1"/>
      <w:numFmt w:val="bullet"/>
      <w:lvlText w:val="●"/>
      <w:lvlJc w:val="left"/>
      <w:pPr>
        <w:ind w:left="6480" w:hanging="360"/>
      </w:pPr>
    </w:lvl>
  </w:abstractNum>
  <w:abstractNum w:abstractNumId="2" w15:restartNumberingAfterBreak="0">
    <w:nsid w:val="5E1065CB"/>
    <w:multiLevelType w:val="hybridMultilevel"/>
    <w:tmpl w:val="B74A3868"/>
    <w:lvl w:ilvl="0" w:tplc="4A3AFD26">
      <w:start w:val="1"/>
      <w:numFmt w:val="decimal"/>
      <w:lvlText w:val="%1."/>
      <w:lvlJc w:val="left"/>
      <w:pPr>
        <w:ind w:left="720" w:hanging="360"/>
      </w:pPr>
    </w:lvl>
    <w:lvl w:ilvl="1" w:tplc="61660DE6">
      <w:numFmt w:val="decimal"/>
      <w:lvlText w:val=""/>
      <w:lvlJc w:val="left"/>
    </w:lvl>
    <w:lvl w:ilvl="2" w:tplc="A90E2992">
      <w:numFmt w:val="decimal"/>
      <w:lvlText w:val=""/>
      <w:lvlJc w:val="left"/>
    </w:lvl>
    <w:lvl w:ilvl="3" w:tplc="3E5A4F54">
      <w:numFmt w:val="decimal"/>
      <w:lvlText w:val=""/>
      <w:lvlJc w:val="left"/>
    </w:lvl>
    <w:lvl w:ilvl="4" w:tplc="D96A7968">
      <w:numFmt w:val="decimal"/>
      <w:lvlText w:val=""/>
      <w:lvlJc w:val="left"/>
    </w:lvl>
    <w:lvl w:ilvl="5" w:tplc="E774F904">
      <w:numFmt w:val="decimal"/>
      <w:lvlText w:val=""/>
      <w:lvlJc w:val="left"/>
    </w:lvl>
    <w:lvl w:ilvl="6" w:tplc="8F50939C">
      <w:numFmt w:val="decimal"/>
      <w:lvlText w:val=""/>
      <w:lvlJc w:val="left"/>
    </w:lvl>
    <w:lvl w:ilvl="7" w:tplc="524EE96C">
      <w:numFmt w:val="decimal"/>
      <w:lvlText w:val=""/>
      <w:lvlJc w:val="left"/>
    </w:lvl>
    <w:lvl w:ilvl="8" w:tplc="655E1C56">
      <w:numFmt w:val="decimal"/>
      <w:lvlText w:val=""/>
      <w:lvlJc w:val="left"/>
    </w:lvl>
  </w:abstractNum>
  <w:num w:numId="1" w16cid:durableId="458687422">
    <w:abstractNumId w:val="1"/>
    <w:lvlOverride w:ilvl="0">
      <w:startOverride w:val="1"/>
    </w:lvlOverride>
  </w:num>
  <w:num w:numId="2" w16cid:durableId="1513295348">
    <w:abstractNumId w:val="2"/>
    <w:lvlOverride w:ilvl="0">
      <w:startOverride w:val="1"/>
    </w:lvlOverride>
  </w:num>
  <w:num w:numId="3" w16cid:durableId="14932524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7F35"/>
    <w:rsid w:val="00157F35"/>
    <w:rsid w:val="00385690"/>
    <w:rsid w:val="00530288"/>
    <w:rsid w:val="006B2959"/>
    <w:rsid w:val="007A1A97"/>
    <w:rsid w:val="00A65F26"/>
    <w:rsid w:val="00B66D10"/>
    <w:rsid w:val="00EA0E7B"/>
    <w:rsid w:val="00F47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8F1C4"/>
  <w15:docId w15:val="{326EC878-8FF8-43A0-BBEB-54F8416C0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6D10"/>
  </w:style>
  <w:style w:type="paragraph" w:styleId="Heading1">
    <w:name w:val="heading 1"/>
    <w:uiPriority w:val="9"/>
    <w:qFormat/>
    <w:pPr>
      <w:spacing w:before="360" w:after="200"/>
      <w:outlineLvl w:val="0"/>
    </w:pPr>
    <w:rPr>
      <w:b/>
      <w:bCs/>
      <w:color w:val="1F4E79"/>
      <w:sz w:val="28"/>
      <w:szCs w:val="28"/>
    </w:rPr>
  </w:style>
  <w:style w:type="paragraph" w:styleId="Heading2">
    <w:name w:val="heading 2"/>
    <w:uiPriority w:val="9"/>
    <w:unhideWhenUsed/>
    <w:qFormat/>
    <w:pPr>
      <w:spacing w:before="280" w:after="160"/>
      <w:outlineLvl w:val="1"/>
    </w:pPr>
    <w:rPr>
      <w:b/>
      <w:bCs/>
      <w:color w:val="2E75B6"/>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EA0E7B"/>
    <w:pPr>
      <w:tabs>
        <w:tab w:val="center" w:pos="4513"/>
        <w:tab w:val="right" w:pos="9026"/>
      </w:tabs>
    </w:pPr>
  </w:style>
  <w:style w:type="character" w:customStyle="1" w:styleId="HeaderChar">
    <w:name w:val="Header Char"/>
    <w:basedOn w:val="DefaultParagraphFont"/>
    <w:link w:val="Header"/>
    <w:uiPriority w:val="99"/>
    <w:rsid w:val="00EA0E7B"/>
  </w:style>
  <w:style w:type="paragraph" w:styleId="Footer">
    <w:name w:val="footer"/>
    <w:basedOn w:val="Normal"/>
    <w:link w:val="FooterChar"/>
    <w:uiPriority w:val="99"/>
    <w:unhideWhenUsed/>
    <w:rsid w:val="00EA0E7B"/>
    <w:pPr>
      <w:tabs>
        <w:tab w:val="center" w:pos="4513"/>
        <w:tab w:val="right" w:pos="9026"/>
      </w:tabs>
    </w:pPr>
  </w:style>
  <w:style w:type="character" w:customStyle="1" w:styleId="FooterChar">
    <w:name w:val="Footer Char"/>
    <w:basedOn w:val="DefaultParagraphFont"/>
    <w:link w:val="Footer"/>
    <w:uiPriority w:val="99"/>
    <w:rsid w:val="00EA0E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2661</Words>
  <Characters>15168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mik lowe</cp:lastModifiedBy>
  <cp:revision>2</cp:revision>
  <dcterms:created xsi:type="dcterms:W3CDTF">2026-07-19T14:58:00Z</dcterms:created>
  <dcterms:modified xsi:type="dcterms:W3CDTF">2026-07-19T14:58:00Z</dcterms:modified>
</cp:coreProperties>
</file>