
<file path=[Content_Types].xml><?xml version="1.0" encoding="utf-8"?>
<Types xmlns="http://schemas.openxmlformats.org/package/2006/content-types">
  <Default Extension="xml" ContentType="application/xml"/>
  <Default Extension="png" ContentType="image/png"/>
  <Default Extension="tiff" ContentType="image/tiff"/>
  <Default Extension="wdp" ContentType="image/vnd.ms-photo"/>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mc:AlternateContent>
          <mc:Choice Requires="wpg">
            <w:drawing>
              <wp:anchor distT="0" distB="0" distL="114300" distR="114300" simplePos="0" relativeHeight="251661312" behindDoc="0" locked="0" layoutInCell="1" allowOverlap="1">
                <wp:simplePos x="0" y="0"/>
                <wp:positionH relativeFrom="column">
                  <wp:posOffset>-937260</wp:posOffset>
                </wp:positionH>
                <wp:positionV relativeFrom="paragraph">
                  <wp:posOffset>-487680</wp:posOffset>
                </wp:positionV>
                <wp:extent cx="2277110" cy="496570"/>
                <wp:effectExtent l="38100" t="38100" r="0" b="0"/>
                <wp:wrapNone/>
                <wp:docPr id="14" name="组合 14"/>
                <wp:cNvGraphicFramePr/>
                <a:graphic xmlns:a="http://schemas.openxmlformats.org/drawingml/2006/main">
                  <a:graphicData uri="http://schemas.microsoft.com/office/word/2010/wordprocessingGroup">
                    <wpg:wgp>
                      <wpg:cNvGrpSpPr/>
                      <wpg:grpSpPr>
                        <a:xfrm>
                          <a:off x="0" y="0"/>
                          <a:ext cx="2277110" cy="496570"/>
                          <a:chOff x="7620" y="-7620"/>
                          <a:chExt cx="2277110" cy="496570"/>
                        </a:xfrm>
                      </wpg:grpSpPr>
                      <wps:wsp>
                        <wps:cNvPr id="217" name="文本框 2"/>
                        <wps:cNvSpPr txBox="1">
                          <a:spLocks noChangeArrowheads="1"/>
                        </wps:cNvSpPr>
                        <wps:spPr bwMode="auto">
                          <a:xfrm>
                            <a:off x="175260" y="-7620"/>
                            <a:ext cx="2109470" cy="496570"/>
                          </a:xfrm>
                          <a:prstGeom prst="rect">
                            <a:avLst/>
                          </a:prstGeom>
                          <a:noFill/>
                          <a:ln w="9525">
                            <a:noFill/>
                            <a:miter lim="800000"/>
                          </a:ln>
                        </wps:spPr>
                        <wps:txbx>
                          <w:txbxContent>
                            <w:p>
                              <w:pPr>
                                <w:rPr>
                                  <w:rFonts w:ascii="Baker" w:hAnsi="Baker"/>
                                  <w:b/>
                                  <w:color w:val="000000" w:themeColor="text1"/>
                                  <w:sz w:val="32"/>
                                  <w:szCs w:val="32"/>
                                  <w14:shadow w14:blurRad="50800" w14:dist="38100" w14:dir="2700000" w14:sx="100000" w14:sy="100000" w14:kx="0" w14:ky="0" w14:algn="tl">
                                    <w14:srgbClr w14:val="000000">
                                      <w14:alpha w14:val="60000"/>
                                    </w14:srgbClr>
                                  </w14:shadow>
                                  <w14:textFill>
                                    <w14:solidFill>
                                      <w14:schemeClr w14:val="tx1"/>
                                    </w14:solidFill>
                                  </w14:textFill>
                                </w:rPr>
                              </w:pPr>
                            </w:p>
                          </w:txbxContent>
                        </wps:txbx>
                        <wps:bodyPr rot="0" vert="horz" wrap="square" lIns="91440" tIns="45720" rIns="91440" bIns="45720" anchor="t" anchorCtr="0">
                          <a:spAutoFit/>
                        </wps:bodyPr>
                      </wps:wsp>
                      <wps:wsp>
                        <wps:cNvPr id="5" name="箭头: V 形 5"/>
                        <wps:cNvSpPr/>
                        <wps:spPr>
                          <a:xfrm rot="16200000">
                            <a:off x="-7620" y="7620"/>
                            <a:ext cx="342900" cy="312420"/>
                          </a:xfrm>
                          <a:prstGeom prst="chevron">
                            <a:avLst/>
                          </a:prstGeom>
                          <a:solidFill>
                            <a:schemeClr val="tx1"/>
                          </a:solidFill>
                          <a:ln>
                            <a:no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73.8pt;margin-top:-38.4pt;height:39.1pt;width:179.3pt;z-index:251661312;mso-width-relative:page;mso-height-relative:page;" coordorigin="7620,-7620" coordsize="2277110,496570" o:gfxdata="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">
                <o:lock v:ext="edit" aspectratio="f"/>
                <v:shape id="文本框 2" o:spid="_x0000_s1026" o:spt="202" type="#_x0000_t202" style="position:absolute;left:175260;top:-7620;height:496570;width:2109470;" filled="f" stroked="f" coordsize="21600,21600" o:gfxdata="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mf2qG8AAAA&#10;3AAAAA8AAAAAAAAAAQAgAAAAIgAAAGRycy9kb3ducmV2LnhtbFBLAQIUABQAAAAIAIdO4kAzLwWe&#10;OwAAADkAAAAQAAAAAAAAAAEAIAAAAAsBAABkcnMvc2hhcGV4bWwueG1sUEsFBgAAAAAGAAYAWwEA&#10;ALUDAAAAAA==&#10;">
                  <v:fill on="f" focussize="0,0"/>
                  <v:stroke on="f" miterlimit="8" joinstyle="miter"/>
                  <v:imagedata o:title=""/>
                  <o:lock v:ext="edit" aspectratio="f"/>
                  <v:textbox style="mso-fit-shape-to-text:t;">
                    <w:txbxContent>
                      <w:p>
                        <w:pPr>
                          <w:rPr>
                            <w:rFonts w:ascii="Baker" w:hAnsi="Baker"/>
                            <w:b/>
                            <w:color w:val="000000" w:themeColor="text1"/>
                            <w:sz w:val="32"/>
                            <w:szCs w:val="32"/>
                            <w14:shadow w14:blurRad="50800" w14:dist="38100" w14:dir="2700000" w14:sx="100000" w14:sy="100000" w14:kx="0" w14:ky="0" w14:algn="tl">
                              <w14:srgbClr w14:val="000000">
                                <w14:alpha w14:val="60000"/>
                              </w14:srgbClr>
                            </w14:shadow>
                            <w14:textFill>
                              <w14:solidFill>
                                <w14:schemeClr w14:val="tx1"/>
                              </w14:solidFill>
                            </w14:textFill>
                          </w:rPr>
                        </w:pPr>
                      </w:p>
                    </w:txbxContent>
                  </v:textbox>
                </v:shape>
                <v:shape id="箭头: V 形 5" o:spid="_x0000_s1026" o:spt="55" type="#_x0000_t55" style="position:absolute;left:-7620;top:7620;height:312420;width:342900;rotation:-5898240f;v-text-anchor:middle;" fillcolor="#000000 [3213]" filled="t" stroked="f" coordsize="21600,21600" o:gfxdata="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uzUEG8AAAA&#10;2gAAAA8AAAAAAAAAAQAgAAAAIgAAAGRycy9kb3ducmV2LnhtbFBLAQIUABQAAAAIAIdO4kAzLwWe&#10;OwAAADkAAAAQAAAAAAAAAAEAIAAAAAsBAABkcnMvc2hhcGV4bWwueG1sUEsFBgAAAAAGAAYAWwEA&#10;ALUDAAAAAA==&#10;" adj="11760">
                  <v:fill on="t" focussize="0,0"/>
                  <v:stroke on="f" weight="1pt" miterlimit="8" joinstyle="miter"/>
                  <v:imagedata o:title=""/>
                  <o:lock v:ext="edit" aspectratio="f"/>
                  <v:shadow on="t" color="#000000" opacity="26214f" offset="2.12133858267717pt,2.12133858267717pt" origin="-32768f,-32768f" matrix="65536f,0f,0f,65536f"/>
                </v:shape>
              </v:group>
            </w:pict>
          </mc:Fallback>
        </mc:AlternateContent>
      </w:r>
      <w:r>
        <w:drawing>
          <wp:anchor distT="0" distB="0" distL="114300" distR="114300" simplePos="0" relativeHeight="251657216" behindDoc="1" locked="0" layoutInCell="1" allowOverlap="1">
            <wp:simplePos x="0" y="0"/>
            <wp:positionH relativeFrom="page">
              <wp:align>left</wp:align>
            </wp:positionH>
            <wp:positionV relativeFrom="paragraph">
              <wp:posOffset>-922020</wp:posOffset>
            </wp:positionV>
            <wp:extent cx="7672070" cy="10683240"/>
            <wp:effectExtent l="0" t="0" r="5080" b="4445"/>
            <wp:wrapNone/>
            <wp:docPr id="3" name="图片 3" descr="图片包含 美食, 杯子, 餐桌, 室内&#10;&#10;已生成极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包含 美食, 杯子, 餐桌, 室内&#10;&#10;已生成极高可信度的说明"/>
                    <pic:cNvPicPr>
                      <a:picLocks noChangeAspect="1"/>
                    </pic:cNvPicPr>
                  </pic:nvPicPr>
                  <pic:blipFill>
                    <a:blip r:embed="rId6" cstate="print">
                      <a:extLst>
                        <a:ext uri="{28A0092B-C50C-407E-A947-70E740481C1C}">
                          <a14:useLocalDpi xmlns:a14="http://schemas.microsoft.com/office/drawing/2010/main" val="0"/>
                        </a:ext>
                      </a:extLst>
                    </a:blip>
                    <a:srcRect t="1737"/>
                    <a:stretch>
                      <a:fillRect/>
                    </a:stretch>
                  </pic:blipFill>
                  <pic:spPr>
                    <a:xfrm>
                      <a:off x="0" y="0"/>
                      <a:ext cx="7672070" cy="10683029"/>
                    </a:xfrm>
                    <a:prstGeom prst="rect">
                      <a:avLst/>
                    </a:prstGeom>
                    <a:ln>
                      <a:noFill/>
                    </a:ln>
                  </pic:spPr>
                </pic:pic>
              </a:graphicData>
            </a:graphic>
          </wp:anchor>
        </w:drawing>
      </w:r>
      <w:r>
        <mc:AlternateContent>
          <mc:Choice Requires="wps">
            <w:drawing>
              <wp:anchor distT="45720" distB="45720" distL="114300" distR="114300" simplePos="0" relativeHeight="251665408" behindDoc="0" locked="0" layoutInCell="1" allowOverlap="1">
                <wp:simplePos x="0" y="0"/>
                <wp:positionH relativeFrom="page">
                  <wp:posOffset>723900</wp:posOffset>
                </wp:positionH>
                <wp:positionV relativeFrom="paragraph">
                  <wp:posOffset>8336280</wp:posOffset>
                </wp:positionV>
                <wp:extent cx="3421380" cy="1404620"/>
                <wp:effectExtent l="0" t="0" r="0" b="2540"/>
                <wp:wrapNone/>
                <wp:docPr id="13" name="文本框 2"/>
                <wp:cNvGraphicFramePr/>
                <a:graphic xmlns:a="http://schemas.openxmlformats.org/drawingml/2006/main">
                  <a:graphicData uri="http://schemas.microsoft.com/office/word/2010/wordprocessingShape">
                    <wps:wsp>
                      <wps:cNvSpPr txBox="1">
                        <a:spLocks noChangeArrowheads="1"/>
                      </wps:cNvSpPr>
                      <wps:spPr bwMode="auto">
                        <a:xfrm>
                          <a:off x="0" y="0"/>
                          <a:ext cx="3421380" cy="1404620"/>
                        </a:xfrm>
                        <a:prstGeom prst="rect">
                          <a:avLst/>
                        </a:prstGeom>
                        <a:noFill/>
                        <a:ln w="9525">
                          <a:noFill/>
                          <a:miter lim="800000"/>
                        </a:ln>
                      </wps:spPr>
                      <wps:txbx>
                        <w:txbxContent>
                          <w:p>
                            <w:pPr>
                              <w:rPr>
                                <w:rFonts w:hint="default" w:ascii="Bahnschrift SemiBold Condensed" w:hAnsi="Bahnschrift SemiBold Condensed" w:eastAsiaTheme="minorEastAsia"/>
                                <w:color w:val="000000" w:themeColor="text1"/>
                                <w:sz w:val="24"/>
                                <w:lang w:val="en-US" w:eastAsia="zh-CN"/>
                                <w14:textFill>
                                  <w14:solidFill>
                                    <w14:schemeClr w14:val="tx1"/>
                                  </w14:solidFill>
                                </w14:textFill>
                              </w:rPr>
                            </w:pPr>
                            <w:r>
                              <w:rPr>
                                <w:rFonts w:ascii="Bahnschrift SemiBold Condensed" w:hAnsi="Bahnschrift SemiBold Condensed"/>
                                <w:color w:val="000000" w:themeColor="text1"/>
                                <w:sz w:val="24"/>
                                <w:lang w:val="da-DK"/>
                                <w14:textFill>
                                  <w14:solidFill>
                                    <w14:schemeClr w14:val="tx1"/>
                                  </w14:solidFill>
                                </w14:textFill>
                              </w:rPr>
                              <w:t>Student Name:</w:t>
                            </w:r>
                            <w:r>
                              <w:rPr>
                                <w:rFonts w:hint="eastAsia" w:ascii="Bahnschrift SemiBold Condensed" w:hAnsi="Bahnschrift SemiBold Condensed"/>
                                <w:color w:val="000000" w:themeColor="text1"/>
                                <w:sz w:val="24"/>
                                <w:lang w:val="en-US" w:eastAsia="zh-CN"/>
                                <w14:textFill>
                                  <w14:solidFill>
                                    <w14:schemeClr w14:val="tx1"/>
                                  </w14:solidFill>
                                </w14:textFill>
                              </w:rPr>
                              <w:t>Si yan He</w:t>
                            </w:r>
                            <w:r>
                              <w:rPr>
                                <w:rFonts w:hint="eastAsia" w:ascii="Bahnschrift SemiBold Condensed" w:hAnsi="Bahnschrift SemiBold Condensed"/>
                                <w:color w:val="000000" w:themeColor="text1"/>
                                <w:sz w:val="24"/>
                                <w:lang w:val="en-US" w:eastAsia="zh-CN"/>
                                <w14:textFill>
                                  <w14:solidFill>
                                    <w14:schemeClr w14:val="tx1"/>
                                  </w14:solidFill>
                                </w14:textFill>
                              </w:rPr>
                              <w:tab/>
                            </w:r>
                          </w:p>
                          <w:p>
                            <w:pPr>
                              <w:rPr>
                                <w:rFonts w:hint="default" w:ascii="Bahnschrift SemiBold Condensed" w:hAnsi="Bahnschrift SemiBold Condensed" w:eastAsiaTheme="minorEastAsia"/>
                                <w:color w:val="843C0B" w:themeColor="accent2" w:themeShade="80"/>
                                <w:sz w:val="24"/>
                                <w:lang w:val="en-US" w:eastAsia="zh-CN"/>
                              </w:rPr>
                            </w:pPr>
                            <w:r>
                              <w:rPr>
                                <w:rFonts w:hint="eastAsia" w:ascii="Bahnschrift SemiBold Condensed" w:hAnsi="Bahnschrift SemiBold Condensed"/>
                                <w:color w:val="843C0B" w:themeColor="accent2" w:themeShade="80"/>
                                <w:sz w:val="24"/>
                                <w:lang w:val="da-DK"/>
                              </w:rPr>
                              <w:t>S</w:t>
                            </w:r>
                            <w:r>
                              <w:rPr>
                                <w:rFonts w:ascii="Bahnschrift SemiBold Condensed" w:hAnsi="Bahnschrift SemiBold Condensed"/>
                                <w:color w:val="843C0B" w:themeColor="accent2" w:themeShade="80"/>
                                <w:sz w:val="24"/>
                                <w:lang w:val="da-DK"/>
                              </w:rPr>
                              <w:t>tudent No.</w:t>
                            </w:r>
                            <w:r>
                              <w:rPr>
                                <w:rFonts w:hint="eastAsia" w:ascii="Bahnschrift SemiBold Condensed" w:hAnsi="Bahnschrift SemiBold Condensed"/>
                                <w:color w:val="843C0B" w:themeColor="accent2" w:themeShade="80"/>
                                <w:sz w:val="24"/>
                                <w:lang w:val="en-US" w:eastAsia="zh-CN"/>
                              </w:rPr>
                              <w:t>1806648</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id="文本框 2" o:spid="_x0000_s1026" o:spt="202" type="#_x0000_t202" style="position:absolute;left:0pt;margin-left:57pt;margin-top:656.4pt;height:110.6pt;width:269.4pt;mso-position-horizontal-relative:page;z-index:251665408;mso-width-relative:page;mso-height-relative:margin;mso-height-percent:200;" filled="f" stroked="f" coordsize="21600,21600" o:gfxdata="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ZIhX7NcAAAANAQAADwAAAAAAAAABACAAAAAi&#10;AAAAZHJzL2Rvd25yZXYueG1sUEsBAhQAFAAAAAgAh07iQCBB36ELAgAA3QMAAA4AAAAAAAAAAQAg&#10;AAAAJgEAAGRycy9lMm9Eb2MueG1sUEsFBgAAAAAGAAYAWQEAAKMFAAAAAA==&#10;">
                <v:fill on="f" focussize="0,0"/>
                <v:stroke on="f" miterlimit="8" joinstyle="miter"/>
                <v:imagedata o:title=""/>
                <o:lock v:ext="edit" aspectratio="f"/>
                <v:textbox style="mso-fit-shape-to-text:t;">
                  <w:txbxContent>
                    <w:p>
                      <w:pPr>
                        <w:rPr>
                          <w:rFonts w:hint="default" w:ascii="Bahnschrift SemiBold Condensed" w:hAnsi="Bahnschrift SemiBold Condensed" w:eastAsiaTheme="minorEastAsia"/>
                          <w:color w:val="000000" w:themeColor="text1"/>
                          <w:sz w:val="24"/>
                          <w:lang w:val="en-US" w:eastAsia="zh-CN"/>
                          <w14:textFill>
                            <w14:solidFill>
                              <w14:schemeClr w14:val="tx1"/>
                            </w14:solidFill>
                          </w14:textFill>
                        </w:rPr>
                      </w:pPr>
                      <w:r>
                        <w:rPr>
                          <w:rFonts w:ascii="Bahnschrift SemiBold Condensed" w:hAnsi="Bahnschrift SemiBold Condensed"/>
                          <w:color w:val="000000" w:themeColor="text1"/>
                          <w:sz w:val="24"/>
                          <w:lang w:val="da-DK"/>
                          <w14:textFill>
                            <w14:solidFill>
                              <w14:schemeClr w14:val="tx1"/>
                            </w14:solidFill>
                          </w14:textFill>
                        </w:rPr>
                        <w:t>Student Name:</w:t>
                      </w:r>
                      <w:r>
                        <w:rPr>
                          <w:rFonts w:hint="eastAsia" w:ascii="Bahnschrift SemiBold Condensed" w:hAnsi="Bahnschrift SemiBold Condensed"/>
                          <w:color w:val="000000" w:themeColor="text1"/>
                          <w:sz w:val="24"/>
                          <w:lang w:val="en-US" w:eastAsia="zh-CN"/>
                          <w14:textFill>
                            <w14:solidFill>
                              <w14:schemeClr w14:val="tx1"/>
                            </w14:solidFill>
                          </w14:textFill>
                        </w:rPr>
                        <w:t>Si yan He</w:t>
                      </w:r>
                      <w:r>
                        <w:rPr>
                          <w:rFonts w:hint="eastAsia" w:ascii="Bahnschrift SemiBold Condensed" w:hAnsi="Bahnschrift SemiBold Condensed"/>
                          <w:color w:val="000000" w:themeColor="text1"/>
                          <w:sz w:val="24"/>
                          <w:lang w:val="en-US" w:eastAsia="zh-CN"/>
                          <w14:textFill>
                            <w14:solidFill>
                              <w14:schemeClr w14:val="tx1"/>
                            </w14:solidFill>
                          </w14:textFill>
                        </w:rPr>
                        <w:tab/>
                      </w:r>
                    </w:p>
                    <w:p>
                      <w:pPr>
                        <w:rPr>
                          <w:rFonts w:hint="default" w:ascii="Bahnschrift SemiBold Condensed" w:hAnsi="Bahnschrift SemiBold Condensed" w:eastAsiaTheme="minorEastAsia"/>
                          <w:color w:val="843C0B" w:themeColor="accent2" w:themeShade="80"/>
                          <w:sz w:val="24"/>
                          <w:lang w:val="en-US" w:eastAsia="zh-CN"/>
                        </w:rPr>
                      </w:pPr>
                      <w:r>
                        <w:rPr>
                          <w:rFonts w:hint="eastAsia" w:ascii="Bahnschrift SemiBold Condensed" w:hAnsi="Bahnschrift SemiBold Condensed"/>
                          <w:color w:val="843C0B" w:themeColor="accent2" w:themeShade="80"/>
                          <w:sz w:val="24"/>
                          <w:lang w:val="da-DK"/>
                        </w:rPr>
                        <w:t>S</w:t>
                      </w:r>
                      <w:r>
                        <w:rPr>
                          <w:rFonts w:ascii="Bahnschrift SemiBold Condensed" w:hAnsi="Bahnschrift SemiBold Condensed"/>
                          <w:color w:val="843C0B" w:themeColor="accent2" w:themeShade="80"/>
                          <w:sz w:val="24"/>
                          <w:lang w:val="da-DK"/>
                        </w:rPr>
                        <w:t>tudent No.</w:t>
                      </w:r>
                      <w:r>
                        <w:rPr>
                          <w:rFonts w:hint="eastAsia" w:ascii="Bahnschrift SemiBold Condensed" w:hAnsi="Bahnschrift SemiBold Condensed"/>
                          <w:color w:val="843C0B" w:themeColor="accent2" w:themeShade="80"/>
                          <w:sz w:val="24"/>
                          <w:lang w:val="en-US" w:eastAsia="zh-CN"/>
                        </w:rPr>
                        <w:t>1806648</w:t>
                      </w:r>
                    </w:p>
                  </w:txbxContent>
                </v:textbox>
              </v:shape>
            </w:pict>
          </mc:Fallback>
        </mc:AlternateContent>
      </w:r>
      <w:r>
        <mc:AlternateContent>
          <mc:Choice Requires="wps">
            <w:drawing>
              <wp:anchor distT="45720" distB="45720" distL="114300" distR="114300" simplePos="0" relativeHeight="251663360" behindDoc="0" locked="0" layoutInCell="1" allowOverlap="1">
                <wp:simplePos x="0" y="0"/>
                <wp:positionH relativeFrom="page">
                  <wp:posOffset>-30480</wp:posOffset>
                </wp:positionH>
                <wp:positionV relativeFrom="paragraph">
                  <wp:posOffset>5585460</wp:posOffset>
                </wp:positionV>
                <wp:extent cx="3421380" cy="1404620"/>
                <wp:effectExtent l="0" t="0" r="0" b="2540"/>
                <wp:wrapNone/>
                <wp:docPr id="12" name="文本框 2"/>
                <wp:cNvGraphicFramePr/>
                <a:graphic xmlns:a="http://schemas.openxmlformats.org/drawingml/2006/main">
                  <a:graphicData uri="http://schemas.microsoft.com/office/word/2010/wordprocessingShape">
                    <wps:wsp>
                      <wps:cNvSpPr txBox="1">
                        <a:spLocks noChangeArrowheads="1"/>
                      </wps:cNvSpPr>
                      <wps:spPr bwMode="auto">
                        <a:xfrm>
                          <a:off x="0" y="0"/>
                          <a:ext cx="3421380" cy="1404620"/>
                        </a:xfrm>
                        <a:prstGeom prst="rect">
                          <a:avLst/>
                        </a:prstGeom>
                        <a:noFill/>
                        <a:ln w="9525">
                          <a:noFill/>
                          <a:miter lim="800000"/>
                        </a:ln>
                      </wps:spPr>
                      <wps:txbx>
                        <w:txbxContent>
                          <w:p>
                            <w:pPr>
                              <w:rPr>
                                <w:rFonts w:ascii="Bahnschrift SemiBold Condensed" w:hAnsi="Bahnschrift SemiBold Condensed"/>
                                <w:color w:val="000000" w:themeColor="text1"/>
                                <w:sz w:val="32"/>
                                <w14:textFill>
                                  <w14:solidFill>
                                    <w14:schemeClr w14:val="tx1"/>
                                  </w14:solidFill>
                                </w14:textFill>
                              </w:rPr>
                            </w:pPr>
                            <w:r>
                              <w:rPr>
                                <w:rFonts w:ascii="Bahnschrift SemiBold Condensed" w:hAnsi="Bahnschrift SemiBold Condensed"/>
                                <w:color w:val="000000" w:themeColor="text1"/>
                                <w:sz w:val="32"/>
                                <w14:textFill>
                                  <w14:solidFill>
                                    <w14:schemeClr w14:val="tx1"/>
                                  </w14:solidFill>
                                </w14:textFill>
                              </w:rPr>
                              <w:t xml:space="preserve">Consultancy Report of New Product Marketing </w:t>
                            </w:r>
                          </w:p>
                          <w:p>
                            <w:pPr>
                              <w:rPr>
                                <w:rFonts w:ascii="Bahnschrift SemiBold Condensed" w:hAnsi="Bahnschrift SemiBold Condensed"/>
                                <w:color w:val="843C0B" w:themeColor="accent2" w:themeShade="80"/>
                                <w:sz w:val="32"/>
                              </w:rPr>
                            </w:pPr>
                            <w:r>
                              <w:rPr>
                                <w:rFonts w:ascii="Bahnschrift SemiBold Condensed" w:hAnsi="Bahnschrift SemiBold Condensed"/>
                                <w:color w:val="843C0B" w:themeColor="accent2" w:themeShade="80"/>
                                <w:sz w:val="32"/>
                              </w:rPr>
                              <w:t>for Hansen Craft Beer house</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id="文本框 2" o:spid="_x0000_s1026" o:spt="202" type="#_x0000_t202" style="position:absolute;left:0pt;margin-left:-2.4pt;margin-top:439.8pt;height:110.6pt;width:269.4pt;mso-position-horizontal-relative:page;z-index:251663360;mso-width-relative:page;mso-height-relative:margin;mso-height-percent:200;" filled="f" stroked="f" coordsize="21600,21600" o:gfxdata="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HlfrR2QAAAAsBAAAPAAAAAAAAAAEAIAAA&#10;ACIAAABkcnMvZG93bnJldi54bWxQSwECFAAUAAAACACHTuJAOGV7bwsCAADdAwAADgAAAAAAAAAB&#10;ACAAAAAoAQAAZHJzL2Uyb0RvYy54bWxQSwUGAAAAAAYABgBZAQAApQUAAAAA&#10;">
                <v:fill on="f" focussize="0,0"/>
                <v:stroke on="f" miterlimit="8" joinstyle="miter"/>
                <v:imagedata o:title=""/>
                <o:lock v:ext="edit" aspectratio="f"/>
                <v:textbox style="mso-fit-shape-to-text:t;">
                  <w:txbxContent>
                    <w:p>
                      <w:pPr>
                        <w:rPr>
                          <w:rFonts w:ascii="Bahnschrift SemiBold Condensed" w:hAnsi="Bahnschrift SemiBold Condensed"/>
                          <w:color w:val="000000" w:themeColor="text1"/>
                          <w:sz w:val="32"/>
                          <w14:textFill>
                            <w14:solidFill>
                              <w14:schemeClr w14:val="tx1"/>
                            </w14:solidFill>
                          </w14:textFill>
                        </w:rPr>
                      </w:pPr>
                      <w:r>
                        <w:rPr>
                          <w:rFonts w:ascii="Bahnschrift SemiBold Condensed" w:hAnsi="Bahnschrift SemiBold Condensed"/>
                          <w:color w:val="000000" w:themeColor="text1"/>
                          <w:sz w:val="32"/>
                          <w14:textFill>
                            <w14:solidFill>
                              <w14:schemeClr w14:val="tx1"/>
                            </w14:solidFill>
                          </w14:textFill>
                        </w:rPr>
                        <w:t xml:space="preserve">Consultancy Report of New Product Marketing </w:t>
                      </w:r>
                    </w:p>
                    <w:p>
                      <w:pPr>
                        <w:rPr>
                          <w:rFonts w:ascii="Bahnschrift SemiBold Condensed" w:hAnsi="Bahnschrift SemiBold Condensed"/>
                          <w:color w:val="843C0B" w:themeColor="accent2" w:themeShade="80"/>
                          <w:sz w:val="32"/>
                        </w:rPr>
                      </w:pPr>
                      <w:r>
                        <w:rPr>
                          <w:rFonts w:ascii="Bahnschrift SemiBold Condensed" w:hAnsi="Bahnschrift SemiBold Condensed"/>
                          <w:color w:val="843C0B" w:themeColor="accent2" w:themeShade="80"/>
                          <w:sz w:val="32"/>
                        </w:rPr>
                        <w:t>for Hansen Craft Beer house</w:t>
                      </w:r>
                    </w:p>
                  </w:txbxContent>
                </v:textbox>
              </v:shape>
            </w:pict>
          </mc:Fallback>
        </mc:AlternateContent>
      </w:r>
      <w:r>
        <w:br w:type="page"/>
      </w:r>
      <w:bookmarkStart w:id="39" w:name="_GoBack"/>
      <w:bookmarkEnd w:id="39"/>
    </w:p>
    <w:p>
      <w:pPr>
        <w:spacing w:before="156" w:beforeLines="50" w:after="156" w:afterLines="50" w:line="480" w:lineRule="auto"/>
        <w:outlineLvl w:val="0"/>
        <w:rPr>
          <w:rFonts w:ascii="Product Sans" w:hAnsi="Product Sans"/>
          <w:sz w:val="30"/>
          <w:szCs w:val="30"/>
        </w:rPr>
      </w:pPr>
      <w:bookmarkStart w:id="0" w:name="_Toc7903262"/>
      <w:r>
        <w:rPr>
          <w:rFonts w:ascii="Product Sans" w:hAnsi="Product Sans"/>
          <w:sz w:val="30"/>
          <w:szCs w:val="30"/>
        </w:rPr>
        <w:t>Executive summary</w:t>
      </w:r>
      <w:bookmarkEnd w:id="0"/>
      <w:r>
        <w:rPr>
          <w:rFonts w:ascii="Product Sans" w:hAnsi="Product Sans"/>
          <w:sz w:val="30"/>
          <w:szCs w:val="30"/>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This report conducts a comprehensive business environment analysis of the Hansen Craft Beer House. The business environment analysis confirms the necessity of developing new flavour of craft beer products in the company. This report also conducts a brief SWOT analysis for the company for internal environmental scanning. Based on the extensive analysis conducted, this report also proposes the marketing strategy and marketing mix for the new products. </w:t>
      </w:r>
      <w:r>
        <w:rPr>
          <w:rFonts w:ascii="Times New Roman" w:hAnsi="Times New Roman" w:cs="Times New Roman"/>
          <w:sz w:val="24"/>
          <w:szCs w:val="24"/>
        </w:rPr>
        <w:br w:type="page"/>
      </w:r>
    </w:p>
    <w:sdt>
      <w:sdtPr>
        <w:rPr>
          <w:rFonts w:asciiTheme="minorHAnsi" w:hAnsiTheme="minorHAnsi" w:eastAsiaTheme="minorEastAsia" w:cstheme="minorBidi"/>
          <w:color w:val="auto"/>
          <w:kern w:val="2"/>
          <w:sz w:val="21"/>
          <w:szCs w:val="22"/>
          <w:lang w:val="zh-CN"/>
        </w:rPr>
        <w:id w:val="57610924"/>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16"/>
            <w:jc w:val="center"/>
            <w:rPr>
              <w:rFonts w:ascii="Product Sans" w:hAnsi="Product Sans"/>
              <w:color w:val="000000" w:themeColor="text1"/>
              <w14:textFill>
                <w14:solidFill>
                  <w14:schemeClr w14:val="tx1"/>
                </w14:solidFill>
              </w14:textFill>
            </w:rPr>
          </w:pPr>
          <w:r>
            <w:rPr>
              <w:rFonts w:ascii="Product Sans" w:hAnsi="Product Sans"/>
              <w:color w:val="000000" w:themeColor="text1"/>
              <w:lang w:val="zh-CN"/>
              <w14:textFill>
                <w14:solidFill>
                  <w14:schemeClr w14:val="tx1"/>
                </w14:solidFill>
              </w14:textFill>
            </w:rPr>
            <w:t>Table of Contents</w:t>
          </w:r>
        </w:p>
        <w:p>
          <w:pPr>
            <w:pStyle w:val="6"/>
            <w:rPr>
              <w:rFonts w:asciiTheme="minorHAnsi" w:hAnsiTheme="minorHAnsi"/>
              <w:sz w:val="22"/>
              <w:lang w:val="en-US"/>
            </w:rPr>
          </w:pPr>
          <w:r>
            <w:rPr>
              <w:b/>
              <w:bCs/>
              <w:lang w:val="zh-CN"/>
            </w:rPr>
            <w:fldChar w:fldCharType="begin"/>
          </w:r>
          <w:r>
            <w:rPr>
              <w:b/>
              <w:bCs/>
              <w:lang w:val="zh-CN"/>
            </w:rPr>
            <w:instrText xml:space="preserve"> TOC \o "1-3" \h \z \u </w:instrText>
          </w:r>
          <w:r>
            <w:rPr>
              <w:b/>
              <w:bCs/>
              <w:lang w:val="zh-CN"/>
            </w:rPr>
            <w:fldChar w:fldCharType="separate"/>
          </w:r>
          <w:r>
            <w:fldChar w:fldCharType="begin"/>
          </w:r>
          <w:r>
            <w:instrText xml:space="preserve"> HYPERLINK \l "_Toc7903262" </w:instrText>
          </w:r>
          <w:r>
            <w:fldChar w:fldCharType="separate"/>
          </w:r>
          <w:r>
            <w:rPr>
              <w:rStyle w:val="11"/>
            </w:rPr>
            <w:t>Executive summary</w:t>
          </w:r>
          <w:r>
            <w:tab/>
          </w:r>
          <w:r>
            <w:fldChar w:fldCharType="end"/>
          </w:r>
        </w:p>
        <w:p>
          <w:pPr>
            <w:pStyle w:val="6"/>
            <w:rPr>
              <w:rFonts w:asciiTheme="minorHAnsi" w:hAnsiTheme="minorHAnsi"/>
              <w:sz w:val="22"/>
              <w:lang w:val="en-US"/>
            </w:rPr>
          </w:pPr>
          <w:r>
            <w:fldChar w:fldCharType="begin"/>
          </w:r>
          <w:r>
            <w:instrText xml:space="preserve"> HYPERLINK \l "_Toc7903263" </w:instrText>
          </w:r>
          <w:r>
            <w:fldChar w:fldCharType="separate"/>
          </w:r>
          <w:r>
            <w:rPr>
              <w:rStyle w:val="11"/>
            </w:rPr>
            <w:t>1.</w:t>
          </w:r>
          <w:r>
            <w:rPr>
              <w:rFonts w:asciiTheme="minorHAnsi" w:hAnsiTheme="minorHAnsi"/>
              <w:sz w:val="22"/>
              <w:lang w:val="en-US"/>
            </w:rPr>
            <w:tab/>
          </w:r>
          <w:r>
            <w:rPr>
              <w:rStyle w:val="11"/>
            </w:rPr>
            <w:t>Introduction</w:t>
          </w:r>
          <w:r>
            <w:tab/>
          </w:r>
          <w:r>
            <w:fldChar w:fldCharType="begin"/>
          </w:r>
          <w:r>
            <w:instrText xml:space="preserve"> PAGEREF _Toc7903263 \h </w:instrText>
          </w:r>
          <w:r>
            <w:fldChar w:fldCharType="separate"/>
          </w:r>
          <w:r>
            <w:t>1</w:t>
          </w:r>
          <w:r>
            <w:fldChar w:fldCharType="end"/>
          </w:r>
          <w:r>
            <w:fldChar w:fldCharType="end"/>
          </w:r>
        </w:p>
        <w:p>
          <w:pPr>
            <w:pStyle w:val="6"/>
            <w:rPr>
              <w:rFonts w:asciiTheme="minorHAnsi" w:hAnsiTheme="minorHAnsi"/>
              <w:sz w:val="22"/>
              <w:lang w:val="en-US"/>
            </w:rPr>
          </w:pPr>
          <w:r>
            <w:fldChar w:fldCharType="begin"/>
          </w:r>
          <w:r>
            <w:instrText xml:space="preserve"> HYPERLINK \l "_Toc7903264" </w:instrText>
          </w:r>
          <w:r>
            <w:fldChar w:fldCharType="separate"/>
          </w:r>
          <w:r>
            <w:rPr>
              <w:rStyle w:val="11"/>
            </w:rPr>
            <w:t>2.</w:t>
          </w:r>
          <w:r>
            <w:rPr>
              <w:rFonts w:asciiTheme="minorHAnsi" w:hAnsiTheme="minorHAnsi"/>
              <w:sz w:val="22"/>
              <w:lang w:val="en-US"/>
            </w:rPr>
            <w:tab/>
          </w:r>
          <w:r>
            <w:rPr>
              <w:rStyle w:val="11"/>
            </w:rPr>
            <w:t>External Business Environmental Analysis</w:t>
          </w:r>
          <w:r>
            <w:tab/>
          </w:r>
          <w:r>
            <w:fldChar w:fldCharType="begin"/>
          </w:r>
          <w:r>
            <w:instrText xml:space="preserve"> PAGEREF _Toc7903264 \h </w:instrText>
          </w:r>
          <w:r>
            <w:fldChar w:fldCharType="separate"/>
          </w:r>
          <w:r>
            <w:t>3</w:t>
          </w:r>
          <w:r>
            <w:fldChar w:fldCharType="end"/>
          </w:r>
          <w:r>
            <w:fldChar w:fldCharType="end"/>
          </w:r>
        </w:p>
        <w:p>
          <w:pPr>
            <w:pStyle w:val="7"/>
            <w:tabs>
              <w:tab w:val="left" w:pos="1050"/>
              <w:tab w:val="right" w:leader="dot" w:pos="8296"/>
            </w:tabs>
            <w:spacing w:before="156" w:beforeLines="50" w:after="156" w:afterLines="50"/>
            <w:rPr>
              <w:lang w:val="en-US"/>
            </w:rPr>
          </w:pPr>
          <w:r>
            <w:fldChar w:fldCharType="begin"/>
          </w:r>
          <w:r>
            <w:instrText xml:space="preserve"> HYPERLINK \l "_Toc7903267" </w:instrText>
          </w:r>
          <w:r>
            <w:fldChar w:fldCharType="separate"/>
          </w:r>
          <w:r>
            <w:rPr>
              <w:rStyle w:val="11"/>
              <w:rFonts w:ascii="Product Sans" w:hAnsi="Product Sans"/>
              <w:color w:val="033261" w:themeColor="hyperlink" w:themeShade="80"/>
            </w:rPr>
            <w:t>2.1.</w:t>
          </w:r>
          <w:r>
            <w:rPr>
              <w:lang w:val="en-US"/>
            </w:rPr>
            <w:tab/>
          </w:r>
          <w:r>
            <w:rPr>
              <w:rStyle w:val="11"/>
              <w:rFonts w:ascii="Product Sans" w:hAnsi="Product Sans"/>
              <w:color w:val="033261" w:themeColor="hyperlink" w:themeShade="80"/>
            </w:rPr>
            <w:t>Macro environment analysis</w:t>
          </w:r>
          <w:r>
            <w:tab/>
          </w:r>
          <w:r>
            <w:fldChar w:fldCharType="begin"/>
          </w:r>
          <w:r>
            <w:instrText xml:space="preserve"> PAGEREF _Toc7903267 \h </w:instrText>
          </w:r>
          <w:r>
            <w:fldChar w:fldCharType="separate"/>
          </w:r>
          <w:r>
            <w:t>3</w:t>
          </w:r>
          <w:r>
            <w:fldChar w:fldCharType="end"/>
          </w:r>
          <w:r>
            <w:fldChar w:fldCharType="end"/>
          </w:r>
        </w:p>
        <w:p>
          <w:pPr>
            <w:pStyle w:val="3"/>
            <w:tabs>
              <w:tab w:val="left" w:pos="1260"/>
              <w:tab w:val="right" w:leader="dot" w:pos="8296"/>
            </w:tabs>
            <w:rPr>
              <w:lang w:val="en-US"/>
            </w:rPr>
          </w:pPr>
          <w:r>
            <w:fldChar w:fldCharType="begin"/>
          </w:r>
          <w:r>
            <w:instrText xml:space="preserve"> HYPERLINK \l "_Toc7903268"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Political</w:t>
          </w:r>
          <w:r>
            <w:tab/>
          </w:r>
          <w:r>
            <w:fldChar w:fldCharType="begin"/>
          </w:r>
          <w:r>
            <w:instrText xml:space="preserve"> PAGEREF _Toc7903268 \h </w:instrText>
          </w:r>
          <w:r>
            <w:fldChar w:fldCharType="separate"/>
          </w:r>
          <w:r>
            <w:t>3</w:t>
          </w:r>
          <w:r>
            <w:fldChar w:fldCharType="end"/>
          </w:r>
          <w:r>
            <w:fldChar w:fldCharType="end"/>
          </w:r>
        </w:p>
        <w:p>
          <w:pPr>
            <w:pStyle w:val="3"/>
            <w:tabs>
              <w:tab w:val="left" w:pos="1260"/>
              <w:tab w:val="right" w:leader="dot" w:pos="8296"/>
            </w:tabs>
            <w:rPr>
              <w:lang w:val="en-US"/>
            </w:rPr>
          </w:pPr>
          <w:r>
            <w:fldChar w:fldCharType="begin"/>
          </w:r>
          <w:r>
            <w:instrText xml:space="preserve"> HYPERLINK \l "_Toc7903269"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Economic</w:t>
          </w:r>
          <w:r>
            <w:tab/>
          </w:r>
          <w:r>
            <w:fldChar w:fldCharType="begin"/>
          </w:r>
          <w:r>
            <w:instrText xml:space="preserve"> PAGEREF _Toc7903269 \h </w:instrText>
          </w:r>
          <w:r>
            <w:fldChar w:fldCharType="separate"/>
          </w:r>
          <w:r>
            <w:t>4</w:t>
          </w:r>
          <w:r>
            <w:fldChar w:fldCharType="end"/>
          </w:r>
          <w:r>
            <w:fldChar w:fldCharType="end"/>
          </w:r>
        </w:p>
        <w:p>
          <w:pPr>
            <w:pStyle w:val="3"/>
            <w:tabs>
              <w:tab w:val="left" w:pos="1260"/>
              <w:tab w:val="right" w:leader="dot" w:pos="8296"/>
            </w:tabs>
            <w:rPr>
              <w:lang w:val="en-US"/>
            </w:rPr>
          </w:pPr>
          <w:r>
            <w:fldChar w:fldCharType="begin"/>
          </w:r>
          <w:r>
            <w:instrText xml:space="preserve"> HYPERLINK \l "_Toc7903270"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Socio and cultural</w:t>
          </w:r>
          <w:r>
            <w:tab/>
          </w:r>
          <w:r>
            <w:fldChar w:fldCharType="begin"/>
          </w:r>
          <w:r>
            <w:instrText xml:space="preserve"> PAGEREF _Toc7903270 \h </w:instrText>
          </w:r>
          <w:r>
            <w:fldChar w:fldCharType="separate"/>
          </w:r>
          <w:r>
            <w:t>5</w:t>
          </w:r>
          <w:r>
            <w:fldChar w:fldCharType="end"/>
          </w:r>
          <w:r>
            <w:fldChar w:fldCharType="end"/>
          </w:r>
        </w:p>
        <w:p>
          <w:pPr>
            <w:pStyle w:val="3"/>
            <w:tabs>
              <w:tab w:val="left" w:pos="1260"/>
              <w:tab w:val="right" w:leader="dot" w:pos="8296"/>
            </w:tabs>
            <w:rPr>
              <w:lang w:val="en-US"/>
            </w:rPr>
          </w:pPr>
          <w:r>
            <w:fldChar w:fldCharType="begin"/>
          </w:r>
          <w:r>
            <w:instrText xml:space="preserve"> HYPERLINK \l "_Toc7903271"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Technological</w:t>
          </w:r>
          <w:r>
            <w:tab/>
          </w:r>
          <w:r>
            <w:fldChar w:fldCharType="begin"/>
          </w:r>
          <w:r>
            <w:instrText xml:space="preserve"> PAGEREF _Toc7903271 \h </w:instrText>
          </w:r>
          <w:r>
            <w:fldChar w:fldCharType="separate"/>
          </w:r>
          <w:r>
            <w:t>6</w:t>
          </w:r>
          <w:r>
            <w:fldChar w:fldCharType="end"/>
          </w:r>
          <w:r>
            <w:fldChar w:fldCharType="end"/>
          </w:r>
        </w:p>
        <w:p>
          <w:pPr>
            <w:pStyle w:val="7"/>
            <w:tabs>
              <w:tab w:val="left" w:pos="1050"/>
              <w:tab w:val="right" w:leader="dot" w:pos="8296"/>
            </w:tabs>
            <w:spacing w:before="156" w:beforeLines="50" w:after="156" w:afterLines="50"/>
            <w:rPr>
              <w:lang w:val="en-US"/>
            </w:rPr>
          </w:pPr>
          <w:r>
            <w:fldChar w:fldCharType="begin"/>
          </w:r>
          <w:r>
            <w:instrText xml:space="preserve"> HYPERLINK \l "_Toc7903272" </w:instrText>
          </w:r>
          <w:r>
            <w:fldChar w:fldCharType="separate"/>
          </w:r>
          <w:r>
            <w:rPr>
              <w:rStyle w:val="11"/>
              <w:rFonts w:ascii="Product Sans" w:hAnsi="Product Sans"/>
              <w:color w:val="033261" w:themeColor="hyperlink" w:themeShade="80"/>
            </w:rPr>
            <w:t>2.2.</w:t>
          </w:r>
          <w:r>
            <w:rPr>
              <w:lang w:val="en-US"/>
            </w:rPr>
            <w:tab/>
          </w:r>
          <w:r>
            <w:rPr>
              <w:rStyle w:val="11"/>
              <w:rFonts w:ascii="Product Sans" w:hAnsi="Product Sans"/>
              <w:color w:val="033261" w:themeColor="hyperlink" w:themeShade="80"/>
            </w:rPr>
            <w:t>Micro Environmental Analysis</w:t>
          </w:r>
          <w:r>
            <w:tab/>
          </w:r>
          <w:r>
            <w:fldChar w:fldCharType="begin"/>
          </w:r>
          <w:r>
            <w:instrText xml:space="preserve"> PAGEREF _Toc7903272 \h </w:instrText>
          </w:r>
          <w:r>
            <w:fldChar w:fldCharType="separate"/>
          </w:r>
          <w:r>
            <w:t>7</w:t>
          </w:r>
          <w:r>
            <w:fldChar w:fldCharType="end"/>
          </w:r>
          <w:r>
            <w:fldChar w:fldCharType="end"/>
          </w:r>
        </w:p>
        <w:p>
          <w:pPr>
            <w:pStyle w:val="3"/>
            <w:tabs>
              <w:tab w:val="left" w:pos="1260"/>
              <w:tab w:val="right" w:leader="dot" w:pos="8296"/>
            </w:tabs>
            <w:rPr>
              <w:lang w:val="en-US"/>
            </w:rPr>
          </w:pPr>
          <w:r>
            <w:fldChar w:fldCharType="begin"/>
          </w:r>
          <w:r>
            <w:instrText xml:space="preserve"> HYPERLINK \l "_Toc7903273"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Rivalry</w:t>
          </w:r>
          <w:r>
            <w:tab/>
          </w:r>
          <w:r>
            <w:fldChar w:fldCharType="begin"/>
          </w:r>
          <w:r>
            <w:instrText xml:space="preserve"> PAGEREF _Toc7903273 \h </w:instrText>
          </w:r>
          <w:r>
            <w:fldChar w:fldCharType="separate"/>
          </w:r>
          <w:r>
            <w:t>7</w:t>
          </w:r>
          <w:r>
            <w:fldChar w:fldCharType="end"/>
          </w:r>
          <w:r>
            <w:fldChar w:fldCharType="end"/>
          </w:r>
        </w:p>
        <w:p>
          <w:pPr>
            <w:pStyle w:val="3"/>
            <w:tabs>
              <w:tab w:val="left" w:pos="1260"/>
              <w:tab w:val="right" w:leader="dot" w:pos="8296"/>
            </w:tabs>
            <w:rPr>
              <w:lang w:val="en-US"/>
            </w:rPr>
          </w:pPr>
          <w:r>
            <w:fldChar w:fldCharType="begin"/>
          </w:r>
          <w:r>
            <w:instrText xml:space="preserve"> HYPERLINK \l "_Toc7903274"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Market entrants</w:t>
          </w:r>
          <w:r>
            <w:tab/>
          </w:r>
          <w:r>
            <w:fldChar w:fldCharType="begin"/>
          </w:r>
          <w:r>
            <w:instrText xml:space="preserve"> PAGEREF _Toc7903274 \h </w:instrText>
          </w:r>
          <w:r>
            <w:fldChar w:fldCharType="separate"/>
          </w:r>
          <w:r>
            <w:t>8</w:t>
          </w:r>
          <w:r>
            <w:fldChar w:fldCharType="end"/>
          </w:r>
          <w:r>
            <w:fldChar w:fldCharType="end"/>
          </w:r>
        </w:p>
        <w:p>
          <w:pPr>
            <w:pStyle w:val="3"/>
            <w:tabs>
              <w:tab w:val="left" w:pos="1260"/>
              <w:tab w:val="right" w:leader="dot" w:pos="8296"/>
            </w:tabs>
            <w:rPr>
              <w:lang w:val="en-US"/>
            </w:rPr>
          </w:pPr>
          <w:r>
            <w:fldChar w:fldCharType="begin"/>
          </w:r>
          <w:r>
            <w:instrText xml:space="preserve"> HYPERLINK \l "_Toc7903275"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Substitutes</w:t>
          </w:r>
          <w:r>
            <w:tab/>
          </w:r>
          <w:r>
            <w:fldChar w:fldCharType="begin"/>
          </w:r>
          <w:r>
            <w:instrText xml:space="preserve"> PAGEREF _Toc7903275 \h </w:instrText>
          </w:r>
          <w:r>
            <w:fldChar w:fldCharType="separate"/>
          </w:r>
          <w:r>
            <w:t>9</w:t>
          </w:r>
          <w:r>
            <w:fldChar w:fldCharType="end"/>
          </w:r>
          <w:r>
            <w:fldChar w:fldCharType="end"/>
          </w:r>
        </w:p>
        <w:p>
          <w:pPr>
            <w:pStyle w:val="3"/>
            <w:tabs>
              <w:tab w:val="left" w:pos="1260"/>
              <w:tab w:val="right" w:leader="dot" w:pos="8296"/>
            </w:tabs>
            <w:rPr>
              <w:lang w:val="en-US"/>
            </w:rPr>
          </w:pPr>
          <w:r>
            <w:fldChar w:fldCharType="begin"/>
          </w:r>
          <w:r>
            <w:instrText xml:space="preserve"> HYPERLINK \l "_Toc7903276"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Consumer bargaining power</w:t>
          </w:r>
          <w:r>
            <w:tab/>
          </w:r>
          <w:r>
            <w:fldChar w:fldCharType="begin"/>
          </w:r>
          <w:r>
            <w:instrText xml:space="preserve"> PAGEREF _Toc7903276 \h </w:instrText>
          </w:r>
          <w:r>
            <w:fldChar w:fldCharType="separate"/>
          </w:r>
          <w:r>
            <w:t>9</w:t>
          </w:r>
          <w:r>
            <w:fldChar w:fldCharType="end"/>
          </w:r>
          <w:r>
            <w:fldChar w:fldCharType="end"/>
          </w:r>
        </w:p>
        <w:p>
          <w:pPr>
            <w:pStyle w:val="3"/>
            <w:tabs>
              <w:tab w:val="left" w:pos="1260"/>
              <w:tab w:val="right" w:leader="dot" w:pos="8296"/>
            </w:tabs>
            <w:rPr>
              <w:lang w:val="en-US"/>
            </w:rPr>
          </w:pPr>
          <w:r>
            <w:fldChar w:fldCharType="begin"/>
          </w:r>
          <w:r>
            <w:instrText xml:space="preserve"> HYPERLINK \l "_Toc7903277"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Supplier bargaining power</w:t>
          </w:r>
          <w:r>
            <w:tab/>
          </w:r>
          <w:r>
            <w:fldChar w:fldCharType="begin"/>
          </w:r>
          <w:r>
            <w:instrText xml:space="preserve"> PAGEREF _Toc7903277 \h </w:instrText>
          </w:r>
          <w:r>
            <w:fldChar w:fldCharType="separate"/>
          </w:r>
          <w:r>
            <w:t>10</w:t>
          </w:r>
          <w:r>
            <w:fldChar w:fldCharType="end"/>
          </w:r>
          <w:r>
            <w:fldChar w:fldCharType="end"/>
          </w:r>
        </w:p>
        <w:p>
          <w:pPr>
            <w:pStyle w:val="7"/>
            <w:tabs>
              <w:tab w:val="left" w:pos="1050"/>
              <w:tab w:val="right" w:leader="dot" w:pos="8296"/>
            </w:tabs>
            <w:spacing w:before="156" w:beforeLines="50" w:after="156" w:afterLines="50"/>
            <w:rPr>
              <w:lang w:val="en-US"/>
            </w:rPr>
          </w:pPr>
          <w:r>
            <w:fldChar w:fldCharType="begin"/>
          </w:r>
          <w:r>
            <w:instrText xml:space="preserve"> HYPERLINK \l "_Toc7903278" </w:instrText>
          </w:r>
          <w:r>
            <w:fldChar w:fldCharType="separate"/>
          </w:r>
          <w:r>
            <w:rPr>
              <w:rStyle w:val="11"/>
              <w:rFonts w:ascii="Product Sans" w:hAnsi="Product Sans"/>
              <w:color w:val="033261" w:themeColor="hyperlink" w:themeShade="80"/>
            </w:rPr>
            <w:t>2.3.</w:t>
          </w:r>
          <w:r>
            <w:rPr>
              <w:lang w:val="en-US"/>
            </w:rPr>
            <w:tab/>
          </w:r>
          <w:r>
            <w:rPr>
              <w:rStyle w:val="11"/>
              <w:rFonts w:ascii="Product Sans" w:hAnsi="Product Sans"/>
              <w:color w:val="033261" w:themeColor="hyperlink" w:themeShade="80"/>
            </w:rPr>
            <w:t>Summary</w:t>
          </w:r>
          <w:r>
            <w:tab/>
          </w:r>
          <w:r>
            <w:fldChar w:fldCharType="begin"/>
          </w:r>
          <w:r>
            <w:instrText xml:space="preserve"> PAGEREF _Toc7903278 \h </w:instrText>
          </w:r>
          <w:r>
            <w:fldChar w:fldCharType="separate"/>
          </w:r>
          <w:r>
            <w:t>11</w:t>
          </w:r>
          <w:r>
            <w:fldChar w:fldCharType="end"/>
          </w:r>
          <w:r>
            <w:fldChar w:fldCharType="end"/>
          </w:r>
        </w:p>
        <w:p>
          <w:pPr>
            <w:pStyle w:val="6"/>
            <w:rPr>
              <w:rFonts w:asciiTheme="minorHAnsi" w:hAnsiTheme="minorHAnsi"/>
              <w:sz w:val="22"/>
              <w:lang w:val="en-US"/>
            </w:rPr>
          </w:pPr>
          <w:r>
            <w:fldChar w:fldCharType="begin"/>
          </w:r>
          <w:r>
            <w:instrText xml:space="preserve"> HYPERLINK \l "_Toc7903279" </w:instrText>
          </w:r>
          <w:r>
            <w:fldChar w:fldCharType="separate"/>
          </w:r>
          <w:r>
            <w:rPr>
              <w:rStyle w:val="11"/>
            </w:rPr>
            <w:t>3.</w:t>
          </w:r>
          <w:r>
            <w:rPr>
              <w:rFonts w:asciiTheme="minorHAnsi" w:hAnsiTheme="minorHAnsi"/>
              <w:sz w:val="22"/>
              <w:lang w:val="en-US"/>
            </w:rPr>
            <w:tab/>
          </w:r>
          <w:r>
            <w:rPr>
              <w:rStyle w:val="11"/>
            </w:rPr>
            <w:t>Internal business environmental analysis</w:t>
          </w:r>
          <w:r>
            <w:tab/>
          </w:r>
          <w:r>
            <w:fldChar w:fldCharType="begin"/>
          </w:r>
          <w:r>
            <w:instrText xml:space="preserve"> PAGEREF _Toc7903279 \h </w:instrText>
          </w:r>
          <w:r>
            <w:fldChar w:fldCharType="separate"/>
          </w:r>
          <w:r>
            <w:t>12</w:t>
          </w:r>
          <w:r>
            <w:fldChar w:fldCharType="end"/>
          </w:r>
          <w:r>
            <w:fldChar w:fldCharType="end"/>
          </w:r>
        </w:p>
        <w:p>
          <w:pPr>
            <w:pStyle w:val="6"/>
            <w:rPr>
              <w:rFonts w:asciiTheme="minorHAnsi" w:hAnsiTheme="minorHAnsi"/>
              <w:sz w:val="22"/>
              <w:lang w:val="en-US"/>
            </w:rPr>
          </w:pPr>
          <w:r>
            <w:fldChar w:fldCharType="begin"/>
          </w:r>
          <w:r>
            <w:instrText xml:space="preserve"> HYPERLINK \l "_Toc7903280" </w:instrText>
          </w:r>
          <w:r>
            <w:fldChar w:fldCharType="separate"/>
          </w:r>
          <w:r>
            <w:rPr>
              <w:rStyle w:val="11"/>
            </w:rPr>
            <w:t>4.</w:t>
          </w:r>
          <w:r>
            <w:rPr>
              <w:rFonts w:asciiTheme="minorHAnsi" w:hAnsiTheme="minorHAnsi"/>
              <w:sz w:val="22"/>
              <w:lang w:val="en-US"/>
            </w:rPr>
            <w:tab/>
          </w:r>
          <w:r>
            <w:rPr>
              <w:rStyle w:val="11"/>
            </w:rPr>
            <w:t>New product marketing strategy</w:t>
          </w:r>
          <w:r>
            <w:tab/>
          </w:r>
          <w:r>
            <w:fldChar w:fldCharType="begin"/>
          </w:r>
          <w:r>
            <w:instrText xml:space="preserve"> PAGEREF _Toc7903280 \h </w:instrText>
          </w:r>
          <w:r>
            <w:fldChar w:fldCharType="separate"/>
          </w:r>
          <w:r>
            <w:t>15</w:t>
          </w:r>
          <w:r>
            <w:fldChar w:fldCharType="end"/>
          </w:r>
          <w:r>
            <w:fldChar w:fldCharType="end"/>
          </w:r>
        </w:p>
        <w:p>
          <w:pPr>
            <w:pStyle w:val="7"/>
            <w:tabs>
              <w:tab w:val="left" w:pos="1050"/>
              <w:tab w:val="right" w:leader="dot" w:pos="8296"/>
            </w:tabs>
            <w:spacing w:before="156" w:beforeLines="50" w:after="156" w:afterLines="50"/>
            <w:rPr>
              <w:lang w:val="en-US"/>
            </w:rPr>
          </w:pPr>
          <w:r>
            <w:fldChar w:fldCharType="begin"/>
          </w:r>
          <w:r>
            <w:instrText xml:space="preserve"> HYPERLINK \l "_Toc7903283" </w:instrText>
          </w:r>
          <w:r>
            <w:fldChar w:fldCharType="separate"/>
          </w:r>
          <w:r>
            <w:rPr>
              <w:rStyle w:val="11"/>
              <w:rFonts w:ascii="Product Sans" w:hAnsi="Product Sans"/>
              <w:color w:val="033261" w:themeColor="hyperlink" w:themeShade="80"/>
            </w:rPr>
            <w:t>4.1.</w:t>
          </w:r>
          <w:r>
            <w:rPr>
              <w:lang w:val="en-US"/>
            </w:rPr>
            <w:tab/>
          </w:r>
          <w:r>
            <w:rPr>
              <w:rStyle w:val="11"/>
              <w:rFonts w:ascii="Product Sans" w:hAnsi="Product Sans"/>
              <w:color w:val="033261" w:themeColor="hyperlink" w:themeShade="80"/>
            </w:rPr>
            <w:t>Product development strategy &amp; STP of the new product</w:t>
          </w:r>
          <w:r>
            <w:tab/>
          </w:r>
          <w:r>
            <w:fldChar w:fldCharType="begin"/>
          </w:r>
          <w:r>
            <w:instrText xml:space="preserve"> PAGEREF _Toc7903283 \h </w:instrText>
          </w:r>
          <w:r>
            <w:fldChar w:fldCharType="separate"/>
          </w:r>
          <w:r>
            <w:t>15</w:t>
          </w:r>
          <w:r>
            <w:fldChar w:fldCharType="end"/>
          </w:r>
          <w:r>
            <w:fldChar w:fldCharType="end"/>
          </w:r>
        </w:p>
        <w:p>
          <w:pPr>
            <w:pStyle w:val="3"/>
            <w:tabs>
              <w:tab w:val="left" w:pos="1260"/>
              <w:tab w:val="right" w:leader="dot" w:pos="8296"/>
            </w:tabs>
            <w:rPr>
              <w:lang w:val="en-US"/>
            </w:rPr>
          </w:pPr>
          <w:r>
            <w:fldChar w:fldCharType="begin"/>
          </w:r>
          <w:r>
            <w:instrText xml:space="preserve"> HYPERLINK \l "_Toc7903284"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Segmentation</w:t>
          </w:r>
          <w:r>
            <w:tab/>
          </w:r>
          <w:r>
            <w:fldChar w:fldCharType="begin"/>
          </w:r>
          <w:r>
            <w:instrText xml:space="preserve"> PAGEREF _Toc7903284 \h </w:instrText>
          </w:r>
          <w:r>
            <w:fldChar w:fldCharType="separate"/>
          </w:r>
          <w:r>
            <w:t>16</w:t>
          </w:r>
          <w:r>
            <w:fldChar w:fldCharType="end"/>
          </w:r>
          <w:r>
            <w:fldChar w:fldCharType="end"/>
          </w:r>
        </w:p>
        <w:p>
          <w:pPr>
            <w:pStyle w:val="3"/>
            <w:tabs>
              <w:tab w:val="left" w:pos="1260"/>
              <w:tab w:val="right" w:leader="dot" w:pos="8296"/>
            </w:tabs>
            <w:rPr>
              <w:lang w:val="en-US"/>
            </w:rPr>
          </w:pPr>
          <w:r>
            <w:fldChar w:fldCharType="begin"/>
          </w:r>
          <w:r>
            <w:instrText xml:space="preserve"> HYPERLINK \l "_Toc7903285"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Targeting</w:t>
          </w:r>
          <w:r>
            <w:tab/>
          </w:r>
          <w:r>
            <w:fldChar w:fldCharType="begin"/>
          </w:r>
          <w:r>
            <w:instrText xml:space="preserve"> PAGEREF _Toc7903285 \h </w:instrText>
          </w:r>
          <w:r>
            <w:fldChar w:fldCharType="separate"/>
          </w:r>
          <w:r>
            <w:t>16</w:t>
          </w:r>
          <w:r>
            <w:fldChar w:fldCharType="end"/>
          </w:r>
          <w:r>
            <w:fldChar w:fldCharType="end"/>
          </w:r>
        </w:p>
        <w:p>
          <w:pPr>
            <w:pStyle w:val="3"/>
            <w:tabs>
              <w:tab w:val="left" w:pos="1260"/>
              <w:tab w:val="right" w:leader="dot" w:pos="8296"/>
            </w:tabs>
            <w:rPr>
              <w:lang w:val="en-US"/>
            </w:rPr>
          </w:pPr>
          <w:r>
            <w:fldChar w:fldCharType="begin"/>
          </w:r>
          <w:r>
            <w:instrText xml:space="preserve"> HYPERLINK \l "_Toc7903286"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Positioning</w:t>
          </w:r>
          <w:r>
            <w:tab/>
          </w:r>
          <w:r>
            <w:fldChar w:fldCharType="begin"/>
          </w:r>
          <w:r>
            <w:instrText xml:space="preserve"> PAGEREF _Toc7903286 \h </w:instrText>
          </w:r>
          <w:r>
            <w:fldChar w:fldCharType="separate"/>
          </w:r>
          <w:r>
            <w:t>16</w:t>
          </w:r>
          <w:r>
            <w:fldChar w:fldCharType="end"/>
          </w:r>
          <w:r>
            <w:fldChar w:fldCharType="end"/>
          </w:r>
        </w:p>
        <w:p>
          <w:pPr>
            <w:pStyle w:val="7"/>
            <w:tabs>
              <w:tab w:val="left" w:pos="1050"/>
              <w:tab w:val="right" w:leader="dot" w:pos="8296"/>
            </w:tabs>
            <w:spacing w:before="156" w:beforeLines="50" w:after="156" w:afterLines="50"/>
            <w:rPr>
              <w:lang w:val="en-US"/>
            </w:rPr>
          </w:pPr>
          <w:r>
            <w:fldChar w:fldCharType="begin"/>
          </w:r>
          <w:r>
            <w:instrText xml:space="preserve"> HYPERLINK \l "_Toc7903287" </w:instrText>
          </w:r>
          <w:r>
            <w:fldChar w:fldCharType="separate"/>
          </w:r>
          <w:r>
            <w:rPr>
              <w:rStyle w:val="11"/>
              <w:rFonts w:ascii="Product Sans" w:hAnsi="Product Sans"/>
              <w:color w:val="033261" w:themeColor="hyperlink" w:themeShade="80"/>
            </w:rPr>
            <w:t>4.2.</w:t>
          </w:r>
          <w:r>
            <w:rPr>
              <w:lang w:val="en-US"/>
            </w:rPr>
            <w:tab/>
          </w:r>
          <w:r>
            <w:rPr>
              <w:rStyle w:val="11"/>
              <w:rFonts w:ascii="Product Sans" w:hAnsi="Product Sans"/>
              <w:color w:val="033261" w:themeColor="hyperlink" w:themeShade="80"/>
            </w:rPr>
            <w:t>Marketing mix</w:t>
          </w:r>
          <w:r>
            <w:tab/>
          </w:r>
          <w:r>
            <w:fldChar w:fldCharType="begin"/>
          </w:r>
          <w:r>
            <w:instrText xml:space="preserve"> PAGEREF _Toc7903287 \h </w:instrText>
          </w:r>
          <w:r>
            <w:fldChar w:fldCharType="separate"/>
          </w:r>
          <w:r>
            <w:t>18</w:t>
          </w:r>
          <w:r>
            <w:fldChar w:fldCharType="end"/>
          </w:r>
          <w:r>
            <w:fldChar w:fldCharType="end"/>
          </w:r>
        </w:p>
        <w:p>
          <w:pPr>
            <w:pStyle w:val="3"/>
            <w:tabs>
              <w:tab w:val="left" w:pos="1260"/>
              <w:tab w:val="right" w:leader="dot" w:pos="8296"/>
            </w:tabs>
            <w:rPr>
              <w:lang w:val="en-US"/>
            </w:rPr>
          </w:pPr>
          <w:r>
            <w:fldChar w:fldCharType="begin"/>
          </w:r>
          <w:r>
            <w:instrText xml:space="preserve"> HYPERLINK \l "_Toc7903288"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Customer</w:t>
          </w:r>
          <w:r>
            <w:tab/>
          </w:r>
          <w:r>
            <w:fldChar w:fldCharType="begin"/>
          </w:r>
          <w:r>
            <w:instrText xml:space="preserve"> PAGEREF _Toc7903288 \h </w:instrText>
          </w:r>
          <w:r>
            <w:fldChar w:fldCharType="separate"/>
          </w:r>
          <w:r>
            <w:t>18</w:t>
          </w:r>
          <w:r>
            <w:fldChar w:fldCharType="end"/>
          </w:r>
          <w:r>
            <w:fldChar w:fldCharType="end"/>
          </w:r>
        </w:p>
        <w:p>
          <w:pPr>
            <w:pStyle w:val="3"/>
            <w:tabs>
              <w:tab w:val="left" w:pos="1260"/>
              <w:tab w:val="right" w:leader="dot" w:pos="8296"/>
            </w:tabs>
            <w:rPr>
              <w:lang w:val="en-US"/>
            </w:rPr>
          </w:pPr>
          <w:r>
            <w:fldChar w:fldCharType="begin"/>
          </w:r>
          <w:r>
            <w:instrText xml:space="preserve"> HYPERLINK \l "_Toc7903289"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Cost</w:t>
          </w:r>
          <w:r>
            <w:tab/>
          </w:r>
          <w:r>
            <w:fldChar w:fldCharType="begin"/>
          </w:r>
          <w:r>
            <w:instrText xml:space="preserve"> PAGEREF _Toc7903289 \h </w:instrText>
          </w:r>
          <w:r>
            <w:fldChar w:fldCharType="separate"/>
          </w:r>
          <w:r>
            <w:t>19</w:t>
          </w:r>
          <w:r>
            <w:fldChar w:fldCharType="end"/>
          </w:r>
          <w:r>
            <w:fldChar w:fldCharType="end"/>
          </w:r>
        </w:p>
        <w:p>
          <w:pPr>
            <w:pStyle w:val="3"/>
            <w:tabs>
              <w:tab w:val="left" w:pos="1260"/>
              <w:tab w:val="right" w:leader="dot" w:pos="8296"/>
            </w:tabs>
            <w:rPr>
              <w:lang w:val="en-US"/>
            </w:rPr>
          </w:pPr>
          <w:r>
            <w:fldChar w:fldCharType="begin"/>
          </w:r>
          <w:r>
            <w:instrText xml:space="preserve"> HYPERLINK \l "_Toc7903290"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Convenience</w:t>
          </w:r>
          <w:r>
            <w:tab/>
          </w:r>
          <w:r>
            <w:fldChar w:fldCharType="begin"/>
          </w:r>
          <w:r>
            <w:instrText xml:space="preserve"> PAGEREF _Toc7903290 \h </w:instrText>
          </w:r>
          <w:r>
            <w:fldChar w:fldCharType="separate"/>
          </w:r>
          <w:r>
            <w:t>19</w:t>
          </w:r>
          <w:r>
            <w:fldChar w:fldCharType="end"/>
          </w:r>
          <w:r>
            <w:fldChar w:fldCharType="end"/>
          </w:r>
        </w:p>
        <w:p>
          <w:pPr>
            <w:pStyle w:val="3"/>
            <w:tabs>
              <w:tab w:val="left" w:pos="1260"/>
              <w:tab w:val="right" w:leader="dot" w:pos="8296"/>
            </w:tabs>
            <w:rPr>
              <w:lang w:val="en-US"/>
            </w:rPr>
          </w:pPr>
          <w:r>
            <w:fldChar w:fldCharType="begin"/>
          </w:r>
          <w:r>
            <w:instrText xml:space="preserve"> HYPERLINK \l "_Toc7903291"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Communication</w:t>
          </w:r>
          <w:r>
            <w:tab/>
          </w:r>
          <w:r>
            <w:fldChar w:fldCharType="begin"/>
          </w:r>
          <w:r>
            <w:instrText xml:space="preserve"> PAGEREF _Toc7903291 \h </w:instrText>
          </w:r>
          <w:r>
            <w:fldChar w:fldCharType="separate"/>
          </w:r>
          <w:r>
            <w:t>19</w:t>
          </w:r>
          <w:r>
            <w:fldChar w:fldCharType="end"/>
          </w:r>
          <w:r>
            <w:fldChar w:fldCharType="end"/>
          </w:r>
        </w:p>
        <w:p>
          <w:pPr>
            <w:pStyle w:val="3"/>
            <w:tabs>
              <w:tab w:val="left" w:pos="1260"/>
              <w:tab w:val="right" w:leader="dot" w:pos="8296"/>
            </w:tabs>
            <w:rPr>
              <w:lang w:val="en-US"/>
            </w:rPr>
          </w:pPr>
          <w:r>
            <w:fldChar w:fldCharType="begin"/>
          </w:r>
          <w:r>
            <w:instrText xml:space="preserve"> HYPERLINK \l "_Toc7903292" </w:instrText>
          </w:r>
          <w:r>
            <w:fldChar w:fldCharType="separate"/>
          </w:r>
          <w:r>
            <w:rPr>
              <w:rStyle w:val="11"/>
              <w:rFonts w:ascii="Wingdings" w:hAnsi="Wingdings"/>
              <w:color w:val="033261" w:themeColor="hyperlink" w:themeShade="80"/>
            </w:rPr>
            <w:t></w:t>
          </w:r>
          <w:r>
            <w:rPr>
              <w:lang w:val="en-US"/>
            </w:rPr>
            <w:tab/>
          </w:r>
          <w:r>
            <w:rPr>
              <w:rStyle w:val="11"/>
              <w:rFonts w:ascii="Product Sans" w:hAnsi="Product Sans"/>
              <w:color w:val="033261" w:themeColor="hyperlink" w:themeShade="80"/>
            </w:rPr>
            <w:t>Online marketing</w:t>
          </w:r>
          <w:r>
            <w:tab/>
          </w:r>
          <w:r>
            <w:fldChar w:fldCharType="begin"/>
          </w:r>
          <w:r>
            <w:instrText xml:space="preserve"> PAGEREF _Toc7903292 \h </w:instrText>
          </w:r>
          <w:r>
            <w:fldChar w:fldCharType="separate"/>
          </w:r>
          <w:r>
            <w:t>20</w:t>
          </w:r>
          <w:r>
            <w:fldChar w:fldCharType="end"/>
          </w:r>
          <w:r>
            <w:fldChar w:fldCharType="end"/>
          </w:r>
        </w:p>
        <w:p>
          <w:pPr>
            <w:pStyle w:val="6"/>
            <w:rPr>
              <w:rFonts w:asciiTheme="minorHAnsi" w:hAnsiTheme="minorHAnsi"/>
              <w:sz w:val="22"/>
              <w:lang w:val="en-US"/>
            </w:rPr>
          </w:pPr>
          <w:r>
            <w:fldChar w:fldCharType="begin"/>
          </w:r>
          <w:r>
            <w:instrText xml:space="preserve"> HYPERLINK \l "_Toc7903293" </w:instrText>
          </w:r>
          <w:r>
            <w:fldChar w:fldCharType="separate"/>
          </w:r>
          <w:r>
            <w:rPr>
              <w:rStyle w:val="11"/>
            </w:rPr>
            <w:t>5.</w:t>
          </w:r>
          <w:r>
            <w:rPr>
              <w:rFonts w:asciiTheme="minorHAnsi" w:hAnsiTheme="minorHAnsi"/>
              <w:sz w:val="22"/>
              <w:lang w:val="en-US"/>
            </w:rPr>
            <w:tab/>
          </w:r>
          <w:r>
            <w:rPr>
              <w:rStyle w:val="11"/>
            </w:rPr>
            <w:t>Conclusion</w:t>
          </w:r>
          <w:r>
            <w:tab/>
          </w:r>
          <w:r>
            <w:fldChar w:fldCharType="begin"/>
          </w:r>
          <w:r>
            <w:instrText xml:space="preserve"> PAGEREF _Toc7903293 \h </w:instrText>
          </w:r>
          <w:r>
            <w:fldChar w:fldCharType="separate"/>
          </w:r>
          <w:r>
            <w:t>21</w:t>
          </w:r>
          <w:r>
            <w:fldChar w:fldCharType="end"/>
          </w:r>
          <w:r>
            <w:fldChar w:fldCharType="end"/>
          </w:r>
        </w:p>
        <w:p>
          <w:pPr>
            <w:pStyle w:val="6"/>
            <w:rPr>
              <w:rFonts w:asciiTheme="minorHAnsi" w:hAnsiTheme="minorHAnsi"/>
              <w:sz w:val="21"/>
              <w:lang w:val="en-US"/>
            </w:rPr>
          </w:pPr>
          <w:r>
            <w:fldChar w:fldCharType="begin"/>
          </w:r>
          <w:r>
            <w:instrText xml:space="preserve"> HYPERLINK \l "_Toc7903294" </w:instrText>
          </w:r>
          <w:r>
            <w:fldChar w:fldCharType="separate"/>
          </w:r>
          <w:r>
            <w:rPr>
              <w:rStyle w:val="11"/>
            </w:rPr>
            <w:t>Reference List</w:t>
          </w:r>
          <w:r>
            <w:tab/>
          </w:r>
          <w:r>
            <w:fldChar w:fldCharType="begin"/>
          </w:r>
          <w:r>
            <w:instrText xml:space="preserve"> PAGEREF _Toc7903294 \h </w:instrText>
          </w:r>
          <w:r>
            <w:fldChar w:fldCharType="separate"/>
          </w:r>
          <w:r>
            <w:t>22</w:t>
          </w:r>
          <w:r>
            <w:fldChar w:fldCharType="end"/>
          </w:r>
          <w:r>
            <w:fldChar w:fldCharType="end"/>
          </w:r>
        </w:p>
        <w:p>
          <w:pPr>
            <w:spacing w:line="360" w:lineRule="auto"/>
            <w:sectPr>
              <w:footerReference r:id="rId3" w:type="default"/>
              <w:pgSz w:w="11906" w:h="16838"/>
              <w:pgMar w:top="1440" w:right="1800" w:bottom="1440" w:left="1800" w:header="851" w:footer="992" w:gutter="0"/>
              <w:cols w:space="425" w:num="1"/>
              <w:docGrid w:type="lines" w:linePitch="312" w:charSpace="0"/>
            </w:sectPr>
          </w:pPr>
          <w:r>
            <w:rPr>
              <w:b/>
              <w:bCs/>
              <w:lang w:val="zh-CN"/>
            </w:rPr>
            <w:fldChar w:fldCharType="end"/>
          </w:r>
        </w:p>
      </w:sdtContent>
    </w:sdt>
    <w:p>
      <w:pPr>
        <w:pStyle w:val="12"/>
        <w:numPr>
          <w:ilvl w:val="0"/>
          <w:numId w:val="1"/>
        </w:numPr>
        <w:ind w:left="357" w:hanging="357" w:firstLineChars="0"/>
        <w:outlineLvl w:val="0"/>
        <w:rPr>
          <w:rFonts w:ascii="Product Sans" w:hAnsi="Product Sans"/>
          <w:sz w:val="30"/>
          <w:szCs w:val="30"/>
        </w:rPr>
      </w:pPr>
      <w:bookmarkStart w:id="1" w:name="_Toc7903263"/>
      <w:r>
        <w:rPr>
          <w:rFonts w:ascii="Product Sans" w:hAnsi="Product Sans"/>
          <w:sz w:val="30"/>
          <w:szCs w:val="30"/>
        </w:rPr>
        <w:t>Introduction</w:t>
      </w:r>
      <w:bookmarkEnd w:id="1"/>
      <w:r>
        <w:rPr>
          <w:rFonts w:ascii="Product Sans" w:hAnsi="Product Sans"/>
          <w:sz w:val="30"/>
          <w:szCs w:val="30"/>
        </w:rPr>
        <w:t xml:space="preserv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rPr>
        <w:t>Beer has been the beverage of ordinary people since the 16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 early breweries in Europe, with the local malt and water sources (such as mountain springs), were able to produce beers with various flavours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9781317213055","author":[{"dropping-particle":"","family":"Cabras","given":"I","non-dropping-particle":"","parse-names":false,"suffix":""},{"dropping-particle":"","family":"Higgins","given":"D","non-dropping-particle":"","parse-names":false,"suffix":""}],"id":"ITEM-1","issued":{"date-parts":[["2018"]]},"publisher":"Taylor &amp; Francis","title":"The History of the Beer and Brewing Industry","type":"book"},"uris":["http://www.mendeley.com/documents/?uuid=e4db7460-70e0-463b-9c21-3ce2918b96ec"]}],"mendeley":{"formattedCitation":"(Cabras and Higgins, 2018)","plainTextFormattedCitation":"(Cabras and Higgins, 2018)","previouslyFormattedCitation":"(Cabras and Higgins,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(Cabras and Higgins, 2018)</w:t>
      </w:r>
      <w:r>
        <w:rPr>
          <w:rFonts w:ascii="Times New Roman" w:hAnsi="Times New Roman" w:cs="Times New Roman"/>
          <w:sz w:val="24"/>
          <w:szCs w:val="24"/>
        </w:rPr>
        <w:fldChar w:fldCharType="end"/>
      </w:r>
      <w:r>
        <w:rPr>
          <w:rFonts w:ascii="Times New Roman" w:hAnsi="Times New Roman" w:cs="Times New Roman"/>
          <w:sz w:val="24"/>
          <w:szCs w:val="24"/>
        </w:rPr>
        <w:t>. The beer industry was confined to local communities and controlled by some groups owning the key techniques in brewing such as the Abbeys in Belgium. It was not until the industrialization in the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that beer became a product that can be massively produced. The industrialization process of brewery has been curating a special beer culture around the world since then. However, the industries beer production has also led to that the choices in the market are diminishing. As in China, the beer market is still being dominated by the industrialized beer production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{"citationItems":[{"id":"ITEM-1","itemData":{"abstract":"China's beer industry has enjoyed impressive growth over the past three decades—ranking first in the world in terms of output in 2010. But despite its achievements, the industry now faces serious challenges, including slowing growth rates and slim profit margins. To break the bottleneck, the industry must look to new growth sources. Promising strategies could include introducing high-end products in China's urban markets and launching low-cost but still high-quality products in rural areas. To make these strategies work, Chinese beer companies will need to strengthen their operations on three fronts: brand positioning, distribution and cost control.","author":[{"dropping-particle":"","family":"Cherry","given":"By","non-dropping-particle":"","parse-names":false,"suffix":""},{"dropping-particle":"","family":"Cui","given":"Lu","non-dropping-particle":"","parse-names":false,"suffix":""},{"dropping-particle":"","family":"Xu","given":"Mickey Fang","non-dropping-particle":"","parse-names":false,"suffix":""},{"dropping-particle":"","family":"Kao","given":"Jeff","non-dropping-particle":"","parse-names":false,"suffix":""}],"container-title":"Accenture","id":"ITEM-1","issue":"August","issued":{"date-parts":[["2012"]]},"title":"China’s Beer Industry : Breaking the Growth Bottleneck","type":"article-journal"},"uris":["http://www.mendeley.com/documents/?uuid=49c394b4-0b01-4e2c-8568-43afebbabe77"]}],"mendeley":{"formattedCitation":"(Cherry &lt;i&gt;et al.&lt;/i&gt;, 2012)","plainTextFormattedCitation":"(Cherry et al., 2012)","previouslyFormattedCitation":"(Cherry &lt;i&gt;et al.&lt;/i&gt;,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(Cherry </w:t>
      </w:r>
      <w:r>
        <w:rPr>
          <w:rFonts w:ascii="Times New Roman" w:hAnsi="Times New Roman" w:cs="Times New Roman"/>
          <w:i/>
          <w:sz w:val="24"/>
          <w:szCs w:val="24"/>
        </w:rPr>
        <w:t>et al.</w:t>
      </w:r>
      <w:r>
        <w:rPr>
          <w:rFonts w:ascii="Times New Roman" w:hAnsi="Times New Roman" w:cs="Times New Roman"/>
          <w:sz w:val="24"/>
          <w:szCs w:val="24"/>
        </w:rPr>
        <w:t>, 2012)</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ascii="Times New Roman" w:hAnsi="Times New Roman" w:cs="Times New Roman"/>
          <w:sz w:val="24"/>
          <w:szCs w:val="24"/>
          <w:lang w:val="en"/>
        </w:rPr>
        <w:t xml:space="preserve">China's beer industry is focused on mass production, low price and low-alcohol beer drink. Consumers of Chinese beer industry are sensitive the pricing. The industrialized mass production of beer can meet the demands from the customers as for cheap, easily accessible beers. The major beer producers in China also have been investing more on the brand image instead of beer flavor and beer quality. It has been long time stereotype in Chinese beer consumers’ mind that massively produced beer with dull flavors is the only choice available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{"citationItems":[{"id":"ITEM-1","itemData":{"author":[{"dropping-particle":"","family":"Lau","given":"Chi Keung Marco","non-dropping-particle":"","parse-names":false,"suffix":""},{"dropping-particle":"","family":"Lin","given":"Zhibin","non-dropping-particle":"","parse-names":false,"suffix":""},{"dropping-particle":"","family":"Boansi","given":"David","non-dropping-particle":"","parse-names":false,"suffix":""},{"dropping-particle":"","family":"Ma","given":"Jie Kitt","non-dropping-particle":"","parse-names":false,"suffix":""}],"container-title":"Brewing, Beer and Pubs","id":"ITEM-1","issued":{"date-parts":[["2016"]]},"page":"123-144","publisher":"Springer","title":"The Lack of Market Integration in the Chinese Beer and Wine Markets: Evidence from Stationarity Test","type":"chapter"},"uris":["http://www.mendeley.com/documents/?uuid=c22ec91e-9d66-43da-be45-d6c948119992"]}],"mendeley":{"formattedCitation":"(Lau &lt;i&gt;et al.&lt;/i&gt;, 2016)","plainTextFormattedCitation":"(Lau et al., 2016)","previouslyFormattedCitation":"(Lau &lt;i&gt;et al.&lt;/i&gt;, 2016)"},"properties":{"noteIndex":0},"schema":"https://github.com/citation-style-language/schema/raw/master/csl-citation.json"}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 xml:space="preserve">(Lau </w:t>
      </w:r>
      <w:r>
        <w:rPr>
          <w:rFonts w:ascii="Times New Roman" w:hAnsi="Times New Roman" w:cs="Times New Roman"/>
          <w:i/>
          <w:sz w:val="24"/>
          <w:szCs w:val="24"/>
          <w:lang w:val="en"/>
        </w:rPr>
        <w:t>et al.</w:t>
      </w:r>
      <w:r>
        <w:rPr>
          <w:rFonts w:ascii="Times New Roman" w:hAnsi="Times New Roman" w:cs="Times New Roman"/>
          <w:sz w:val="24"/>
          <w:szCs w:val="24"/>
          <w:lang w:val="en"/>
        </w:rPr>
        <w:t>, 2016)</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As many Chinese beer producers are mainly producing Lager, Lager has become the identity of beer for most Chinese customers.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With the increasing needs on more flavors of beer and more exclusive experiences of drinking beer, not simply using the beer as an alcoholic beverage, the craft beer in China is emerging. As one of the harbingers in the market, Hansen Craft Beerhouse has been showing good marketing and financial performance during the past years, however, with the business environments changing rapidly and the rising of competitors in the market, the company now requires a consultancy project for the launch of new products in the beerhouse.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This consultancy report is to analyze the macro and micro environment of Hansen Beerhouse using PEST model and Porter’s fiver force model. This report is also to examine the internal business environment of the company using a brief SWOT analysis. Based on the summary of the analyses, this report is to suggest the STP of the new product and propose other relevant marketing recommendations. </w:t>
      </w:r>
    </w:p>
    <w:p>
      <w:pPr>
        <w:rPr>
          <w:rFonts w:ascii="Times New Roman" w:hAnsi="Times New Roman" w:cs="Times New Roman"/>
          <w:sz w:val="24"/>
          <w:szCs w:val="24"/>
          <w:lang w:val="en"/>
        </w:rPr>
      </w:pPr>
      <w:r>
        <w:rPr>
          <w:rFonts w:ascii="Times New Roman" w:hAnsi="Times New Roman" w:cs="Times New Roman"/>
          <w:sz w:val="24"/>
          <w:szCs w:val="24"/>
          <w:lang w:val="en"/>
        </w:rPr>
        <w:br w:type="page"/>
      </w:r>
    </w:p>
    <w:p>
      <w:pPr>
        <w:pStyle w:val="12"/>
        <w:numPr>
          <w:ilvl w:val="0"/>
          <w:numId w:val="1"/>
        </w:numPr>
        <w:ind w:left="357" w:hanging="357" w:firstLineChars="0"/>
        <w:outlineLvl w:val="0"/>
        <w:rPr>
          <w:rFonts w:ascii="Product Sans" w:hAnsi="Product Sans"/>
          <w:sz w:val="30"/>
          <w:szCs w:val="30"/>
        </w:rPr>
      </w:pPr>
      <w:bookmarkStart w:id="2" w:name="_Toc7903264"/>
      <w:r>
        <w:rPr>
          <w:rFonts w:ascii="Product Sans" w:hAnsi="Product Sans"/>
          <w:sz w:val="30"/>
          <w:szCs w:val="30"/>
        </w:rPr>
        <w:t>External Business Environmental Analysis</w:t>
      </w:r>
      <w:bookmarkEnd w:id="2"/>
      <w:r>
        <w:rPr>
          <w:rFonts w:ascii="Product Sans" w:hAnsi="Product Sans"/>
          <w:sz w:val="30"/>
          <w:szCs w:val="30"/>
        </w:rPr>
        <w:t xml:space="preserve"> </w:t>
      </w:r>
    </w:p>
    <w:p>
      <w:pPr>
        <w:pStyle w:val="12"/>
        <w:numPr>
          <w:ilvl w:val="0"/>
          <w:numId w:val="2"/>
        </w:numPr>
        <w:ind w:firstLineChars="0"/>
        <w:outlineLvl w:val="1"/>
        <w:rPr>
          <w:rFonts w:ascii="Product Sans" w:hAnsi="Product Sans"/>
          <w:vanish/>
          <w:sz w:val="30"/>
          <w:szCs w:val="30"/>
        </w:rPr>
      </w:pPr>
      <w:bookmarkStart w:id="3" w:name="_Toc7903265"/>
      <w:bookmarkEnd w:id="3"/>
      <w:bookmarkStart w:id="4" w:name="_Toc7903179"/>
      <w:bookmarkEnd w:id="4"/>
      <w:bookmarkStart w:id="5" w:name="_Toc7902926"/>
      <w:bookmarkEnd w:id="5"/>
    </w:p>
    <w:p>
      <w:pPr>
        <w:pStyle w:val="12"/>
        <w:numPr>
          <w:ilvl w:val="0"/>
          <w:numId w:val="2"/>
        </w:numPr>
        <w:ind w:firstLineChars="0"/>
        <w:outlineLvl w:val="1"/>
        <w:rPr>
          <w:rFonts w:ascii="Product Sans" w:hAnsi="Product Sans"/>
          <w:vanish/>
          <w:sz w:val="30"/>
          <w:szCs w:val="30"/>
        </w:rPr>
      </w:pPr>
      <w:bookmarkStart w:id="6" w:name="_Toc7902927"/>
      <w:bookmarkEnd w:id="6"/>
      <w:bookmarkStart w:id="7" w:name="_Toc7903180"/>
      <w:bookmarkEnd w:id="7"/>
      <w:bookmarkStart w:id="8" w:name="_Toc7903266"/>
      <w:bookmarkEnd w:id="8"/>
    </w:p>
    <w:p>
      <w:pPr>
        <w:pStyle w:val="12"/>
        <w:numPr>
          <w:ilvl w:val="1"/>
          <w:numId w:val="2"/>
        </w:numPr>
        <w:ind w:firstLineChars="0"/>
        <w:outlineLvl w:val="1"/>
        <w:rPr>
          <w:rFonts w:ascii="Product Sans" w:hAnsi="Product Sans"/>
          <w:color w:val="222A35" w:themeColor="text2" w:themeShade="80"/>
          <w:sz w:val="28"/>
          <w:szCs w:val="28"/>
        </w:rPr>
      </w:pPr>
      <w:bookmarkStart w:id="9" w:name="_Toc7903267"/>
      <w:r>
        <w:rPr>
          <w:rFonts w:ascii="Product Sans" w:hAnsi="Product Sans"/>
          <w:color w:val="222A35" w:themeColor="text2" w:themeShade="80"/>
          <w:sz w:val="28"/>
          <w:szCs w:val="28"/>
        </w:rPr>
        <w:t>Macro environment analysis</w:t>
      </w:r>
      <w:bookmarkEnd w:id="9"/>
      <w:r>
        <w:rPr>
          <w:rFonts w:ascii="Product Sans" w:hAnsi="Product Sans"/>
          <w:color w:val="222A35" w:themeColor="text2" w:themeShade="80"/>
          <w:sz w:val="28"/>
          <w:szCs w:val="28"/>
        </w:rPr>
        <w:t xml:space="preserve"> </w:t>
      </w:r>
    </w:p>
    <w:p>
      <w:pPr>
        <w:spacing w:before="156" w:beforeLines="50" w:after="156" w:afterLines="50" w:line="480" w:lineRule="auto"/>
        <w:rPr>
          <w:rFonts w:ascii="Times New Roman" w:hAnsi="Times New Roman" w:cs="Times New Roman"/>
          <w:sz w:val="24"/>
          <w:szCs w:val="24"/>
          <w:lang w:val="en"/>
        </w:rPr>
      </w:pPr>
      <w:r>
        <w:rPr>
          <w:rFonts w:hint="eastAsia" w:ascii="Times New Roman" w:hAnsi="Times New Roman" w:cs="Times New Roman"/>
          <w:sz w:val="24"/>
          <w:szCs w:val="24"/>
          <w:lang w:val="en"/>
        </w:rPr>
        <w:t>T</w:t>
      </w:r>
      <w:r>
        <w:rPr>
          <w:rFonts w:ascii="Times New Roman" w:hAnsi="Times New Roman" w:cs="Times New Roman"/>
          <w:sz w:val="24"/>
          <w:szCs w:val="24"/>
          <w:lang w:val="en"/>
        </w:rPr>
        <w:t xml:space="preserve">he Macro environment analysis is based on the PEST model i.e. analysis from political, economic, social cultural and technological factors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{"citationItems":[{"id":"ITEM-1","itemData":{"ISBN":"9786134377904","author":[{"dropping-particle":"","family":"Miller","given":"F P","non-dropping-particle":"","parse-names":false,"suffix":""},{"dropping-particle":"","family":"Vandome","given":"A F","non-dropping-particle":"","parse-names":false,"suffix":""},{"dropping-particle":"","family":"McBrewster","given":"J","non-dropping-particle":"","parse-names":false,"suffix":""}],"id":"ITEM-1","issued":{"date-parts":[["2011"]]},"publisher":"VDM Publishing","title":"Pest Analysis","type":"book"},"uris":["http://www.mendeley.com/documents/?uuid=381509c5-9394-4d73-a7a1-5370b245fe4a"]}],"mendeley":{"formattedCitation":"(Miller, Vandome and McBrewster, 2011)","plainTextFormattedCitation":"(Miller, Vandome and McBrewster, 2011)","previouslyFormattedCitation":"(Miller, Vandome and McBrewster, 2011)"},"properties":{"noteIndex":0},"schema":"https://github.com/citation-style-language/schema/raw/master/csl-citation.json"}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(Miller, Vandome and McBrewster, 2011)</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w:t>
      </w:r>
    </w:p>
    <w:p>
      <w:pPr>
        <w:pStyle w:val="12"/>
        <w:numPr>
          <w:ilvl w:val="0"/>
          <w:numId w:val="3"/>
        </w:numPr>
        <w:ind w:firstLineChars="0"/>
        <w:outlineLvl w:val="2"/>
        <w:rPr>
          <w:rFonts w:ascii="Product Sans" w:hAnsi="Product Sans"/>
          <w:color w:val="222A35" w:themeColor="text2" w:themeShade="80"/>
          <w:sz w:val="26"/>
          <w:szCs w:val="26"/>
        </w:rPr>
      </w:pPr>
      <w:bookmarkStart w:id="10" w:name="_Toc7903268"/>
      <w:r>
        <w:rPr>
          <w:rFonts w:ascii="Product Sans" w:hAnsi="Product Sans"/>
          <w:color w:val="222A35" w:themeColor="text2" w:themeShade="80"/>
          <w:sz w:val="26"/>
          <w:szCs w:val="26"/>
        </w:rPr>
        <w:t>Political</w:t>
      </w:r>
      <w:bookmarkEnd w:id="10"/>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Political environment is crucial for small businesses in China especially for Hansen Craft beerhouse as many of its competitors are state-owned enterprises such as Tsingtao Beer and Snow Beer. The Chinese political system has been stable since 1990s and will continue to stay stable in the foreseeable future. A stable political environment is crucial for such businesses as the it can be affected by the political policies as well as the outcomes of political instability such as high criminal rate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{"citationItems":[{"id":"ITEM-1","itemData":{"URL":"https://www.jpmorgan.com/global/research/beer-market","accessed":{"date-parts":[["2019","5","4"]]},"author":[{"dropping-particle":"","family":"JP Morgan","given":"","non-dropping-particle":"","parse-names":false,"suffix":""}],"id":"ITEM-1","issued":{"date-parts":[["2018"]]},"title":"What's on tap for the global beer market? | J.P. Morgan","type":"webpage"},"uris":["http://www.mendeley.com/documents/?uuid=194bb05b-319e-393a-ab7f-5d2cfba7a977"]}],"mendeley":{"formattedCitation":"(JP Morgan, 2018)","plainTextFormattedCitation":"(JP Morgan, 2018)","previouslyFormattedCitation":"(JP Morgan, 2018)"},"properties":{"noteIndex":0},"schema":"https://github.com/citation-style-language/schema/raw/master/csl-citation.json"}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(JP Morgan, 2018)</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Since 2018 the Chinese government has been reducing the tax burdens on small businesses in the manufacturing and in the retailing industry.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{"citationItems":[{"id":"ITEM-1","itemData":{"author":[{"dropping-particle":"","family":"Chen","given":"Kewei","non-dropping-particle":"","parse-names":false,"suffix":""}],"container-title":"Modern Economy","id":"ITEM-1","issue":"04","issued":{"date-parts":[["2018"]]},"page":"734","publisher":"Scientific Research Publishing","title":"The Research on the Insurance Industry’s Tax Burden in China under the Background of Change from Business Tax to VAT","type":"article-journal","volume":"9"},"uris":["http://www.mendeley.com/documents/?uuid=db14aaad-7a43-499e-8fb4-1de0e10ab11c"]}],"mendeley":{"formattedCitation":"(Chen, 2018)","plainTextFormattedCitation":"(Chen, 2018)","previouslyFormattedCitation":"(Chen, 2018)"},"properties":{"noteIndex":0},"schema":"https://github.com/citation-style-language/schema/raw/master/csl-citation.json"}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(Chen, 2018)</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As the beerhouse is brewing its own craft beers and has been selling bottled beer, it can also enjoy the policy bonus and enjoy significantly reduced taxation in the future years.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political uncertainty in China is much centered in the Sino-US trade war starting from 2018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ISBN":"9462526788","author":[{"dropping-particle":"","family":"Wang","given":"Peizhi","non-dropping-particle":"","parse-names":false,"suffix":""},{"dropping-particle":"","family":"Pang","given":"Shuqing","non-dropping-particle":"","parse-names":false,"suffix":""},{"dropping-particle":"","family":"Li","given":"Gang","non-dropping-particle":"","parse-names":false,"suffix":""}],"container-title":"2019 4th International Conference on Financial Innovation and Economic Development (ICFIED 2019)","id":"ITEM-1","issued":{"date-parts":[["2019"]]},"publisher":"Atlantis Press","title":"An analysis of the causes of the Sino-US trade war","type":"paper-conference"},"uris":["http://www.mendeley.com/documents/?uuid=0baad49d-b575-4ef0-8c2c-5c012e8c0439"]}],"mendeley":{"formattedCitation":"(Wang, Pang and Li, 2019)","plainTextFormattedCitation":"(Wang, Pang and Li, 2019)","previouslyFormattedCitation":"(Wang, Pang and Li, 2019)"},"properties":{"noteIndex":0},"schema":"https://github.com/citation-style-language/schema/raw/master/csl-citation.json"}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(Wang, Pang and Li, 2019)</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Though the trade war has been deterring the trades and investments from many countries to China, Hansen Craft beerhouse can benefit from this trade war. As the largest craft beer market in the world, the exportation of bottled craft beer and craft beer technologies from US has been seizing the Chinese market rapidly, posing a significant threat to European style of craft beer such as those from Hansen beerhouse. The trade war between China and US has been hampering the supply of many craft beerhouses in China. As Hansen’s supply is mainly from the EU market, it has been hardly affected. Meanwhile, the trade war has been pushing the Chinese government to sign more trade agreements with EU countries, which is also beneficial for Hansen’s business. </w:t>
      </w:r>
    </w:p>
    <w:p>
      <w:pPr>
        <w:pStyle w:val="12"/>
        <w:numPr>
          <w:ilvl w:val="0"/>
          <w:numId w:val="3"/>
        </w:numPr>
        <w:ind w:firstLineChars="0"/>
        <w:outlineLvl w:val="2"/>
        <w:rPr>
          <w:rFonts w:ascii="Product Sans" w:hAnsi="Product Sans"/>
          <w:color w:val="222A35" w:themeColor="text2" w:themeShade="80"/>
          <w:sz w:val="26"/>
          <w:szCs w:val="26"/>
        </w:rPr>
      </w:pPr>
      <w:bookmarkStart w:id="11" w:name="_Toc7903269"/>
      <w:r>
        <w:rPr>
          <w:rFonts w:ascii="Product Sans" w:hAnsi="Product Sans"/>
          <w:color w:val="222A35" w:themeColor="text2" w:themeShade="80"/>
          <w:sz w:val="26"/>
          <w:szCs w:val="26"/>
        </w:rPr>
        <w:t>Economic</w:t>
      </w:r>
      <w:bookmarkEnd w:id="11"/>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lang w:val="en"/>
        </w:rPr>
      </w:pPr>
      <w:r>
        <w:rPr>
          <w:rFonts w:hint="eastAsia" w:ascii="Times New Roman" w:hAnsi="Times New Roman" w:cs="Times New Roman"/>
          <w:sz w:val="24"/>
          <w:szCs w:val="24"/>
          <w:lang w:val="en"/>
        </w:rPr>
        <w:t xml:space="preserve">Economic development in China is promising especially in the first-tier cities such as Beijing, Shanghai and Guangzhou. While disposable income per capita has not kept up with GDP per capita growth, statistics show that the disposable income of Chinese residents continues to </w:t>
      </w:r>
      <w:r>
        <w:rPr>
          <w:rFonts w:ascii="Times New Roman" w:hAnsi="Times New Roman" w:cs="Times New Roman"/>
          <w:sz w:val="24"/>
          <w:szCs w:val="24"/>
          <w:lang w:val="en"/>
        </w:rPr>
        <w:t>grow,</w:t>
      </w:r>
      <w:r>
        <w:rPr>
          <w:rFonts w:hint="eastAsia" w:ascii="Times New Roman" w:hAnsi="Times New Roman" w:cs="Times New Roman"/>
          <w:sz w:val="24"/>
          <w:szCs w:val="24"/>
          <w:lang w:val="en"/>
        </w:rPr>
        <w:t xml:space="preserve"> and the purchasing power of Chinese has been increasing since 2000</w:t>
      </w:r>
      <w:r>
        <w:rPr>
          <w:rFonts w:ascii="Times New Roman" w:hAnsi="Times New Roman" w:cs="Times New Roman"/>
          <w:sz w:val="24"/>
          <w:szCs w:val="24"/>
          <w:lang w:val="en"/>
        </w:rPr>
        <w:t xml:space="preserve">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{"citationItems":[{"id":"ITEM-1","itemData":{"DOI":"10.5465/AMR.1986.4282657","ISBN":"03637425","ISSN":"0363-7425","abstract":"Simple theory supports field observations (LalVsoll and others, 1998) that subglacial water now out of overdeepenings can cause accretion of layered, debris- bearing ice to the bases of glaciers. The large meltwater nux into a temperate glacier at the onset of summer melting can cause rapid water now through expanded basal cavities or other now paths. If that now ascends a sufficiently steep slope out ofan overdeepening, the water will supercool as the pressure-melting point rises, and basal-ice accretion will occur. Diunlal, occasional or annual fluctuations in water discharge will cause variations in accretion rate, debriscontent ofaccreted ice or subsequent diagenesis, producing layers. Under appropriate conditions, net accretion of debris-bearing basal ice will allow debris nuxes that are significant in the glacier sediment budget.","author":[{"dropping-particle":"","family":"Atsmon","given":"Yuval","non-dropping-particle":"","parse-names":false,"suffix":""},{"dropping-particle":"","family":"Magni","given":"Max","non-dropping-particle":"","parse-names":false,"suffix":""}],"container-title":"McKinsey Quaterly","id":"ITEM-1","issued":{"date-parts":[["2012"]]},"page":"1-8","title":"Meet the Chinese consumer of 2020","type":"article-journal"},"uris":["http://www.mendeley.com/documents/?uuid=13ec1b44-773f-4fb4-a6e7-a37906e89adb"]}],"mendeley":{"formattedCitation":"(Atsmon and Magni, 2012)","plainTextFormattedCitation":"(Atsmon and Magni, 2012)","previouslyFormattedCitation":"(Atsmon and Magni, 2012)"},"properties":{"noteIndex":0},"schema":"https://github.com/citation-style-language/schema/raw/master/csl-citation.json"}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(Atsmon and Magni, 2012)</w:t>
      </w:r>
      <w:r>
        <w:rPr>
          <w:rFonts w:ascii="Times New Roman" w:hAnsi="Times New Roman" w:cs="Times New Roman"/>
          <w:sz w:val="24"/>
          <w:szCs w:val="24"/>
          <w:lang w:val="en"/>
        </w:rPr>
        <w:fldChar w:fldCharType="end"/>
      </w:r>
      <w:r>
        <w:rPr>
          <w:rFonts w:hint="eastAsia" w:ascii="Times New Roman" w:hAnsi="Times New Roman" w:cs="Times New Roman"/>
          <w:sz w:val="24"/>
          <w:szCs w:val="24"/>
          <w:lang w:val="en"/>
        </w:rPr>
        <w:t xml:space="preserve">. </w:t>
      </w:r>
    </w:p>
    <w:p>
      <w:pPr>
        <w:spacing w:before="156" w:beforeLines="50" w:after="156" w:afterLines="50" w:line="480" w:lineRule="auto"/>
        <w:jc w:val="center"/>
        <w:rPr>
          <w:rFonts w:ascii="Times New Roman" w:hAnsi="Times New Roman" w:cs="Times New Roman"/>
          <w:sz w:val="24"/>
          <w:szCs w:val="24"/>
          <w:lang w:val="en"/>
        </w:rPr>
      </w:pPr>
      <w:r>
        <w:rPr>
          <w:rFonts w:hint="eastAsia" w:ascii="Times New Roman" w:hAnsi="Times New Roman" w:cs="Times New Roman"/>
          <w:sz w:val="24"/>
          <w:szCs w:val="24"/>
          <w:lang w:val="en"/>
        </w:rPr>
        <w:drawing>
          <wp:inline distT="0" distB="0" distL="0" distR="0">
            <wp:extent cx="3710940" cy="2194560"/>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7">
                      <a:duotone>
                        <a:schemeClr val="accent1">
                          <a:shade val="45000"/>
                          <a:satMod val="135000"/>
                        </a:schemeClr>
                        <a:prstClr val="white"/>
                      </a:duotone>
                      <a:extLst>
                        <a:ext uri="{28A0092B-C50C-407E-A947-70E740481C1C}">
                          <a14:useLocalDpi xmlns:a14="http://schemas.microsoft.com/office/drawing/2010/main" val="0"/>
                        </a:ext>
                      </a:extLst>
                    </a:blip>
                    <a:srcRect l="794" t="1322" r="2450" b="3483"/>
                    <a:stretch>
                      <a:fillRect/>
                    </a:stretch>
                  </pic:blipFill>
                  <pic:spPr>
                    <a:xfrm>
                      <a:off x="0" y="0"/>
                      <a:ext cx="3743213" cy="2213645"/>
                    </a:xfrm>
                    <a:prstGeom prst="rect">
                      <a:avLst/>
                    </a:prstGeom>
                    <a:ln>
                      <a:noFill/>
                    </a:ln>
                  </pic:spPr>
                </pic:pic>
              </a:graphicData>
            </a:graphic>
          </wp:inline>
        </w:drawing>
      </w:r>
    </w:p>
    <w:p>
      <w:pPr>
        <w:spacing w:after="156" w:afterLines="50"/>
        <w:jc w:val="center"/>
        <w:rPr>
          <w:rFonts w:ascii="Times New Roman" w:hAnsi="Times New Roman" w:cs="Times New Roman"/>
          <w:sz w:val="22"/>
          <w:szCs w:val="24"/>
          <w:lang w:val="en"/>
        </w:rPr>
      </w:pPr>
      <w:r>
        <w:rPr>
          <w:rFonts w:hint="eastAsia" w:ascii="Times New Roman" w:hAnsi="Times New Roman" w:cs="Times New Roman"/>
          <w:sz w:val="22"/>
          <w:szCs w:val="24"/>
          <w:lang w:val="en"/>
        </w:rPr>
        <w:t>F</w:t>
      </w:r>
      <w:r>
        <w:rPr>
          <w:rFonts w:ascii="Times New Roman" w:hAnsi="Times New Roman" w:cs="Times New Roman"/>
          <w:sz w:val="22"/>
          <w:szCs w:val="24"/>
          <w:lang w:val="en"/>
        </w:rPr>
        <w:t xml:space="preserve">igure 2. GDP per capita and disposable income per capita in China. </w:t>
      </w:r>
      <w:r>
        <w:rPr>
          <w:rFonts w:ascii="Times New Roman" w:hAnsi="Times New Roman" w:cs="Times New Roman"/>
          <w:sz w:val="22"/>
          <w:szCs w:val="24"/>
          <w:lang w:val="en"/>
        </w:rPr>
        <w:fldChar w:fldCharType="begin" w:fldLock="1"/>
      </w:r>
      <w:r>
        <w:rPr>
          <w:rFonts w:ascii="Times New Roman" w:hAnsi="Times New Roman" w:cs="Times New Roman"/>
          <w:sz w:val="22"/>
          <w:szCs w:val="24"/>
          <w:lang w:val="en"/>
        </w:rPr>
        <w:instrText xml:space="preserve">ADDIN CSL_CITATION {"citationItems":[{"id":"ITEM-1","itemData":{"URL":"https://data.worldbank.org/indicator/ny.gdp.mktp.kd.zg","accessed":{"date-parts":[["2019","4","2"]]},"author":[{"dropping-particle":"","family":"World Bank","given":"","non-dropping-particle":"","parse-names":false,"suffix":""}],"id":"ITEM-1","issued":{"date-parts":[["2019"]]},"title":"GDP growth (annual %) | Data","type":"webpage"},"uris":["http://www.mendeley.com/documents/?uuid=7f45bed7-18d0-3263-8493-899951d95efa"]}],"mendeley":{"formattedCitation":"(World Bank, 2019)","plainTextFormattedCitation":"(World Bank, 2019)","previouslyFormattedCitation":"(World Bank, 2019)"},"properties":{"noteIndex":0},"schema":"https://github.com/citation-style-language/schema/raw/master/csl-citation.json"}</w:instrText>
      </w:r>
      <w:r>
        <w:rPr>
          <w:rFonts w:ascii="Times New Roman" w:hAnsi="Times New Roman" w:cs="Times New Roman"/>
          <w:sz w:val="22"/>
          <w:szCs w:val="24"/>
          <w:lang w:val="en"/>
        </w:rPr>
        <w:fldChar w:fldCharType="separate"/>
      </w:r>
      <w:r>
        <w:rPr>
          <w:rFonts w:ascii="Times New Roman" w:hAnsi="Times New Roman" w:cs="Times New Roman"/>
          <w:sz w:val="22"/>
          <w:szCs w:val="24"/>
          <w:lang w:val="en"/>
        </w:rPr>
        <w:t>(World Bank, 2019)</w:t>
      </w:r>
      <w:r>
        <w:rPr>
          <w:rFonts w:ascii="Times New Roman" w:hAnsi="Times New Roman" w:cs="Times New Roman"/>
          <w:sz w:val="22"/>
          <w:szCs w:val="24"/>
          <w:lang w:val="en"/>
        </w:rPr>
        <w:fldChar w:fldCharType="end"/>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growing disposable income per capita and GDP per capita in China have fostered a strong trend in consumption upgrade i.e. the consuming trend is shift from daily necessities to exclusive and experience-based products and services. As can be seen from figure 3. The preference of Chinese beer consumers in first tier cities have largely shifted to imported high quality beer and exclusive flavored beer and craft beer. </w:t>
      </w:r>
    </w:p>
    <w:p>
      <w:pPr>
        <w:spacing w:after="156" w:afterLines="50"/>
        <w:jc w:val="center"/>
        <w:rPr>
          <w:rFonts w:ascii="Times New Roman" w:hAnsi="Times New Roman" w:cs="Times New Roman"/>
          <w:sz w:val="22"/>
          <w:szCs w:val="24"/>
          <w:lang w:val="en"/>
        </w:rPr>
      </w:pPr>
      <w:r>
        <w:rPr>
          <w:rFonts w:hint="eastAsia" w:ascii="Times New Roman" w:hAnsi="Times New Roman" w:cs="Times New Roman"/>
          <w:sz w:val="24"/>
          <w:szCs w:val="24"/>
          <w:lang w:val="en"/>
        </w:rPr>
        <w:drawing>
          <wp:inline distT="0" distB="0" distL="0" distR="0">
            <wp:extent cx="2743200" cy="191262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8" cstate="print">
                      <a:extLst>
                        <a:ext uri="{BEBA8EAE-BF5A-486C-A8C5-ECC9F3942E4B}">
                          <a14:imgProps xmlns:a14="http://schemas.microsoft.com/office/drawing/2010/main">
                            <a14:imgLayer r:embed="rId9">
                              <a14:imgEffect>
                                <a14:artisticPaintBrush/>
                              </a14:imgEffect>
                            </a14:imgLayer>
                          </a14:imgProps>
                        </a:ext>
                        <a:ext uri="{28A0092B-C50C-407E-A947-70E740481C1C}">
                          <a14:useLocalDpi xmlns:a14="http://schemas.microsoft.com/office/drawing/2010/main" val="0"/>
                        </a:ext>
                      </a:extLst>
                    </a:blip>
                    <a:srcRect l="19071" r="28919" b="40767"/>
                    <a:stretch>
                      <a:fillRect/>
                    </a:stretch>
                  </pic:blipFill>
                  <pic:spPr>
                    <a:xfrm>
                      <a:off x="0" y="0"/>
                      <a:ext cx="2743200" cy="1912620"/>
                    </a:xfrm>
                    <a:prstGeom prst="rect">
                      <a:avLst/>
                    </a:prstGeom>
                    <a:ln>
                      <a:noFill/>
                    </a:ln>
                  </pic:spPr>
                </pic:pic>
              </a:graphicData>
            </a:graphic>
          </wp:inline>
        </w:drawing>
      </w:r>
    </w:p>
    <w:p>
      <w:pPr>
        <w:spacing w:after="156" w:afterLines="50"/>
        <w:jc w:val="center"/>
        <w:rPr>
          <w:rFonts w:ascii="Times New Roman" w:hAnsi="Times New Roman" w:cs="Times New Roman"/>
          <w:sz w:val="22"/>
          <w:szCs w:val="24"/>
          <w:lang w:val="en"/>
        </w:rPr>
      </w:pPr>
      <w:r>
        <w:rPr>
          <w:rFonts w:hint="eastAsia" w:ascii="Times New Roman" w:hAnsi="Times New Roman" w:cs="Times New Roman"/>
          <w:sz w:val="22"/>
          <w:szCs w:val="24"/>
          <w:lang w:val="en"/>
        </w:rPr>
        <w:t xml:space="preserve"> F</w:t>
      </w:r>
      <w:r>
        <w:rPr>
          <w:rFonts w:ascii="Times New Roman" w:hAnsi="Times New Roman" w:cs="Times New Roman"/>
          <w:sz w:val="22"/>
          <w:szCs w:val="24"/>
          <w:lang w:val="en"/>
        </w:rPr>
        <w:t xml:space="preserve">igure 3. </w:t>
      </w:r>
      <w:r>
        <w:rPr>
          <w:rFonts w:ascii="Times New Roman" w:hAnsi="Times New Roman" w:cs="Times New Roman"/>
          <w:sz w:val="24"/>
          <w:szCs w:val="24"/>
          <w:lang w:val="en"/>
        </w:rPr>
        <w:t xml:space="preserve">The preference of Chinese beer consumers in first tier cities.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URL":"https://www.statista.com/outlook/10010000/117/beer/china","accessed":{"date-parts":[["2019","5","4"]]},"author":[{"dropping-particle":"","family":"Statista","given":"","non-dropping-particle":"","parse-names":false,"suffix":""}],"id":"ITEM-1","issued":{"date-parts":[["2019"]]},"title":"Beer - China | Statista Market Forecast","type":"webpage"},"uris":["http://www.mendeley.com/documents/?uuid=cb6913c9-487b-3b98-87ef-21ce0d9697a4"]}],"mendeley":{"formattedCitation":"(Statista, 2019c)","plainTextFormattedCitation":"(Statista, 2019c)","previouslyFormattedCitation":"(Statista, 2019c)"},"properties":{"noteIndex":0},"schema":"https://github.com/citation-style-language/schema/raw/master/csl-citation.json"}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(Statista, 2019c)</w:t>
      </w:r>
      <w:r>
        <w:rPr>
          <w:rFonts w:ascii="Times New Roman" w:hAnsi="Times New Roman" w:cs="Times New Roman"/>
          <w:sz w:val="24"/>
          <w:szCs w:val="24"/>
          <w:lang w:val="en"/>
        </w:rPr>
        <w:fldChar w:fldCharType="end"/>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These are positive factors. However, there are also negative factors in the economic environment. The emerging internet economy in China has put high pressure on the retail stores in China selling despite what they are selling. The convenience of online shopping has driven many customers to buy beer online instead of going to the beerhouse. However, this can be a beneficial factor if the company is to use it properly. Such as to combine the off-line in store experience with convenient online ordering to provide more exclusive experiences for consumers. </w:t>
      </w:r>
    </w:p>
    <w:p>
      <w:pPr>
        <w:pStyle w:val="12"/>
        <w:numPr>
          <w:ilvl w:val="0"/>
          <w:numId w:val="3"/>
        </w:numPr>
        <w:ind w:firstLineChars="0"/>
        <w:outlineLvl w:val="2"/>
        <w:rPr>
          <w:rFonts w:ascii="Product Sans" w:hAnsi="Product Sans"/>
          <w:color w:val="222A35" w:themeColor="text2" w:themeShade="80"/>
          <w:sz w:val="26"/>
          <w:szCs w:val="26"/>
        </w:rPr>
      </w:pPr>
      <w:bookmarkStart w:id="12" w:name="_Toc7903270"/>
      <w:r>
        <w:rPr>
          <w:rFonts w:ascii="Product Sans" w:hAnsi="Product Sans"/>
          <w:color w:val="222A35" w:themeColor="text2" w:themeShade="80"/>
          <w:sz w:val="26"/>
          <w:szCs w:val="26"/>
        </w:rPr>
        <w:t>Socio and cultural</w:t>
      </w:r>
      <w:bookmarkEnd w:id="12"/>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Chinese have been developing a culture of drinking beer while relaxing. The Baijiu (high alcohol percentage liquor) has been experiencing market share decrease for several years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ISSN":"0195-6663","author":[{"dropping-particle":"","family":"Wang","given":"Ou","non-dropping-particle":"","parse-names":false,"suffix":""},{"dropping-particle":"","family":"Gellynck","given":"Xavier","non-dropping-particle":"","parse-names":false,"suffix":""},{"dropping-particle":"","family":"Verbeke","given":"Wim","non-dropping-particle":"","parse-names":false,"suffix":""}],"container-title":"Appetite","id":"ITEM-1","issued":{"date-parts":[["2017"]]},"page":"416-424","publisher":"Elsevier","title":"Chinese consumers and European beer: Associations between attribute importance, socio-demographics, and consumption","type":"article-journal","volume":"108"},"uris":["http://www.mendeley.com/documents/?uuid=d8b5aa70-93d1-4696-9307-8a9954e3ddb5"]}],"mendeley":{"formattedCitation":"(Wang, Gellynck and Verbeke, 2017)","plainTextFormattedCitation":"(Wang, Gellynck and Verbeke, 2017)","previouslyFormattedCitation":"(Wang, Gellynck and Verbeke, 2017)"},"properties":{"noteIndex":0},"schema":"https://github.com/citation-style-language/schema/raw/master/csl-citation.json"}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(Wang, Gellynck and Verbeke, 2017)</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The Chinese are now more accustomed to the idea that beer can be used not only for getting alcohol but also as social even high-end social tools. This is beneficial for companies that are targeting to provide high end and quality beers to the market. </w:t>
      </w:r>
    </w:p>
    <w:p>
      <w:pPr>
        <w:pStyle w:val="12"/>
        <w:numPr>
          <w:ilvl w:val="0"/>
          <w:numId w:val="3"/>
        </w:numPr>
        <w:ind w:firstLineChars="0"/>
        <w:outlineLvl w:val="2"/>
        <w:rPr>
          <w:rFonts w:ascii="Product Sans" w:hAnsi="Product Sans"/>
          <w:color w:val="222A35" w:themeColor="text2" w:themeShade="80"/>
          <w:sz w:val="26"/>
          <w:szCs w:val="26"/>
        </w:rPr>
      </w:pPr>
      <w:bookmarkStart w:id="13" w:name="_Toc7903271"/>
      <w:r>
        <w:rPr>
          <w:rFonts w:ascii="Product Sans" w:hAnsi="Product Sans"/>
          <w:color w:val="222A35" w:themeColor="text2" w:themeShade="80"/>
          <w:sz w:val="26"/>
          <w:szCs w:val="26"/>
        </w:rPr>
        <w:t>Technological</w:t>
      </w:r>
      <w:bookmarkEnd w:id="13"/>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lang w:val="en"/>
        </w:rPr>
      </w:pPr>
      <w:r>
        <w:rPr>
          <w:rFonts w:hint="eastAsia" w:ascii="Times New Roman" w:hAnsi="Times New Roman" w:cs="Times New Roman"/>
          <w:sz w:val="24"/>
          <w:szCs w:val="24"/>
          <w:lang w:val="en"/>
        </w:rPr>
        <w:t>China's beer market is led by state-owned enterprises, the management style is conservative, the technology is relatively simple and conservative. The R&amp;D of these state-owned enterprises is also lacking. The craft beer industry in China is also reliant on the technologies imported from US and EU. From the technologies of beer brewing, the competitive advantage comes from the investment in importing foreign technologies and in-house R&amp;D such as new flavor development capacity</w:t>
      </w:r>
      <w:r>
        <w:rPr>
          <w:rFonts w:ascii="Times New Roman" w:hAnsi="Times New Roman" w:cs="Times New Roman"/>
          <w:sz w:val="24"/>
          <w:szCs w:val="24"/>
          <w:lang w:val="en"/>
        </w:rPr>
        <w:t xml:space="preserve">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{"citationItems":[{"id":"ITEM-1","itemData":{"abstract":"China's beer industry has enjoyed impressive growth over the past three decades—ranking first in the world in terms of output in 2010. But despite its achievements, the industry now faces serious challenges, including slowing growth rates and slim profit margins. To break the bottleneck, the industry must look to new growth sources. Promising strategies could include introducing high-end products in China's urban markets and launching low-cost but still high-quality products in rural areas. To make these strategies work, Chinese beer companies will need to strengthen their operations on three fronts: brand positioning, distribution and cost control.","author":[{"dropping-particle":"","family":"Cherry","given":"By","non-dropping-particle":"","parse-names":false,"suffix":""},{"dropping-particle":"","family":"Cui","given":"Lu","non-dropping-particle":"","parse-names":false,"suffix":""},{"dropping-particle":"","family":"Xu","given":"Mickey Fang","non-dropping-particle":"","parse-names":false,"suffix":""},{"dropping-particle":"","family":"Kao","given":"Jeff","non-dropping-particle":"","parse-names":false,"suffix":""}],"container-title":"Accenture","id":"ITEM-1","issue":"August","issued":{"date-parts":[["2012"]]},"title":"China’s Beer Industry : Breaking the Growth Bottleneck","type":"article-journal"},"uris":["http://www.mendeley.com/documents/?uuid=49c394b4-0b01-4e2c-8568-43afebbabe77"]}],"mendeley":{"formattedCitation":"(Cherry &lt;i&gt;et al.&lt;/i&gt;, 2012)","plainTextFormattedCitation":"(Cherry et al., 2012)","previouslyFormattedCitation":"(Cherry &lt;i&gt;et al.&lt;/i&gt;, 2012)"},"properties":{"noteIndex":0},"schema":"https://github.com/citation-style-language/schema/raw/master/csl-citation.json"}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 xml:space="preserve">(Cherry </w:t>
      </w:r>
      <w:r>
        <w:rPr>
          <w:rFonts w:ascii="Times New Roman" w:hAnsi="Times New Roman" w:cs="Times New Roman"/>
          <w:i/>
          <w:sz w:val="24"/>
          <w:szCs w:val="24"/>
          <w:lang w:val="en"/>
        </w:rPr>
        <w:t>et al.</w:t>
      </w:r>
      <w:r>
        <w:rPr>
          <w:rFonts w:ascii="Times New Roman" w:hAnsi="Times New Roman" w:cs="Times New Roman"/>
          <w:sz w:val="24"/>
          <w:szCs w:val="24"/>
          <w:lang w:val="en"/>
        </w:rPr>
        <w:t>, 2012)</w:t>
      </w:r>
      <w:r>
        <w:rPr>
          <w:rFonts w:ascii="Times New Roman" w:hAnsi="Times New Roman" w:cs="Times New Roman"/>
          <w:sz w:val="24"/>
          <w:szCs w:val="24"/>
          <w:lang w:val="en"/>
        </w:rPr>
        <w:fldChar w:fldCharType="end"/>
      </w:r>
      <w:r>
        <w:rPr>
          <w:rFonts w:hint="eastAsia" w:ascii="Times New Roman" w:hAnsi="Times New Roman" w:cs="Times New Roman"/>
          <w:sz w:val="24"/>
          <w:szCs w:val="24"/>
          <w:lang w:val="en"/>
        </w:rPr>
        <w:t xml:space="preserve">. </w:t>
      </w:r>
      <w:r>
        <w:rPr>
          <w:rFonts w:ascii="Times New Roman" w:hAnsi="Times New Roman" w:cs="Times New Roman"/>
          <w:sz w:val="24"/>
          <w:szCs w:val="24"/>
          <w:lang w:val="en"/>
        </w:rPr>
        <w:t>From this perspective the Hansen craft beerhouse has strong advantage as the company has been investing in developing new flavors and new craft beer combination tasting menus for many years.</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The other technological factor that poses significant influence on the craft beer industry is the advancements in internet technologies. The online beer sales share in China has increased by five folds from 2013 to 2017</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URL":"https://www.statista.com/statistics/996942/china-online-beer-sales-share/","accessed":{"date-parts":[["2019","5","4"]]},"author":[{"dropping-particle":"","family":"Statista","given":"","non-dropping-particle":"","parse-names":false,"suffix":""}],"id":"ITEM-1","issued":{"date-parts":[["2019"]]},"title":"• China: online beer sales share 2017 | Statistic","type":"webpage"},"uris":["http://www.mendeley.com/documents/?uuid=ca00296a-1f88-3dfb-a21b-c85ae1210964"]}],"mendeley":{"formattedCitation":"(Statista, 2019b)","plainTextFormattedCitation":"(Statista, 2019b)","previouslyFormattedCitation":"(Statista, 2019b)"},"properties":{"noteIndex":0},"schema":"https://github.com/citation-style-language/schema/raw/master/csl-citation.json"}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(Statista, 2019b)</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The trend is demanding the beer producer as Hansen beerhouse to devise effective strategies to embrace the impact from online shopping. </w:t>
      </w:r>
    </w:p>
    <w:p>
      <w:pPr>
        <w:pStyle w:val="12"/>
        <w:numPr>
          <w:ilvl w:val="1"/>
          <w:numId w:val="2"/>
        </w:numPr>
        <w:ind w:firstLineChars="0"/>
        <w:outlineLvl w:val="1"/>
        <w:rPr>
          <w:rFonts w:ascii="Product Sans" w:hAnsi="Product Sans"/>
          <w:color w:val="222A35" w:themeColor="text2" w:themeShade="80"/>
          <w:sz w:val="28"/>
          <w:szCs w:val="28"/>
        </w:rPr>
      </w:pPr>
      <w:bookmarkStart w:id="14" w:name="_Toc7903272"/>
      <w:r>
        <w:rPr>
          <w:rFonts w:hint="eastAsia" w:ascii="Product Sans" w:hAnsi="Product Sans"/>
          <w:color w:val="222A35" w:themeColor="text2" w:themeShade="80"/>
          <w:sz w:val="28"/>
          <w:szCs w:val="28"/>
        </w:rPr>
        <w:t>M</w:t>
      </w:r>
      <w:r>
        <w:rPr>
          <w:rFonts w:ascii="Product Sans" w:hAnsi="Product Sans"/>
          <w:color w:val="222A35" w:themeColor="text2" w:themeShade="80"/>
          <w:sz w:val="28"/>
          <w:szCs w:val="28"/>
        </w:rPr>
        <w:t>icro Environmental Analysis</w:t>
      </w:r>
      <w:bookmarkEnd w:id="14"/>
      <w:r>
        <w:rPr>
          <w:rFonts w:ascii="Product Sans" w:hAnsi="Product Sans"/>
          <w:color w:val="222A35" w:themeColor="text2" w:themeShade="80"/>
          <w:sz w:val="28"/>
          <w:szCs w:val="28"/>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lang w:val="en"/>
        </w:rPr>
        <w:t xml:space="preserve">The micro environmental analysis is based on Porter Five Force model. The "Porter Five Force Analysis Model" or "Porter competitiveness Model" was proposed by Michael Porter in Harvard at the beginning of 20th century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{"citationItems":[{"id":"ITEM-1","itemData":{"ISBN":"2806268389","abstract":"Stay ahead of the competition. This book is a practical and accessible guide to understanding and implementing Porter's five forces, providing you with the essential information and saving time. In 50 minutes you will be able to: Understand the five forces that affect profitability and analyze each force in depth in relation to your company; Analyze the intensity of the competition within an industry and how this affects your business; Increase or maintain your competitive advantage according to the analysis.","author":[{"dropping-particle":"","family":"Michaux","given":"Stéphanie","non-dropping-particle":"","parse-names":false,"suffix":""},{"dropping-particle":"","family":"Cadiat","given":"Anne-Christine","non-dropping-particle":"","parse-names":false,"suffix":""},{"dropping-particle":"","family":"Probert","given":"Carly","non-dropping-particle":"","parse-names":false,"suffix":""}],"collection-title":"Management &amp; Marketing","id":"ITEM-1","issued":{"date-parts":[["2015"]]},"number-of-pages":"32","publisher":"50Minutes.com","title":"Porter's Five Forces : Understand competitive forces and stay ahead of the competition","type":"book"},"uris":["http://www.mendeley.com/documents/?uuid=ce12af1d-4cb4-48df-a382-cd82066272b2"]}],"mendeley":{"formattedCitation":"(Michaux, Cadiat and Probert, 2015)","plainTextFormattedCitation":"(Michaux, Cadiat and Probert, 2015)","previouslyFormattedCitation":"(Michaux, Cadiat and Probert, 2015)"},"properties":{"noteIndex":0},"schema":"https://github.com/citation-style-language/schema/raw/master/csl-citation.json"}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(Michaux, Cadiat and Probert, 2015)</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Five Forces Mode is widely used in industry competition analysis. He believes that there are five forces in the market or market segment that determine the competitiveness of an enterprise. </w:t>
      </w:r>
    </w:p>
    <w:p>
      <w:pPr>
        <w:pStyle w:val="12"/>
        <w:numPr>
          <w:ilvl w:val="0"/>
          <w:numId w:val="3"/>
        </w:numPr>
        <w:ind w:firstLineChars="0"/>
        <w:outlineLvl w:val="2"/>
        <w:rPr>
          <w:rFonts w:ascii="Product Sans" w:hAnsi="Product Sans"/>
          <w:color w:val="222A35" w:themeColor="text2" w:themeShade="80"/>
          <w:sz w:val="26"/>
          <w:szCs w:val="26"/>
        </w:rPr>
      </w:pPr>
      <w:bookmarkStart w:id="15" w:name="_Toc7903273"/>
      <w:r>
        <w:rPr>
          <w:rFonts w:ascii="Product Sans" w:hAnsi="Product Sans"/>
          <w:color w:val="222A35" w:themeColor="text2" w:themeShade="80"/>
          <w:sz w:val="26"/>
          <w:szCs w:val="26"/>
        </w:rPr>
        <w:t>Rivalry</w:t>
      </w:r>
      <w:bookmarkEnd w:id="15"/>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First, the competitiveness of enterprise’s competitors: the most important impact on the competitiveness of enterprises is the competitiveness of competitors in the same market segment. Hansen beerhouse is now facing the challenges from two types of competitors, the state-owned beer producers that aim to expand into craft beer industry and market incumbents such as other craft beerhouses.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According to the announcements from the largest beer producers in China (e.g. Tsingtao, Snow, Yanking, Carlsberg etc.), almost all the major beer producers in China have launched craft beer projects especially the foreign brands who already have craft beer production and sales experience such as Carlsberg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URL":"https://www.eastwestbank.com/ReachFurther/News/Article/Opportunities-are-Brewing-in-China-Craft-Beer-Industry","accessed":{"date-parts":[["2019","3","5"]]},"author":[{"dropping-particle":"","family":"Angela","given":"Bao","non-dropping-particle":"","parse-names":false,"suffix":""}],"container-title":"REACHFURTHER","id":"ITEM-1","issued":{"date-parts":[["2018"]]},"title":"Opportunities in China’s craft beer industry","type":"webpage"},"uris":["http://www.mendeley.com/documents/?uuid=bb317588-4a4d-325c-847e-2cc15812100b"]}],"mendeley":{"formattedCitation":"(Angela, 2018)","plainTextFormattedCitation":"(Angela, 2018)","previouslyFormattedCitation":"(Angela, 2018)"},"properties":{"noteIndex":0},"schema":"https://github.com/citation-style-language/schema/raw/master/csl-citation.json"}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(Angela, 2018)</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For example, Carlsberg launched several events on advertising its recent craft beer product Carlsberg 1883 which was claimed to be produced with the same technology and yeast used in 1883 in the original brewery in Copenhagen. The marketing event significantly increased the brand image as one of the earlies beer producers in the world and shifted the viewpoints of many customers that large beer companies cannot produce craft beers.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The market incumbent such as other craft beer houses in Beijing are posing less thereat to the company. The number of crafts beer houses in Beijing ranks only 10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in China and most of them are selling craft beers imported from other countries instead of brewing by themselves. However, the market incumbents of craft beer producers in neighbouring provinces pose significant threat for the company. These company are located primarily in Inner Mongolia and Hebei province in China for the low cost of labour and rent. Theses companies are purchasing technologies and equipment directly from UK, US and Germany and hired brew specialists from theses countries. As they are also closer to the ingredient production areas, they can maintain a competitive pricing strategy. </w:t>
      </w:r>
    </w:p>
    <w:p>
      <w:pPr>
        <w:pStyle w:val="12"/>
        <w:numPr>
          <w:ilvl w:val="0"/>
          <w:numId w:val="3"/>
        </w:numPr>
        <w:ind w:firstLineChars="0"/>
        <w:outlineLvl w:val="2"/>
        <w:rPr>
          <w:rFonts w:ascii="Product Sans" w:hAnsi="Product Sans"/>
          <w:color w:val="222A35" w:themeColor="text2" w:themeShade="80"/>
          <w:sz w:val="26"/>
          <w:szCs w:val="26"/>
        </w:rPr>
      </w:pPr>
      <w:bookmarkStart w:id="16" w:name="_Toc7903274"/>
      <w:r>
        <w:rPr>
          <w:rFonts w:ascii="Product Sans" w:hAnsi="Product Sans"/>
          <w:color w:val="222A35" w:themeColor="text2" w:themeShade="80"/>
          <w:sz w:val="26"/>
          <w:szCs w:val="26"/>
        </w:rPr>
        <w:t>Market entrants</w:t>
      </w:r>
      <w:bookmarkEnd w:id="16"/>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Market entrants are also a significant threat to the company. As the heat of craft beer in China keep rising, many investors are formulating reports on the promising profitability of craft beer production or retailing in first-tier cities in China. Till 2018 the number of entire craft beer producers in Chin have reached the number of 800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statista-com.liverpool.idm.oclc.org/statistics/974502/craft-beer-product-launch-share-worldwide/","accessed":{"date-parts":[["2019","3","5"]]},"author":[{"dropping-particle":"","family":"Statista","given":"","non-dropping-particle":"","parse-names":false,"suffix":""}],"id":"ITEM-1","issued":{"date-parts":[["2018"]]},"title":"Craft beer product launch share worldwide 2017 |","type":"webpage"},"uris":["http://www.mendeley.com/documents/?uuid=6f2bac97-82a7-3af2-951b-5d00f1eb5313"]}],"mendeley":{"formattedCitation":"(Statista, 2018)","plainTextFormattedCitation":"(Statista, 2018)","previouslyFormattedCitation":"(Statista,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(Statista, 2018)</w:t>
      </w:r>
      <w:r>
        <w:rPr>
          <w:rFonts w:ascii="Times New Roman" w:hAnsi="Times New Roman" w:cs="Times New Roman"/>
          <w:sz w:val="24"/>
          <w:szCs w:val="24"/>
        </w:rPr>
        <w:fldChar w:fldCharType="end"/>
      </w:r>
      <w:r>
        <w:rPr>
          <w:rFonts w:ascii="Times New Roman" w:hAnsi="Times New Roman" w:cs="Times New Roman"/>
          <w:sz w:val="24"/>
          <w:szCs w:val="24"/>
        </w:rPr>
        <w:t xml:space="preserve">. They are suppling the craft beers to their own retail stores or beer bars or to other beer bars. These market entrants and potential market entrants in the future are likely to bring the first pricing wars into the market as the pricing of craft beer in China is still high. Comparing the percentage of one bottle of craft beer to average income of residents in Beijing and New York, that in Beijing is 0.8% and that in New York is 0.3%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{"citationItems":[{"id":"ITEM-1","itemData":{"abstract":"China's beer industry has enjoyed impressive growth over the past three decades—ranking first in the world in terms of output in 2010. But despite its achievements, the industry now faces serious challenges, including slowing growth rates and slim profit margins. To break the bottleneck, the industry must look to new growth sources. Promising strategies could include introducing high-end products in China's urban markets and launching low-cost but still high-quality products in rural areas. To make these strategies work, Chinese beer companies will need to strengthen their operations on three fronts: brand positioning, distribution and cost control.","author":[{"dropping-particle":"","family":"Cherry","given":"By","non-dropping-particle":"","parse-names":false,"suffix":""},{"dropping-particle":"","family":"Cui","given":"Lu","non-dropping-particle":"","parse-names":false,"suffix":""},{"dropping-particle":"","family":"Xu","given":"Mickey Fang","non-dropping-particle":"","parse-names":false,"suffix":""},{"dropping-particle":"","family":"Kao","given":"Jeff","non-dropping-particle":"","parse-names":false,"suffix":""}],"container-title":"Accenture","id":"ITEM-1","issue":"August","issued":{"date-parts":[["2012"]]},"title":"China’s Beer Industry : Breaking the Growth Bottleneck","type":"article-journal"},"uris":["http://www.mendeley.com/documents/?uuid=49c394b4-0b01-4e2c-8568-43afebbabe77"]}],"mendeley":{"formattedCitation":"(Cherry &lt;i&gt;et al.&lt;/i&gt;, 2012)","plainTextFormattedCitation":"(Cherry et al., 2012)","previouslyFormattedCitation":"(Cherry &lt;i&gt;et al.&lt;/i&gt;,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(Cherry </w:t>
      </w:r>
      <w:r>
        <w:rPr>
          <w:rFonts w:ascii="Times New Roman" w:hAnsi="Times New Roman" w:cs="Times New Roman"/>
          <w:i/>
          <w:sz w:val="24"/>
          <w:szCs w:val="24"/>
        </w:rPr>
        <w:t>et al.</w:t>
      </w:r>
      <w:r>
        <w:rPr>
          <w:rFonts w:ascii="Times New Roman" w:hAnsi="Times New Roman" w:cs="Times New Roman"/>
          <w:sz w:val="24"/>
          <w:szCs w:val="24"/>
        </w:rPr>
        <w:t>, 2012)</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pStyle w:val="12"/>
        <w:numPr>
          <w:ilvl w:val="0"/>
          <w:numId w:val="3"/>
        </w:numPr>
        <w:ind w:firstLineChars="0"/>
        <w:outlineLvl w:val="2"/>
        <w:rPr>
          <w:rFonts w:ascii="Product Sans" w:hAnsi="Product Sans"/>
          <w:color w:val="222A35" w:themeColor="text2" w:themeShade="80"/>
          <w:sz w:val="26"/>
          <w:szCs w:val="26"/>
        </w:rPr>
      </w:pPr>
      <w:bookmarkStart w:id="17" w:name="_Toc7903275"/>
      <w:r>
        <w:rPr>
          <w:rFonts w:ascii="Product Sans" w:hAnsi="Product Sans"/>
          <w:color w:val="222A35" w:themeColor="text2" w:themeShade="80"/>
          <w:sz w:val="26"/>
          <w:szCs w:val="26"/>
        </w:rPr>
        <w:t>Substitutes</w:t>
      </w:r>
      <w:bookmarkEnd w:id="17"/>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Currently there are not many substitutes to the craft beer in the dimension of taste, flavour and exclusive experience in craft beer bars. However, the non-alcoholic and low-alcoholic is emerging in Chinese beer market. However, the threat from these new type beers are to impact the entire beer market instead of the craft beer segment. According to multiple reports, it will be the large beer producers who are to be significantly impacted. </w:t>
      </w:r>
    </w:p>
    <w:p>
      <w:pPr>
        <w:pStyle w:val="12"/>
        <w:numPr>
          <w:ilvl w:val="0"/>
          <w:numId w:val="3"/>
        </w:numPr>
        <w:ind w:firstLineChars="0"/>
        <w:outlineLvl w:val="2"/>
        <w:rPr>
          <w:rFonts w:ascii="Product Sans" w:hAnsi="Product Sans"/>
          <w:color w:val="222A35" w:themeColor="text2" w:themeShade="80"/>
          <w:sz w:val="26"/>
          <w:szCs w:val="26"/>
        </w:rPr>
      </w:pPr>
      <w:bookmarkStart w:id="18" w:name="_Toc7903276"/>
      <w:r>
        <w:rPr>
          <w:rFonts w:ascii="Product Sans" w:hAnsi="Product Sans"/>
          <w:color w:val="222A35" w:themeColor="text2" w:themeShade="80"/>
          <w:sz w:val="26"/>
          <w:szCs w:val="26"/>
        </w:rPr>
        <w:t>Consumer bargaining power</w:t>
      </w:r>
      <w:bookmarkEnd w:id="18"/>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Chinese beer market in general is favouring the bargaining power from the consumers. The cheapest beer available in China costs only 0.5 GBP and less if purchased in large quantity. The fierce competition in the Chinese beer market has lowered the pricing of regular beers to the state that marginal profit is minimal and only large companies can survive on this profitability.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craft beer is different, as in the craft beer market the consumer base is primarily the middle and high-income population, the customers are less sensitive to the pricing of craft beers. However, with the spread of craft beer ideas in China and with more population being able to travel to EU and US, many craft beer consumers in China have realized the overly high price. This in long term will increase the bargaining power of the consumer. </w:t>
      </w:r>
    </w:p>
    <w:p>
      <w:pPr>
        <w:pStyle w:val="12"/>
        <w:numPr>
          <w:ilvl w:val="0"/>
          <w:numId w:val="3"/>
        </w:numPr>
        <w:ind w:firstLineChars="0"/>
        <w:outlineLvl w:val="2"/>
        <w:rPr>
          <w:rFonts w:ascii="Product Sans" w:hAnsi="Product Sans"/>
          <w:color w:val="222A35" w:themeColor="text2" w:themeShade="80"/>
          <w:sz w:val="26"/>
          <w:szCs w:val="26"/>
        </w:rPr>
      </w:pPr>
      <w:bookmarkStart w:id="19" w:name="_Toc7903277"/>
      <w:r>
        <w:rPr>
          <w:rFonts w:ascii="Product Sans" w:hAnsi="Product Sans"/>
          <w:color w:val="222A35" w:themeColor="text2" w:themeShade="80"/>
          <w:sz w:val="26"/>
          <w:szCs w:val="26"/>
        </w:rPr>
        <w:t>Supplier bargaining power</w:t>
      </w:r>
      <w:bookmarkEnd w:id="19"/>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pricing strategy of Hansen beer house has been to position the products on the medium-high end of the market i.e. the prices are above average but not at the top of the market. This strategy has allowed the company to establish a steady relationship with its suppliers. Many craft beer houses are considering lowering the price to attract more customers, to implement which they have to increase the pressure on their suppliers, thus reducing their negotiating power to the suppliers. In this regard the supplier bargaining power for the company is relatively low in the market. </w:t>
      </w:r>
    </w:p>
    <w:p>
      <w:pPr>
        <w:spacing w:before="156" w:beforeLines="50" w:after="156" w:afterLines="50" w:line="48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4572000" cy="273685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572396" cy="2737341"/>
                    </a:xfrm>
                    <a:prstGeom prst="rect">
                      <a:avLst/>
                    </a:prstGeom>
                  </pic:spPr>
                </pic:pic>
              </a:graphicData>
            </a:graphic>
          </wp:inline>
        </w:drawing>
      </w:r>
    </w:p>
    <w:p>
      <w:pPr>
        <w:spacing w:after="156" w:afterLines="50"/>
        <w:ind w:firstLine="330" w:firstLineChars="150"/>
        <w:jc w:val="center"/>
        <w:rPr>
          <w:rFonts w:ascii="Times New Roman" w:hAnsi="Times New Roman" w:cs="Times New Roman"/>
          <w:sz w:val="22"/>
          <w:szCs w:val="24"/>
          <w:lang w:val="en"/>
        </w:rPr>
      </w:pPr>
      <w:r>
        <w:rPr>
          <w:rFonts w:hint="eastAsia" w:ascii="Times New Roman" w:hAnsi="Times New Roman" w:cs="Times New Roman"/>
          <w:sz w:val="22"/>
          <w:szCs w:val="24"/>
          <w:lang w:val="en"/>
        </w:rPr>
        <w:t>F</w:t>
      </w:r>
      <w:r>
        <w:rPr>
          <w:rFonts w:ascii="Times New Roman" w:hAnsi="Times New Roman" w:cs="Times New Roman"/>
          <w:sz w:val="22"/>
          <w:szCs w:val="24"/>
          <w:lang w:val="en"/>
        </w:rPr>
        <w:t xml:space="preserve">igure 5. Summary of Porter Five Forces analysis. </w:t>
      </w:r>
    </w:p>
    <w:p>
      <w:pPr>
        <w:rPr>
          <w:rFonts w:ascii="Times New Roman" w:hAnsi="Times New Roman" w:cs="Times New Roman"/>
          <w:sz w:val="22"/>
          <w:szCs w:val="24"/>
          <w:lang w:val="en"/>
        </w:rPr>
      </w:pPr>
      <w:r>
        <w:rPr>
          <w:rFonts w:ascii="Times New Roman" w:hAnsi="Times New Roman" w:cs="Times New Roman"/>
          <w:sz w:val="22"/>
          <w:szCs w:val="24"/>
          <w:lang w:val="en"/>
        </w:rPr>
        <w:br w:type="page"/>
      </w:r>
    </w:p>
    <w:p>
      <w:pPr>
        <w:spacing w:after="156" w:afterLines="50"/>
        <w:ind w:firstLine="330" w:firstLineChars="150"/>
        <w:jc w:val="center"/>
        <w:rPr>
          <w:rFonts w:ascii="Times New Roman" w:hAnsi="Times New Roman" w:cs="Times New Roman"/>
          <w:sz w:val="22"/>
          <w:szCs w:val="24"/>
          <w:lang w:val="en"/>
        </w:rPr>
      </w:pPr>
    </w:p>
    <w:p>
      <w:pPr>
        <w:pStyle w:val="12"/>
        <w:numPr>
          <w:ilvl w:val="1"/>
          <w:numId w:val="2"/>
        </w:numPr>
        <w:ind w:firstLineChars="0"/>
        <w:outlineLvl w:val="1"/>
        <w:rPr>
          <w:rFonts w:ascii="Product Sans" w:hAnsi="Product Sans"/>
          <w:color w:val="222A35" w:themeColor="text2" w:themeShade="80"/>
          <w:sz w:val="28"/>
          <w:szCs w:val="28"/>
        </w:rPr>
      </w:pPr>
      <w:bookmarkStart w:id="20" w:name="_Toc7903278"/>
      <w:r>
        <w:rPr>
          <w:rFonts w:ascii="Product Sans" w:hAnsi="Product Sans"/>
          <w:color w:val="222A35" w:themeColor="text2" w:themeShade="80"/>
          <w:sz w:val="28"/>
          <w:szCs w:val="28"/>
        </w:rPr>
        <w:t>Summary</w:t>
      </w:r>
      <w:bookmarkEnd w:id="20"/>
      <w:r>
        <w:rPr>
          <w:rFonts w:ascii="Product Sans" w:hAnsi="Product Sans"/>
          <w:color w:val="222A35" w:themeColor="text2" w:themeShade="80"/>
          <w:sz w:val="28"/>
          <w:szCs w:val="28"/>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From the analysis of the environmental factors affecting the company, this report summarizes that:</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Among the macro environmental factors, the economic and technological factors are weighting the most significant impact to Hansen beer house. The economic growth of China and economic instability due to the Sino-US trade war from 2018 are favouring the business development of the company. The economic growth and consumption upgrade in China are demanding the company to offer more products with higher degree of diversity and more exclusive experiences from drinking the beer to the retail experiences. The technological factors impact the company mainly from the rising of online shopping and mobile internet. The company is facing significant threat in terms of the low-price products provided online by its competitors.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Among the micro environmental factors, the forces from the competitors are dominant as from the rivalry and market entrants. The forces of the consumer bargaining power and supplier bargaining power are not high. The bargaining power of the consumer are increasing due to the market entrants. The bargaining power of the suppliers, as forecast by this report will maintain the same level as no business that has the same level of supply chain management as Hansen beer house exists in the market. </w:t>
      </w:r>
    </w:p>
    <w:p>
      <w:pPr>
        <w:spacing w:before="156" w:beforeLines="50" w:after="156" w:afterLines="50" w:line="480" w:lineRule="auto"/>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br w:type="page"/>
      </w:r>
    </w:p>
    <w:p>
      <w:pPr>
        <w:pStyle w:val="12"/>
        <w:numPr>
          <w:ilvl w:val="0"/>
          <w:numId w:val="1"/>
        </w:numPr>
        <w:ind w:left="357" w:hanging="357" w:firstLineChars="0"/>
        <w:outlineLvl w:val="0"/>
        <w:rPr>
          <w:rFonts w:ascii="Product Sans" w:hAnsi="Product Sans"/>
          <w:sz w:val="30"/>
          <w:szCs w:val="30"/>
        </w:rPr>
      </w:pPr>
      <w:bookmarkStart w:id="21" w:name="_Toc7903279"/>
      <w:r>
        <w:rPr>
          <w:rFonts w:ascii="Product Sans" w:hAnsi="Product Sans"/>
          <w:sz w:val="30"/>
          <w:szCs w:val="30"/>
        </w:rPr>
        <w:t>Internal business environmental analysis</w:t>
      </w:r>
      <w:bookmarkEnd w:id="21"/>
      <w:r>
        <w:rPr>
          <w:rFonts w:ascii="Product Sans" w:hAnsi="Product Sans"/>
          <w:sz w:val="30"/>
          <w:szCs w:val="30"/>
        </w:rPr>
        <w:t xml:space="preserv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rPr>
        <w:t xml:space="preserve">The internal business environmental analysis is based on the SWOT model. </w:t>
      </w:r>
      <w:r>
        <w:rPr>
          <w:rFonts w:ascii="Times New Roman" w:hAnsi="Times New Roman" w:cs="Times New Roman"/>
          <w:sz w:val="24"/>
          <w:szCs w:val="24"/>
          <w:lang w:val="en"/>
        </w:rPr>
        <w:t>SWOT analysis is often used for internal environmental analysis of the enterprises. Through SWOT analysis and matching of tactics, different strategies can be derived.</w:t>
      </w:r>
      <w:r>
        <w:rPr>
          <w:rFonts w:hint="eastAsia" w:ascii="Times New Roman" w:hAnsi="Times New Roman" w:cs="Times New Roman"/>
          <w:sz w:val="24"/>
          <w:szCs w:val="24"/>
          <w:lang w:val="en"/>
        </w:rPr>
        <w:t xml:space="preserve"> </w:t>
      </w:r>
      <w:r>
        <w:rPr>
          <w:rFonts w:ascii="Times New Roman" w:hAnsi="Times New Roman" w:cs="Times New Roman"/>
          <w:sz w:val="24"/>
          <w:szCs w:val="24"/>
        </w:rPr>
        <w:t xml:space="preserve">SWOT represents: </w:t>
      </w:r>
      <w:r>
        <w:rPr>
          <w:rFonts w:ascii="Times New Roman" w:hAnsi="Times New Roman" w:cs="Times New Roman"/>
          <w:sz w:val="24"/>
          <w:szCs w:val="24"/>
          <w:lang w:val="en"/>
        </w:rPr>
        <w:t>Strengths (S): internal advantages of the enterprise;</w:t>
      </w:r>
      <w:r>
        <w:rPr>
          <w:rFonts w:hint="eastAsia" w:ascii="Times New Roman" w:hAnsi="Times New Roman" w:cs="Times New Roman"/>
          <w:sz w:val="24"/>
          <w:szCs w:val="24"/>
        </w:rPr>
        <w:t xml:space="preserve"> </w:t>
      </w:r>
      <w:r>
        <w:rPr>
          <w:rFonts w:ascii="Times New Roman" w:hAnsi="Times New Roman" w:cs="Times New Roman"/>
          <w:sz w:val="24"/>
          <w:szCs w:val="24"/>
          <w:lang w:val="en"/>
        </w:rPr>
        <w:t>Weaknesses (W): internal disadvantages of enterprises;</w:t>
      </w:r>
      <w:r>
        <w:rPr>
          <w:rFonts w:hint="eastAsia" w:ascii="Times New Roman" w:hAnsi="Times New Roman" w:cs="Times New Roman"/>
          <w:sz w:val="24"/>
          <w:szCs w:val="24"/>
        </w:rPr>
        <w:t xml:space="preserve"> </w:t>
      </w:r>
      <w:r>
        <w:rPr>
          <w:rFonts w:ascii="Times New Roman" w:hAnsi="Times New Roman" w:cs="Times New Roman"/>
          <w:sz w:val="24"/>
          <w:szCs w:val="24"/>
          <w:lang w:val="en"/>
        </w:rPr>
        <w:t>Opportunities (O): external opportunities for enterprises;</w:t>
      </w:r>
      <w:r>
        <w:rPr>
          <w:rFonts w:hint="eastAsia" w:ascii="Times New Roman" w:hAnsi="Times New Roman" w:cs="Times New Roman"/>
          <w:sz w:val="24"/>
          <w:szCs w:val="24"/>
        </w:rPr>
        <w:t xml:space="preserve"> </w:t>
      </w:r>
      <w:r>
        <w:rPr>
          <w:rFonts w:ascii="Times New Roman" w:hAnsi="Times New Roman" w:cs="Times New Roman"/>
          <w:sz w:val="24"/>
          <w:szCs w:val="24"/>
          <w:lang w:val="en"/>
        </w:rPr>
        <w:t>Threats (T): External threats to enterprises.</w:t>
      </w:r>
    </w:p>
    <w:tbl>
      <w:tblPr>
        <w:tblStyle w:val="9"/>
        <w:tblW w:w="829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74"/>
        <w:gridCol w:w="2074"/>
        <w:gridCol w:w="2074"/>
        <w:gridCol w:w="207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00" w:hRule="atLeast"/>
        </w:trPr>
        <w:tc>
          <w:tcPr>
            <w:tcW w:w="2074" w:type="dxa"/>
            <w:noWrap/>
          </w:tcPr>
          <w:p>
            <w:pPr>
              <w:spacing w:before="156" w:beforeLines="50" w:after="156" w:afterLines="50" w:line="480" w:lineRule="auto"/>
              <w:jc w:val="center"/>
              <w:rPr>
                <w:rFonts w:ascii="Times New Roman" w:hAnsi="Times New Roman" w:cs="Times New Roman"/>
                <w:b/>
                <w:color w:val="44546A" w:themeColor="text2"/>
                <w:sz w:val="24"/>
                <w:szCs w:val="24"/>
                <w14:textFill>
                  <w14:solidFill>
                    <w14:schemeClr w14:val="tx2"/>
                  </w14:solidFill>
                </w14:textFill>
              </w:rPr>
            </w:pPr>
            <w:r>
              <w:rPr>
                <w:rFonts w:ascii="Times New Roman" w:hAnsi="Times New Roman" w:cs="Times New Roman"/>
                <w:b/>
                <w:color w:val="44546A" w:themeColor="text2"/>
                <w:sz w:val="24"/>
                <w:szCs w:val="24"/>
                <w14:textFill>
                  <w14:solidFill>
                    <w14:schemeClr w14:val="tx2"/>
                  </w14:solidFill>
                </w14:textFill>
              </w:rPr>
              <w:t>Strength</w:t>
            </w:r>
          </w:p>
        </w:tc>
        <w:tc>
          <w:tcPr>
            <w:tcW w:w="2074" w:type="dxa"/>
            <w:noWrap/>
          </w:tcPr>
          <w:p>
            <w:pPr>
              <w:spacing w:before="156" w:beforeLines="50" w:after="156" w:afterLines="50" w:line="480" w:lineRule="auto"/>
              <w:jc w:val="center"/>
              <w:rPr>
                <w:rFonts w:ascii="Times New Roman" w:hAnsi="Times New Roman" w:cs="Times New Roman"/>
                <w:b/>
                <w:color w:val="44546A" w:themeColor="text2"/>
                <w:sz w:val="24"/>
                <w:szCs w:val="24"/>
                <w14:textFill>
                  <w14:solidFill>
                    <w14:schemeClr w14:val="tx2"/>
                  </w14:solidFill>
                </w14:textFill>
              </w:rPr>
            </w:pPr>
            <w:r>
              <w:rPr>
                <w:rFonts w:ascii="Times New Roman" w:hAnsi="Times New Roman" w:cs="Times New Roman"/>
                <w:b/>
                <w:color w:val="44546A" w:themeColor="text2"/>
                <w:sz w:val="24"/>
                <w:szCs w:val="24"/>
                <w14:textFill>
                  <w14:solidFill>
                    <w14:schemeClr w14:val="tx2"/>
                  </w14:solidFill>
                </w14:textFill>
              </w:rPr>
              <w:t>Weakness</w:t>
            </w:r>
          </w:p>
        </w:tc>
        <w:tc>
          <w:tcPr>
            <w:tcW w:w="2074" w:type="dxa"/>
          </w:tcPr>
          <w:p>
            <w:pPr>
              <w:spacing w:before="156" w:beforeLines="50" w:after="156" w:afterLines="50" w:line="480" w:lineRule="auto"/>
              <w:jc w:val="center"/>
              <w:rPr>
                <w:rFonts w:ascii="Times New Roman" w:hAnsi="Times New Roman" w:cs="Times New Roman"/>
                <w:b/>
                <w:color w:val="44546A" w:themeColor="text2"/>
                <w:sz w:val="24"/>
                <w:szCs w:val="24"/>
                <w14:textFill>
                  <w14:solidFill>
                    <w14:schemeClr w14:val="tx2"/>
                  </w14:solidFill>
                </w14:textFill>
              </w:rPr>
            </w:pPr>
            <w:r>
              <w:rPr>
                <w:rFonts w:ascii="Times New Roman" w:hAnsi="Times New Roman" w:cs="Times New Roman"/>
                <w:b/>
                <w:color w:val="44546A" w:themeColor="text2"/>
                <w:sz w:val="24"/>
                <w:szCs w:val="24"/>
                <w14:textFill>
                  <w14:solidFill>
                    <w14:schemeClr w14:val="tx2"/>
                  </w14:solidFill>
                </w14:textFill>
              </w:rPr>
              <w:t>Opportunities</w:t>
            </w:r>
          </w:p>
        </w:tc>
        <w:tc>
          <w:tcPr>
            <w:tcW w:w="2074" w:type="dxa"/>
          </w:tcPr>
          <w:p>
            <w:pPr>
              <w:spacing w:before="156" w:beforeLines="50" w:after="156" w:afterLines="50" w:line="480" w:lineRule="auto"/>
              <w:jc w:val="center"/>
              <w:rPr>
                <w:rFonts w:ascii="Times New Roman" w:hAnsi="Times New Roman" w:cs="Times New Roman"/>
                <w:b/>
                <w:color w:val="44546A" w:themeColor="text2"/>
                <w:sz w:val="24"/>
                <w:szCs w:val="24"/>
                <w14:textFill>
                  <w14:solidFill>
                    <w14:schemeClr w14:val="tx2"/>
                  </w14:solidFill>
                </w14:textFill>
              </w:rPr>
            </w:pPr>
            <w:r>
              <w:rPr>
                <w:rFonts w:ascii="Times New Roman" w:hAnsi="Times New Roman" w:cs="Times New Roman"/>
                <w:b/>
                <w:color w:val="44546A" w:themeColor="text2"/>
                <w:sz w:val="24"/>
                <w:szCs w:val="24"/>
                <w14:textFill>
                  <w14:solidFill>
                    <w14:schemeClr w14:val="tx2"/>
                  </w14:solidFill>
                </w14:textFill>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092" w:hRule="atLeast"/>
        </w:trPr>
        <w:tc>
          <w:tcPr>
            <w:tcW w:w="2074" w:type="dxa"/>
          </w:tcPr>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1. Strong supply chain management.</w:t>
            </w:r>
            <w:r>
              <w:rPr>
                <w:rFonts w:ascii="Times New Roman" w:hAnsi="Times New Roman" w:cs="Times New Roman"/>
                <w:sz w:val="24"/>
                <w:szCs w:val="24"/>
              </w:rPr>
              <w:br w:type="textWrapping"/>
            </w:r>
            <w:r>
              <w:rPr>
                <w:rFonts w:ascii="Times New Roman" w:hAnsi="Times New Roman" w:cs="Times New Roman"/>
                <w:sz w:val="24"/>
                <w:szCs w:val="24"/>
              </w:rPr>
              <w:t xml:space="preserve">2. Strong R&amp;D capacity on new flavour. </w:t>
            </w:r>
            <w:r>
              <w:rPr>
                <w:rFonts w:ascii="Times New Roman" w:hAnsi="Times New Roman" w:cs="Times New Roman"/>
                <w:sz w:val="24"/>
                <w:szCs w:val="24"/>
              </w:rPr>
              <w:br w:type="textWrapping"/>
            </w:r>
            <w:r>
              <w:rPr>
                <w:rFonts w:ascii="Times New Roman" w:hAnsi="Times New Roman" w:cs="Times New Roman"/>
                <w:sz w:val="24"/>
                <w:szCs w:val="24"/>
              </w:rPr>
              <w:t>3. Strong brand reputation in craft beer circle in Beijing.</w:t>
            </w:r>
          </w:p>
        </w:tc>
        <w:tc>
          <w:tcPr>
            <w:tcW w:w="2074" w:type="dxa"/>
          </w:tcPr>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1.Lack of strong funding source.</w:t>
            </w:r>
            <w:r>
              <w:rPr>
                <w:rFonts w:ascii="Times New Roman" w:hAnsi="Times New Roman" w:cs="Times New Roman"/>
                <w:sz w:val="24"/>
                <w:szCs w:val="24"/>
              </w:rPr>
              <w:br w:type="textWrapping"/>
            </w:r>
            <w:r>
              <w:rPr>
                <w:rFonts w:ascii="Times New Roman" w:hAnsi="Times New Roman" w:cs="Times New Roman"/>
                <w:sz w:val="24"/>
                <w:szCs w:val="24"/>
              </w:rPr>
              <w:t>2. High R&amp;D expenditure eating up cash flow.</w:t>
            </w:r>
            <w:r>
              <w:rPr>
                <w:rFonts w:ascii="Times New Roman" w:hAnsi="Times New Roman" w:cs="Times New Roman"/>
                <w:sz w:val="24"/>
                <w:szCs w:val="24"/>
              </w:rPr>
              <w:br w:type="textWrapping"/>
            </w:r>
            <w:r>
              <w:rPr>
                <w:rFonts w:ascii="Times New Roman" w:hAnsi="Times New Roman" w:cs="Times New Roman"/>
                <w:sz w:val="24"/>
                <w:szCs w:val="24"/>
              </w:rPr>
              <w:t xml:space="preserve">3. Limited staff on expanding multiple business lines. </w:t>
            </w:r>
          </w:p>
        </w:tc>
        <w:tc>
          <w:tcPr>
            <w:tcW w:w="2074" w:type="dxa"/>
          </w:tcPr>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1. High growth in craft beer market. More and more Chinese are adopting the idea of drinking craft beer instead of regular cheap beer. </w:t>
            </w:r>
            <w:r>
              <w:rPr>
                <w:rFonts w:ascii="Times New Roman" w:hAnsi="Times New Roman" w:cs="Times New Roman"/>
                <w:sz w:val="24"/>
                <w:szCs w:val="24"/>
              </w:rPr>
              <w:br w:type="textWrapping"/>
            </w:r>
            <w:r>
              <w:rPr>
                <w:rFonts w:ascii="Times New Roman" w:hAnsi="Times New Roman" w:cs="Times New Roman"/>
                <w:sz w:val="24"/>
                <w:szCs w:val="24"/>
              </w:rPr>
              <w:t>2. The increase in Chinese' purchasing power continue to drive the increase of high-end products such as craft beer.</w:t>
            </w:r>
            <w:r>
              <w:rPr>
                <w:rFonts w:ascii="Times New Roman" w:hAnsi="Times New Roman" w:cs="Times New Roman"/>
                <w:sz w:val="24"/>
                <w:szCs w:val="24"/>
              </w:rPr>
              <w:br w:type="textWrapping"/>
            </w:r>
            <w:r>
              <w:rPr>
                <w:rFonts w:ascii="Times New Roman" w:hAnsi="Times New Roman" w:cs="Times New Roman"/>
                <w:sz w:val="24"/>
                <w:szCs w:val="24"/>
              </w:rPr>
              <w:t xml:space="preserve">3. The Chinese market is not mature, indicating that the customers are not forming stereotypes on the craft beer of its taste, quality and etc. This can leave more room for trial &amp; error for craft beer businesses. </w:t>
            </w:r>
          </w:p>
        </w:tc>
        <w:tc>
          <w:tcPr>
            <w:tcW w:w="2074" w:type="dxa"/>
          </w:tcPr>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1. Craft beer departments from large beer producers.</w:t>
            </w:r>
            <w:r>
              <w:rPr>
                <w:rFonts w:ascii="Times New Roman" w:hAnsi="Times New Roman" w:cs="Times New Roman"/>
                <w:sz w:val="24"/>
                <w:szCs w:val="24"/>
              </w:rPr>
              <w:br w:type="textWrapping"/>
            </w:r>
            <w:r>
              <w:rPr>
                <w:rFonts w:ascii="Times New Roman" w:hAnsi="Times New Roman" w:cs="Times New Roman"/>
                <w:sz w:val="24"/>
                <w:szCs w:val="24"/>
              </w:rPr>
              <w:t>2. New entrants to the craft beer market with powerful investors such as internet giants in China.</w:t>
            </w:r>
            <w:r>
              <w:rPr>
                <w:rFonts w:ascii="Times New Roman" w:hAnsi="Times New Roman" w:cs="Times New Roman"/>
                <w:sz w:val="24"/>
                <w:szCs w:val="24"/>
              </w:rPr>
              <w:br w:type="textWrapping"/>
            </w:r>
            <w:r>
              <w:rPr>
                <w:rFonts w:ascii="Times New Roman" w:hAnsi="Times New Roman" w:cs="Times New Roman"/>
                <w:sz w:val="24"/>
                <w:szCs w:val="24"/>
              </w:rPr>
              <w:t xml:space="preserve">3. The customers may not accept the new flavours Hansen beer house develops. </w:t>
            </w:r>
            <w:r>
              <w:rPr>
                <w:rFonts w:ascii="Times New Roman" w:hAnsi="Times New Roman" w:cs="Times New Roman"/>
                <w:sz w:val="24"/>
                <w:szCs w:val="24"/>
              </w:rPr>
              <w:br w:type="textWrapping"/>
            </w:r>
            <w:r>
              <w:rPr>
                <w:rFonts w:ascii="Times New Roman" w:hAnsi="Times New Roman" w:cs="Times New Roman"/>
                <w:sz w:val="24"/>
                <w:szCs w:val="24"/>
              </w:rPr>
              <w:t xml:space="preserve">4. The customers may think the products from Hansen beer house are overly priced. </w:t>
            </w:r>
          </w:p>
        </w:tc>
      </w:tr>
    </w:tbl>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From the internal scanning of the enterprise, this report summarizes that:</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Hansen Beer house has strong opportunities if it can combine its strong R&amp;D with the growing demand of Chinese customers on the variety and quality of the craft beer. As the market is far from well-developed, the company can have more room for errors in the sense that products cannot meet the requirements from customers.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However, if the company is to maintain competitive advantage with its competitors from multiple levels, the company is to introduce external investors to enhance the cash flow and capital management capacity of the company, in order to maintain its advantage in R&amp;D and quality of the beer. Otherwise the company is to lower the price of the products, which will damage the profitability of the company and hamper its R&amp;D of new favour craft beers. </w:t>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br w:type="page"/>
      </w:r>
    </w:p>
    <w:p>
      <w:pPr>
        <w:pStyle w:val="12"/>
        <w:numPr>
          <w:ilvl w:val="0"/>
          <w:numId w:val="1"/>
        </w:numPr>
        <w:ind w:left="357" w:hanging="357" w:firstLineChars="0"/>
        <w:outlineLvl w:val="0"/>
        <w:rPr>
          <w:rFonts w:ascii="Product Sans" w:hAnsi="Product Sans"/>
          <w:sz w:val="30"/>
          <w:szCs w:val="30"/>
        </w:rPr>
      </w:pPr>
      <w:bookmarkStart w:id="22" w:name="_Toc7903280"/>
      <w:r>
        <w:rPr>
          <w:rFonts w:hint="eastAsia" w:ascii="Product Sans" w:hAnsi="Product Sans"/>
          <w:sz w:val="30"/>
          <w:szCs w:val="30"/>
        </w:rPr>
        <w:t>N</w:t>
      </w:r>
      <w:r>
        <w:rPr>
          <w:rFonts w:ascii="Product Sans" w:hAnsi="Product Sans"/>
          <w:sz w:val="30"/>
          <w:szCs w:val="30"/>
        </w:rPr>
        <w:t>ew product marketing strategy</w:t>
      </w:r>
      <w:bookmarkEnd w:id="22"/>
      <w:r>
        <w:rPr>
          <w:rFonts w:ascii="Product Sans" w:hAnsi="Product Sans"/>
          <w:sz w:val="30"/>
          <w:szCs w:val="30"/>
        </w:rPr>
        <w:t xml:space="preserve"> </w:t>
      </w:r>
    </w:p>
    <w:p>
      <w:pPr>
        <w:pStyle w:val="12"/>
        <w:numPr>
          <w:ilvl w:val="0"/>
          <w:numId w:val="2"/>
        </w:numPr>
        <w:ind w:firstLineChars="0"/>
        <w:outlineLvl w:val="1"/>
        <w:rPr>
          <w:rFonts w:ascii="Product Sans" w:hAnsi="Product Sans"/>
          <w:vanish/>
          <w:color w:val="222A35" w:themeColor="text2" w:themeShade="80"/>
          <w:sz w:val="28"/>
          <w:szCs w:val="28"/>
        </w:rPr>
      </w:pPr>
      <w:bookmarkStart w:id="23" w:name="_Toc7902942"/>
      <w:bookmarkEnd w:id="23"/>
      <w:bookmarkStart w:id="24" w:name="_Toc7903281"/>
      <w:bookmarkEnd w:id="24"/>
      <w:bookmarkStart w:id="25" w:name="_Toc7903195"/>
      <w:bookmarkEnd w:id="25"/>
    </w:p>
    <w:p>
      <w:pPr>
        <w:pStyle w:val="12"/>
        <w:numPr>
          <w:ilvl w:val="0"/>
          <w:numId w:val="2"/>
        </w:numPr>
        <w:ind w:firstLineChars="0"/>
        <w:outlineLvl w:val="1"/>
        <w:rPr>
          <w:rFonts w:ascii="Product Sans" w:hAnsi="Product Sans"/>
          <w:vanish/>
          <w:color w:val="222A35" w:themeColor="text2" w:themeShade="80"/>
          <w:sz w:val="28"/>
          <w:szCs w:val="28"/>
        </w:rPr>
      </w:pPr>
      <w:bookmarkStart w:id="26" w:name="_Toc7903282"/>
      <w:bookmarkEnd w:id="26"/>
    </w:p>
    <w:p>
      <w:pPr>
        <w:pStyle w:val="12"/>
        <w:numPr>
          <w:ilvl w:val="1"/>
          <w:numId w:val="2"/>
        </w:numPr>
        <w:ind w:firstLineChars="0"/>
        <w:outlineLvl w:val="1"/>
        <w:rPr>
          <w:rFonts w:ascii="Product Sans" w:hAnsi="Product Sans"/>
          <w:color w:val="222A35" w:themeColor="text2" w:themeShade="80"/>
          <w:sz w:val="28"/>
          <w:szCs w:val="28"/>
        </w:rPr>
      </w:pPr>
      <w:bookmarkStart w:id="27" w:name="_Toc7903283"/>
      <w:r>
        <w:rPr>
          <w:rFonts w:ascii="Product Sans" w:hAnsi="Product Sans"/>
          <w:color w:val="222A35" w:themeColor="text2" w:themeShade="80"/>
          <w:sz w:val="28"/>
          <w:szCs w:val="28"/>
        </w:rPr>
        <w:t xml:space="preserve">Product development strategy &amp; </w:t>
      </w:r>
      <w:r>
        <w:rPr>
          <w:rFonts w:hint="eastAsia" w:ascii="Product Sans" w:hAnsi="Product Sans"/>
          <w:color w:val="222A35" w:themeColor="text2" w:themeShade="80"/>
          <w:sz w:val="28"/>
          <w:szCs w:val="28"/>
        </w:rPr>
        <w:t>S</w:t>
      </w:r>
      <w:r>
        <w:rPr>
          <w:rFonts w:ascii="Product Sans" w:hAnsi="Product Sans"/>
          <w:color w:val="222A35" w:themeColor="text2" w:themeShade="80"/>
          <w:sz w:val="28"/>
          <w:szCs w:val="28"/>
        </w:rPr>
        <w:t>TP of the new product</w:t>
      </w:r>
      <w:bookmarkEnd w:id="27"/>
      <w:r>
        <w:rPr>
          <w:rFonts w:ascii="Product Sans" w:hAnsi="Product Sans"/>
          <w:color w:val="222A35" w:themeColor="text2" w:themeShade="80"/>
          <w:sz w:val="28"/>
          <w:szCs w:val="28"/>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From the analysis of the external environment and internal environment of the Hansen beer house, it is suggested that the develop of new flavour craft beer is necessary. This report is to propose the new product develop and marketing strategy.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company is to conduce a detailed customer feedback before the new flavour craft beer project is initiated. The customer feedback should not be relied on random customers but should be to the customers with expertise in tasting the craft beer.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purpose of the feedback is to identify the desired taste from these elite customers and differentiate the to-be-developed product with those already existing in the market. The Hansen beer house should combine the feedbacks with the judgment from its own managerial teams on the screening of the taste and flavour of the new products. As summarized from the environmental analysis, the market allows the company to make mistakes on the product. So, the company can develop a series of products to examine what kind of craft beer can fit the customers’ demand to the best. The company does not need to bet everything on this product. This can solve the issues in the arguments from the founders and managers in the company. </w:t>
      </w:r>
    </w:p>
    <w:p>
      <w:pPr>
        <w:spacing w:before="156" w:beforeLines="50"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S</w:t>
      </w:r>
      <w:r>
        <w:rPr>
          <w:rFonts w:ascii="Times New Roman" w:hAnsi="Times New Roman" w:cs="Times New Roman"/>
          <w:sz w:val="24"/>
          <w:szCs w:val="24"/>
        </w:rPr>
        <w:t xml:space="preserve">TP represents the segmentation, targeting and positioning of the new product. The segmentation is to define the market segment the new product is to reside in. the targeting is to define the target customer group the new product is aimed at. The positioning defines the positioning (e.g. position on the positioning map) of the product. </w:t>
      </w:r>
    </w:p>
    <w:p>
      <w:pPr>
        <w:pStyle w:val="12"/>
        <w:numPr>
          <w:ilvl w:val="0"/>
          <w:numId w:val="3"/>
        </w:numPr>
        <w:ind w:firstLineChars="0"/>
        <w:outlineLvl w:val="2"/>
        <w:rPr>
          <w:rFonts w:ascii="Product Sans" w:hAnsi="Product Sans"/>
          <w:color w:val="222A35" w:themeColor="text2" w:themeShade="80"/>
          <w:sz w:val="26"/>
          <w:szCs w:val="26"/>
        </w:rPr>
      </w:pPr>
      <w:bookmarkStart w:id="28" w:name="_Toc7903284"/>
      <w:r>
        <w:rPr>
          <w:rFonts w:ascii="Product Sans" w:hAnsi="Product Sans"/>
          <w:color w:val="222A35" w:themeColor="text2" w:themeShade="80"/>
          <w:sz w:val="26"/>
          <w:szCs w:val="26"/>
        </w:rPr>
        <w:t>Segmentation</w:t>
      </w:r>
      <w:bookmarkEnd w:id="28"/>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Based on the analysis the new product should aim at high-end craft beer market as only in this market can the strengths of the Hansen beer house be maximized. In this market segment many are imported craft beer from US, UK and Germany. To establish the share of the new product in this market segment it is necessary for the company to build a new sub-brand for the company to compete with those from large beer producers such as Carlsberg and Corona. This market segment has two sub-segments: fresh beer from bucket and bottled beer. As the large beer producers can only provide bottled beer in the Chinese market, the company should consider focusing on the fresh bucket beer market segment. </w:t>
      </w:r>
    </w:p>
    <w:p>
      <w:pPr>
        <w:pStyle w:val="12"/>
        <w:numPr>
          <w:ilvl w:val="0"/>
          <w:numId w:val="3"/>
        </w:numPr>
        <w:ind w:firstLineChars="0"/>
        <w:outlineLvl w:val="2"/>
        <w:rPr>
          <w:rFonts w:ascii="Product Sans" w:hAnsi="Product Sans"/>
          <w:color w:val="222A35" w:themeColor="text2" w:themeShade="80"/>
          <w:sz w:val="26"/>
          <w:szCs w:val="26"/>
        </w:rPr>
      </w:pPr>
      <w:bookmarkStart w:id="29" w:name="_Toc7903285"/>
      <w:r>
        <w:rPr>
          <w:rFonts w:ascii="Product Sans" w:hAnsi="Product Sans"/>
          <w:color w:val="222A35" w:themeColor="text2" w:themeShade="80"/>
          <w:sz w:val="26"/>
          <w:szCs w:val="26"/>
        </w:rPr>
        <w:t>Targeting</w:t>
      </w:r>
      <w:bookmarkEnd w:id="29"/>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targeting customer group, as to maintain the competitive advantage of the company, should be on those who are not too sensitive to the pricing of the beer. The Hansen beer house can target at this customer group as its reputation of providing authentic German style craft beer in Beijing. The company should target the market that appreciates innovation (even it means unpopular taste) of the company in brewing and can share the interest on craft beer with the staffs from Hansen beer house. </w:t>
      </w:r>
    </w:p>
    <w:p>
      <w:pPr>
        <w:pStyle w:val="12"/>
        <w:numPr>
          <w:ilvl w:val="0"/>
          <w:numId w:val="3"/>
        </w:numPr>
        <w:ind w:firstLineChars="0"/>
        <w:outlineLvl w:val="2"/>
        <w:rPr>
          <w:rFonts w:ascii="Product Sans" w:hAnsi="Product Sans"/>
          <w:color w:val="222A35" w:themeColor="text2" w:themeShade="80"/>
          <w:sz w:val="26"/>
          <w:szCs w:val="26"/>
        </w:rPr>
      </w:pPr>
      <w:bookmarkStart w:id="30" w:name="_Toc7903286"/>
      <w:r>
        <w:rPr>
          <w:rFonts w:ascii="Product Sans" w:hAnsi="Product Sans"/>
          <w:color w:val="222A35" w:themeColor="text2" w:themeShade="80"/>
          <w:sz w:val="26"/>
          <w:szCs w:val="26"/>
        </w:rPr>
        <w:t>Positioning</w:t>
      </w:r>
      <w:bookmarkEnd w:id="30"/>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By summarizing the above analysis, the positioning map of the new product can be drawn as below in figure xxxxx. The company should control the price too be acceptable by ordinary people as a pretty good beer instead of drinking a luxurious beer (such as drinking a vintage year red wine). The company should focus on the diversity of the flavours of the new products instead of being manipulated by the interest of the general public. </w:t>
      </w:r>
    </w:p>
    <w:p>
      <w:pPr>
        <w:spacing w:before="156" w:beforeLines="50" w:after="156" w:afterLines="50" w:line="48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3497580" cy="232791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13834" cy="2339030"/>
                    </a:xfrm>
                    <a:prstGeom prst="rect">
                      <a:avLst/>
                    </a:prstGeom>
                  </pic:spPr>
                </pic:pic>
              </a:graphicData>
            </a:graphic>
          </wp:inline>
        </w:drawing>
      </w:r>
    </w:p>
    <w:p>
      <w:pPr>
        <w:rPr>
          <w:rFonts w:ascii="Times New Roman" w:hAnsi="Times New Roman" w:cs="Times New Roman"/>
          <w:sz w:val="24"/>
          <w:szCs w:val="24"/>
        </w:rPr>
      </w:pPr>
      <w:r>
        <w:rPr>
          <w:rFonts w:ascii="Times New Roman" w:hAnsi="Times New Roman" w:cs="Times New Roman"/>
          <w:sz w:val="24"/>
          <w:szCs w:val="24"/>
        </w:rPr>
        <w:br w:type="page"/>
      </w:r>
    </w:p>
    <w:p>
      <w:pPr>
        <w:pStyle w:val="12"/>
        <w:numPr>
          <w:ilvl w:val="1"/>
          <w:numId w:val="2"/>
        </w:numPr>
        <w:ind w:firstLineChars="0"/>
        <w:outlineLvl w:val="1"/>
        <w:rPr>
          <w:rFonts w:ascii="Product Sans" w:hAnsi="Product Sans"/>
          <w:color w:val="222A35" w:themeColor="text2" w:themeShade="80"/>
          <w:sz w:val="28"/>
          <w:szCs w:val="28"/>
        </w:rPr>
      </w:pPr>
      <w:bookmarkStart w:id="31" w:name="_Toc7903287"/>
      <w:r>
        <w:rPr>
          <w:rFonts w:hint="eastAsia" w:ascii="Product Sans" w:hAnsi="Product Sans"/>
          <w:color w:val="222A35" w:themeColor="text2" w:themeShade="80"/>
          <w:sz w:val="28"/>
          <w:szCs w:val="28"/>
        </w:rPr>
        <w:t>M</w:t>
      </w:r>
      <w:r>
        <w:rPr>
          <w:rFonts w:ascii="Product Sans" w:hAnsi="Product Sans"/>
          <w:color w:val="222A35" w:themeColor="text2" w:themeShade="80"/>
          <w:sz w:val="28"/>
          <w:szCs w:val="28"/>
        </w:rPr>
        <w:t>arketing mix</w:t>
      </w:r>
      <w:bookmarkEnd w:id="31"/>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marketing strategy is proposed based on the 4Cs model. The 4Cs represent the consumer, cost, convenience and communication. This model has been more widely used in the cases that require marketing strategies in the e-commerce scenarios as this mode focuses on the customers and experiences of the customers. </w:t>
      </w:r>
    </w:p>
    <w:p>
      <w:pPr>
        <w:pStyle w:val="12"/>
        <w:numPr>
          <w:ilvl w:val="0"/>
          <w:numId w:val="3"/>
        </w:numPr>
        <w:ind w:firstLineChars="0"/>
        <w:outlineLvl w:val="2"/>
        <w:rPr>
          <w:rFonts w:ascii="Product Sans" w:hAnsi="Product Sans"/>
          <w:color w:val="222A35" w:themeColor="text2" w:themeShade="80"/>
          <w:sz w:val="26"/>
          <w:szCs w:val="26"/>
        </w:rPr>
      </w:pPr>
      <w:bookmarkStart w:id="32" w:name="_Toc7903288"/>
      <w:r>
        <w:rPr>
          <w:rFonts w:ascii="Product Sans" w:hAnsi="Product Sans"/>
          <w:color w:val="222A35" w:themeColor="text2" w:themeShade="80"/>
          <w:sz w:val="26"/>
          <w:szCs w:val="26"/>
        </w:rPr>
        <w:t>Customer</w:t>
      </w:r>
      <w:bookmarkEnd w:id="32"/>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customer in this regard refers to the customer valued created during their purchasing beers or other products/services from Hansen beer house. The customer value creation is through the guarantee of the beer quality and the diversity of tastes and flavours of the beers. As the customer based of the Hansen beer house is primarily the elite craft beer drinkers in the market, the customer value creation is crucially important. The company should leave its best and highest-end craft beers to the most loyal customers. For example, for every batch of the craft beer, the best portion is always saved for premium customers with reservation. These portions are not be sold in store and not even shown on the menus.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For other customers, the company should create experience value and convenience value for the customers, meaning that the customers can purchase the exclusive experience of drinking craft beer in the beer house. The beer house should maintain the high quality for both bottled and fresh bucket beers. The beer house can sell its bottled beer to other beer houses and in online platforms for the regular and entrant level customers to have a taste of the products of Hansen beer house. </w:t>
      </w:r>
    </w:p>
    <w:p>
      <w:pPr>
        <w:pStyle w:val="12"/>
        <w:numPr>
          <w:ilvl w:val="0"/>
          <w:numId w:val="3"/>
        </w:numPr>
        <w:ind w:firstLineChars="0"/>
        <w:outlineLvl w:val="2"/>
        <w:rPr>
          <w:rFonts w:ascii="Product Sans" w:hAnsi="Product Sans"/>
          <w:color w:val="222A35" w:themeColor="text2" w:themeShade="80"/>
          <w:sz w:val="26"/>
          <w:szCs w:val="26"/>
        </w:rPr>
      </w:pPr>
      <w:bookmarkStart w:id="33" w:name="_Toc7903289"/>
      <w:r>
        <w:rPr>
          <w:rFonts w:ascii="Product Sans" w:hAnsi="Product Sans"/>
          <w:color w:val="222A35" w:themeColor="text2" w:themeShade="80"/>
          <w:sz w:val="26"/>
          <w:szCs w:val="26"/>
        </w:rPr>
        <w:t>Cost</w:t>
      </w:r>
      <w:bookmarkEnd w:id="33"/>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cost can hardly be reduced considering the demand on quality and diversity of the products. However, it can still be minimized by through forward market analysis, as proposed in the new product development strategy, by customer feedback review. </w:t>
      </w:r>
    </w:p>
    <w:p>
      <w:pPr>
        <w:pStyle w:val="12"/>
        <w:numPr>
          <w:ilvl w:val="0"/>
          <w:numId w:val="3"/>
        </w:numPr>
        <w:ind w:firstLineChars="0"/>
        <w:outlineLvl w:val="2"/>
        <w:rPr>
          <w:rFonts w:ascii="Product Sans" w:hAnsi="Product Sans"/>
          <w:color w:val="222A35" w:themeColor="text2" w:themeShade="80"/>
          <w:sz w:val="26"/>
          <w:szCs w:val="26"/>
        </w:rPr>
      </w:pPr>
      <w:bookmarkStart w:id="34" w:name="_Toc7903290"/>
      <w:r>
        <w:rPr>
          <w:rFonts w:ascii="Product Sans" w:hAnsi="Product Sans"/>
          <w:color w:val="222A35" w:themeColor="text2" w:themeShade="80"/>
          <w:sz w:val="26"/>
          <w:szCs w:val="26"/>
        </w:rPr>
        <w:t>Convenience</w:t>
      </w:r>
      <w:bookmarkEnd w:id="34"/>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convenience of the new product should be maintained from two aspects. For the elite customers, they should be kept informed on the batch of the new products to be produced. These premium customers should be managed via a membership system that can keep them believe that they are enjoying the best quality craft beer with exclusive taste and flavour.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For the regular customers, the company should sell the bottled new products via major online e-commerce platforms such as JingDong.Com, Taobao.Com. </w:t>
      </w:r>
    </w:p>
    <w:p>
      <w:pPr>
        <w:pStyle w:val="12"/>
        <w:numPr>
          <w:ilvl w:val="0"/>
          <w:numId w:val="3"/>
        </w:numPr>
        <w:ind w:firstLineChars="0"/>
        <w:outlineLvl w:val="2"/>
        <w:rPr>
          <w:rFonts w:ascii="Product Sans" w:hAnsi="Product Sans"/>
          <w:color w:val="222A35" w:themeColor="text2" w:themeShade="80"/>
          <w:sz w:val="26"/>
          <w:szCs w:val="26"/>
        </w:rPr>
      </w:pPr>
      <w:bookmarkStart w:id="35" w:name="_Toc7903291"/>
      <w:r>
        <w:rPr>
          <w:rFonts w:ascii="Product Sans" w:hAnsi="Product Sans"/>
          <w:color w:val="222A35" w:themeColor="text2" w:themeShade="80"/>
          <w:sz w:val="26"/>
          <w:szCs w:val="26"/>
        </w:rPr>
        <w:t>Communication</w:t>
      </w:r>
      <w:bookmarkEnd w:id="35"/>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communication with customers is crucially important for Hansen beer house. To compete with market entrants and large beer producers, the company should maintain a sustainable relationship with its customers. The company can develop membership systems as well setting up regular beer tasting seminars for any customer and special batch beer tasting activities for premium customers. As the company is targeting the customers who think they know craft beer, it is thus important to exhibit the expertise of Hansen beer house via any possible channel. </w:t>
      </w:r>
    </w:p>
    <w:p>
      <w:pPr>
        <w:pStyle w:val="12"/>
        <w:numPr>
          <w:ilvl w:val="0"/>
          <w:numId w:val="3"/>
        </w:numPr>
        <w:ind w:firstLineChars="0"/>
        <w:outlineLvl w:val="2"/>
        <w:rPr>
          <w:rFonts w:ascii="Product Sans" w:hAnsi="Product Sans"/>
          <w:color w:val="222A35" w:themeColor="text2" w:themeShade="80"/>
          <w:sz w:val="26"/>
          <w:szCs w:val="26"/>
        </w:rPr>
      </w:pPr>
      <w:bookmarkStart w:id="36" w:name="_Toc7903292"/>
      <w:r>
        <w:rPr>
          <w:rFonts w:ascii="Product Sans" w:hAnsi="Product Sans"/>
          <w:color w:val="222A35" w:themeColor="text2" w:themeShade="80"/>
          <w:sz w:val="26"/>
          <w:szCs w:val="26"/>
        </w:rPr>
        <w:t>Online marketing</w:t>
      </w:r>
      <w:bookmarkEnd w:id="36"/>
      <w:r>
        <w:rPr>
          <w:rFonts w:ascii="Product Sans" w:hAnsi="Product Sans"/>
          <w:color w:val="222A35" w:themeColor="text2" w:themeShade="80"/>
          <w:sz w:val="26"/>
          <w:szCs w:val="26"/>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marketing mix proposed via 4Cs model should be complemented with the emerging social media marketing in recent years. The KOLs (Key Opinion Leaders) in Chinese online social media platforms are showing extreme high level of conversion rate (i.e. they can convert their follower on the social media into target customers with extreme high ratio). The company should stay in touch with the KOLs online who have reputations on knowing beer or who have large high-income followers. Through choosing the right partner in social media, the company can augment its reputation on craft beer and promote its expertise in craft beer to more customers. In this way the potential premium customer based can be enlarged. </w:t>
      </w:r>
    </w:p>
    <w:p>
      <w:pPr>
        <w:rPr>
          <w:rFonts w:ascii="Times New Roman" w:hAnsi="Times New Roman" w:cs="Times New Roman"/>
          <w:sz w:val="24"/>
          <w:szCs w:val="24"/>
        </w:rPr>
      </w:pPr>
      <w:r>
        <w:rPr>
          <w:rFonts w:ascii="Times New Roman" w:hAnsi="Times New Roman" w:cs="Times New Roman"/>
          <w:sz w:val="24"/>
          <w:szCs w:val="24"/>
        </w:rPr>
        <w:br w:type="page"/>
      </w:r>
    </w:p>
    <w:p>
      <w:pPr>
        <w:pStyle w:val="12"/>
        <w:numPr>
          <w:ilvl w:val="0"/>
          <w:numId w:val="1"/>
        </w:numPr>
        <w:ind w:left="357" w:hanging="357" w:firstLineChars="0"/>
        <w:outlineLvl w:val="0"/>
        <w:rPr>
          <w:rFonts w:ascii="Product Sans" w:hAnsi="Product Sans"/>
          <w:sz w:val="30"/>
          <w:szCs w:val="30"/>
        </w:rPr>
      </w:pPr>
      <w:bookmarkStart w:id="37" w:name="_Toc7903293"/>
      <w:r>
        <w:rPr>
          <w:rFonts w:ascii="Product Sans" w:hAnsi="Product Sans"/>
          <w:sz w:val="30"/>
          <w:szCs w:val="30"/>
        </w:rPr>
        <w:t>Conclusion</w:t>
      </w:r>
      <w:bookmarkEnd w:id="37"/>
      <w:r>
        <w:rPr>
          <w:rFonts w:ascii="Product Sans" w:hAnsi="Product Sans"/>
          <w:sz w:val="30"/>
          <w:szCs w:val="30"/>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From the analyses in the report, it is concluded that the company should invest in developing new flavours of craft beer. The company has competitive advantage in new flavour research and development, supply chain management and well-established reputation in the market. The company should seize the opportunity of chiese consumption upgrade and Chinese economy growth in the years to come to provide more diverse beer products to the customers.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This report concludes that the new product, based on the internal analysis and through the adoption of STP model, should be focused on the middle-high end of the craft beer market. The company should cater the needs from regular and entrant level customers by providing easily accessible bottled craft beers and cater the needs from the premium customers by providing exclusive drinking experiences such as first portion of every batch. The company should also use various tools such as beer tasting activities and cooperation with online KOLs to augment is reputation in providing quality craft beer with innovative and diverse taste and flavour. The company, prior to the launch of the new product, should consider doing a customer feedback review by seeking help to third party consultancy firms. </w:t>
      </w:r>
    </w:p>
    <w:p>
      <w:pPr>
        <w:rPr>
          <w:rFonts w:ascii="Times New Roman" w:hAnsi="Times New Roman" w:cs="Times New Roman"/>
          <w:sz w:val="24"/>
          <w:szCs w:val="24"/>
        </w:rPr>
      </w:pPr>
      <w:r>
        <w:rPr>
          <w:rFonts w:ascii="Times New Roman" w:hAnsi="Times New Roman" w:cs="Times New Roman"/>
          <w:sz w:val="24"/>
          <w:szCs w:val="24"/>
        </w:rPr>
        <w:br w:type="page"/>
      </w:r>
    </w:p>
    <w:p>
      <w:pPr>
        <w:outlineLvl w:val="0"/>
        <w:rPr>
          <w:rFonts w:ascii="Product Sans" w:hAnsi="Product Sans"/>
          <w:sz w:val="30"/>
          <w:szCs w:val="30"/>
        </w:rPr>
      </w:pPr>
      <w:bookmarkStart w:id="38" w:name="_Toc7903294"/>
      <w:r>
        <w:rPr>
          <w:rFonts w:hint="eastAsia" w:ascii="Product Sans" w:hAnsi="Product Sans"/>
          <w:sz w:val="30"/>
          <w:szCs w:val="30"/>
        </w:rPr>
        <w:t>R</w:t>
      </w:r>
      <w:r>
        <w:rPr>
          <w:rFonts w:ascii="Product Sans" w:hAnsi="Product Sans"/>
          <w:sz w:val="30"/>
          <w:szCs w:val="30"/>
        </w:rPr>
        <w:t>eference List</w:t>
      </w:r>
      <w:bookmarkEnd w:id="38"/>
      <w:r>
        <w:rPr>
          <w:rFonts w:ascii="Product Sans" w:hAnsi="Product Sans"/>
          <w:sz w:val="30"/>
          <w:szCs w:val="30"/>
        </w:rPr>
        <w:t xml:space="preserve"> </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Pr>
          <w:rFonts w:ascii="Times New Roman" w:hAnsi="Times New Roman" w:cs="Times New Roman"/>
          <w:kern w:val="0"/>
          <w:sz w:val="24"/>
          <w:szCs w:val="24"/>
        </w:rPr>
        <w:t xml:space="preserve">Angela, B. (2018) </w:t>
      </w:r>
      <w:r>
        <w:rPr>
          <w:rFonts w:ascii="Times New Roman" w:hAnsi="Times New Roman" w:cs="Times New Roman"/>
          <w:i/>
          <w:iCs/>
          <w:kern w:val="0"/>
          <w:sz w:val="24"/>
          <w:szCs w:val="24"/>
        </w:rPr>
        <w:t>Opportunities in China’s craft beer industry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REACHFURTHER</w:t>
      </w:r>
      <w:r>
        <w:rPr>
          <w:rFonts w:ascii="Times New Roman" w:hAnsi="Times New Roman" w:cs="Times New Roman"/>
          <w:kern w:val="0"/>
          <w:sz w:val="24"/>
          <w:szCs w:val="24"/>
        </w:rPr>
        <w:t>. Available at: https://www.eastwestbank.com/ReachFurther/News/Article/Opportunities-are-Brewing-in-China-Craft-Beer-Industry (Accessed: 5 March 2019).</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Atsmon, Y. and Magni, M. (2012) ‘Meet the Chinese consumer of 2020’, </w:t>
      </w:r>
      <w:r>
        <w:rPr>
          <w:rFonts w:ascii="Times New Roman" w:hAnsi="Times New Roman" w:cs="Times New Roman"/>
          <w:i/>
          <w:iCs/>
          <w:kern w:val="0"/>
          <w:sz w:val="24"/>
          <w:szCs w:val="24"/>
        </w:rPr>
        <w:t>McKinsey Quaterly</w:t>
      </w:r>
      <w:r>
        <w:rPr>
          <w:rFonts w:ascii="Times New Roman" w:hAnsi="Times New Roman" w:cs="Times New Roman"/>
          <w:kern w:val="0"/>
          <w:sz w:val="24"/>
          <w:szCs w:val="24"/>
        </w:rPr>
        <w:t>, pp. 1–8. doi: 10.5465/AMR.1986.4282657.</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Cabras, I. and Higgins, D. (2018) </w:t>
      </w:r>
      <w:r>
        <w:rPr>
          <w:rFonts w:ascii="Times New Roman" w:hAnsi="Times New Roman" w:cs="Times New Roman"/>
          <w:i/>
          <w:iCs/>
          <w:kern w:val="0"/>
          <w:sz w:val="24"/>
          <w:szCs w:val="24"/>
        </w:rPr>
        <w:t>The History of the Beer and Brewing Industry</w:t>
      </w:r>
      <w:r>
        <w:rPr>
          <w:rFonts w:ascii="Times New Roman" w:hAnsi="Times New Roman" w:cs="Times New Roman"/>
          <w:kern w:val="0"/>
          <w:sz w:val="24"/>
          <w:szCs w:val="24"/>
        </w:rPr>
        <w:t>. Taylor &amp; Francis.</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Chen, K. (2018) ‘The Research on the Insurance Industry’s Tax Burden in China under the Background of Change from Business Tax to VAT’, </w:t>
      </w:r>
      <w:r>
        <w:rPr>
          <w:rFonts w:ascii="Times New Roman" w:hAnsi="Times New Roman" w:cs="Times New Roman"/>
          <w:i/>
          <w:iCs/>
          <w:kern w:val="0"/>
          <w:sz w:val="24"/>
          <w:szCs w:val="24"/>
        </w:rPr>
        <w:t>Modern Economy</w:t>
      </w:r>
      <w:r>
        <w:rPr>
          <w:rFonts w:ascii="Times New Roman" w:hAnsi="Times New Roman" w:cs="Times New Roman"/>
          <w:kern w:val="0"/>
          <w:sz w:val="24"/>
          <w:szCs w:val="24"/>
        </w:rPr>
        <w:t>. Scientific Research Publishing, 9(04), p. 734.</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Cherry, B. </w:t>
      </w:r>
      <w:r>
        <w:rPr>
          <w:rFonts w:ascii="Times New Roman" w:hAnsi="Times New Roman" w:cs="Times New Roman"/>
          <w:i/>
          <w:iCs/>
          <w:kern w:val="0"/>
          <w:sz w:val="24"/>
          <w:szCs w:val="24"/>
        </w:rPr>
        <w:t>et al.</w:t>
      </w:r>
      <w:r>
        <w:rPr>
          <w:rFonts w:ascii="Times New Roman" w:hAnsi="Times New Roman" w:cs="Times New Roman"/>
          <w:kern w:val="0"/>
          <w:sz w:val="24"/>
          <w:szCs w:val="24"/>
        </w:rPr>
        <w:t xml:space="preserve"> (2012) ‘China’s Beer Industry : Breaking the Growth Bottleneck’, </w:t>
      </w:r>
      <w:r>
        <w:rPr>
          <w:rFonts w:ascii="Times New Roman" w:hAnsi="Times New Roman" w:cs="Times New Roman"/>
          <w:i/>
          <w:iCs/>
          <w:kern w:val="0"/>
          <w:sz w:val="24"/>
          <w:szCs w:val="24"/>
        </w:rPr>
        <w:t>Accenture</w:t>
      </w:r>
      <w:r>
        <w:rPr>
          <w:rFonts w:ascii="Times New Roman" w:hAnsi="Times New Roman" w:cs="Times New Roman"/>
          <w:kern w:val="0"/>
          <w:sz w:val="24"/>
          <w:szCs w:val="24"/>
        </w:rPr>
        <w:t>, (August).</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JP Morgan (2018) </w:t>
      </w:r>
      <w:r>
        <w:rPr>
          <w:rFonts w:ascii="Times New Roman" w:hAnsi="Times New Roman" w:cs="Times New Roman"/>
          <w:i/>
          <w:iCs/>
          <w:kern w:val="0"/>
          <w:sz w:val="24"/>
          <w:szCs w:val="24"/>
        </w:rPr>
        <w:t>What’s on tap for the global beer market? | J.P. Morgan</w:t>
      </w:r>
      <w:r>
        <w:rPr>
          <w:rFonts w:ascii="Times New Roman" w:hAnsi="Times New Roman" w:cs="Times New Roman"/>
          <w:kern w:val="0"/>
          <w:sz w:val="24"/>
          <w:szCs w:val="24"/>
        </w:rPr>
        <w:t>. Available at: https://www.jpmorgan.com/global/research/beer-market (Accessed: 4 May 2019).</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lang w:val="da-DK"/>
        </w:rPr>
        <w:t xml:space="preserve">Lau, C. K. M. </w:t>
      </w:r>
      <w:r>
        <w:rPr>
          <w:rFonts w:ascii="Times New Roman" w:hAnsi="Times New Roman" w:cs="Times New Roman"/>
          <w:i/>
          <w:iCs/>
          <w:kern w:val="0"/>
          <w:sz w:val="24"/>
          <w:szCs w:val="24"/>
          <w:lang w:val="da-DK"/>
        </w:rPr>
        <w:t>et al.</w:t>
      </w:r>
      <w:r>
        <w:rPr>
          <w:rFonts w:ascii="Times New Roman" w:hAnsi="Times New Roman" w:cs="Times New Roman"/>
          <w:kern w:val="0"/>
          <w:sz w:val="24"/>
          <w:szCs w:val="24"/>
          <w:lang w:val="da-DK"/>
        </w:rPr>
        <w:t xml:space="preserve"> </w:t>
      </w:r>
      <w:r>
        <w:rPr>
          <w:rFonts w:ascii="Times New Roman" w:hAnsi="Times New Roman" w:cs="Times New Roman"/>
          <w:kern w:val="0"/>
          <w:sz w:val="24"/>
          <w:szCs w:val="24"/>
        </w:rPr>
        <w:t xml:space="preserve">(2016) ‘The Lack of Market Integration in the Chinese Beer and Wine Markets: Evidence from Stationarity Test’, in </w:t>
      </w:r>
      <w:r>
        <w:rPr>
          <w:rFonts w:ascii="Times New Roman" w:hAnsi="Times New Roman" w:cs="Times New Roman"/>
          <w:i/>
          <w:iCs/>
          <w:kern w:val="0"/>
          <w:sz w:val="24"/>
          <w:szCs w:val="24"/>
        </w:rPr>
        <w:t>Brewing, Beer and Pubs</w:t>
      </w:r>
      <w:r>
        <w:rPr>
          <w:rFonts w:ascii="Times New Roman" w:hAnsi="Times New Roman" w:cs="Times New Roman"/>
          <w:kern w:val="0"/>
          <w:sz w:val="24"/>
          <w:szCs w:val="24"/>
        </w:rPr>
        <w:t>. Springer, pp. 123–144.</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Michaux, S., Cadiat, A.-C. and Probert, C. (2015) </w:t>
      </w:r>
      <w:r>
        <w:rPr>
          <w:rFonts w:ascii="Times New Roman" w:hAnsi="Times New Roman" w:cs="Times New Roman"/>
          <w:i/>
          <w:iCs/>
          <w:kern w:val="0"/>
          <w:sz w:val="24"/>
          <w:szCs w:val="24"/>
        </w:rPr>
        <w:t>Porter’s Five Forces : Understand competitive forces and stay ahead of the competition</w:t>
      </w:r>
      <w:r>
        <w:rPr>
          <w:rFonts w:ascii="Times New Roman" w:hAnsi="Times New Roman" w:cs="Times New Roman"/>
          <w:kern w:val="0"/>
          <w:sz w:val="24"/>
          <w:szCs w:val="24"/>
        </w:rPr>
        <w:t>. 50Minutes.com (Management &amp; Marketing).</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Miller, F. P., Vandome, A. F. and McBrewster, J. (2011) </w:t>
      </w:r>
      <w:r>
        <w:rPr>
          <w:rFonts w:ascii="Times New Roman" w:hAnsi="Times New Roman" w:cs="Times New Roman"/>
          <w:i/>
          <w:iCs/>
          <w:kern w:val="0"/>
          <w:sz w:val="24"/>
          <w:szCs w:val="24"/>
        </w:rPr>
        <w:t>Pest Analysis</w:t>
      </w:r>
      <w:r>
        <w:rPr>
          <w:rFonts w:ascii="Times New Roman" w:hAnsi="Times New Roman" w:cs="Times New Roman"/>
          <w:kern w:val="0"/>
          <w:sz w:val="24"/>
          <w:szCs w:val="24"/>
        </w:rPr>
        <w:t>. VDM Publishing.</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Statista (2018) </w:t>
      </w:r>
      <w:r>
        <w:rPr>
          <w:rFonts w:ascii="Times New Roman" w:hAnsi="Times New Roman" w:cs="Times New Roman"/>
          <w:i/>
          <w:iCs/>
          <w:kern w:val="0"/>
          <w:sz w:val="24"/>
          <w:szCs w:val="24"/>
        </w:rPr>
        <w:t>Craft beer product launch share worldwide 2017 |</w:t>
      </w:r>
      <w:r>
        <w:rPr>
          <w:rFonts w:ascii="Times New Roman" w:hAnsi="Times New Roman" w:cs="Times New Roman"/>
          <w:kern w:val="0"/>
          <w:sz w:val="24"/>
          <w:szCs w:val="24"/>
        </w:rPr>
        <w:t>. Available at: https://www-statista-com.liverpool.idm.oclc.org/statistics/974502/craft-beer-product-launch-share-worldwide/ (Accessed: 5 March 2019).</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Statista (2019a) </w:t>
      </w:r>
      <w:r>
        <w:rPr>
          <w:rFonts w:ascii="Times New Roman" w:hAnsi="Times New Roman" w:cs="Times New Roman"/>
          <w:i/>
          <w:iCs/>
          <w:kern w:val="0"/>
          <w:sz w:val="24"/>
          <w:szCs w:val="24"/>
        </w:rPr>
        <w:t>• China: beer retail sales value by type 2018-2022 | Statistic</w:t>
      </w:r>
      <w:r>
        <w:rPr>
          <w:rFonts w:ascii="Times New Roman" w:hAnsi="Times New Roman" w:cs="Times New Roman"/>
          <w:kern w:val="0"/>
          <w:sz w:val="24"/>
          <w:szCs w:val="24"/>
        </w:rPr>
        <w:t>. Available at: https://www.statista.com/statistics/996890/china-beer-retail-sales-value-by-type/ (Accessed: 4 May 2019).</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Statista (2019b) </w:t>
      </w:r>
      <w:r>
        <w:rPr>
          <w:rFonts w:ascii="Times New Roman" w:hAnsi="Times New Roman" w:cs="Times New Roman"/>
          <w:i/>
          <w:iCs/>
          <w:kern w:val="0"/>
          <w:sz w:val="24"/>
          <w:szCs w:val="24"/>
        </w:rPr>
        <w:t>• China: online beer sales share 2017 | Statistic</w:t>
      </w:r>
      <w:r>
        <w:rPr>
          <w:rFonts w:ascii="Times New Roman" w:hAnsi="Times New Roman" w:cs="Times New Roman"/>
          <w:kern w:val="0"/>
          <w:sz w:val="24"/>
          <w:szCs w:val="24"/>
        </w:rPr>
        <w:t>. Available at: https://www.statista.com/statistics/996942/china-online-beer-sales-share/ (Accessed: 4 May 2019).</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Statista (2019c) </w:t>
      </w:r>
      <w:r>
        <w:rPr>
          <w:rFonts w:ascii="Times New Roman" w:hAnsi="Times New Roman" w:cs="Times New Roman"/>
          <w:i/>
          <w:iCs/>
          <w:kern w:val="0"/>
          <w:sz w:val="24"/>
          <w:szCs w:val="24"/>
        </w:rPr>
        <w:t>Beer - China | Statista Market Forecast</w:t>
      </w:r>
      <w:r>
        <w:rPr>
          <w:rFonts w:ascii="Times New Roman" w:hAnsi="Times New Roman" w:cs="Times New Roman"/>
          <w:kern w:val="0"/>
          <w:sz w:val="24"/>
          <w:szCs w:val="24"/>
        </w:rPr>
        <w:t>. Available at: https://www.statista.com/outlook/10010000/117/beer/china (Accessed: 4 May 2019).</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Wang, O., Gellynck, X. and Verbeke, W. (2017) ‘Chinese consumers and European beer: Associations between attribute importance, socio-demographics, and consumption’, </w:t>
      </w:r>
      <w:r>
        <w:rPr>
          <w:rFonts w:ascii="Times New Roman" w:hAnsi="Times New Roman" w:cs="Times New Roman"/>
          <w:i/>
          <w:iCs/>
          <w:kern w:val="0"/>
          <w:sz w:val="24"/>
          <w:szCs w:val="24"/>
        </w:rPr>
        <w:t>Appetite</w:t>
      </w:r>
      <w:r>
        <w:rPr>
          <w:rFonts w:ascii="Times New Roman" w:hAnsi="Times New Roman" w:cs="Times New Roman"/>
          <w:kern w:val="0"/>
          <w:sz w:val="24"/>
          <w:szCs w:val="24"/>
        </w:rPr>
        <w:t>. Elsevier, 108, pp. 416–424.</w:t>
      </w:r>
    </w:p>
    <w:p>
      <w:pPr>
        <w:autoSpaceDE w:val="0"/>
        <w:autoSpaceDN w:val="0"/>
        <w:adjustRightInd w:val="0"/>
        <w:spacing w:before="156" w:beforeLines="50" w:after="156" w:afterLines="50"/>
        <w:jc w:val="left"/>
        <w:rPr>
          <w:rFonts w:ascii="Times New Roman" w:hAnsi="Times New Roman" w:cs="Times New Roman"/>
          <w:kern w:val="0"/>
          <w:sz w:val="24"/>
          <w:szCs w:val="24"/>
        </w:rPr>
      </w:pPr>
      <w:r>
        <w:rPr>
          <w:rFonts w:ascii="Times New Roman" w:hAnsi="Times New Roman" w:cs="Times New Roman"/>
          <w:kern w:val="0"/>
          <w:sz w:val="24"/>
          <w:szCs w:val="24"/>
        </w:rPr>
        <w:t xml:space="preserve">Wang, P., Pang, S. and Li, G. (2019) ‘An analysis of the causes of the Sino-US trade war’, in </w:t>
      </w:r>
      <w:r>
        <w:rPr>
          <w:rFonts w:ascii="Times New Roman" w:hAnsi="Times New Roman" w:cs="Times New Roman"/>
          <w:i/>
          <w:iCs/>
          <w:kern w:val="0"/>
          <w:sz w:val="24"/>
          <w:szCs w:val="24"/>
        </w:rPr>
        <w:t>2019 4th International Conference on Financial Innovation and Economic Development (ICFIED 2019)</w:t>
      </w:r>
      <w:r>
        <w:rPr>
          <w:rFonts w:ascii="Times New Roman" w:hAnsi="Times New Roman" w:cs="Times New Roman"/>
          <w:kern w:val="0"/>
          <w:sz w:val="24"/>
          <w:szCs w:val="24"/>
        </w:rPr>
        <w:t>. Atlantis Press.</w:t>
      </w:r>
    </w:p>
    <w:p>
      <w:pPr>
        <w:autoSpaceDE w:val="0"/>
        <w:autoSpaceDN w:val="0"/>
        <w:adjustRightInd w:val="0"/>
        <w:spacing w:before="156" w:beforeLines="50" w:after="156" w:afterLines="50"/>
        <w:jc w:val="left"/>
        <w:rPr>
          <w:rFonts w:ascii="Times New Roman" w:hAnsi="Times New Roman" w:cs="Times New Roman"/>
          <w:sz w:val="24"/>
        </w:rPr>
      </w:pPr>
      <w:r>
        <w:rPr>
          <w:rFonts w:ascii="Times New Roman" w:hAnsi="Times New Roman" w:cs="Times New Roman"/>
          <w:kern w:val="0"/>
          <w:sz w:val="24"/>
          <w:szCs w:val="24"/>
        </w:rPr>
        <w:t xml:space="preserve">World Bank (2019) </w:t>
      </w:r>
      <w:r>
        <w:rPr>
          <w:rFonts w:ascii="Times New Roman" w:hAnsi="Times New Roman" w:cs="Times New Roman"/>
          <w:i/>
          <w:iCs/>
          <w:kern w:val="0"/>
          <w:sz w:val="24"/>
          <w:szCs w:val="24"/>
        </w:rPr>
        <w:t>GDP growth (annual %) | Data</w:t>
      </w:r>
      <w:r>
        <w:rPr>
          <w:rFonts w:ascii="Times New Roman" w:hAnsi="Times New Roman" w:cs="Times New Roman"/>
          <w:kern w:val="0"/>
          <w:sz w:val="24"/>
          <w:szCs w:val="24"/>
        </w:rPr>
        <w:t>. Available at: https://data.worldbank.org/indicator/ny.gdp.mktp.kd.zg (Accessed: 2 April 2019).</w:t>
      </w:r>
    </w:p>
    <w:p>
      <w:pPr>
        <w:spacing w:before="156" w:beforeLines="50" w:after="156" w:afterLines="50"/>
        <w:rPr>
          <w:rFonts w:ascii="Times New Roman" w:hAnsi="Times New Roman" w:cs="Times New Roman"/>
          <w:sz w:val="24"/>
          <w:szCs w:val="24"/>
        </w:rPr>
      </w:pPr>
      <w:r>
        <w:rPr>
          <w:rFonts w:ascii="Times New Roman" w:hAnsi="Times New Roman" w:cs="Times New Roman"/>
          <w:sz w:val="24"/>
          <w:szCs w:val="24"/>
        </w:rPr>
        <w:fldChar w:fldCharType="end"/>
      </w: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Product Sans">
    <w:altName w:val="Calibri"/>
    <w:panose1 w:val="00000000000000000000"/>
    <w:charset w:val="00"/>
    <w:family w:val="swiss"/>
    <w:pitch w:val="default"/>
    <w:sig w:usb0="00000000" w:usb1="00000000" w:usb2="00000000" w:usb3="00000000" w:csb0="0000019F" w:csb1="00000000"/>
  </w:font>
  <w:font w:name="Baker">
    <w:altName w:val="Calibri"/>
    <w:panose1 w:val="00000000000000000000"/>
    <w:charset w:val="00"/>
    <w:family w:val="auto"/>
    <w:pitch w:val="default"/>
    <w:sig w:usb0="00000000" w:usb1="00000000" w:usb2="00000000" w:usb3="00000000" w:csb0="00000111" w:csb1="00000000"/>
  </w:font>
  <w:font w:name="Bahnschrift SemiBold Condensed">
    <w:panose1 w:val="020B0502040204020203"/>
    <w:charset w:val="00"/>
    <w:family w:val="swiss"/>
    <w:pitch w:val="default"/>
    <w:sig w:usb0="800002C7" w:usb1="00000002"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66501996"/>
      <w:docPartObj>
        <w:docPartGallery w:val="AutoText"/>
      </w:docPartObj>
    </w:sdtPr>
    <w:sdtContent>
      <w:p>
        <w:pPr>
          <w:pStyle w:val="4"/>
          <w:jc w:val="center"/>
        </w:pPr>
      </w:p>
      <w:p>
        <w:pPr>
          <w:pStyle w:val="4"/>
          <w:jc w:val="center"/>
        </w:pPr>
      </w:p>
    </w:sdtContent>
  </w:sdt>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51957788"/>
      <w:docPartObj>
        <w:docPartGallery w:val="AutoText"/>
      </w:docPartObj>
    </w:sdtPr>
    <w:sdtContent>
      <w:p>
        <w:pPr>
          <w:pStyle w:val="4"/>
          <w:jc w:val="center"/>
        </w:pPr>
      </w:p>
      <w:p>
        <w:pPr>
          <w:pStyle w:val="4"/>
          <w:jc w:val="center"/>
        </w:pPr>
        <w:r>
          <w:rPr>
            <w:rFonts w:ascii="Product Sans" w:hAnsi="Product Sans"/>
            <w:b/>
          </w:rPr>
          <w:fldChar w:fldCharType="begin"/>
        </w:r>
        <w:r>
          <w:rPr>
            <w:rFonts w:ascii="Product Sans" w:hAnsi="Product Sans"/>
            <w:b/>
          </w:rPr>
          <w:instrText xml:space="preserve">PAGE   \* MERGEFORMAT</w:instrText>
        </w:r>
        <w:r>
          <w:rPr>
            <w:rFonts w:ascii="Product Sans" w:hAnsi="Product Sans"/>
            <w:b/>
          </w:rPr>
          <w:fldChar w:fldCharType="separate"/>
        </w:r>
        <w:r>
          <w:rPr>
            <w:rFonts w:ascii="Product Sans" w:hAnsi="Product Sans"/>
            <w:b/>
            <w:lang w:val="zh-CN"/>
          </w:rPr>
          <w:t>2</w:t>
        </w:r>
        <w:r>
          <w:rPr>
            <w:rFonts w:ascii="Product Sans" w:hAnsi="Product Sans"/>
            <w:b/>
          </w:rP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20285B"/>
    <w:multiLevelType w:val="multilevel"/>
    <w:tmpl w:val="2420285B"/>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46823F7D"/>
    <w:multiLevelType w:val="multilevel"/>
    <w:tmpl w:val="46823F7D"/>
    <w:lvl w:ilvl="0" w:tentative="0">
      <w:start w:val="1"/>
      <w:numFmt w:val="decimal"/>
      <w:lvlText w:val="%1."/>
      <w:lvlJc w:val="left"/>
      <w:pPr>
        <w:ind w:left="425" w:hanging="425"/>
      </w:pPr>
    </w:lvl>
    <w:lvl w:ilvl="1" w:tentative="0">
      <w:start w:val="1"/>
      <w:numFmt w:val="decimal"/>
      <w:lvlText w:val="%1.%2."/>
      <w:lvlJc w:val="left"/>
      <w:pPr>
        <w:ind w:left="567" w:hanging="567"/>
      </w:pPr>
    </w:lvl>
    <w:lvl w:ilvl="2" w:tentative="0">
      <w:start w:val="1"/>
      <w:numFmt w:val="decimal"/>
      <w:lvlText w:val="%1.%2.%3."/>
      <w:lvlJc w:val="left"/>
      <w:pPr>
        <w:ind w:left="709" w:hanging="709"/>
      </w:p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abstractNum w:abstractNumId="2">
    <w:nsid w:val="661A4C9B"/>
    <w:multiLevelType w:val="multilevel"/>
    <w:tmpl w:val="661A4C9B"/>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S3NLUwMTAzNjQwNDZT0lEKTi0uzszPAykwrAUA62c+eSwAAAA="/>
  </w:docVars>
  <w:rsids>
    <w:rsidRoot w:val="00573248"/>
    <w:rsid w:val="000232EE"/>
    <w:rsid w:val="00023F54"/>
    <w:rsid w:val="0002422A"/>
    <w:rsid w:val="00032D3F"/>
    <w:rsid w:val="000404A5"/>
    <w:rsid w:val="00045C77"/>
    <w:rsid w:val="000872EF"/>
    <w:rsid w:val="000B4AFE"/>
    <w:rsid w:val="000B742B"/>
    <w:rsid w:val="000E758A"/>
    <w:rsid w:val="001001CB"/>
    <w:rsid w:val="00122800"/>
    <w:rsid w:val="00176B44"/>
    <w:rsid w:val="0019536F"/>
    <w:rsid w:val="001B3516"/>
    <w:rsid w:val="001B5AEC"/>
    <w:rsid w:val="001C69C6"/>
    <w:rsid w:val="00202655"/>
    <w:rsid w:val="00211C56"/>
    <w:rsid w:val="00223798"/>
    <w:rsid w:val="00240CDB"/>
    <w:rsid w:val="002821C8"/>
    <w:rsid w:val="00295799"/>
    <w:rsid w:val="002A1F22"/>
    <w:rsid w:val="002A377B"/>
    <w:rsid w:val="002C0650"/>
    <w:rsid w:val="002C15CE"/>
    <w:rsid w:val="002C4E8C"/>
    <w:rsid w:val="002D084E"/>
    <w:rsid w:val="002D2AD7"/>
    <w:rsid w:val="002E6337"/>
    <w:rsid w:val="002F0A3E"/>
    <w:rsid w:val="002F4BEE"/>
    <w:rsid w:val="00310CB3"/>
    <w:rsid w:val="00314FC5"/>
    <w:rsid w:val="003154BA"/>
    <w:rsid w:val="00326888"/>
    <w:rsid w:val="00337718"/>
    <w:rsid w:val="00337F35"/>
    <w:rsid w:val="00344204"/>
    <w:rsid w:val="00352901"/>
    <w:rsid w:val="00357BA0"/>
    <w:rsid w:val="0038025A"/>
    <w:rsid w:val="003A185E"/>
    <w:rsid w:val="003B6740"/>
    <w:rsid w:val="003C2189"/>
    <w:rsid w:val="003C62C5"/>
    <w:rsid w:val="003D2C2A"/>
    <w:rsid w:val="003E3472"/>
    <w:rsid w:val="00403E89"/>
    <w:rsid w:val="00405CDD"/>
    <w:rsid w:val="00407B67"/>
    <w:rsid w:val="004310E8"/>
    <w:rsid w:val="004450C7"/>
    <w:rsid w:val="00490C5B"/>
    <w:rsid w:val="004E05DD"/>
    <w:rsid w:val="004E11F4"/>
    <w:rsid w:val="004E724A"/>
    <w:rsid w:val="004E75E8"/>
    <w:rsid w:val="004F2334"/>
    <w:rsid w:val="0050270D"/>
    <w:rsid w:val="00503F8C"/>
    <w:rsid w:val="00510AA8"/>
    <w:rsid w:val="005127EF"/>
    <w:rsid w:val="0054268B"/>
    <w:rsid w:val="00552154"/>
    <w:rsid w:val="005623E9"/>
    <w:rsid w:val="00573248"/>
    <w:rsid w:val="005803D6"/>
    <w:rsid w:val="00597BDB"/>
    <w:rsid w:val="005B39EC"/>
    <w:rsid w:val="005C1642"/>
    <w:rsid w:val="005D1339"/>
    <w:rsid w:val="005F16E1"/>
    <w:rsid w:val="0060124A"/>
    <w:rsid w:val="00631759"/>
    <w:rsid w:val="0067025D"/>
    <w:rsid w:val="00681B0F"/>
    <w:rsid w:val="006970EF"/>
    <w:rsid w:val="006A388E"/>
    <w:rsid w:val="006D6232"/>
    <w:rsid w:val="006D6644"/>
    <w:rsid w:val="006E116E"/>
    <w:rsid w:val="006F133E"/>
    <w:rsid w:val="006F5987"/>
    <w:rsid w:val="00705A47"/>
    <w:rsid w:val="00714AB2"/>
    <w:rsid w:val="00722408"/>
    <w:rsid w:val="0072276A"/>
    <w:rsid w:val="00727D4E"/>
    <w:rsid w:val="00783EC6"/>
    <w:rsid w:val="00791C7B"/>
    <w:rsid w:val="007A7F96"/>
    <w:rsid w:val="007B3DE8"/>
    <w:rsid w:val="007C420D"/>
    <w:rsid w:val="007E346F"/>
    <w:rsid w:val="007F0008"/>
    <w:rsid w:val="00806751"/>
    <w:rsid w:val="008163AD"/>
    <w:rsid w:val="008B0B79"/>
    <w:rsid w:val="008E3D23"/>
    <w:rsid w:val="009117CC"/>
    <w:rsid w:val="00954497"/>
    <w:rsid w:val="00972AC5"/>
    <w:rsid w:val="009A60C2"/>
    <w:rsid w:val="009A6502"/>
    <w:rsid w:val="009A6E7E"/>
    <w:rsid w:val="009B1A74"/>
    <w:rsid w:val="009C0429"/>
    <w:rsid w:val="009D534A"/>
    <w:rsid w:val="009F2A25"/>
    <w:rsid w:val="00A01D05"/>
    <w:rsid w:val="00A11C1A"/>
    <w:rsid w:val="00A211F9"/>
    <w:rsid w:val="00A30DB0"/>
    <w:rsid w:val="00A52064"/>
    <w:rsid w:val="00A72DC2"/>
    <w:rsid w:val="00A82B14"/>
    <w:rsid w:val="00A87281"/>
    <w:rsid w:val="00AA394D"/>
    <w:rsid w:val="00AA5F3D"/>
    <w:rsid w:val="00AB5089"/>
    <w:rsid w:val="00AC1056"/>
    <w:rsid w:val="00AC2F7F"/>
    <w:rsid w:val="00AD09EA"/>
    <w:rsid w:val="00AD4C8C"/>
    <w:rsid w:val="00AE1BCD"/>
    <w:rsid w:val="00AF472E"/>
    <w:rsid w:val="00AF4950"/>
    <w:rsid w:val="00B01EFE"/>
    <w:rsid w:val="00B058A4"/>
    <w:rsid w:val="00B160D7"/>
    <w:rsid w:val="00B17ED3"/>
    <w:rsid w:val="00B25EEE"/>
    <w:rsid w:val="00B26338"/>
    <w:rsid w:val="00B27C23"/>
    <w:rsid w:val="00B75363"/>
    <w:rsid w:val="00B81CCC"/>
    <w:rsid w:val="00B85BEE"/>
    <w:rsid w:val="00B94721"/>
    <w:rsid w:val="00BB0412"/>
    <w:rsid w:val="00BD058C"/>
    <w:rsid w:val="00BD40D0"/>
    <w:rsid w:val="00BE3F03"/>
    <w:rsid w:val="00BE6D50"/>
    <w:rsid w:val="00C04422"/>
    <w:rsid w:val="00C05543"/>
    <w:rsid w:val="00C2270D"/>
    <w:rsid w:val="00C27ACD"/>
    <w:rsid w:val="00C323F8"/>
    <w:rsid w:val="00C47B1F"/>
    <w:rsid w:val="00C63A88"/>
    <w:rsid w:val="00C7315E"/>
    <w:rsid w:val="00C76713"/>
    <w:rsid w:val="00CA48DA"/>
    <w:rsid w:val="00CA5CC5"/>
    <w:rsid w:val="00CB3689"/>
    <w:rsid w:val="00CE3105"/>
    <w:rsid w:val="00CE650B"/>
    <w:rsid w:val="00D33AAA"/>
    <w:rsid w:val="00D4148D"/>
    <w:rsid w:val="00D47E7D"/>
    <w:rsid w:val="00D62F4C"/>
    <w:rsid w:val="00D66424"/>
    <w:rsid w:val="00D75F39"/>
    <w:rsid w:val="00D9743B"/>
    <w:rsid w:val="00DA01FC"/>
    <w:rsid w:val="00DB19FA"/>
    <w:rsid w:val="00DB259E"/>
    <w:rsid w:val="00DB3196"/>
    <w:rsid w:val="00DC5965"/>
    <w:rsid w:val="00DD388B"/>
    <w:rsid w:val="00DF4B6E"/>
    <w:rsid w:val="00E24B7A"/>
    <w:rsid w:val="00E47299"/>
    <w:rsid w:val="00E536C7"/>
    <w:rsid w:val="00E54D73"/>
    <w:rsid w:val="00E75CD2"/>
    <w:rsid w:val="00E866F5"/>
    <w:rsid w:val="00EB2EB5"/>
    <w:rsid w:val="00ED7644"/>
    <w:rsid w:val="00EE0205"/>
    <w:rsid w:val="00EF1032"/>
    <w:rsid w:val="00F0730F"/>
    <w:rsid w:val="00F10D36"/>
    <w:rsid w:val="00F10E65"/>
    <w:rsid w:val="00F2305C"/>
    <w:rsid w:val="00F2435A"/>
    <w:rsid w:val="00F46DBE"/>
    <w:rsid w:val="00F51D52"/>
    <w:rsid w:val="00F67AD9"/>
    <w:rsid w:val="00F71FD9"/>
    <w:rsid w:val="00F8750D"/>
    <w:rsid w:val="00F9337B"/>
    <w:rsid w:val="00F94461"/>
    <w:rsid w:val="00FB1805"/>
    <w:rsid w:val="00FB4DB3"/>
    <w:rsid w:val="00FC00D8"/>
    <w:rsid w:val="00FE0E4A"/>
    <w:rsid w:val="752E1767"/>
    <w:rsid w:val="75CF70C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5"/>
    <w:qFormat/>
    <w:uiPriority w:val="9"/>
    <w:pPr>
      <w:keepNext/>
      <w:keepLines/>
      <w:spacing w:before="340" w:after="330" w:line="578" w:lineRule="auto"/>
      <w:outlineLvl w:val="0"/>
    </w:pPr>
    <w:rPr>
      <w:b/>
      <w:bCs/>
      <w:kern w:val="44"/>
      <w:sz w:val="44"/>
      <w:szCs w:val="44"/>
    </w:rPr>
  </w:style>
  <w:style w:type="character" w:default="1" w:styleId="10">
    <w:name w:val="Default Paragraph Font"/>
    <w:semiHidden/>
    <w:unhideWhenUsed/>
    <w:uiPriority w:val="1"/>
  </w:style>
  <w:style w:type="table" w:default="1" w:styleId="8">
    <w:name w:val="Normal Table"/>
    <w:semiHidden/>
    <w:unhideWhenUsed/>
    <w:uiPriority w:val="99"/>
    <w:tblPr>
      <w:tblLayout w:type="fixed"/>
      <w:tblCellMar>
        <w:top w:w="0" w:type="dxa"/>
        <w:left w:w="108" w:type="dxa"/>
        <w:bottom w:w="0" w:type="dxa"/>
        <w:right w:w="108" w:type="dxa"/>
      </w:tblCellMar>
    </w:tblPr>
  </w:style>
  <w:style w:type="paragraph" w:styleId="3">
    <w:name w:val="toc 3"/>
    <w:basedOn w:val="1"/>
    <w:next w:val="1"/>
    <w:unhideWhenUsed/>
    <w:uiPriority w:val="39"/>
    <w:pPr>
      <w:ind w:left="840" w:leftChars="400"/>
    </w:pPr>
  </w:style>
  <w:style w:type="paragraph" w:styleId="4">
    <w:name w:val="footer"/>
    <w:basedOn w:val="1"/>
    <w:link w:val="14"/>
    <w:unhideWhenUsed/>
    <w:uiPriority w:val="99"/>
    <w:pPr>
      <w:tabs>
        <w:tab w:val="center" w:pos="4153"/>
        <w:tab w:val="right" w:pos="8306"/>
      </w:tabs>
      <w:snapToGrid w:val="0"/>
      <w:jc w:val="left"/>
    </w:pPr>
    <w:rPr>
      <w:sz w:val="18"/>
      <w:szCs w:val="18"/>
    </w:rPr>
  </w:style>
  <w:style w:type="paragraph" w:styleId="5">
    <w:name w:val="header"/>
    <w:basedOn w:val="1"/>
    <w:link w:val="13"/>
    <w:unhideWhenUsed/>
    <w:qFormat/>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unhideWhenUsed/>
    <w:uiPriority w:val="39"/>
    <w:pPr>
      <w:tabs>
        <w:tab w:val="left" w:pos="420"/>
        <w:tab w:val="right" w:leader="dot" w:pos="8296"/>
      </w:tabs>
    </w:pPr>
    <w:rPr>
      <w:rFonts w:ascii="Product Sans" w:hAnsi="Product Sans"/>
      <w:sz w:val="28"/>
    </w:rPr>
  </w:style>
  <w:style w:type="paragraph" w:styleId="7">
    <w:name w:val="toc 2"/>
    <w:basedOn w:val="1"/>
    <w:next w:val="1"/>
    <w:unhideWhenUsed/>
    <w:uiPriority w:val="39"/>
    <w:pPr>
      <w:ind w:left="420" w:leftChars="200"/>
    </w:pPr>
  </w:style>
  <w:style w:type="table" w:styleId="9">
    <w:name w:val="Table Grid"/>
    <w:basedOn w:val="8"/>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styleId="11">
    <w:name w:val="Hyperlink"/>
    <w:basedOn w:val="10"/>
    <w:unhideWhenUsed/>
    <w:uiPriority w:val="99"/>
    <w:rPr>
      <w:color w:val="0563C1" w:themeColor="hyperlink"/>
      <w:u w:val="single"/>
      <w14:textFill>
        <w14:solidFill>
          <w14:schemeClr w14:val="hlink"/>
        </w14:solidFill>
      </w14:textFill>
    </w:rPr>
  </w:style>
  <w:style w:type="paragraph" w:styleId="12">
    <w:name w:val="List Paragraph"/>
    <w:basedOn w:val="1"/>
    <w:qFormat/>
    <w:uiPriority w:val="34"/>
    <w:pPr>
      <w:ind w:firstLine="420" w:firstLineChars="200"/>
    </w:pPr>
  </w:style>
  <w:style w:type="character" w:customStyle="1" w:styleId="13">
    <w:name w:val="页眉 字符"/>
    <w:basedOn w:val="10"/>
    <w:link w:val="5"/>
    <w:uiPriority w:val="99"/>
    <w:rPr>
      <w:sz w:val="18"/>
      <w:szCs w:val="18"/>
      <w:lang w:val="en-GB"/>
    </w:rPr>
  </w:style>
  <w:style w:type="character" w:customStyle="1" w:styleId="14">
    <w:name w:val="页脚 字符"/>
    <w:basedOn w:val="10"/>
    <w:link w:val="4"/>
    <w:uiPriority w:val="99"/>
    <w:rPr>
      <w:sz w:val="18"/>
      <w:szCs w:val="18"/>
      <w:lang w:val="en-GB"/>
    </w:rPr>
  </w:style>
  <w:style w:type="character" w:customStyle="1" w:styleId="15">
    <w:name w:val="标题 1 字符"/>
    <w:basedOn w:val="10"/>
    <w:link w:val="2"/>
    <w:uiPriority w:val="9"/>
    <w:rPr>
      <w:b/>
      <w:bCs/>
      <w:kern w:val="44"/>
      <w:sz w:val="44"/>
      <w:szCs w:val="44"/>
      <w:lang w:val="en-GB"/>
    </w:rPr>
  </w:style>
  <w:style w:type="paragraph" w:customStyle="1" w:styleId="16">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s>
</file>

<file path=word/_rels/document.xml.rels><?xml version="1.0" encoding="UTF-8" standalone="yes"?>
<Relationships xmlns="http://schemas.openxmlformats.org/package/2006/relationships"><Relationship Id="rId9" Type="http://schemas.microsoft.com/office/2007/relationships/hdphoto" Target="media/image3.wdp"/><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image" Target="media/image1.tiff"/><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F09359A-B2CF-4C84-B4C4-FAAED9248B6A}">
  <ds:schemaRefs/>
</ds:datastoreItem>
</file>

<file path=docProps/app.xml><?xml version="1.0" encoding="utf-8"?>
<Properties xmlns="http://schemas.openxmlformats.org/officeDocument/2006/extended-properties" xmlns:vt="http://schemas.openxmlformats.org/officeDocument/2006/docPropsVTypes">
  <Template>Normal</Template>
  <Pages>26</Pages>
  <Words>7506</Words>
  <Characters>42785</Characters>
  <Lines>356</Lines>
  <Paragraphs>100</Paragraphs>
  <TotalTime>1</TotalTime>
  <ScaleCrop>false</ScaleCrop>
  <LinksUpToDate>false</LinksUpToDate>
  <CharactersWithSpaces>50191</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2019-05-08T13:32:00Z</dcterms:created>
  <dc:creator>he lan</dc:creator>
  <cp:lastModifiedBy>Krisien</cp:lastModifiedBy>
  <dcterms:modified xsi:type="dcterms:W3CDTF">2019-05-08T17:48:27Z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http://csl.mendeley.com/styles/19284421/harvard-coventry-university</vt:lpwstr>
  </property>
  <property fmtid="{D5CDD505-2E9C-101B-9397-08002B2CF9AE}" pid="13" name="Mendeley Recent Style Name 5_1">
    <vt:lpwstr>Harvard - Coventry University (for Mendeley)</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vt:lpwstr>
  </property>
  <property fmtid="{D5CDD505-2E9C-101B-9397-08002B2CF9AE}" pid="25" name="KSOProductBuildVer">
    <vt:lpwstr>2052-11.1.0.8597</vt:lpwstr>
  </property>
</Properties>
</file>