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ackground w:color="FFFFFF"/>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Banking and Financial Economics</w:t>
      </w:r>
    </w:p>
    <w:p w:rsidR="00000000" w:rsidDel="00000000" w:rsidP="00000000" w:rsidRDefault="00000000" w:rsidRPr="00000000" w14:paraId="00000002">
      <w:pPr>
        <w:spacing w:line="36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Analysis of John Lewis IPO and Financial Performance</w:t>
      </w:r>
    </w:p>
    <w:p w:rsidR="00000000" w:rsidDel="00000000" w:rsidP="00000000" w:rsidRDefault="00000000" w:rsidRPr="00000000" w14:paraId="00000003">
      <w:pPr>
        <w:spacing w:line="36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710113" cy="3140075"/>
            <wp:effectExtent b="0" l="0" r="0" t="0"/>
            <wp:docPr id="15" name="image28.png"/>
            <a:graphic>
              <a:graphicData uri="http://schemas.openxmlformats.org/drawingml/2006/picture">
                <pic:pic>
                  <pic:nvPicPr>
                    <pic:cNvPr id="0" name="image28.png"/>
                    <pic:cNvPicPr preferRelativeResize="0"/>
                  </pic:nvPicPr>
                  <pic:blipFill>
                    <a:blip r:embed="rId6"/>
                    <a:srcRect b="0" l="0" r="0" t="0"/>
                    <a:stretch>
                      <a:fillRect/>
                    </a:stretch>
                  </pic:blipFill>
                  <pic:spPr>
                    <a:xfrm>
                      <a:off x="0" y="0"/>
                      <a:ext cx="4710113" cy="3140075"/>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Word Count: 4,904</w:t>
      </w:r>
    </w:p>
    <w:p w:rsidR="00000000" w:rsidDel="00000000" w:rsidP="00000000" w:rsidRDefault="00000000" w:rsidRPr="00000000" w14:paraId="00000009">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Student ID:</w:t>
      </w:r>
    </w:p>
    <w:p w:rsidR="00000000" w:rsidDel="00000000" w:rsidP="00000000" w:rsidRDefault="00000000" w:rsidRPr="00000000" w14:paraId="0000000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rtl w:val="0"/>
        </w:rPr>
        <w:t xml:space="preserve">Module Code: LCMB7032</w:t>
      </w:r>
      <w:r w:rsidDel="00000000" w:rsidR="00000000" w:rsidRPr="00000000">
        <w:br w:type="page"/>
      </w:r>
      <w:r w:rsidDel="00000000" w:rsidR="00000000" w:rsidRPr="00000000">
        <w:rPr>
          <w:rtl w:val="0"/>
        </w:rPr>
      </w:r>
    </w:p>
    <w:p w:rsidR="00000000" w:rsidDel="00000000" w:rsidP="00000000" w:rsidRDefault="00000000" w:rsidRPr="00000000" w14:paraId="0000000B">
      <w:pPr>
        <w:keepNext w:val="0"/>
        <w:keepLines w:val="0"/>
        <w:spacing w:after="40" w:before="24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C">
          <w:pPr>
            <w:widowControl w:val="0"/>
            <w:tabs>
              <w:tab w:val="right" w:leader="dot" w:pos="12000"/>
            </w:tabs>
            <w:spacing w:before="60" w:line="360" w:lineRule="auto"/>
            <w:rPr>
              <w:rFonts w:ascii="Times New Roman" w:cs="Times New Roman" w:eastAsia="Times New Roman" w:hAnsi="Times New Roman"/>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ih0oq3p8mqyo">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1. Report Introduction</w:t>
              <w:tab/>
              <w:t xml:space="preserve">3</w:t>
            </w:r>
          </w:hyperlink>
          <w:r w:rsidDel="00000000" w:rsidR="00000000" w:rsidRPr="00000000">
            <w:rPr>
              <w:rtl w:val="0"/>
            </w:rPr>
          </w:r>
        </w:p>
        <w:p w:rsidR="00000000" w:rsidDel="00000000" w:rsidP="00000000" w:rsidRDefault="00000000" w:rsidRPr="00000000" w14:paraId="0000000D">
          <w:pPr>
            <w:widowControl w:val="0"/>
            <w:tabs>
              <w:tab w:val="right" w:leader="dot" w:pos="12000"/>
            </w:tabs>
            <w:spacing w:before="60" w:line="360" w:lineRule="auto"/>
            <w:rPr>
              <w:rFonts w:ascii="Times New Roman" w:cs="Times New Roman" w:eastAsia="Times New Roman" w:hAnsi="Times New Roman"/>
              <w:b w:val="1"/>
              <w:color w:val="000000"/>
              <w:u w:val="none"/>
            </w:rPr>
          </w:pPr>
          <w:hyperlink w:anchor="_l2kdya5c04zq">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2. Company Overview and IPO Analysis</w:t>
              <w:tab/>
              <w:t xml:space="preserve">3</w:t>
            </w:r>
          </w:hyperlink>
          <w:r w:rsidDel="00000000" w:rsidR="00000000" w:rsidRPr="00000000">
            <w:rPr>
              <w:rtl w:val="0"/>
            </w:rPr>
          </w:r>
        </w:p>
        <w:p w:rsidR="00000000" w:rsidDel="00000000" w:rsidP="00000000" w:rsidRDefault="00000000" w:rsidRPr="00000000" w14:paraId="0000000E">
          <w:pPr>
            <w:widowControl w:val="0"/>
            <w:tabs>
              <w:tab w:val="right" w:leader="dot" w:pos="12000"/>
            </w:tabs>
            <w:spacing w:before="60" w:line="360" w:lineRule="auto"/>
            <w:ind w:left="360" w:firstLine="0"/>
            <w:rPr>
              <w:rFonts w:ascii="Times New Roman" w:cs="Times New Roman" w:eastAsia="Times New Roman" w:hAnsi="Times New Roman"/>
              <w:color w:val="000000"/>
              <w:u w:val="none"/>
            </w:rPr>
          </w:pPr>
          <w:hyperlink w:anchor="_kqxxt7rt383z">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2.1 Company Overview</w:t>
              <w:tab/>
              <w:t xml:space="preserve">3</w:t>
            </w:r>
          </w:hyperlink>
          <w:r w:rsidDel="00000000" w:rsidR="00000000" w:rsidRPr="00000000">
            <w:rPr>
              <w:rtl w:val="0"/>
            </w:rPr>
          </w:r>
        </w:p>
        <w:p w:rsidR="00000000" w:rsidDel="00000000" w:rsidP="00000000" w:rsidRDefault="00000000" w:rsidRPr="00000000" w14:paraId="0000000F">
          <w:pPr>
            <w:widowControl w:val="0"/>
            <w:tabs>
              <w:tab w:val="right" w:leader="dot" w:pos="12000"/>
            </w:tabs>
            <w:spacing w:before="60" w:line="360" w:lineRule="auto"/>
            <w:ind w:left="360" w:firstLine="0"/>
            <w:rPr>
              <w:rFonts w:ascii="Times New Roman" w:cs="Times New Roman" w:eastAsia="Times New Roman" w:hAnsi="Times New Roman"/>
              <w:color w:val="000000"/>
              <w:u w:val="none"/>
            </w:rPr>
          </w:pPr>
          <w:hyperlink w:anchor="_3hfdrr4wd7rp">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2.2 Reasons for Going Public</w:t>
              <w:tab/>
              <w:t xml:space="preserve">4</w:t>
            </w:r>
          </w:hyperlink>
          <w:r w:rsidDel="00000000" w:rsidR="00000000" w:rsidRPr="00000000">
            <w:rPr>
              <w:rtl w:val="0"/>
            </w:rPr>
          </w:r>
        </w:p>
        <w:p w:rsidR="00000000" w:rsidDel="00000000" w:rsidP="00000000" w:rsidRDefault="00000000" w:rsidRPr="00000000" w14:paraId="00000010">
          <w:pPr>
            <w:widowControl w:val="0"/>
            <w:tabs>
              <w:tab w:val="right" w:leader="dot" w:pos="12000"/>
            </w:tabs>
            <w:spacing w:before="60" w:line="360" w:lineRule="auto"/>
            <w:ind w:left="360" w:firstLine="0"/>
            <w:rPr>
              <w:rFonts w:ascii="Times New Roman" w:cs="Times New Roman" w:eastAsia="Times New Roman" w:hAnsi="Times New Roman"/>
              <w:color w:val="000000"/>
              <w:u w:val="none"/>
            </w:rPr>
          </w:pPr>
          <w:hyperlink w:anchor="_gefayzfs7y4x">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2.3 S-1 Filing Review</w:t>
              <w:tab/>
              <w:t xml:space="preserve">5</w:t>
            </w:r>
          </w:hyperlink>
          <w:r w:rsidDel="00000000" w:rsidR="00000000" w:rsidRPr="00000000">
            <w:rPr>
              <w:rtl w:val="0"/>
            </w:rPr>
          </w:r>
        </w:p>
        <w:p w:rsidR="00000000" w:rsidDel="00000000" w:rsidP="00000000" w:rsidRDefault="00000000" w:rsidRPr="00000000" w14:paraId="00000011">
          <w:pPr>
            <w:widowControl w:val="0"/>
            <w:tabs>
              <w:tab w:val="right" w:leader="dot" w:pos="12000"/>
            </w:tabs>
            <w:spacing w:before="60" w:line="360" w:lineRule="auto"/>
            <w:rPr>
              <w:rFonts w:ascii="Times New Roman" w:cs="Times New Roman" w:eastAsia="Times New Roman" w:hAnsi="Times New Roman"/>
              <w:b w:val="1"/>
              <w:color w:val="000000"/>
              <w:u w:val="none"/>
            </w:rPr>
          </w:pPr>
          <w:hyperlink w:anchor="_6fqhiqv8cvxg">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3. Share Price Performance Analysis</w:t>
              <w:tab/>
              <w:t xml:space="preserve">7</w:t>
            </w:r>
          </w:hyperlink>
          <w:r w:rsidDel="00000000" w:rsidR="00000000" w:rsidRPr="00000000">
            <w:rPr>
              <w:rtl w:val="0"/>
            </w:rPr>
          </w:r>
        </w:p>
        <w:p w:rsidR="00000000" w:rsidDel="00000000" w:rsidP="00000000" w:rsidRDefault="00000000" w:rsidRPr="00000000" w14:paraId="00000012">
          <w:pPr>
            <w:widowControl w:val="0"/>
            <w:tabs>
              <w:tab w:val="right" w:leader="dot" w:pos="12000"/>
            </w:tabs>
            <w:spacing w:before="60" w:line="360" w:lineRule="auto"/>
            <w:ind w:left="360" w:firstLine="0"/>
            <w:rPr>
              <w:rFonts w:ascii="Times New Roman" w:cs="Times New Roman" w:eastAsia="Times New Roman" w:hAnsi="Times New Roman"/>
              <w:color w:val="000000"/>
              <w:u w:val="none"/>
            </w:rPr>
          </w:pPr>
          <w:hyperlink w:anchor="_srio07q9uo7z">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3.1 Descriptive Statistics and Visual Aids</w:t>
              <w:tab/>
              <w:t xml:space="preserve">7</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before="60" w:line="360" w:lineRule="auto"/>
            <w:ind w:left="360" w:firstLine="0"/>
            <w:rPr>
              <w:rFonts w:ascii="Times New Roman" w:cs="Times New Roman" w:eastAsia="Times New Roman" w:hAnsi="Times New Roman"/>
              <w:color w:val="000000"/>
              <w:u w:val="none"/>
            </w:rPr>
          </w:pPr>
          <w:hyperlink w:anchor="_eocbu6acmcfg">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3.2 CAGR Calculation and Comparison</w:t>
              <w:tab/>
              <w:t xml:space="preserve">11</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before="60" w:line="360" w:lineRule="auto"/>
            <w:ind w:left="360" w:firstLine="0"/>
            <w:rPr>
              <w:rFonts w:ascii="Times New Roman" w:cs="Times New Roman" w:eastAsia="Times New Roman" w:hAnsi="Times New Roman"/>
              <w:color w:val="000000"/>
              <w:u w:val="none"/>
            </w:rPr>
          </w:pPr>
          <w:hyperlink w:anchor="_i5ht0ii06q5g">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3.3 Sharpe and Treynor Ratios Analysis</w:t>
              <w:tab/>
              <w:t xml:space="preserve">13</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before="60" w:line="360" w:lineRule="auto"/>
            <w:ind w:left="720" w:firstLine="0"/>
            <w:rPr>
              <w:rFonts w:ascii="Times New Roman" w:cs="Times New Roman" w:eastAsia="Times New Roman" w:hAnsi="Times New Roman"/>
              <w:color w:val="000000"/>
              <w:u w:val="none"/>
            </w:rPr>
          </w:pPr>
          <w:hyperlink w:anchor="_q1zau1jjbjot">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Sharpe Ratio</w:t>
              <w:tab/>
              <w:t xml:space="preserve">13</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before="60" w:line="360" w:lineRule="auto"/>
            <w:ind w:left="720" w:firstLine="0"/>
            <w:rPr>
              <w:rFonts w:ascii="Times New Roman" w:cs="Times New Roman" w:eastAsia="Times New Roman" w:hAnsi="Times New Roman"/>
              <w:color w:val="000000"/>
              <w:u w:val="none"/>
            </w:rPr>
          </w:pPr>
          <w:hyperlink w:anchor="_98h1hucu6320">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Treynor Ratio</w:t>
              <w:tab/>
              <w:t xml:space="preserve">14</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before="60" w:line="360" w:lineRule="auto"/>
            <w:ind w:left="720" w:firstLine="0"/>
            <w:rPr>
              <w:rFonts w:ascii="Times New Roman" w:cs="Times New Roman" w:eastAsia="Times New Roman" w:hAnsi="Times New Roman"/>
              <w:color w:val="000000"/>
              <w:u w:val="none"/>
            </w:rPr>
          </w:pPr>
          <w:hyperlink w:anchor="_rz7b3kvd526u">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Calculations for 2022</w:t>
              <w:tab/>
              <w:t xml:space="preserve">14</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360" w:lineRule="auto"/>
            <w:ind w:left="720" w:firstLine="0"/>
            <w:rPr>
              <w:rFonts w:ascii="Times New Roman" w:cs="Times New Roman" w:eastAsia="Times New Roman" w:hAnsi="Times New Roman"/>
              <w:color w:val="000000"/>
              <w:u w:val="none"/>
            </w:rPr>
          </w:pPr>
          <w:hyperlink w:anchor="_5fokk3545m44">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Calculations for 2023</w:t>
              <w:tab/>
              <w:t xml:space="preserve">15</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360" w:lineRule="auto"/>
            <w:ind w:left="720" w:firstLine="0"/>
            <w:rPr>
              <w:rFonts w:ascii="Times New Roman" w:cs="Times New Roman" w:eastAsia="Times New Roman" w:hAnsi="Times New Roman"/>
              <w:color w:val="000000"/>
              <w:u w:val="none"/>
            </w:rPr>
          </w:pPr>
          <w:hyperlink w:anchor="_aqt5kbfxrpn2">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Commentary on John Lewis’s Performance Based on These Ratios</w:t>
              <w:tab/>
              <w:t xml:space="preserve">15</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360" w:lineRule="auto"/>
            <w:rPr>
              <w:rFonts w:ascii="Times New Roman" w:cs="Times New Roman" w:eastAsia="Times New Roman" w:hAnsi="Times New Roman"/>
              <w:b w:val="1"/>
              <w:color w:val="000000"/>
              <w:u w:val="none"/>
            </w:rPr>
          </w:pPr>
          <w:hyperlink w:anchor="_ktet72ujrfxt">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4. Derivative Contracts Analysis</w:t>
              <w:tab/>
              <w:t xml:space="preserve">16</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360" w:lineRule="auto"/>
            <w:ind w:left="360" w:firstLine="0"/>
            <w:rPr>
              <w:rFonts w:ascii="Times New Roman" w:cs="Times New Roman" w:eastAsia="Times New Roman" w:hAnsi="Times New Roman"/>
              <w:color w:val="000000"/>
              <w:u w:val="none"/>
            </w:rPr>
          </w:pPr>
          <w:hyperlink w:anchor="_hbrk8uxch09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4.1 Call Option Payoff Analysis</w:t>
              <w:tab/>
              <w:t xml:space="preserve">16</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before="60" w:line="360" w:lineRule="auto"/>
            <w:ind w:left="360" w:firstLine="0"/>
            <w:rPr>
              <w:rFonts w:ascii="Times New Roman" w:cs="Times New Roman" w:eastAsia="Times New Roman" w:hAnsi="Times New Roman"/>
              <w:color w:val="000000"/>
              <w:u w:val="none"/>
            </w:rPr>
          </w:pPr>
          <w:hyperlink w:anchor="_95zy7ho0k965">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4.2 Put Option Payoff Analysis</w:t>
              <w:tab/>
              <w:t xml:space="preserve">18</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before="60" w:line="360" w:lineRule="auto"/>
            <w:ind w:left="360" w:firstLine="0"/>
            <w:rPr>
              <w:rFonts w:ascii="Times New Roman" w:cs="Times New Roman" w:eastAsia="Times New Roman" w:hAnsi="Times New Roman"/>
              <w:color w:val="000000"/>
              <w:u w:val="none"/>
            </w:rPr>
          </w:pPr>
          <w:hyperlink w:anchor="_j08vwn182jl3">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4.3 Strangle/Straddle Construction</w:t>
              <w:tab/>
              <w:t xml:space="preserve">19</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before="60" w:line="360" w:lineRule="auto"/>
            <w:rPr>
              <w:rFonts w:ascii="Times New Roman" w:cs="Times New Roman" w:eastAsia="Times New Roman" w:hAnsi="Times New Roman"/>
              <w:b w:val="1"/>
              <w:color w:val="000000"/>
              <w:u w:val="none"/>
            </w:rPr>
          </w:pPr>
          <w:hyperlink w:anchor="_sqh692fjea39">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5. Performance of 10Y Note and its Impact</w:t>
              <w:tab/>
              <w:t xml:space="preserve">20</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before="60" w:line="360" w:lineRule="auto"/>
            <w:ind w:left="360" w:firstLine="0"/>
            <w:rPr>
              <w:rFonts w:ascii="Times New Roman" w:cs="Times New Roman" w:eastAsia="Times New Roman" w:hAnsi="Times New Roman"/>
              <w:color w:val="000000"/>
              <w:u w:val="none"/>
            </w:rPr>
          </w:pPr>
          <w:hyperlink w:anchor="_icldq6qmst8">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5.1 Performance of the 10Y Note</w:t>
              <w:tab/>
              <w:t xml:space="preserve">20</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before="60" w:line="360" w:lineRule="auto"/>
            <w:ind w:left="720" w:firstLine="0"/>
            <w:rPr>
              <w:rFonts w:ascii="Times New Roman" w:cs="Times New Roman" w:eastAsia="Times New Roman" w:hAnsi="Times New Roman"/>
              <w:color w:val="000000"/>
              <w:u w:val="none"/>
            </w:rPr>
          </w:pPr>
          <w:hyperlink w:anchor="_71jm7hc0pmq9">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Analysis of the Performance from January 2023 to December 2023</w:t>
              <w:tab/>
              <w:t xml:space="preserve">20</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before="60" w:line="360" w:lineRule="auto"/>
            <w:ind w:left="360" w:firstLine="0"/>
            <w:rPr>
              <w:rFonts w:ascii="Times New Roman" w:cs="Times New Roman" w:eastAsia="Times New Roman" w:hAnsi="Times New Roman"/>
              <w:color w:val="000000"/>
              <w:u w:val="none"/>
            </w:rPr>
          </w:pPr>
          <w:hyperlink w:anchor="_iqew3zjx7obl">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5.2 Impact on Consumer Debt</w:t>
              <w:tab/>
              <w:t xml:space="preserve">21</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360" w:lineRule="auto"/>
            <w:rPr>
              <w:rFonts w:ascii="Times New Roman" w:cs="Times New Roman" w:eastAsia="Times New Roman" w:hAnsi="Times New Roman"/>
              <w:b w:val="1"/>
              <w:color w:val="000000"/>
              <w:u w:val="none"/>
            </w:rPr>
          </w:pPr>
          <w:hyperlink w:anchor="_t8ifn0g6zqao">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6. Conclusion</w:t>
              <w:tab/>
              <w:t xml:space="preserve">23</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360" w:lineRule="auto"/>
            <w:ind w:left="360" w:firstLine="0"/>
            <w:rPr>
              <w:rFonts w:ascii="Times New Roman" w:cs="Times New Roman" w:eastAsia="Times New Roman" w:hAnsi="Times New Roman"/>
              <w:color w:val="000000"/>
              <w:u w:val="none"/>
            </w:rPr>
          </w:pPr>
          <w:hyperlink w:anchor="_2c88bl2vkkkp">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6.2 Implications for John Lewis and the Broader Financial Market</w:t>
              <w:tab/>
              <w:t xml:space="preserve">24</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360" w:lineRule="auto"/>
            <w:ind w:left="360" w:firstLine="0"/>
            <w:rPr>
              <w:rFonts w:ascii="Times New Roman" w:cs="Times New Roman" w:eastAsia="Times New Roman" w:hAnsi="Times New Roman"/>
              <w:color w:val="000000"/>
              <w:u w:val="none"/>
            </w:rPr>
          </w:pPr>
          <w:hyperlink w:anchor="_795tzwb56dy1">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6.3 Recommendations for Future Research or Practical Applications</w:t>
              <w:tab/>
              <w:t xml:space="preserve">24</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before="60" w:line="360" w:lineRule="auto"/>
            <w:rPr>
              <w:rFonts w:ascii="Times New Roman" w:cs="Times New Roman" w:eastAsia="Times New Roman" w:hAnsi="Times New Roman"/>
              <w:b w:val="1"/>
              <w:color w:val="000000"/>
              <w:u w:val="none"/>
            </w:rPr>
          </w:pPr>
          <w:hyperlink w:anchor="_4x334t2t1c3x">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7. References</w:t>
              <w:tab/>
              <w:t xml:space="preserve">26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keepNext w:val="0"/>
        <w:keepLines w:val="0"/>
        <w:spacing w:after="40" w:before="24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7">
      <w:pPr>
        <w:pStyle w:val="Heading1"/>
        <w:keepNext w:val="0"/>
        <w:keepLines w:val="0"/>
        <w:spacing w:after="40" w:before="240" w:line="360" w:lineRule="auto"/>
        <w:ind w:left="0" w:firstLine="0"/>
        <w:rPr>
          <w:rFonts w:ascii="Times New Roman" w:cs="Times New Roman" w:eastAsia="Times New Roman" w:hAnsi="Times New Roman"/>
          <w:b w:val="1"/>
          <w:sz w:val="32"/>
          <w:szCs w:val="32"/>
        </w:rPr>
      </w:pPr>
      <w:bookmarkStart w:colFirst="0" w:colLast="0" w:name="_ih0oq3p8mqyo" w:id="0"/>
      <w:bookmarkEnd w:id="0"/>
      <w:r w:rsidDel="00000000" w:rsidR="00000000" w:rsidRPr="00000000">
        <w:rPr>
          <w:rFonts w:ascii="Times New Roman" w:cs="Times New Roman" w:eastAsia="Times New Roman" w:hAnsi="Times New Roman"/>
          <w:b w:val="1"/>
          <w:sz w:val="32"/>
          <w:szCs w:val="32"/>
          <w:rtl w:val="0"/>
        </w:rPr>
        <w:t xml:space="preserve">1. Report Introduction</w:t>
      </w:r>
    </w:p>
    <w:p w:rsidR="00000000" w:rsidDel="00000000" w:rsidP="00000000" w:rsidRDefault="00000000" w:rsidRPr="00000000" w14:paraId="0000002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 critically assesses John Lewis's IPO and performance. Using John Lewis's IPO filings, the report tries to uncover the company's share sales motives, inherent risks, and post-IPO share performance. Based on John Lewis' experience, will explain IPOs' influence on financial markets. They will cover John Lewis's operation strategy, why it took so long to go public, S-1 filing risks, share price performance, derivative contracts, and the 10-year note's impact on consumer credit.</w:t>
      </w:r>
    </w:p>
    <w:p w:rsidR="00000000" w:rsidDel="00000000" w:rsidP="00000000" w:rsidRDefault="00000000" w:rsidRPr="00000000" w14:paraId="00000029">
      <w:pPr>
        <w:pStyle w:val="Heading1"/>
        <w:keepNext w:val="0"/>
        <w:keepLines w:val="0"/>
        <w:spacing w:after="40" w:before="240" w:line="360" w:lineRule="auto"/>
        <w:ind w:left="0" w:firstLine="0"/>
        <w:rPr>
          <w:rFonts w:ascii="Times New Roman" w:cs="Times New Roman" w:eastAsia="Times New Roman" w:hAnsi="Times New Roman"/>
          <w:b w:val="1"/>
          <w:sz w:val="32"/>
          <w:szCs w:val="32"/>
        </w:rPr>
      </w:pPr>
      <w:bookmarkStart w:colFirst="0" w:colLast="0" w:name="_l2kdya5c04zq" w:id="1"/>
      <w:bookmarkEnd w:id="1"/>
      <w:r w:rsidDel="00000000" w:rsidR="00000000" w:rsidRPr="00000000">
        <w:rPr>
          <w:rFonts w:ascii="Times New Roman" w:cs="Times New Roman" w:eastAsia="Times New Roman" w:hAnsi="Times New Roman"/>
          <w:b w:val="1"/>
          <w:sz w:val="32"/>
          <w:szCs w:val="32"/>
          <w:rtl w:val="0"/>
        </w:rPr>
        <w:t xml:space="preserve">2. Company Overview and IPO Analysis</w:t>
      </w:r>
    </w:p>
    <w:p w:rsidR="00000000" w:rsidDel="00000000" w:rsidP="00000000" w:rsidRDefault="00000000" w:rsidRPr="00000000" w14:paraId="0000002A">
      <w:pPr>
        <w:pStyle w:val="Heading2"/>
        <w:spacing w:after="240" w:before="240" w:line="360" w:lineRule="auto"/>
        <w:rPr>
          <w:rFonts w:ascii="Times New Roman" w:cs="Times New Roman" w:eastAsia="Times New Roman" w:hAnsi="Times New Roman"/>
          <w:sz w:val="28"/>
          <w:szCs w:val="28"/>
        </w:rPr>
      </w:pPr>
      <w:bookmarkStart w:colFirst="0" w:colLast="0" w:name="_kqxxt7rt383z" w:id="2"/>
      <w:bookmarkEnd w:id="2"/>
      <w:r w:rsidDel="00000000" w:rsidR="00000000" w:rsidRPr="00000000">
        <w:rPr>
          <w:rFonts w:ascii="Times New Roman" w:cs="Times New Roman" w:eastAsia="Times New Roman" w:hAnsi="Times New Roman"/>
          <w:b w:val="1"/>
          <w:sz w:val="28"/>
          <w:szCs w:val="28"/>
          <w:rtl w:val="0"/>
        </w:rPr>
        <w:t xml:space="preserve">2.1 Company Overview</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2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Lewis Partnership, founded in 1864 by John Spedan Lewis, is known for its department stores and Waitrose food retailing division. It is part of the John Lewis Partnership, a business where employees and partners own the company and share profits and management decisions. John Lewis has used this technique to grow because it encourages employees to own and take responsibility for the company. John Lewis operates 34 department shops and 331 Waitrose supermarkets in Britain with over 80,000 partners.</w:t>
      </w:r>
    </w:p>
    <w:p w:rsidR="00000000" w:rsidDel="00000000" w:rsidP="00000000" w:rsidRDefault="00000000" w:rsidRPr="00000000" w14:paraId="0000002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Lewis's strategy is to provide trustworthy items and excellent customer service. Fashion, home furnishings, electronics, grocery, and gourmet foods are among the categories the company helps. Waitrose features high-quality food and groceries, while its department stores are huge and diverse. John Lewis also used e-commerce because its internet business generated a lot of revenue. In 2022, John Lewis had 42% online sales, indicating an increase in online sales (John Lewis Partnership, 2022).</w:t>
      </w:r>
    </w:p>
    <w:p w:rsidR="00000000" w:rsidDel="00000000" w:rsidP="00000000" w:rsidRDefault="00000000" w:rsidRPr="00000000" w14:paraId="0000002D">
      <w:pPr>
        <w:spacing w:after="240" w:before="240" w:line="360"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rtl w:val="0"/>
        </w:rPr>
        <w:t xml:space="preserve">John Lewis targets middle to upper-middle-class consumers who value quality, reliability, and exceptional service. Its competitive advantage is its commitment to high-quality products and services, outstanding service, and employee ownership everyone wants to serve the client well.</w:t>
      </w:r>
      <w:r w:rsidDel="00000000" w:rsidR="00000000" w:rsidRPr="00000000">
        <w:rPr>
          <w:rFonts w:ascii="Times New Roman" w:cs="Times New Roman" w:eastAsia="Times New Roman" w:hAnsi="Times New Roman"/>
          <w:sz w:val="24"/>
          <w:szCs w:val="24"/>
          <w:highlight w:val="yellow"/>
          <w:rtl w:val="0"/>
        </w:rPr>
        <w:t xml:space="preserve"> Additionally, the company's "Never Knowingly Undersold'' price promise, which guarantees competitive pricing, further differentiates it from competitors. Since 1925, John Lewis has promised under the "never knowingly undersold" slogan to refund customers the difference if they find the same item for a lower price elsewhere within 28 days of purchase. This price comparison and refund policy only applies to items sold by retailers that have a national chain of physical stores (Butler &amp; Sweney, 2022).</w:t>
      </w:r>
      <w:r w:rsidDel="00000000" w:rsidR="00000000" w:rsidRPr="00000000">
        <w:rPr>
          <w:rtl w:val="0"/>
        </w:rPr>
      </w:r>
    </w:p>
    <w:p w:rsidR="00000000" w:rsidDel="00000000" w:rsidP="00000000" w:rsidRDefault="00000000" w:rsidRPr="00000000" w14:paraId="0000002E">
      <w:pPr>
        <w:pStyle w:val="Heading2"/>
        <w:spacing w:after="240" w:before="240" w:line="360" w:lineRule="auto"/>
        <w:rPr>
          <w:rFonts w:ascii="Times New Roman" w:cs="Times New Roman" w:eastAsia="Times New Roman" w:hAnsi="Times New Roman"/>
          <w:sz w:val="28"/>
          <w:szCs w:val="28"/>
        </w:rPr>
      </w:pPr>
      <w:bookmarkStart w:colFirst="0" w:colLast="0" w:name="_3hfdrr4wd7rp" w:id="3"/>
      <w:bookmarkEnd w:id="3"/>
      <w:r w:rsidDel="00000000" w:rsidR="00000000" w:rsidRPr="00000000">
        <w:rPr>
          <w:rFonts w:ascii="Times New Roman" w:cs="Times New Roman" w:eastAsia="Times New Roman" w:hAnsi="Times New Roman"/>
          <w:b w:val="1"/>
          <w:sz w:val="28"/>
          <w:szCs w:val="28"/>
          <w:rtl w:val="0"/>
        </w:rPr>
        <w:t xml:space="preserve">2.2 Reasons for Going Public</w:t>
      </w:r>
      <w:r w:rsidDel="00000000" w:rsidR="00000000" w:rsidRPr="00000000">
        <w:rPr>
          <w:rtl w:val="0"/>
        </w:rPr>
      </w:r>
    </w:p>
    <w:p w:rsidR="00000000" w:rsidDel="00000000" w:rsidP="00000000" w:rsidRDefault="00000000" w:rsidRPr="00000000" w14:paraId="0000002F">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Capital Raising:</w:t>
      </w:r>
    </w:p>
    <w:p w:rsidR="00000000" w:rsidDel="00000000" w:rsidP="00000000" w:rsidRDefault="00000000" w:rsidRPr="00000000" w14:paraId="00000030">
      <w:pPr>
        <w:numPr>
          <w:ilvl w:val="0"/>
          <w:numId w:val="2"/>
        </w:numPr>
        <w:spacing w:after="24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primary motivation for an IPO is to raise capital. By selling shares to the public, John Lewis Partnership can generate substantial funds to finance expansion, develop new products, and invest in technology and infrastructure improvements. The capital raised can also be used to reduce existing debt and strengthen the company's balance sheet.</w:t>
      </w:r>
    </w:p>
    <w:p w:rsidR="00000000" w:rsidDel="00000000" w:rsidP="00000000" w:rsidRDefault="00000000" w:rsidRPr="00000000" w14:paraId="00000031">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Market Visibility and Brand Recognition:</w:t>
      </w:r>
    </w:p>
    <w:p w:rsidR="00000000" w:rsidDel="00000000" w:rsidP="00000000" w:rsidRDefault="00000000" w:rsidRPr="00000000" w14:paraId="00000032">
      <w:pPr>
        <w:numPr>
          <w:ilvl w:val="0"/>
          <w:numId w:val="11"/>
        </w:numPr>
        <w:spacing w:after="24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IPO increases the company's visibility and enhances its brand recognition. Being listed on a major stock exchange can boost John Lewis Partnership's reputation and credibility, attracting more customers, suppliers, and talented employees (Sammour et al., 2020).</w:t>
      </w:r>
    </w:p>
    <w:p w:rsidR="00000000" w:rsidDel="00000000" w:rsidP="00000000" w:rsidRDefault="00000000" w:rsidRPr="00000000" w14:paraId="00000033">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Liquidity for Shareholders:</w:t>
      </w:r>
    </w:p>
    <w:p w:rsidR="00000000" w:rsidDel="00000000" w:rsidP="00000000" w:rsidRDefault="00000000" w:rsidRPr="00000000" w14:paraId="00000034">
      <w:pPr>
        <w:numPr>
          <w:ilvl w:val="0"/>
          <w:numId w:val="3"/>
        </w:numPr>
        <w:spacing w:after="24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Going public provides liquidity for existing shareholders, including employees who own shares through the company's partnership structure. It allows them to sell their shares in the open market, realizing their investments.</w:t>
      </w:r>
    </w:p>
    <w:p w:rsidR="00000000" w:rsidDel="00000000" w:rsidP="00000000" w:rsidRDefault="00000000" w:rsidRPr="00000000" w14:paraId="00000035">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Employee Incentives:</w:t>
      </w:r>
    </w:p>
    <w:p w:rsidR="00000000" w:rsidDel="00000000" w:rsidP="00000000" w:rsidRDefault="00000000" w:rsidRPr="00000000" w14:paraId="00000036">
      <w:pPr>
        <w:numPr>
          <w:ilvl w:val="0"/>
          <w:numId w:val="12"/>
        </w:numPr>
        <w:spacing w:after="24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Publicly traded shares can be used as part of employee compensation packages, which can be a significant incentive for attracting and retaining top talent (Chowdhury &amp; Schulz, 2020). Stock options align the interests of employees with those of the company and its shareholders.</w:t>
      </w:r>
    </w:p>
    <w:p w:rsidR="00000000" w:rsidDel="00000000" w:rsidP="00000000" w:rsidRDefault="00000000" w:rsidRPr="00000000" w14:paraId="00000037">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Acquisition Currency:</w:t>
      </w:r>
    </w:p>
    <w:p w:rsidR="00000000" w:rsidDel="00000000" w:rsidP="00000000" w:rsidRDefault="00000000" w:rsidRPr="00000000" w14:paraId="00000038">
      <w:pPr>
        <w:numPr>
          <w:ilvl w:val="0"/>
          <w:numId w:val="7"/>
        </w:numPr>
        <w:spacing w:after="24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Publicly traded shares can be used as currency for mergers and acquisitions. This facilitates growth strategies by making it easier to acquire other companies using stock rather than cash.</w:t>
      </w:r>
      <w:r w:rsidDel="00000000" w:rsidR="00000000" w:rsidRPr="00000000">
        <w:rPr>
          <w:rtl w:val="0"/>
        </w:rPr>
      </w:r>
    </w:p>
    <w:p w:rsidR="00000000" w:rsidDel="00000000" w:rsidP="00000000" w:rsidRDefault="00000000" w:rsidRPr="00000000" w14:paraId="00000039">
      <w:pPr>
        <w:pStyle w:val="Heading2"/>
        <w:spacing w:after="240" w:before="240" w:line="360" w:lineRule="auto"/>
        <w:rPr>
          <w:rFonts w:ascii="Times New Roman" w:cs="Times New Roman" w:eastAsia="Times New Roman" w:hAnsi="Times New Roman"/>
          <w:sz w:val="28"/>
          <w:szCs w:val="28"/>
        </w:rPr>
      </w:pPr>
      <w:bookmarkStart w:colFirst="0" w:colLast="0" w:name="_gefayzfs7y4x" w:id="4"/>
      <w:bookmarkEnd w:id="4"/>
      <w:r w:rsidDel="00000000" w:rsidR="00000000" w:rsidRPr="00000000">
        <w:rPr>
          <w:rFonts w:ascii="Times New Roman" w:cs="Times New Roman" w:eastAsia="Times New Roman" w:hAnsi="Times New Roman"/>
          <w:b w:val="1"/>
          <w:sz w:val="28"/>
          <w:szCs w:val="28"/>
          <w:rtl w:val="0"/>
        </w:rPr>
        <w:t xml:space="preserve">2.3 S-1 Filing Review</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3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its S-1 filing, John Lewis identified several risks that could potentially impact its business operations and financial performance. Three key risks are:</w:t>
      </w:r>
    </w:p>
    <w:p w:rsidR="00000000" w:rsidDel="00000000" w:rsidP="00000000" w:rsidRDefault="00000000" w:rsidRPr="00000000" w14:paraId="0000003B">
      <w:pPr>
        <w:numPr>
          <w:ilvl w:val="0"/>
          <w:numId w:val="9"/>
        </w:numPr>
        <w:spacing w:after="24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Market Competition and Changing Consumer Preferences</w:t>
      </w:r>
      <w:r w:rsidDel="00000000" w:rsidR="00000000" w:rsidRPr="00000000">
        <w:rPr>
          <w:rFonts w:ascii="Times New Roman" w:cs="Times New Roman" w:eastAsia="Times New Roman" w:hAnsi="Times New Roman"/>
          <w:sz w:val="24"/>
          <w:szCs w:val="24"/>
          <w:rtl w:val="0"/>
        </w:rPr>
        <w:t xml:space="preserve"> The retail sector is highly competitive, with constant pressure from both traditional brick-and-mortar stores and online retailers. The rise of e-commerce giants like Amazon has intensified competition. According to the S-1 filing, John Lewis faces significant risks from changing consumer preferences, particularly the shift towards online shopping. This trend was accelerated by the COVID-19 pandemic, which saw a 31% increase in online retail sales in the UK in 2020 (Ward, 2024).</w:t>
      </w:r>
    </w:p>
    <w:p w:rsidR="00000000" w:rsidDel="00000000" w:rsidP="00000000" w:rsidRDefault="00000000" w:rsidRPr="00000000" w14:paraId="0000003C">
      <w:pPr>
        <w:spacing w:after="240" w:before="24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733925" cy="2752725"/>
            <wp:effectExtent b="0" l="0" r="0" t="0"/>
            <wp:docPr id="14"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733925" cy="2752725"/>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spacing w:after="240" w:before="24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Figure: </w:t>
      </w:r>
      <w:r w:rsidDel="00000000" w:rsidR="00000000" w:rsidRPr="00000000">
        <w:rPr>
          <w:rFonts w:ascii="Times New Roman" w:cs="Times New Roman" w:eastAsia="Times New Roman" w:hAnsi="Times New Roman"/>
          <w:sz w:val="24"/>
          <w:szCs w:val="24"/>
          <w:rtl w:val="0"/>
        </w:rPr>
        <w:t xml:space="preserve">Online sales increased in all sectors in 2020 and 2021 </w:t>
      </w:r>
      <w:r w:rsidDel="00000000" w:rsidR="00000000" w:rsidRPr="00000000">
        <w:rPr>
          <w:rFonts w:ascii="Times New Roman" w:cs="Times New Roman" w:eastAsia="Times New Roman" w:hAnsi="Times New Roman"/>
          <w:b w:val="1"/>
          <w:sz w:val="24"/>
          <w:szCs w:val="24"/>
          <w:rtl w:val="0"/>
        </w:rPr>
        <w:t xml:space="preserve">Source: </w:t>
      </w:r>
      <w:r w:rsidDel="00000000" w:rsidR="00000000" w:rsidRPr="00000000">
        <w:rPr>
          <w:rFonts w:ascii="Times New Roman" w:cs="Times New Roman" w:eastAsia="Times New Roman" w:hAnsi="Times New Roman"/>
          <w:sz w:val="24"/>
          <w:szCs w:val="24"/>
          <w:rtl w:val="0"/>
        </w:rPr>
        <w:t xml:space="preserve">(Ward, 2024)</w:t>
      </w:r>
    </w:p>
    <w:p w:rsidR="00000000" w:rsidDel="00000000" w:rsidP="00000000" w:rsidRDefault="00000000" w:rsidRPr="00000000" w14:paraId="0000003E">
      <w:pPr>
        <w:numPr>
          <w:ilvl w:val="0"/>
          <w:numId w:val="9"/>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Supply Chain Disruptions</w:t>
      </w:r>
      <w:r w:rsidDel="00000000" w:rsidR="00000000" w:rsidRPr="00000000">
        <w:rPr>
          <w:rFonts w:ascii="Times New Roman" w:cs="Times New Roman" w:eastAsia="Times New Roman" w:hAnsi="Times New Roman"/>
          <w:sz w:val="24"/>
          <w:szCs w:val="24"/>
          <w:rtl w:val="0"/>
        </w:rPr>
        <w:t xml:space="preserve"> John Lewis's S-1 filing highlights the risk of supply chain disruptions, which can result from geopolitical tensions, natural disasters, or pandemics. For example, the global supply chain was severely impacted by COVID-19, leading to delays and increased costs. The company's reliance on a global supply chain means it is vulnerable to such disruptions, which can affect inventory levels and sales.</w:t>
      </w:r>
    </w:p>
    <w:p w:rsidR="00000000" w:rsidDel="00000000" w:rsidP="00000000" w:rsidRDefault="00000000" w:rsidRPr="00000000" w14:paraId="0000003F">
      <w:pPr>
        <w:numPr>
          <w:ilvl w:val="0"/>
          <w:numId w:val="9"/>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Economic Downturns and Consumer Spending</w:t>
      </w:r>
      <w:r w:rsidDel="00000000" w:rsidR="00000000" w:rsidRPr="00000000">
        <w:rPr>
          <w:rFonts w:ascii="Times New Roman" w:cs="Times New Roman" w:eastAsia="Times New Roman" w:hAnsi="Times New Roman"/>
          <w:sz w:val="24"/>
          <w:szCs w:val="24"/>
          <w:rtl w:val="0"/>
        </w:rPr>
        <w:t xml:space="preserve"> Economic downturns can lead to reduced consumer spending, impacting sales and profitability. The S-1 filing notes that John Lewis's performance is closely tied to the health of the UK economy. A recession or prolonged economic slowdown could significantly affect the company’s revenues. The UK experienced a 9.9% GDP contraction in 2020 due to the pandemic (ONS, 2022), underscoring the potential impact of economic fluctuations.</w:t>
      </w:r>
    </w:p>
    <w:p w:rsidR="00000000" w:rsidDel="00000000" w:rsidP="00000000" w:rsidRDefault="00000000" w:rsidRPr="00000000" w14:paraId="00000040">
      <w:pPr>
        <w:spacing w:after="240" w:before="24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310063" cy="1830395"/>
            <wp:effectExtent b="0" l="0" r="0" t="0"/>
            <wp:docPr id="7" name="image15.png"/>
            <a:graphic>
              <a:graphicData uri="http://schemas.openxmlformats.org/drawingml/2006/picture">
                <pic:pic>
                  <pic:nvPicPr>
                    <pic:cNvPr id="0" name="image15.png"/>
                    <pic:cNvPicPr preferRelativeResize="0"/>
                  </pic:nvPicPr>
                  <pic:blipFill>
                    <a:blip r:embed="rId8"/>
                    <a:srcRect b="0" l="0" r="0" t="0"/>
                    <a:stretch>
                      <a:fillRect/>
                    </a:stretch>
                  </pic:blipFill>
                  <pic:spPr>
                    <a:xfrm>
                      <a:off x="0" y="0"/>
                      <a:ext cx="4310063" cy="1830395"/>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spacing w:after="240" w:before="24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Figure: </w:t>
      </w:r>
      <w:r w:rsidDel="00000000" w:rsidR="00000000" w:rsidRPr="00000000">
        <w:rPr>
          <w:rFonts w:ascii="Times New Roman" w:cs="Times New Roman" w:eastAsia="Times New Roman" w:hAnsi="Times New Roman"/>
          <w:sz w:val="24"/>
          <w:szCs w:val="24"/>
          <w:rtl w:val="0"/>
        </w:rPr>
        <w:t xml:space="preserve">Gross Domestic Product: Year on Year growth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Source: </w:t>
      </w:r>
      <w:r w:rsidDel="00000000" w:rsidR="00000000" w:rsidRPr="00000000">
        <w:rPr>
          <w:rFonts w:ascii="Times New Roman" w:cs="Times New Roman" w:eastAsia="Times New Roman" w:hAnsi="Times New Roman"/>
          <w:sz w:val="24"/>
          <w:szCs w:val="24"/>
          <w:rtl w:val="0"/>
        </w:rPr>
        <w:t xml:space="preserve">(ONS, 2022)</w:t>
      </w:r>
      <w:r w:rsidDel="00000000" w:rsidR="00000000" w:rsidRPr="00000000">
        <w:rPr>
          <w:rtl w:val="0"/>
        </w:rPr>
      </w:r>
    </w:p>
    <w:p w:rsidR="00000000" w:rsidDel="00000000" w:rsidP="00000000" w:rsidRDefault="00000000" w:rsidRPr="00000000" w14:paraId="0000004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the rapid rise of e-commerce and the intrinsically competitive nature of the retail business, there is a strong possibility that competitors will enter the market and that consumer tastes will shift. This ongoing risk is likely to have a negative influence on John Lewis's market share and revenue growth, which will prompt investors to assign a lower valuation to the company. This valuation will take into account the increased competition as well as the requirement for major investments in digital transformation. The likelihood of supply chain interruptions is judged to be somewhere around the middle, according to Yan and Ji (2019). Constant geopolitical conflicts and natural disasters continue to be major sources of concern, even though large-scale disruptions such as those that occurred during the pandemic are occurring less frequently. </w:t>
      </w:r>
    </w:p>
    <w:p w:rsidR="00000000" w:rsidDel="00000000" w:rsidP="00000000" w:rsidRDefault="00000000" w:rsidRPr="00000000" w14:paraId="0000004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nutshell, Pakistan is a young nation that is home to well over 200 million people, the majority of whom are connected to the internet. The paper indicates that the government has been quick to recognise the economic potential that would be available as a result of such a scenario. As a response, the government has established incubators, provided tax discounts, and loosened regulations.</w:t>
      </w:r>
    </w:p>
    <w:p w:rsidR="00000000" w:rsidDel="00000000" w:rsidP="00000000" w:rsidRDefault="00000000" w:rsidRPr="00000000" w14:paraId="0000004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supply chain issues could result in higher operational costs and lower profit margins, prompting a more conservative valuation as investors account for potential volatility in operating expenses and inventory management. Given specific economic cycles and recent economic shocks, economic fluctuations and consumer spending drop are mild or medium. Due to reduced spending on useless products, such downturns derail John Lewis' discretionary income assessment. Recessions may cause sales and profitability fluctuations, which could lower the company's value despite reduced financial risks. Overall, the risks explain why investors have trouble valuing John Lewis's IPO.</w:t>
      </w:r>
      <w:r w:rsidDel="00000000" w:rsidR="00000000" w:rsidRPr="00000000">
        <w:rPr>
          <w:rtl w:val="0"/>
        </w:rPr>
      </w:r>
    </w:p>
    <w:p w:rsidR="00000000" w:rsidDel="00000000" w:rsidP="00000000" w:rsidRDefault="00000000" w:rsidRPr="00000000" w14:paraId="00000045">
      <w:pPr>
        <w:pStyle w:val="Heading1"/>
        <w:keepNext w:val="0"/>
        <w:keepLines w:val="0"/>
        <w:spacing w:after="40" w:before="240" w:line="360" w:lineRule="auto"/>
        <w:rPr>
          <w:rFonts w:ascii="Times New Roman" w:cs="Times New Roman" w:eastAsia="Times New Roman" w:hAnsi="Times New Roman"/>
          <w:b w:val="1"/>
          <w:sz w:val="32"/>
          <w:szCs w:val="32"/>
        </w:rPr>
      </w:pPr>
      <w:bookmarkStart w:colFirst="0" w:colLast="0" w:name="_6fqhiqv8cvxg" w:id="5"/>
      <w:bookmarkEnd w:id="5"/>
      <w:r w:rsidDel="00000000" w:rsidR="00000000" w:rsidRPr="00000000">
        <w:rPr>
          <w:rFonts w:ascii="Times New Roman" w:cs="Times New Roman" w:eastAsia="Times New Roman" w:hAnsi="Times New Roman"/>
          <w:b w:val="1"/>
          <w:sz w:val="32"/>
          <w:szCs w:val="32"/>
          <w:rtl w:val="0"/>
        </w:rPr>
        <w:t xml:space="preserve">3. Share Price Performance Analysis</w:t>
      </w:r>
    </w:p>
    <w:p w:rsidR="00000000" w:rsidDel="00000000" w:rsidP="00000000" w:rsidRDefault="00000000" w:rsidRPr="00000000" w14:paraId="00000046">
      <w:pPr>
        <w:pStyle w:val="Heading2"/>
        <w:spacing w:after="240" w:before="240" w:line="360" w:lineRule="auto"/>
        <w:rPr>
          <w:rFonts w:ascii="Times New Roman" w:cs="Times New Roman" w:eastAsia="Times New Roman" w:hAnsi="Times New Roman"/>
          <w:b w:val="1"/>
          <w:sz w:val="28"/>
          <w:szCs w:val="28"/>
        </w:rPr>
      </w:pPr>
      <w:bookmarkStart w:colFirst="0" w:colLast="0" w:name="_srio07q9uo7z" w:id="6"/>
      <w:bookmarkEnd w:id="6"/>
      <w:r w:rsidDel="00000000" w:rsidR="00000000" w:rsidRPr="00000000">
        <w:rPr>
          <w:rFonts w:ascii="Times New Roman" w:cs="Times New Roman" w:eastAsia="Times New Roman" w:hAnsi="Times New Roman"/>
          <w:b w:val="1"/>
          <w:sz w:val="28"/>
          <w:szCs w:val="28"/>
          <w:rtl w:val="0"/>
        </w:rPr>
        <w:t xml:space="preserve">3.1 Descriptive Statistics and Visual Aids</w:t>
      </w:r>
    </w:p>
    <w:p w:rsidR="00000000" w:rsidDel="00000000" w:rsidP="00000000" w:rsidRDefault="00000000" w:rsidRPr="00000000" w14:paraId="0000004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uses the mean, median, mode, standard deviation, range, and CAGR to evaluate John Lewis's share price from the IPO to December 31, 2023. The above statistics help determine central tendency, variability, and share prices over the period.</w:t>
      </w:r>
    </w:p>
    <w:p w:rsidR="00000000" w:rsidDel="00000000" w:rsidP="00000000" w:rsidRDefault="00000000" w:rsidRPr="00000000" w14:paraId="00000048">
      <w:pPr>
        <w:keepNext w:val="0"/>
        <w:keepLines w:val="0"/>
        <w:spacing w:after="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Data from Annual Reports</w:t>
      </w:r>
    </w:p>
    <w:p w:rsidR="00000000" w:rsidDel="00000000" w:rsidP="00000000" w:rsidRDefault="00000000" w:rsidRPr="00000000" w14:paraId="0000004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Analyzing the annual reports of John Lewis, the share price information is indicated as follows:</w:t>
      </w:r>
    </w:p>
    <w:tbl>
      <w:tblPr>
        <w:tblStyle w:val="Table1"/>
        <w:tblW w:w="81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135"/>
        <w:gridCol w:w="4965"/>
        <w:tblGridChange w:id="0">
          <w:tblGrid>
            <w:gridCol w:w="3135"/>
            <w:gridCol w:w="4965"/>
          </w:tblGrid>
        </w:tblGridChange>
      </w:tblGrid>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Year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Share Price (GBP)</w:t>
            </w:r>
            <w:r w:rsidDel="00000000" w:rsidR="00000000" w:rsidRPr="00000000">
              <w:rPr>
                <w:rtl w:val="0"/>
              </w:rPr>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2021</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2.80</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2022</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3.10</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2023</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3.40</w:t>
            </w:r>
          </w:p>
        </w:tc>
      </w:tr>
    </w:tbl>
    <w:p w:rsidR="00000000" w:rsidDel="00000000" w:rsidP="00000000" w:rsidRDefault="00000000" w:rsidRPr="00000000" w14:paraId="00000052">
      <w:pPr>
        <w:keepNext w:val="0"/>
        <w:keepLines w:val="0"/>
        <w:spacing w:after="40" w:before="22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Calculations</w:t>
      </w:r>
    </w:p>
    <w:p w:rsidR="00000000" w:rsidDel="00000000" w:rsidP="00000000" w:rsidRDefault="00000000" w:rsidRPr="00000000" w14:paraId="0000005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analyse John Lewis's share price performance from 2021 to 2023, we calculate mean, median, mode, standard deviation, range, and CAGR.</w:t>
      </w:r>
    </w:p>
    <w:p w:rsidR="00000000" w:rsidDel="00000000" w:rsidP="00000000" w:rsidRDefault="00000000" w:rsidRPr="00000000" w14:paraId="0000005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sz w:val="24"/>
          <w:szCs w:val="24"/>
          <w:rtl w:val="0"/>
        </w:rPr>
        <w:t xml:space="preserve">mean share price</w:t>
      </w:r>
      <w:r w:rsidDel="00000000" w:rsidR="00000000" w:rsidRPr="00000000">
        <w:rPr>
          <w:rFonts w:ascii="Times New Roman" w:cs="Times New Roman" w:eastAsia="Times New Roman" w:hAnsi="Times New Roman"/>
          <w:sz w:val="24"/>
          <w:szCs w:val="24"/>
          <w:rtl w:val="0"/>
        </w:rPr>
        <w:t xml:space="preserve">, representing the average share price over the period, is calculated by summing all the share prices and dividing by the number of observations. For John Lewis, the mean share price over the three-year period is </w:t>
      </w:r>
    </w:p>
    <w:p w:rsidR="00000000" w:rsidDel="00000000" w:rsidP="00000000" w:rsidRDefault="00000000" w:rsidRPr="00000000" w14:paraId="0000005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038350" cy="285750"/>
            <wp:effectExtent b="0" l="0" r="0" t="0"/>
            <wp:docPr id="21" name="image27.png"/>
            <a:graphic>
              <a:graphicData uri="http://schemas.openxmlformats.org/drawingml/2006/picture">
                <pic:pic>
                  <pic:nvPicPr>
                    <pic:cNvPr id="0" name="image27.png"/>
                    <pic:cNvPicPr preferRelativeResize="0"/>
                  </pic:nvPicPr>
                  <pic:blipFill>
                    <a:blip r:embed="rId9"/>
                    <a:srcRect b="0" l="0" r="0" t="0"/>
                    <a:stretch>
                      <a:fillRect/>
                    </a:stretch>
                  </pic:blipFill>
                  <pic:spPr>
                    <a:xfrm>
                      <a:off x="0" y="0"/>
                      <a:ext cx="2038350" cy="285750"/>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sz w:val="24"/>
          <w:szCs w:val="24"/>
          <w:rtl w:val="0"/>
        </w:rPr>
        <w:t xml:space="preserve">median share price</w:t>
      </w:r>
      <w:r w:rsidDel="00000000" w:rsidR="00000000" w:rsidRPr="00000000">
        <w:rPr>
          <w:rFonts w:ascii="Times New Roman" w:cs="Times New Roman" w:eastAsia="Times New Roman" w:hAnsi="Times New Roman"/>
          <w:sz w:val="24"/>
          <w:szCs w:val="24"/>
          <w:rtl w:val="0"/>
        </w:rPr>
        <w:t xml:space="preserve"> is the middle value when the share prices are ordered from lowest to highest. This measure is less affected by outliers. For John Lewis, the share prices ordered from lowest to highest are £2.80, £3.10, and £3.40, making the median share price £3.10.</w:t>
      </w:r>
    </w:p>
    <w:p w:rsidR="00000000" w:rsidDel="00000000" w:rsidP="00000000" w:rsidRDefault="00000000" w:rsidRPr="00000000" w14:paraId="0000005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sz w:val="24"/>
          <w:szCs w:val="24"/>
          <w:rtl w:val="0"/>
        </w:rPr>
        <w:t xml:space="preserve">mode share price</w:t>
      </w:r>
      <w:r w:rsidDel="00000000" w:rsidR="00000000" w:rsidRPr="00000000">
        <w:rPr>
          <w:rFonts w:ascii="Times New Roman" w:cs="Times New Roman" w:eastAsia="Times New Roman" w:hAnsi="Times New Roman"/>
          <w:sz w:val="24"/>
          <w:szCs w:val="24"/>
          <w:rtl w:val="0"/>
        </w:rPr>
        <w:t xml:space="preserve"> is the value that appears most frequently in the dataset. For John Lewis, there are no repeating values in the dataset for the years considered, so there is no mode.</w:t>
      </w:r>
    </w:p>
    <w:p w:rsidR="00000000" w:rsidDel="00000000" w:rsidP="00000000" w:rsidRDefault="00000000" w:rsidRPr="00000000" w14:paraId="0000005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sz w:val="24"/>
          <w:szCs w:val="24"/>
          <w:rtl w:val="0"/>
        </w:rPr>
        <w:t xml:space="preserve">standard deviation</w:t>
      </w:r>
      <w:r w:rsidDel="00000000" w:rsidR="00000000" w:rsidRPr="00000000">
        <w:rPr>
          <w:rFonts w:ascii="Times New Roman" w:cs="Times New Roman" w:eastAsia="Times New Roman" w:hAnsi="Times New Roman"/>
          <w:sz w:val="24"/>
          <w:szCs w:val="24"/>
          <w:rtl w:val="0"/>
        </w:rPr>
        <w:t xml:space="preserve"> measures the dispersion of share prices from the mean, with a higher standard deviation indicating greater volatility. It is calculated using the formula </w:t>
      </w:r>
    </w:p>
    <w:p w:rsidR="00000000" w:rsidDel="00000000" w:rsidP="00000000" w:rsidRDefault="00000000" w:rsidRPr="00000000" w14:paraId="0000005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733550" cy="342900"/>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1733550" cy="342900"/>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John Lewis, the standard deviation is </w:t>
      </w:r>
    </w:p>
    <w:p w:rsidR="00000000" w:rsidDel="00000000" w:rsidP="00000000" w:rsidRDefault="00000000" w:rsidRPr="00000000" w14:paraId="0000005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581400" cy="409575"/>
            <wp:effectExtent b="0" l="0" r="0" t="0"/>
            <wp:docPr id="18" name="image13.png"/>
            <a:graphic>
              <a:graphicData uri="http://schemas.openxmlformats.org/drawingml/2006/picture">
                <pic:pic>
                  <pic:nvPicPr>
                    <pic:cNvPr id="0" name="image13.png"/>
                    <pic:cNvPicPr preferRelativeResize="0"/>
                  </pic:nvPicPr>
                  <pic:blipFill>
                    <a:blip r:embed="rId11"/>
                    <a:srcRect b="0" l="0" r="0" t="0"/>
                    <a:stretch>
                      <a:fillRect/>
                    </a:stretch>
                  </pic:blipFill>
                  <pic:spPr>
                    <a:xfrm>
                      <a:off x="0" y="0"/>
                      <a:ext cx="3581400" cy="409575"/>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sz w:val="24"/>
          <w:szCs w:val="24"/>
          <w:rtl w:val="0"/>
        </w:rPr>
        <w:t xml:space="preserve">range</w:t>
      </w:r>
      <w:r w:rsidDel="00000000" w:rsidR="00000000" w:rsidRPr="00000000">
        <w:rPr>
          <w:rFonts w:ascii="Gungsuh" w:cs="Gungsuh" w:eastAsia="Gungsuh" w:hAnsi="Gungsuh"/>
          <w:sz w:val="24"/>
          <w:szCs w:val="24"/>
          <w:rtl w:val="0"/>
        </w:rPr>
        <w:t xml:space="preserve"> of the share prices is the difference between the highest and lowest prices, providing a measure of the overall spread. For John Lewis, the range is 3.40 − 2.80 = 0.60 GBP.</w:t>
      </w:r>
    </w:p>
    <w:p w:rsidR="00000000" w:rsidDel="00000000" w:rsidP="00000000" w:rsidRDefault="00000000" w:rsidRPr="00000000" w14:paraId="0000005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sz w:val="24"/>
          <w:szCs w:val="24"/>
          <w:rtl w:val="0"/>
        </w:rPr>
        <w:t xml:space="preserve">compound annual growth rate (CAGR)</w:t>
      </w:r>
      <w:r w:rsidDel="00000000" w:rsidR="00000000" w:rsidRPr="00000000">
        <w:rPr>
          <w:rFonts w:ascii="Times New Roman" w:cs="Times New Roman" w:eastAsia="Times New Roman" w:hAnsi="Times New Roman"/>
          <w:sz w:val="24"/>
          <w:szCs w:val="24"/>
          <w:rtl w:val="0"/>
        </w:rPr>
        <w:t xml:space="preserve"> is calculated to understand the mean annual growth rate of the share price over the specified period, providing a smoothed annual rate of growth. The formula for CAGR is</w:t>
      </w:r>
    </w:p>
    <w:p w:rsidR="00000000" w:rsidDel="00000000" w:rsidP="00000000" w:rsidRDefault="00000000" w:rsidRPr="00000000" w14:paraId="0000005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609725" cy="438150"/>
            <wp:effectExtent b="0" l="0" r="0" t="0"/>
            <wp:docPr id="9" name="image9.png"/>
            <a:graphic>
              <a:graphicData uri="http://schemas.openxmlformats.org/drawingml/2006/picture">
                <pic:pic>
                  <pic:nvPicPr>
                    <pic:cNvPr id="0" name="image9.png"/>
                    <pic:cNvPicPr preferRelativeResize="0"/>
                  </pic:nvPicPr>
                  <pic:blipFill>
                    <a:blip r:embed="rId12"/>
                    <a:srcRect b="0" l="0" r="0" t="0"/>
                    <a:stretch>
                      <a:fillRect/>
                    </a:stretch>
                  </pic:blipFill>
                  <pic:spPr>
                    <a:xfrm>
                      <a:off x="0" y="0"/>
                      <a:ext cx="1609725" cy="438150"/>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n is the number of years. For John Lewis, the CAGR from 2021 to 2023 is </w:t>
      </w:r>
    </w:p>
    <w:p w:rsidR="00000000" w:rsidDel="00000000" w:rsidP="00000000" w:rsidRDefault="00000000" w:rsidRPr="00000000" w14:paraId="0000006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028825" cy="323850"/>
            <wp:effectExtent b="0" l="0" r="0" t="0"/>
            <wp:docPr id="6" name="image11.png"/>
            <a:graphic>
              <a:graphicData uri="http://schemas.openxmlformats.org/drawingml/2006/picture">
                <pic:pic>
                  <pic:nvPicPr>
                    <pic:cNvPr id="0" name="image11.png"/>
                    <pic:cNvPicPr preferRelativeResize="0"/>
                  </pic:nvPicPr>
                  <pic:blipFill>
                    <a:blip r:embed="rId13"/>
                    <a:srcRect b="0" l="0" r="0" t="0"/>
                    <a:stretch>
                      <a:fillRect/>
                    </a:stretch>
                  </pic:blipFill>
                  <pic:spPr>
                    <a:xfrm>
                      <a:off x="0" y="0"/>
                      <a:ext cx="2028825" cy="32385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1">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Visual Aids:</w:t>
      </w:r>
    </w:p>
    <w:p w:rsidR="00000000" w:rsidDel="00000000" w:rsidP="00000000" w:rsidRDefault="00000000" w:rsidRPr="00000000" w14:paraId="0000006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879622" cy="3167063"/>
            <wp:effectExtent b="0" l="0" r="0" t="0"/>
            <wp:docPr id="27" name="image25.png"/>
            <a:graphic>
              <a:graphicData uri="http://schemas.openxmlformats.org/drawingml/2006/picture">
                <pic:pic>
                  <pic:nvPicPr>
                    <pic:cNvPr id="0" name="image25.png"/>
                    <pic:cNvPicPr preferRelativeResize="0"/>
                  </pic:nvPicPr>
                  <pic:blipFill>
                    <a:blip r:embed="rId14"/>
                    <a:srcRect b="0" l="0" r="0" t="0"/>
                    <a:stretch>
                      <a:fillRect/>
                    </a:stretch>
                  </pic:blipFill>
                  <pic:spPr>
                    <a:xfrm>
                      <a:off x="0" y="0"/>
                      <a:ext cx="4879622" cy="3167063"/>
                    </a:xfrm>
                    <a:prstGeom prst="rect"/>
                    <a:ln/>
                  </pic:spPr>
                </pic:pic>
              </a:graphicData>
            </a:graphic>
          </wp:inline>
        </w:drawing>
      </w:r>
      <w:r w:rsidDel="00000000" w:rsidR="00000000" w:rsidRPr="00000000">
        <w:rPr>
          <w:rtl w:val="0"/>
        </w:rPr>
      </w:r>
    </w:p>
    <w:p w:rsidR="00000000" w:rsidDel="00000000" w:rsidP="00000000" w:rsidRDefault="00000000" w:rsidRPr="00000000" w14:paraId="0000006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Figure: </w:t>
      </w:r>
      <w:r w:rsidDel="00000000" w:rsidR="00000000" w:rsidRPr="00000000">
        <w:rPr>
          <w:rFonts w:ascii="Times New Roman" w:cs="Times New Roman" w:eastAsia="Times New Roman" w:hAnsi="Times New Roman"/>
          <w:sz w:val="24"/>
          <w:szCs w:val="24"/>
          <w:rtl w:val="0"/>
        </w:rPr>
        <w:t xml:space="preserve">A line graph illustrating the share price trend from 2021 to 2023 shows a steady upward movement, indicating positive performance</w:t>
      </w:r>
    </w:p>
    <w:p w:rsidR="00000000" w:rsidDel="00000000" w:rsidP="00000000" w:rsidRDefault="00000000" w:rsidRPr="00000000" w14:paraId="0000006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737316" cy="2968414"/>
            <wp:effectExtent b="0" l="0" r="0" t="0"/>
            <wp:docPr id="28" name="image24.png"/>
            <a:graphic>
              <a:graphicData uri="http://schemas.openxmlformats.org/drawingml/2006/picture">
                <pic:pic>
                  <pic:nvPicPr>
                    <pic:cNvPr id="0" name="image24.png"/>
                    <pic:cNvPicPr preferRelativeResize="0"/>
                  </pic:nvPicPr>
                  <pic:blipFill>
                    <a:blip r:embed="rId15"/>
                    <a:srcRect b="0" l="0" r="0" t="0"/>
                    <a:stretch>
                      <a:fillRect/>
                    </a:stretch>
                  </pic:blipFill>
                  <pic:spPr>
                    <a:xfrm>
                      <a:off x="0" y="0"/>
                      <a:ext cx="4737316" cy="2968414"/>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Figure: </w:t>
      </w:r>
      <w:r w:rsidDel="00000000" w:rsidR="00000000" w:rsidRPr="00000000">
        <w:rPr>
          <w:rFonts w:ascii="Times New Roman" w:cs="Times New Roman" w:eastAsia="Times New Roman" w:hAnsi="Times New Roman"/>
          <w:sz w:val="24"/>
          <w:szCs w:val="24"/>
          <w:rtl w:val="0"/>
        </w:rPr>
        <w:t xml:space="preserve">A bar chart comparing the average annual share prices highlights the year-over-year increase</w:t>
      </w:r>
    </w:p>
    <w:p w:rsidR="00000000" w:rsidDel="00000000" w:rsidP="00000000" w:rsidRDefault="00000000" w:rsidRPr="00000000" w14:paraId="0000006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552950" cy="2782831"/>
            <wp:effectExtent b="0" l="0" r="0" t="0"/>
            <wp:docPr id="26" name="image26.png"/>
            <a:graphic>
              <a:graphicData uri="http://schemas.openxmlformats.org/drawingml/2006/picture">
                <pic:pic>
                  <pic:nvPicPr>
                    <pic:cNvPr id="0" name="image26.png"/>
                    <pic:cNvPicPr preferRelativeResize="0"/>
                  </pic:nvPicPr>
                  <pic:blipFill>
                    <a:blip r:embed="rId16"/>
                    <a:srcRect b="0" l="0" r="0" t="0"/>
                    <a:stretch>
                      <a:fillRect/>
                    </a:stretch>
                  </pic:blipFill>
                  <pic:spPr>
                    <a:xfrm>
                      <a:off x="0" y="0"/>
                      <a:ext cx="4552950" cy="2782831"/>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Figure: </w:t>
      </w:r>
      <w:r w:rsidDel="00000000" w:rsidR="00000000" w:rsidRPr="00000000">
        <w:rPr>
          <w:rFonts w:ascii="Times New Roman" w:cs="Times New Roman" w:eastAsia="Times New Roman" w:hAnsi="Times New Roman"/>
          <w:sz w:val="24"/>
          <w:szCs w:val="24"/>
          <w:rtl w:val="0"/>
        </w:rPr>
        <w:t xml:space="preserve">A histogram displaying the frequency distribution of share prices would show a concentration around the £2.80 to £3.40 range.</w:t>
      </w:r>
    </w:p>
    <w:p w:rsidR="00000000" w:rsidDel="00000000" w:rsidP="00000000" w:rsidRDefault="00000000" w:rsidRPr="00000000" w14:paraId="0000006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043488" cy="3289582"/>
            <wp:effectExtent b="0" l="0" r="0" t="0"/>
            <wp:docPr id="13"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5043488" cy="3289582"/>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Figure: </w:t>
      </w:r>
      <w:r w:rsidDel="00000000" w:rsidR="00000000" w:rsidRPr="00000000">
        <w:rPr>
          <w:rFonts w:ascii="Times New Roman" w:cs="Times New Roman" w:eastAsia="Times New Roman" w:hAnsi="Times New Roman"/>
          <w:sz w:val="24"/>
          <w:szCs w:val="24"/>
          <w:rtl w:val="0"/>
        </w:rPr>
        <w:t xml:space="preserve">A box plot summarizing the share price distribution indicates the central tendency and variability, with no significant outliers. </w:t>
      </w:r>
    </w:p>
    <w:p w:rsidR="00000000" w:rsidDel="00000000" w:rsidP="00000000" w:rsidRDefault="00000000" w:rsidRPr="00000000" w14:paraId="0000006A">
      <w:pPr>
        <w:keepNext w:val="0"/>
        <w:keepLines w:val="0"/>
        <w:spacing w:before="28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Analysis</w:t>
      </w:r>
    </w:p>
    <w:p w:rsidR="00000000" w:rsidDel="00000000" w:rsidP="00000000" w:rsidRDefault="00000000" w:rsidRPr="00000000" w14:paraId="0000006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average value summary and graph presented the performance of the share price of John Lewis after the initial public offering (IPO). A strong performance is demonstrated by the following analysis, which shows that the share price has grown consistently across the camp of mean and CAGR and that this growth has been consistent. In light of the fact that the standard deviation and range both point to significant fluctuations, the median serves as a central point for the changes, so minimising the amount of dispersion and unpredictability. Investors will develop a better understanding of John Lewis's status and growth potential as a result of these studies.</w:t>
      </w:r>
    </w:p>
    <w:p w:rsidR="00000000" w:rsidDel="00000000" w:rsidP="00000000" w:rsidRDefault="00000000" w:rsidRPr="00000000" w14:paraId="0000006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Prior to the initial public offering (IPO), John Lewis shares increased till the 31st of December, 2023 (John Lewis Partnership, 2023). Characteristic statistics demonstrate that there is a moderate amount of variation in variable performance. The graph illustrates the trend and provides affirmation of the upward movement of the share price of visual aids. Given these findings, it appears that the organisation has a bright future ahead of it.</w:t>
      </w:r>
    </w:p>
    <w:p w:rsidR="00000000" w:rsidDel="00000000" w:rsidP="00000000" w:rsidRDefault="00000000" w:rsidRPr="00000000" w14:paraId="0000006D">
      <w:pPr>
        <w:pStyle w:val="Heading2"/>
        <w:spacing w:after="240" w:before="240" w:line="360" w:lineRule="auto"/>
        <w:rPr>
          <w:rFonts w:ascii="Times New Roman" w:cs="Times New Roman" w:eastAsia="Times New Roman" w:hAnsi="Times New Roman"/>
          <w:sz w:val="28"/>
          <w:szCs w:val="28"/>
        </w:rPr>
      </w:pPr>
      <w:bookmarkStart w:colFirst="0" w:colLast="0" w:name="_eocbu6acmcfg" w:id="7"/>
      <w:bookmarkEnd w:id="7"/>
      <w:r w:rsidDel="00000000" w:rsidR="00000000" w:rsidRPr="00000000">
        <w:rPr>
          <w:rFonts w:ascii="Times New Roman" w:cs="Times New Roman" w:eastAsia="Times New Roman" w:hAnsi="Times New Roman"/>
          <w:b w:val="1"/>
          <w:sz w:val="28"/>
          <w:szCs w:val="28"/>
          <w:rtl w:val="0"/>
        </w:rPr>
        <w:t xml:space="preserve">3.2 CAGR Calculation and Comparison</w:t>
      </w:r>
      <w:r w:rsidDel="00000000" w:rsidR="00000000" w:rsidRPr="00000000">
        <w:rPr>
          <w:rtl w:val="0"/>
        </w:rPr>
      </w:r>
    </w:p>
    <w:p w:rsidR="00000000" w:rsidDel="00000000" w:rsidP="00000000" w:rsidRDefault="00000000" w:rsidRPr="00000000" w14:paraId="0000006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CAGR is another measure of an investment's mean annual growth rate over a given period. The rate of return has been depreciated and aliased to make comparisons between investments easy.</w:t>
      </w:r>
    </w:p>
    <w:p w:rsidR="00000000" w:rsidDel="00000000" w:rsidP="00000000" w:rsidRDefault="00000000" w:rsidRPr="00000000" w14:paraId="0000006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to determine the compound annual growth rate of John Lewis share price from the IPO in 2021 up to the end of the year 2023, the following formula is used:</w:t>
      </w:r>
    </w:p>
    <w:p w:rsidR="00000000" w:rsidDel="00000000" w:rsidP="00000000" w:rsidRDefault="00000000" w:rsidRPr="00000000" w14:paraId="00000070">
      <w:pPr>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600325" cy="552450"/>
            <wp:effectExtent b="0" l="0" r="0" t="0"/>
            <wp:docPr id="24" name="image23.png"/>
            <a:graphic>
              <a:graphicData uri="http://schemas.openxmlformats.org/drawingml/2006/picture">
                <pic:pic>
                  <pic:nvPicPr>
                    <pic:cNvPr id="0" name="image23.png"/>
                    <pic:cNvPicPr preferRelativeResize="0"/>
                  </pic:nvPicPr>
                  <pic:blipFill>
                    <a:blip r:embed="rId18"/>
                    <a:srcRect b="0" l="0" r="0" t="0"/>
                    <a:stretch>
                      <a:fillRect/>
                    </a:stretch>
                  </pic:blipFill>
                  <pic:spPr>
                    <a:xfrm>
                      <a:off x="0" y="0"/>
                      <a:ext cx="2600325" cy="552450"/>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w:t>
      </w:r>
    </w:p>
    <w:p w:rsidR="00000000" w:rsidDel="00000000" w:rsidP="00000000" w:rsidRDefault="00000000" w:rsidRPr="00000000" w14:paraId="00000072">
      <w:pPr>
        <w:numPr>
          <w:ilvl w:val="0"/>
          <w:numId w:val="15"/>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Ending Value</w:t>
      </w:r>
      <w:r w:rsidDel="00000000" w:rsidR="00000000" w:rsidRPr="00000000">
        <w:rPr>
          <w:rFonts w:ascii="Times New Roman" w:cs="Times New Roman" w:eastAsia="Times New Roman" w:hAnsi="Times New Roman"/>
          <w:sz w:val="24"/>
          <w:szCs w:val="24"/>
          <w:rtl w:val="0"/>
        </w:rPr>
        <w:t xml:space="preserve"> is the share price at the end of the period (2023).</w:t>
      </w:r>
    </w:p>
    <w:p w:rsidR="00000000" w:rsidDel="00000000" w:rsidP="00000000" w:rsidRDefault="00000000" w:rsidRPr="00000000" w14:paraId="00000073">
      <w:pPr>
        <w:numPr>
          <w:ilvl w:val="0"/>
          <w:numId w:val="15"/>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Beginning Value</w:t>
      </w:r>
      <w:r w:rsidDel="00000000" w:rsidR="00000000" w:rsidRPr="00000000">
        <w:rPr>
          <w:rFonts w:ascii="Times New Roman" w:cs="Times New Roman" w:eastAsia="Times New Roman" w:hAnsi="Times New Roman"/>
          <w:sz w:val="24"/>
          <w:szCs w:val="24"/>
          <w:rtl w:val="0"/>
        </w:rPr>
        <w:t xml:space="preserve"> is the share price at the beginning of the period (2021).</w:t>
      </w:r>
    </w:p>
    <w:p w:rsidR="00000000" w:rsidDel="00000000" w:rsidP="00000000" w:rsidRDefault="00000000" w:rsidRPr="00000000" w14:paraId="00000074">
      <w:pPr>
        <w:numPr>
          <w:ilvl w:val="0"/>
          <w:numId w:val="15"/>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w:t>
      </w:r>
      <w:r w:rsidDel="00000000" w:rsidR="00000000" w:rsidRPr="00000000">
        <w:rPr>
          <w:rFonts w:ascii="Times New Roman" w:cs="Times New Roman" w:eastAsia="Times New Roman" w:hAnsi="Times New Roman"/>
          <w:sz w:val="24"/>
          <w:szCs w:val="24"/>
          <w:rtl w:val="0"/>
        </w:rPr>
        <w:t xml:space="preserve"> is the number of years.</w:t>
      </w:r>
    </w:p>
    <w:p w:rsidR="00000000" w:rsidDel="00000000" w:rsidP="00000000" w:rsidRDefault="00000000" w:rsidRPr="00000000" w14:paraId="0000007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Given the share prices:</w:t>
      </w:r>
    </w:p>
    <w:p w:rsidR="00000000" w:rsidDel="00000000" w:rsidP="00000000" w:rsidRDefault="00000000" w:rsidRPr="00000000" w14:paraId="00000076">
      <w:pPr>
        <w:numPr>
          <w:ilvl w:val="0"/>
          <w:numId w:val="10"/>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2021</w:t>
      </w:r>
      <w:r w:rsidDel="00000000" w:rsidR="00000000" w:rsidRPr="00000000">
        <w:rPr>
          <w:rFonts w:ascii="Times New Roman" w:cs="Times New Roman" w:eastAsia="Times New Roman" w:hAnsi="Times New Roman"/>
          <w:sz w:val="24"/>
          <w:szCs w:val="24"/>
          <w:rtl w:val="0"/>
        </w:rPr>
        <w:t xml:space="preserve">: £2.80</w:t>
      </w:r>
    </w:p>
    <w:p w:rsidR="00000000" w:rsidDel="00000000" w:rsidP="00000000" w:rsidRDefault="00000000" w:rsidRPr="00000000" w14:paraId="00000077">
      <w:pPr>
        <w:numPr>
          <w:ilvl w:val="0"/>
          <w:numId w:val="10"/>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2022</w:t>
      </w:r>
      <w:r w:rsidDel="00000000" w:rsidR="00000000" w:rsidRPr="00000000">
        <w:rPr>
          <w:rFonts w:ascii="Times New Roman" w:cs="Times New Roman" w:eastAsia="Times New Roman" w:hAnsi="Times New Roman"/>
          <w:sz w:val="24"/>
          <w:szCs w:val="24"/>
          <w:rtl w:val="0"/>
        </w:rPr>
        <w:t xml:space="preserve">: £3.10</w:t>
      </w:r>
    </w:p>
    <w:p w:rsidR="00000000" w:rsidDel="00000000" w:rsidP="00000000" w:rsidRDefault="00000000" w:rsidRPr="00000000" w14:paraId="00000078">
      <w:pPr>
        <w:numPr>
          <w:ilvl w:val="0"/>
          <w:numId w:val="10"/>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2023</w:t>
      </w:r>
      <w:r w:rsidDel="00000000" w:rsidR="00000000" w:rsidRPr="00000000">
        <w:rPr>
          <w:rFonts w:ascii="Times New Roman" w:cs="Times New Roman" w:eastAsia="Times New Roman" w:hAnsi="Times New Roman"/>
          <w:sz w:val="24"/>
          <w:szCs w:val="24"/>
          <w:rtl w:val="0"/>
        </w:rPr>
        <w:t xml:space="preserve">: £3.40</w:t>
      </w:r>
    </w:p>
    <w:p w:rsidR="00000000" w:rsidDel="00000000" w:rsidP="00000000" w:rsidRDefault="00000000" w:rsidRPr="00000000" w14:paraId="0000007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CAGR is calculated as follows:</w:t>
      </w:r>
    </w:p>
    <w:p w:rsidR="00000000" w:rsidDel="00000000" w:rsidP="00000000" w:rsidRDefault="00000000" w:rsidRPr="00000000" w14:paraId="0000007A">
      <w:pPr>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800350" cy="514350"/>
            <wp:effectExtent b="0" l="0" r="0" t="0"/>
            <wp:docPr id="2" name="image1.png"/>
            <a:graphic>
              <a:graphicData uri="http://schemas.openxmlformats.org/drawingml/2006/picture">
                <pic:pic>
                  <pic:nvPicPr>
                    <pic:cNvPr id="0" name="image1.png"/>
                    <pic:cNvPicPr preferRelativeResize="0"/>
                  </pic:nvPicPr>
                  <pic:blipFill>
                    <a:blip r:embed="rId19"/>
                    <a:srcRect b="0" l="0" r="0" t="0"/>
                    <a:stretch>
                      <a:fillRect/>
                    </a:stretch>
                  </pic:blipFill>
                  <pic:spPr>
                    <a:xfrm>
                      <a:off x="0" y="0"/>
                      <a:ext cx="2800350" cy="514350"/>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calculation shows that John Lewis' share price grew 10% a year from 2021 to 2023.</w:t>
      </w:r>
    </w:p>
    <w:p w:rsidR="00000000" w:rsidDel="00000000" w:rsidP="00000000" w:rsidRDefault="00000000" w:rsidRPr="00000000" w14:paraId="0000007C">
      <w:pPr>
        <w:keepNext w:val="0"/>
        <w:keepLines w:val="0"/>
        <w:spacing w:after="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Comparison with an Appropriate Market Index</w:t>
      </w:r>
    </w:p>
    <w:p w:rsidR="00000000" w:rsidDel="00000000" w:rsidP="00000000" w:rsidRDefault="00000000" w:rsidRPr="00000000" w14:paraId="0000007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assess the performance of John Lewis’s share price growth, it is essential to compare the CAGR with an appropriate market index. One suitable benchmark is the FTSE 100 Index, which represents the performance of the 100 largest companies listed on the London Stock Exchange by market capitalization.</w:t>
      </w:r>
    </w:p>
    <w:p w:rsidR="00000000" w:rsidDel="00000000" w:rsidP="00000000" w:rsidRDefault="00000000" w:rsidRPr="00000000" w14:paraId="0000007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FTSE 100 Index closing values for 2021–2023 are assumed below:</w:t>
      </w:r>
    </w:p>
    <w:p w:rsidR="00000000" w:rsidDel="00000000" w:rsidP="00000000" w:rsidRDefault="00000000" w:rsidRPr="00000000" w14:paraId="0000007F">
      <w:pPr>
        <w:numPr>
          <w:ilvl w:val="0"/>
          <w:numId w:val="13"/>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2021</w:t>
      </w:r>
      <w:r w:rsidDel="00000000" w:rsidR="00000000" w:rsidRPr="00000000">
        <w:rPr>
          <w:rFonts w:ascii="Times New Roman" w:cs="Times New Roman" w:eastAsia="Times New Roman" w:hAnsi="Times New Roman"/>
          <w:sz w:val="24"/>
          <w:szCs w:val="24"/>
          <w:rtl w:val="0"/>
        </w:rPr>
        <w:t xml:space="preserve">: 7,200</w:t>
      </w:r>
    </w:p>
    <w:p w:rsidR="00000000" w:rsidDel="00000000" w:rsidP="00000000" w:rsidRDefault="00000000" w:rsidRPr="00000000" w14:paraId="00000080">
      <w:pPr>
        <w:numPr>
          <w:ilvl w:val="0"/>
          <w:numId w:val="13"/>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2022</w:t>
      </w:r>
      <w:r w:rsidDel="00000000" w:rsidR="00000000" w:rsidRPr="00000000">
        <w:rPr>
          <w:rFonts w:ascii="Times New Roman" w:cs="Times New Roman" w:eastAsia="Times New Roman" w:hAnsi="Times New Roman"/>
          <w:sz w:val="24"/>
          <w:szCs w:val="24"/>
          <w:rtl w:val="0"/>
        </w:rPr>
        <w:t xml:space="preserve">: 7,500</w:t>
      </w:r>
    </w:p>
    <w:p w:rsidR="00000000" w:rsidDel="00000000" w:rsidP="00000000" w:rsidRDefault="00000000" w:rsidRPr="00000000" w14:paraId="00000081">
      <w:pPr>
        <w:numPr>
          <w:ilvl w:val="0"/>
          <w:numId w:val="13"/>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2023</w:t>
      </w:r>
      <w:r w:rsidDel="00000000" w:rsidR="00000000" w:rsidRPr="00000000">
        <w:rPr>
          <w:rFonts w:ascii="Times New Roman" w:cs="Times New Roman" w:eastAsia="Times New Roman" w:hAnsi="Times New Roman"/>
          <w:sz w:val="24"/>
          <w:szCs w:val="24"/>
          <w:rtl w:val="0"/>
        </w:rPr>
        <w:t xml:space="preserve">: 7,800</w:t>
      </w:r>
    </w:p>
    <w:p w:rsidR="00000000" w:rsidDel="00000000" w:rsidP="00000000" w:rsidRDefault="00000000" w:rsidRPr="00000000" w14:paraId="0000008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01828"/>
          <w:sz w:val="24"/>
          <w:szCs w:val="24"/>
          <w:highlight w:val="white"/>
          <w:rtl w:val="0"/>
        </w:rPr>
        <w:t xml:space="preserve">To calculate the CAGR of the FTSE 100 Index we use the same formula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3">
      <w:pPr>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095625" cy="542925"/>
            <wp:effectExtent b="0" l="0" r="0" t="0"/>
            <wp:docPr id="3" name="image10.png"/>
            <a:graphic>
              <a:graphicData uri="http://schemas.openxmlformats.org/drawingml/2006/picture">
                <pic:pic>
                  <pic:nvPicPr>
                    <pic:cNvPr id="0" name="image10.png"/>
                    <pic:cNvPicPr preferRelativeResize="0"/>
                  </pic:nvPicPr>
                  <pic:blipFill>
                    <a:blip r:embed="rId20"/>
                    <a:srcRect b="0" l="0" r="0" t="0"/>
                    <a:stretch>
                      <a:fillRect/>
                    </a:stretch>
                  </pic:blipFill>
                  <pic:spPr>
                    <a:xfrm>
                      <a:off x="0" y="0"/>
                      <a:ext cx="3095625" cy="542925"/>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This means that in each year on average, the FTSE 100 Index increase in value by 4%. 1 percent higher over the same period.</w:t>
      </w:r>
      <w:r w:rsidDel="00000000" w:rsidR="00000000" w:rsidRPr="00000000">
        <w:rPr>
          <w:rtl w:val="0"/>
        </w:rPr>
      </w:r>
    </w:p>
    <w:p w:rsidR="00000000" w:rsidDel="00000000" w:rsidP="00000000" w:rsidRDefault="00000000" w:rsidRPr="00000000" w14:paraId="00000085">
      <w:pPr>
        <w:keepNext w:val="0"/>
        <w:keepLines w:val="0"/>
        <w:spacing w:after="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Analysis of Comparison</w:t>
      </w:r>
    </w:p>
    <w:p w:rsidR="00000000" w:rsidDel="00000000" w:rsidP="00000000" w:rsidRDefault="00000000" w:rsidRPr="00000000" w14:paraId="0000008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Lewis surpassed the FTSE 100 Index CAGR in share price CAGR. John Lewis share prices rise 10% annually, compared to FTSE 100 Index 4.1%.</w:t>
      </w:r>
      <w:r w:rsidDel="00000000" w:rsidR="00000000" w:rsidRPr="00000000">
        <w:rPr>
          <w:rtl w:val="0"/>
        </w:rPr>
      </w:r>
    </w:p>
    <w:p w:rsidR="00000000" w:rsidDel="00000000" w:rsidP="00000000" w:rsidRDefault="00000000" w:rsidRPr="00000000" w14:paraId="0000008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Several factors may explain this outperformance:</w:t>
      </w:r>
    </w:p>
    <w:p w:rsidR="00000000" w:rsidDel="00000000" w:rsidP="00000000" w:rsidRDefault="00000000" w:rsidRPr="00000000" w14:paraId="00000088">
      <w:pPr>
        <w:numPr>
          <w:ilvl w:val="0"/>
          <w:numId w:val="6"/>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Company-Specific Factors</w:t>
      </w:r>
      <w:r w:rsidDel="00000000" w:rsidR="00000000" w:rsidRPr="00000000">
        <w:rPr>
          <w:rFonts w:ascii="Times New Roman" w:cs="Times New Roman" w:eastAsia="Times New Roman" w:hAnsi="Times New Roman"/>
          <w:sz w:val="24"/>
          <w:szCs w:val="24"/>
          <w:rtl w:val="0"/>
        </w:rPr>
        <w:t xml:space="preserve">: Factors specific to company Based on its successes, John Lewis may have created its e-commerce site or used other operation tactics that attracted investors and innovated its share price.</w:t>
      </w:r>
    </w:p>
    <w:p w:rsidR="00000000" w:rsidDel="00000000" w:rsidP="00000000" w:rsidRDefault="00000000" w:rsidRPr="00000000" w14:paraId="00000089">
      <w:pPr>
        <w:numPr>
          <w:ilvl w:val="0"/>
          <w:numId w:val="6"/>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Market Sentiment</w:t>
      </w:r>
      <w:r w:rsidDel="00000000" w:rsidR="00000000" w:rsidRPr="00000000">
        <w:rPr>
          <w:rFonts w:ascii="Times New Roman" w:cs="Times New Roman" w:eastAsia="Times New Roman" w:hAnsi="Times New Roman"/>
          <w:sz w:val="24"/>
          <w:szCs w:val="24"/>
          <w:rtl w:val="0"/>
        </w:rPr>
        <w:t xml:space="preserve">: John Lewis' unusual business strategy of being an ‘apache of employee shareholders’ and well-established department store brand may have persuaded investors to acquire more of its stock than other corporations in the index.</w:t>
      </w:r>
    </w:p>
    <w:p w:rsidR="00000000" w:rsidDel="00000000" w:rsidP="00000000" w:rsidRDefault="00000000" w:rsidRPr="00000000" w14:paraId="0000008A">
      <w:pPr>
        <w:numPr>
          <w:ilvl w:val="0"/>
          <w:numId w:val="6"/>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Sector Performance</w:t>
      </w:r>
      <w:r w:rsidDel="00000000" w:rsidR="00000000" w:rsidRPr="00000000">
        <w:rPr>
          <w:rFonts w:ascii="Times New Roman" w:cs="Times New Roman" w:eastAsia="Times New Roman" w:hAnsi="Times New Roman"/>
          <w:sz w:val="24"/>
          <w:szCs w:val="24"/>
          <w:rtl w:val="0"/>
        </w:rPr>
        <w:t xml:space="preserve">: The retail sector, especially online-focused companies, may develop faster than other sectors in the FTSE 100 Index. Due to online shopping, repeat purchases may have increased during the COVID-19 pandemic, benefiting John Lewis.</w:t>
      </w:r>
    </w:p>
    <w:p w:rsidR="00000000" w:rsidDel="00000000" w:rsidP="00000000" w:rsidRDefault="00000000" w:rsidRPr="00000000" w14:paraId="0000008B">
      <w:pPr>
        <w:numPr>
          <w:ilvl w:val="0"/>
          <w:numId w:val="6"/>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Economic Conditions</w:t>
      </w:r>
      <w:r w:rsidDel="00000000" w:rsidR="00000000" w:rsidRPr="00000000">
        <w:rPr>
          <w:rFonts w:ascii="Times New Roman" w:cs="Times New Roman" w:eastAsia="Times New Roman" w:hAnsi="Times New Roman"/>
          <w:sz w:val="24"/>
          <w:szCs w:val="24"/>
          <w:rtl w:val="0"/>
        </w:rPr>
        <w:t xml:space="preserve">: Post-pandemic economic expansion hit diverse sectors and enterprises unevenly. Brick and mortar shops, like John Lewis, which carefully placed its outlets, could have capitalised on these conditions.</w:t>
      </w:r>
      <w:r w:rsidDel="00000000" w:rsidR="00000000" w:rsidRPr="00000000">
        <w:rPr>
          <w:rtl w:val="0"/>
        </w:rPr>
      </w:r>
    </w:p>
    <w:p w:rsidR="00000000" w:rsidDel="00000000" w:rsidP="00000000" w:rsidRDefault="00000000" w:rsidRPr="00000000" w14:paraId="0000008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CAGR calculation and comparison show John Lewis's strong performance against the market index. John Lewis grew 10% compared to the FTSE 100 Index's 4.1%, mainly due to strategic execution and market optimism. The company's durability and growth potential make it an attractive investment compared to the market during the period examined.</w:t>
      </w:r>
    </w:p>
    <w:p w:rsidR="00000000" w:rsidDel="00000000" w:rsidP="00000000" w:rsidRDefault="00000000" w:rsidRPr="00000000" w14:paraId="0000008D">
      <w:pPr>
        <w:pStyle w:val="Heading2"/>
        <w:spacing w:after="240" w:before="240" w:line="360" w:lineRule="auto"/>
        <w:rPr>
          <w:rFonts w:ascii="Times New Roman" w:cs="Times New Roman" w:eastAsia="Times New Roman" w:hAnsi="Times New Roman"/>
          <w:sz w:val="28"/>
          <w:szCs w:val="28"/>
        </w:rPr>
      </w:pPr>
      <w:bookmarkStart w:colFirst="0" w:colLast="0" w:name="_i5ht0ii06q5g" w:id="8"/>
      <w:bookmarkEnd w:id="8"/>
      <w:r w:rsidDel="00000000" w:rsidR="00000000" w:rsidRPr="00000000">
        <w:rPr>
          <w:rFonts w:ascii="Times New Roman" w:cs="Times New Roman" w:eastAsia="Times New Roman" w:hAnsi="Times New Roman"/>
          <w:b w:val="1"/>
          <w:sz w:val="28"/>
          <w:szCs w:val="28"/>
          <w:rtl w:val="0"/>
        </w:rPr>
        <w:t xml:space="preserve">3.3 Sharpe and Treynor Ratios Analysis</w:t>
      </w:r>
      <w:r w:rsidDel="00000000" w:rsidR="00000000" w:rsidRPr="00000000">
        <w:rPr>
          <w:rtl w:val="0"/>
        </w:rPr>
      </w:r>
    </w:p>
    <w:p w:rsidR="00000000" w:rsidDel="00000000" w:rsidP="00000000" w:rsidRDefault="00000000" w:rsidRPr="00000000" w14:paraId="0000008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Standard performance indicators like Sharpe and Treynor ratios help investors assess risk (Pushpalatha &amp; Shankar, 2024). The Sharpe ratio compares the average excess return to overall risk assessed by standard deviation, whereas the Treynor ratio compares it to systematic risk estimated by beta.</w:t>
      </w:r>
    </w:p>
    <w:p w:rsidR="00000000" w:rsidDel="00000000" w:rsidP="00000000" w:rsidRDefault="00000000" w:rsidRPr="00000000" w14:paraId="0000008F">
      <w:pPr>
        <w:pStyle w:val="Heading3"/>
        <w:keepNext w:val="0"/>
        <w:keepLines w:val="0"/>
        <w:spacing w:after="40" w:before="220" w:line="360" w:lineRule="auto"/>
        <w:rPr>
          <w:rFonts w:ascii="Times New Roman" w:cs="Times New Roman" w:eastAsia="Times New Roman" w:hAnsi="Times New Roman"/>
          <w:b w:val="1"/>
          <w:sz w:val="26"/>
          <w:szCs w:val="26"/>
        </w:rPr>
      </w:pPr>
      <w:bookmarkStart w:colFirst="0" w:colLast="0" w:name="_q1zau1jjbjot" w:id="9"/>
      <w:bookmarkEnd w:id="9"/>
      <w:r w:rsidDel="00000000" w:rsidR="00000000" w:rsidRPr="00000000">
        <w:rPr>
          <w:rFonts w:ascii="Times New Roman" w:cs="Times New Roman" w:eastAsia="Times New Roman" w:hAnsi="Times New Roman"/>
          <w:b w:val="1"/>
          <w:sz w:val="26"/>
          <w:szCs w:val="26"/>
          <w:rtl w:val="0"/>
        </w:rPr>
        <w:t xml:space="preserve">Sharpe Ratio</w:t>
      </w:r>
    </w:p>
    <w:p w:rsidR="00000000" w:rsidDel="00000000" w:rsidP="00000000" w:rsidRDefault="00000000" w:rsidRPr="00000000" w14:paraId="0000009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formula for calculating Sharpe ratio:</w:t>
      </w:r>
      <w:r w:rsidDel="00000000" w:rsidR="00000000" w:rsidRPr="00000000">
        <w:rPr>
          <w:rtl w:val="0"/>
        </w:rPr>
      </w:r>
    </w:p>
    <w:p w:rsidR="00000000" w:rsidDel="00000000" w:rsidP="00000000" w:rsidRDefault="00000000" w:rsidRPr="00000000" w14:paraId="0000009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000250" cy="390525"/>
            <wp:effectExtent b="0" l="0" r="0" t="0"/>
            <wp:docPr id="25" name="image18.png"/>
            <a:graphic>
              <a:graphicData uri="http://schemas.openxmlformats.org/drawingml/2006/picture">
                <pic:pic>
                  <pic:nvPicPr>
                    <pic:cNvPr id="0" name="image18.png"/>
                    <pic:cNvPicPr preferRelativeResize="0"/>
                  </pic:nvPicPr>
                  <pic:blipFill>
                    <a:blip r:embed="rId21"/>
                    <a:srcRect b="0" l="0" r="0" t="0"/>
                    <a:stretch>
                      <a:fillRect/>
                    </a:stretch>
                  </pic:blipFill>
                  <pic:spPr>
                    <a:xfrm>
                      <a:off x="0" y="0"/>
                      <a:ext cx="2000250" cy="390525"/>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w:t>
      </w:r>
    </w:p>
    <w:p w:rsidR="00000000" w:rsidDel="00000000" w:rsidP="00000000" w:rsidRDefault="00000000" w:rsidRPr="00000000" w14:paraId="00000093">
      <w:pPr>
        <w:numPr>
          <w:ilvl w:val="0"/>
          <w:numId w:val="8"/>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 is the average return of the investment.</w:t>
      </w:r>
    </w:p>
    <w:p w:rsidR="00000000" w:rsidDel="00000000" w:rsidP="00000000" w:rsidRDefault="00000000" w:rsidRPr="00000000" w14:paraId="00000094">
      <w:pPr>
        <w:numPr>
          <w:ilvl w:val="0"/>
          <w:numId w:val="8"/>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Rf is the risk-free rate.</w:t>
      </w:r>
    </w:p>
    <w:p w:rsidR="00000000" w:rsidDel="00000000" w:rsidP="00000000" w:rsidRDefault="00000000" w:rsidRPr="00000000" w14:paraId="00000095">
      <w:pPr>
        <w:numPr>
          <w:ilvl w:val="0"/>
          <w:numId w:val="8"/>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is the standard deviation of the investment's returns.</w:t>
      </w:r>
    </w:p>
    <w:p w:rsidR="00000000" w:rsidDel="00000000" w:rsidP="00000000" w:rsidRDefault="00000000" w:rsidRPr="00000000" w14:paraId="00000096">
      <w:pPr>
        <w:pStyle w:val="Heading3"/>
        <w:keepNext w:val="0"/>
        <w:keepLines w:val="0"/>
        <w:spacing w:after="40" w:before="220" w:line="360" w:lineRule="auto"/>
        <w:rPr>
          <w:rFonts w:ascii="Times New Roman" w:cs="Times New Roman" w:eastAsia="Times New Roman" w:hAnsi="Times New Roman"/>
          <w:b w:val="1"/>
          <w:sz w:val="26"/>
          <w:szCs w:val="26"/>
        </w:rPr>
      </w:pPr>
      <w:bookmarkStart w:colFirst="0" w:colLast="0" w:name="_98h1hucu6320" w:id="10"/>
      <w:bookmarkEnd w:id="10"/>
      <w:r w:rsidDel="00000000" w:rsidR="00000000" w:rsidRPr="00000000">
        <w:rPr>
          <w:rFonts w:ascii="Times New Roman" w:cs="Times New Roman" w:eastAsia="Times New Roman" w:hAnsi="Times New Roman"/>
          <w:b w:val="1"/>
          <w:sz w:val="26"/>
          <w:szCs w:val="26"/>
          <w:rtl w:val="0"/>
        </w:rPr>
        <w:t xml:space="preserve">Treynor Ratio</w:t>
      </w:r>
    </w:p>
    <w:p w:rsidR="00000000" w:rsidDel="00000000" w:rsidP="00000000" w:rsidRDefault="00000000" w:rsidRPr="00000000" w14:paraId="0000009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formula for Treynor ratio:</w:t>
      </w:r>
      <w:r w:rsidDel="00000000" w:rsidR="00000000" w:rsidRPr="00000000">
        <w:rPr>
          <w:rtl w:val="0"/>
        </w:rPr>
      </w:r>
    </w:p>
    <w:p w:rsidR="00000000" w:rsidDel="00000000" w:rsidP="00000000" w:rsidRDefault="00000000" w:rsidRPr="00000000" w14:paraId="0000009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905000" cy="428625"/>
            <wp:effectExtent b="0" l="0" r="0" t="0"/>
            <wp:docPr id="10" name="image14.png"/>
            <a:graphic>
              <a:graphicData uri="http://schemas.openxmlformats.org/drawingml/2006/picture">
                <pic:pic>
                  <pic:nvPicPr>
                    <pic:cNvPr id="0" name="image14.png"/>
                    <pic:cNvPicPr preferRelativeResize="0"/>
                  </pic:nvPicPr>
                  <pic:blipFill>
                    <a:blip r:embed="rId22"/>
                    <a:srcRect b="0" l="0" r="0" t="0"/>
                    <a:stretch>
                      <a:fillRect/>
                    </a:stretch>
                  </pic:blipFill>
                  <pic:spPr>
                    <a:xfrm>
                      <a:off x="0" y="0"/>
                      <a:ext cx="1905000" cy="428625"/>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w:t>
      </w:r>
    </w:p>
    <w:p w:rsidR="00000000" w:rsidDel="00000000" w:rsidP="00000000" w:rsidRDefault="00000000" w:rsidRPr="00000000" w14:paraId="0000009A">
      <w:pPr>
        <w:numPr>
          <w:ilvl w:val="0"/>
          <w:numId w:val="16"/>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 is the average return on the investment.</w:t>
      </w:r>
    </w:p>
    <w:p w:rsidR="00000000" w:rsidDel="00000000" w:rsidP="00000000" w:rsidRDefault="00000000" w:rsidRPr="00000000" w14:paraId="0000009B">
      <w:pPr>
        <w:numPr>
          <w:ilvl w:val="0"/>
          <w:numId w:val="16"/>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Rf is the risk-free rate.</w:t>
      </w:r>
    </w:p>
    <w:p w:rsidR="00000000" w:rsidDel="00000000" w:rsidP="00000000" w:rsidRDefault="00000000" w:rsidRPr="00000000" w14:paraId="0000009C">
      <w:pPr>
        <w:numPr>
          <w:ilvl w:val="0"/>
          <w:numId w:val="16"/>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βa is the beta of the investment.</w:t>
      </w:r>
    </w:p>
    <w:p w:rsidR="00000000" w:rsidDel="00000000" w:rsidP="00000000" w:rsidRDefault="00000000" w:rsidRPr="00000000" w14:paraId="0000009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analysis will cover 2022 and 2023. Let’s assume the following data:</w:t>
      </w:r>
    </w:p>
    <w:p w:rsidR="00000000" w:rsidDel="00000000" w:rsidP="00000000" w:rsidRDefault="00000000" w:rsidRPr="00000000" w14:paraId="0000009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2022</w:t>
      </w:r>
      <w:r w:rsidDel="00000000" w:rsidR="00000000" w:rsidRPr="00000000">
        <w:rPr>
          <w:rFonts w:ascii="Times New Roman" w:cs="Times New Roman" w:eastAsia="Times New Roman" w:hAnsi="Times New Roman"/>
          <w:sz w:val="24"/>
          <w:szCs w:val="24"/>
          <w:rtl w:val="0"/>
        </w:rPr>
        <w:t xml:space="preserve">: John Lewis share return = 10%, Risk-free rate (10-year UK government bond yield) = 2%, Standard deviation = 0.25, Beta = 1.2</w:t>
      </w:r>
    </w:p>
    <w:p w:rsidR="00000000" w:rsidDel="00000000" w:rsidP="00000000" w:rsidRDefault="00000000" w:rsidRPr="00000000" w14:paraId="0000009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2023</w:t>
      </w:r>
      <w:r w:rsidDel="00000000" w:rsidR="00000000" w:rsidRPr="00000000">
        <w:rPr>
          <w:rFonts w:ascii="Times New Roman" w:cs="Times New Roman" w:eastAsia="Times New Roman" w:hAnsi="Times New Roman"/>
          <w:sz w:val="24"/>
          <w:szCs w:val="24"/>
          <w:rtl w:val="0"/>
        </w:rPr>
        <w:t xml:space="preserve">: John Lewis share return = 15%, Risk-free rate = 2.5%, Standard deviation = 0.30, Beta = 1.1</w:t>
      </w:r>
    </w:p>
    <w:p w:rsidR="00000000" w:rsidDel="00000000" w:rsidP="00000000" w:rsidRDefault="00000000" w:rsidRPr="00000000" w14:paraId="000000A0">
      <w:pPr>
        <w:pStyle w:val="Heading3"/>
        <w:keepNext w:val="0"/>
        <w:keepLines w:val="0"/>
        <w:spacing w:after="40" w:before="220" w:line="360" w:lineRule="auto"/>
        <w:rPr>
          <w:rFonts w:ascii="Times New Roman" w:cs="Times New Roman" w:eastAsia="Times New Roman" w:hAnsi="Times New Roman"/>
          <w:b w:val="1"/>
          <w:sz w:val="26"/>
          <w:szCs w:val="26"/>
        </w:rPr>
      </w:pPr>
      <w:bookmarkStart w:colFirst="0" w:colLast="0" w:name="_rz7b3kvd526u" w:id="11"/>
      <w:bookmarkEnd w:id="11"/>
      <w:r w:rsidDel="00000000" w:rsidR="00000000" w:rsidRPr="00000000">
        <w:rPr>
          <w:rFonts w:ascii="Times New Roman" w:cs="Times New Roman" w:eastAsia="Times New Roman" w:hAnsi="Times New Roman"/>
          <w:b w:val="1"/>
          <w:sz w:val="26"/>
          <w:szCs w:val="26"/>
          <w:rtl w:val="0"/>
        </w:rPr>
        <w:t xml:space="preserve">Calculations for 2022</w:t>
      </w:r>
    </w:p>
    <w:p w:rsidR="00000000" w:rsidDel="00000000" w:rsidP="00000000" w:rsidRDefault="00000000" w:rsidRPr="00000000" w14:paraId="000000A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Sharpe Ratio (2022)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552700" cy="285750"/>
            <wp:effectExtent b="0" l="0" r="0" t="0"/>
            <wp:docPr id="8" name="image20.png"/>
            <a:graphic>
              <a:graphicData uri="http://schemas.openxmlformats.org/drawingml/2006/picture">
                <pic:pic>
                  <pic:nvPicPr>
                    <pic:cNvPr id="0" name="image20.png"/>
                    <pic:cNvPicPr preferRelativeResize="0"/>
                  </pic:nvPicPr>
                  <pic:blipFill>
                    <a:blip r:embed="rId23"/>
                    <a:srcRect b="0" l="0" r="0" t="0"/>
                    <a:stretch>
                      <a:fillRect/>
                    </a:stretch>
                  </pic:blipFill>
                  <pic:spPr>
                    <a:xfrm>
                      <a:off x="0" y="0"/>
                      <a:ext cx="2552700" cy="285750"/>
                    </a:xfrm>
                    <a:prstGeom prst="rect"/>
                    <a:ln/>
                  </pic:spPr>
                </pic:pic>
              </a:graphicData>
            </a:graphic>
          </wp:inline>
        </w:drawing>
      </w:r>
      <w:r w:rsidDel="00000000" w:rsidR="00000000" w:rsidRPr="00000000">
        <w:rPr>
          <w:rtl w:val="0"/>
        </w:rPr>
      </w:r>
    </w:p>
    <w:p w:rsidR="00000000" w:rsidDel="00000000" w:rsidP="00000000" w:rsidRDefault="00000000" w:rsidRPr="00000000" w14:paraId="000000A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Treynor Ratio (2022)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743200" cy="285750"/>
            <wp:effectExtent b="0" l="0" r="0" t="0"/>
            <wp:docPr id="19" name="image6.png"/>
            <a:graphic>
              <a:graphicData uri="http://schemas.openxmlformats.org/drawingml/2006/picture">
                <pic:pic>
                  <pic:nvPicPr>
                    <pic:cNvPr id="0" name="image6.png"/>
                    <pic:cNvPicPr preferRelativeResize="0"/>
                  </pic:nvPicPr>
                  <pic:blipFill>
                    <a:blip r:embed="rId24"/>
                    <a:srcRect b="0" l="0" r="0" t="0"/>
                    <a:stretch>
                      <a:fillRect/>
                    </a:stretch>
                  </pic:blipFill>
                  <pic:spPr>
                    <a:xfrm>
                      <a:off x="0" y="0"/>
                      <a:ext cx="2743200" cy="285750"/>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pStyle w:val="Heading3"/>
        <w:spacing w:after="240" w:before="240" w:line="360" w:lineRule="auto"/>
        <w:rPr>
          <w:rFonts w:ascii="Times New Roman" w:cs="Times New Roman" w:eastAsia="Times New Roman" w:hAnsi="Times New Roman"/>
          <w:b w:val="1"/>
          <w:sz w:val="26"/>
          <w:szCs w:val="26"/>
        </w:rPr>
      </w:pPr>
      <w:bookmarkStart w:colFirst="0" w:colLast="0" w:name="_5fokk3545m44" w:id="12"/>
      <w:bookmarkEnd w:id="12"/>
      <w:r w:rsidDel="00000000" w:rsidR="00000000" w:rsidRPr="00000000">
        <w:rPr>
          <w:rFonts w:ascii="Times New Roman" w:cs="Times New Roman" w:eastAsia="Times New Roman" w:hAnsi="Times New Roman"/>
          <w:b w:val="1"/>
          <w:sz w:val="26"/>
          <w:szCs w:val="26"/>
          <w:rtl w:val="0"/>
        </w:rPr>
        <w:t xml:space="preserve">Calculations for 2023</w:t>
      </w:r>
    </w:p>
    <w:p w:rsidR="00000000" w:rsidDel="00000000" w:rsidP="00000000" w:rsidRDefault="00000000" w:rsidRPr="00000000" w14:paraId="000000A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Sharpe Ratio (2023)</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695575" cy="257175"/>
            <wp:effectExtent b="0" l="0" r="0" t="0"/>
            <wp:docPr id="16" name="image2.png"/>
            <a:graphic>
              <a:graphicData uri="http://schemas.openxmlformats.org/drawingml/2006/picture">
                <pic:pic>
                  <pic:nvPicPr>
                    <pic:cNvPr id="0" name="image2.png"/>
                    <pic:cNvPicPr preferRelativeResize="0"/>
                  </pic:nvPicPr>
                  <pic:blipFill>
                    <a:blip r:embed="rId25"/>
                    <a:srcRect b="0" l="0" r="0" t="0"/>
                    <a:stretch>
                      <a:fillRect/>
                    </a:stretch>
                  </pic:blipFill>
                  <pic:spPr>
                    <a:xfrm>
                      <a:off x="0" y="0"/>
                      <a:ext cx="2695575" cy="257175"/>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Treynor Ratio (2023)</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790825" cy="285750"/>
            <wp:effectExtent b="0" l="0" r="0" t="0"/>
            <wp:docPr id="20" name="image22.png"/>
            <a:graphic>
              <a:graphicData uri="http://schemas.openxmlformats.org/drawingml/2006/picture">
                <pic:pic>
                  <pic:nvPicPr>
                    <pic:cNvPr id="0" name="image22.png"/>
                    <pic:cNvPicPr preferRelativeResize="0"/>
                  </pic:nvPicPr>
                  <pic:blipFill>
                    <a:blip r:embed="rId26"/>
                    <a:srcRect b="0" l="0" r="0" t="0"/>
                    <a:stretch>
                      <a:fillRect/>
                    </a:stretch>
                  </pic:blipFill>
                  <pic:spPr>
                    <a:xfrm>
                      <a:off x="0" y="0"/>
                      <a:ext cx="2790825" cy="285750"/>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pStyle w:val="Heading3"/>
        <w:keepNext w:val="0"/>
        <w:keepLines w:val="0"/>
        <w:spacing w:after="40" w:before="240" w:line="360" w:lineRule="auto"/>
        <w:rPr>
          <w:rFonts w:ascii="Times New Roman" w:cs="Times New Roman" w:eastAsia="Times New Roman" w:hAnsi="Times New Roman"/>
          <w:b w:val="1"/>
          <w:sz w:val="26"/>
          <w:szCs w:val="26"/>
        </w:rPr>
      </w:pPr>
      <w:bookmarkStart w:colFirst="0" w:colLast="0" w:name="_aqt5kbfxrpn2" w:id="13"/>
      <w:bookmarkEnd w:id="13"/>
      <w:r w:rsidDel="00000000" w:rsidR="00000000" w:rsidRPr="00000000">
        <w:rPr>
          <w:rFonts w:ascii="Times New Roman" w:cs="Times New Roman" w:eastAsia="Times New Roman" w:hAnsi="Times New Roman"/>
          <w:b w:val="1"/>
          <w:sz w:val="26"/>
          <w:szCs w:val="26"/>
          <w:rtl w:val="0"/>
        </w:rPr>
        <w:t xml:space="preserve">Commentary on John Lewis’s Performance Based on These Ratios</w:t>
      </w:r>
    </w:p>
    <w:p w:rsidR="00000000" w:rsidDel="00000000" w:rsidP="00000000" w:rsidRDefault="00000000" w:rsidRPr="00000000" w14:paraId="000000A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2022 and 2023 Sharpe and Treynor ratios for John Lewis show the risk-adjusted efficiency of its shares.</w:t>
      </w:r>
    </w:p>
    <w:p w:rsidR="00000000" w:rsidDel="00000000" w:rsidP="00000000" w:rsidRDefault="00000000" w:rsidRPr="00000000" w14:paraId="000000AC">
      <w:pPr>
        <w:keepNext w:val="0"/>
        <w:keepLines w:val="0"/>
        <w:spacing w:after="40" w:before="22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Sharpe Ratio Analysis</w:t>
      </w:r>
    </w:p>
    <w:p w:rsidR="00000000" w:rsidDel="00000000" w:rsidP="00000000" w:rsidRDefault="00000000" w:rsidRPr="00000000" w14:paraId="000000A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Sharpe ratio of 0.32 in 2022 meant John Lewis received 0.32 units of excess return per unit of risk. Sharpe ratio rose to 0.417 in 2023, indicating better performance than risk assumed. The higher Sharpe ratio in 2023 means John Lewis provided superior risk-adjusted returns than in 2022, making it a better investment.</w:t>
      </w:r>
    </w:p>
    <w:p w:rsidR="00000000" w:rsidDel="00000000" w:rsidP="00000000" w:rsidRDefault="00000000" w:rsidRPr="00000000" w14:paraId="000000AE">
      <w:pPr>
        <w:keepNext w:val="0"/>
        <w:keepLines w:val="0"/>
        <w:spacing w:after="40" w:before="22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Treynor Ratio Analysis</w:t>
      </w:r>
    </w:p>
    <w:p w:rsidR="00000000" w:rsidDel="00000000" w:rsidP="00000000" w:rsidRDefault="00000000" w:rsidRPr="00000000" w14:paraId="000000A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Lewis' Treynor ratio rose from 0.067 in 2022 to 0.114 in 2023. John Lewis' returns per unit of systematic risk increased in 2023 compared to 2022. The greater Treynor ratio in 2023 implies John Lewis managed market risks well and achieved beta-beating gains.</w:t>
      </w:r>
    </w:p>
    <w:p w:rsidR="00000000" w:rsidDel="00000000" w:rsidP="00000000" w:rsidRDefault="00000000" w:rsidRPr="00000000" w14:paraId="000000B0">
      <w:pPr>
        <w:keepNext w:val="0"/>
        <w:keepLines w:val="0"/>
        <w:spacing w:after="40" w:before="22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Overall Performance Commentary</w:t>
      </w:r>
    </w:p>
    <w:p w:rsidR="00000000" w:rsidDel="00000000" w:rsidP="00000000" w:rsidRDefault="00000000" w:rsidRPr="00000000" w14:paraId="000000B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period between the years 2022 and 2023, John Lewis was able to achieve a higher level of operational performance, as evidenced by the ratios Sharpe and Treynor. Both ratios are enhanced as a result of the enhancement, which does not necessarily reflect an increase in earnings but rather implies an improvement in risk management. In the year 2023, both the Sharpe and Treynor ratios started to demonstrate an upward trend, which is a sign of enhanced risk-return diversification and portfolio performance that is superior to market risk.</w:t>
      </w:r>
    </w:p>
    <w:p w:rsidR="00000000" w:rsidDel="00000000" w:rsidP="00000000" w:rsidRDefault="00000000" w:rsidRPr="00000000" w14:paraId="000000B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Lewis's success in 2023 may have been influenced by the strategic plans of the company, the existing status of the market, and the internal atmosphere of the organisation. There is a potential that these factors all played a role. The effectiveness of management and the optimism of investors regarding the portfolio of the company are both indicated by a higher risk-adjusted return, which is a measure of potential returns. The results of this analysis highlight the attractiveness of John Lewis as an investment opportunity, particularly with regard to the complete and systematic risk control that the company provides.</w:t>
      </w:r>
    </w:p>
    <w:p w:rsidR="00000000" w:rsidDel="00000000" w:rsidP="00000000" w:rsidRDefault="00000000" w:rsidRPr="00000000" w14:paraId="000000B3">
      <w:pPr>
        <w:pStyle w:val="Heading1"/>
        <w:keepNext w:val="0"/>
        <w:keepLines w:val="0"/>
        <w:spacing w:after="40" w:before="240" w:line="360" w:lineRule="auto"/>
        <w:rPr>
          <w:rFonts w:ascii="Times New Roman" w:cs="Times New Roman" w:eastAsia="Times New Roman" w:hAnsi="Times New Roman"/>
          <w:b w:val="1"/>
          <w:sz w:val="32"/>
          <w:szCs w:val="32"/>
        </w:rPr>
      </w:pPr>
      <w:bookmarkStart w:colFirst="0" w:colLast="0" w:name="_ktet72ujrfxt" w:id="14"/>
      <w:bookmarkEnd w:id="14"/>
      <w:r w:rsidDel="00000000" w:rsidR="00000000" w:rsidRPr="00000000">
        <w:rPr>
          <w:rFonts w:ascii="Times New Roman" w:cs="Times New Roman" w:eastAsia="Times New Roman" w:hAnsi="Times New Roman"/>
          <w:b w:val="1"/>
          <w:sz w:val="32"/>
          <w:szCs w:val="32"/>
          <w:rtl w:val="0"/>
        </w:rPr>
        <w:t xml:space="preserve">4. Derivative Contracts Analysis</w:t>
      </w:r>
    </w:p>
    <w:p w:rsidR="00000000" w:rsidDel="00000000" w:rsidP="00000000" w:rsidRDefault="00000000" w:rsidRPr="00000000" w14:paraId="000000B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Derivatives are financial instruments whose value is derived from the value of an underlying asset, index, or rate. Common types of derivatives include futures, options, swaps, and forwards. These instruments are used for various purposes, including hedging risk, speculation, and arbitrage. In the context of this analysis, we focus on options, which are contracts that give the holder the right, but not the obligation, to buy or sell an asset at a predetermined price within a specified time frame.</w:t>
      </w:r>
    </w:p>
    <w:p w:rsidR="00000000" w:rsidDel="00000000" w:rsidP="00000000" w:rsidRDefault="00000000" w:rsidRPr="00000000" w14:paraId="000000B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Options are significant because they offer investors flexibility and leverage. There are two primary types of options: call options and put options. A call option gives the holder the right to buy an asset at a specified price (strike price) within a certain period, while a put option gives the holder the right to sell an asset at a specified price within a certain period (Backwell, 2023). These options are traded on exchanges and can be used to manage portfolio risk, enhance returns, or take advantage of market opportunities.</w:t>
      </w:r>
    </w:p>
    <w:p w:rsidR="00000000" w:rsidDel="00000000" w:rsidP="00000000" w:rsidRDefault="00000000" w:rsidRPr="00000000" w14:paraId="000000B6">
      <w:pPr>
        <w:pStyle w:val="Heading2"/>
        <w:keepNext w:val="0"/>
        <w:keepLines w:val="0"/>
        <w:spacing w:after="40" w:before="240" w:line="360" w:lineRule="auto"/>
        <w:rPr>
          <w:rFonts w:ascii="Times New Roman" w:cs="Times New Roman" w:eastAsia="Times New Roman" w:hAnsi="Times New Roman"/>
          <w:b w:val="1"/>
          <w:sz w:val="28"/>
          <w:szCs w:val="28"/>
        </w:rPr>
      </w:pPr>
      <w:bookmarkStart w:colFirst="0" w:colLast="0" w:name="_hbrk8uxch09r" w:id="15"/>
      <w:bookmarkEnd w:id="15"/>
      <w:r w:rsidDel="00000000" w:rsidR="00000000" w:rsidRPr="00000000">
        <w:rPr>
          <w:rFonts w:ascii="Times New Roman" w:cs="Times New Roman" w:eastAsia="Times New Roman" w:hAnsi="Times New Roman"/>
          <w:b w:val="1"/>
          <w:sz w:val="28"/>
          <w:szCs w:val="28"/>
          <w:rtl w:val="0"/>
        </w:rPr>
        <w:t xml:space="preserve">4.1 Call Option Payoff Analysis</w:t>
      </w:r>
    </w:p>
    <w:p w:rsidR="00000000" w:rsidDel="00000000" w:rsidP="00000000" w:rsidRDefault="00000000" w:rsidRPr="00000000" w14:paraId="000000B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call option's payoff depends on the price of the underlying asset at expiration. For an at-the-money call option, the strike price is equal to the current price of the underlying asset. Let’s consider a call option on John Lewis's shares with a strike price of £3.10 (the current share price in 2023) and a premium of £0.20.</w:t>
      </w:r>
    </w:p>
    <w:p w:rsidR="00000000" w:rsidDel="00000000" w:rsidP="00000000" w:rsidRDefault="00000000" w:rsidRPr="00000000" w14:paraId="000000B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payoff for the call option can be represented graphically as follows:</w:t>
      </w:r>
    </w:p>
    <w:p w:rsidR="00000000" w:rsidDel="00000000" w:rsidP="00000000" w:rsidRDefault="00000000" w:rsidRPr="00000000" w14:paraId="000000B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838450" cy="828675"/>
            <wp:effectExtent b="0" l="0" r="0" t="0"/>
            <wp:docPr id="5" name="image8.png"/>
            <a:graphic>
              <a:graphicData uri="http://schemas.openxmlformats.org/drawingml/2006/picture">
                <pic:pic>
                  <pic:nvPicPr>
                    <pic:cNvPr id="0" name="image8.png"/>
                    <pic:cNvPicPr preferRelativeResize="0"/>
                  </pic:nvPicPr>
                  <pic:blipFill>
                    <a:blip r:embed="rId27"/>
                    <a:srcRect b="0" l="0" r="0" t="0"/>
                    <a:stretch>
                      <a:fillRect/>
                    </a:stretch>
                  </pic:blipFill>
                  <pic:spPr>
                    <a:xfrm>
                      <a:off x="0" y="0"/>
                      <a:ext cx="2838450" cy="828675"/>
                    </a:xfrm>
                    <a:prstGeom prst="rect"/>
                    <a:ln/>
                  </pic:spPr>
                </pic:pic>
              </a:graphicData>
            </a:graphic>
          </wp:inline>
        </w:drawing>
      </w:r>
      <w:r w:rsidDel="00000000" w:rsidR="00000000" w:rsidRPr="00000000">
        <w:rPr>
          <w:rtl w:val="0"/>
        </w:rPr>
      </w:r>
    </w:p>
    <w:p w:rsidR="00000000" w:rsidDel="00000000" w:rsidP="00000000" w:rsidRDefault="00000000" w:rsidRPr="00000000" w14:paraId="000000B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w:t>
      </w:r>
    </w:p>
    <w:p w:rsidR="00000000" w:rsidDel="00000000" w:rsidP="00000000" w:rsidRDefault="00000000" w:rsidRPr="00000000" w14:paraId="000000BB">
      <w:pPr>
        <w:numPr>
          <w:ilvl w:val="0"/>
          <w:numId w:val="1"/>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 is the share price at expiration.</w:t>
      </w:r>
    </w:p>
    <w:p w:rsidR="00000000" w:rsidDel="00000000" w:rsidP="00000000" w:rsidRDefault="00000000" w:rsidRPr="00000000" w14:paraId="000000BC">
      <w:pPr>
        <w:numPr>
          <w:ilvl w:val="0"/>
          <w:numId w:val="1"/>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 is the strike price (£3.10).</w:t>
      </w:r>
    </w:p>
    <w:p w:rsidR="00000000" w:rsidDel="00000000" w:rsidP="00000000" w:rsidRDefault="00000000" w:rsidRPr="00000000" w14:paraId="000000B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w:t>
      </w:r>
    </w:p>
    <w:p w:rsidR="00000000" w:rsidDel="00000000" w:rsidP="00000000" w:rsidRDefault="00000000" w:rsidRPr="00000000" w14:paraId="000000BE">
      <w:pPr>
        <w:numPr>
          <w:ilvl w:val="0"/>
          <w:numId w:val="4"/>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share price at expiration is £3.00, the payoff is £0 (since the option is not exercised).</w:t>
      </w:r>
    </w:p>
    <w:p w:rsidR="00000000" w:rsidDel="00000000" w:rsidP="00000000" w:rsidRDefault="00000000" w:rsidRPr="00000000" w14:paraId="000000BF">
      <w:pPr>
        <w:numPr>
          <w:ilvl w:val="0"/>
          <w:numId w:val="4"/>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share price at expiration is £3.50, the payoff is £3.50 - £3.10 = £0.40.</w:t>
      </w:r>
    </w:p>
    <w:p w:rsidR="00000000" w:rsidDel="00000000" w:rsidP="00000000" w:rsidRDefault="00000000" w:rsidRPr="00000000" w14:paraId="000000C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207719" cy="2526469"/>
            <wp:effectExtent b="0" l="0" r="0" t="0"/>
            <wp:docPr id="23" name="image21.png"/>
            <a:graphic>
              <a:graphicData uri="http://schemas.openxmlformats.org/drawingml/2006/picture">
                <pic:pic>
                  <pic:nvPicPr>
                    <pic:cNvPr id="0" name="image21.png"/>
                    <pic:cNvPicPr preferRelativeResize="0"/>
                  </pic:nvPicPr>
                  <pic:blipFill>
                    <a:blip r:embed="rId28"/>
                    <a:srcRect b="0" l="0" r="0" t="0"/>
                    <a:stretch>
                      <a:fillRect/>
                    </a:stretch>
                  </pic:blipFill>
                  <pic:spPr>
                    <a:xfrm>
                      <a:off x="0" y="0"/>
                      <a:ext cx="4207719" cy="2526469"/>
                    </a:xfrm>
                    <a:prstGeom prst="rect"/>
                    <a:ln/>
                  </pic:spPr>
                </pic:pic>
              </a:graphicData>
            </a:graphic>
          </wp:inline>
        </w:drawing>
      </w:r>
      <w:r w:rsidDel="00000000" w:rsidR="00000000" w:rsidRPr="00000000">
        <w:rPr>
          <w:rtl w:val="0"/>
        </w:rPr>
      </w:r>
    </w:p>
    <w:p w:rsidR="00000000" w:rsidDel="00000000" w:rsidP="00000000" w:rsidRDefault="00000000" w:rsidRPr="00000000" w14:paraId="000000C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Figure: </w:t>
      </w:r>
      <w:r w:rsidDel="00000000" w:rsidR="00000000" w:rsidRPr="00000000">
        <w:rPr>
          <w:rFonts w:ascii="Times New Roman" w:cs="Times New Roman" w:eastAsia="Times New Roman" w:hAnsi="Times New Roman"/>
          <w:sz w:val="24"/>
          <w:szCs w:val="24"/>
          <w:rtl w:val="0"/>
        </w:rPr>
        <w:t xml:space="preserve">Call Option Payoff Diagram</w:t>
      </w:r>
    </w:p>
    <w:p w:rsidR="00000000" w:rsidDel="00000000" w:rsidP="00000000" w:rsidRDefault="00000000" w:rsidRPr="00000000" w14:paraId="000000C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graph shows the payoff of an at-the-money call option at different share prices at expiration. The x-axis represents the share price at expiration, while the y-axis represents the payoff of the call option. The payoff is zero when the share price is below the strike price (£3.10), as the option is not exercised. Once the share price exceeds the strike price, the payoff increases linearly, reflecting the intrinsic value of the option minus the premium paid.</w:t>
      </w:r>
    </w:p>
    <w:p w:rsidR="00000000" w:rsidDel="00000000" w:rsidP="00000000" w:rsidRDefault="00000000" w:rsidRPr="00000000" w14:paraId="000000C3">
      <w:pPr>
        <w:pStyle w:val="Heading2"/>
        <w:keepNext w:val="0"/>
        <w:keepLines w:val="0"/>
        <w:spacing w:after="40" w:before="240" w:line="360" w:lineRule="auto"/>
        <w:rPr>
          <w:rFonts w:ascii="Times New Roman" w:cs="Times New Roman" w:eastAsia="Times New Roman" w:hAnsi="Times New Roman"/>
          <w:b w:val="1"/>
          <w:sz w:val="28"/>
          <w:szCs w:val="28"/>
        </w:rPr>
      </w:pPr>
      <w:bookmarkStart w:colFirst="0" w:colLast="0" w:name="_95zy7ho0k965" w:id="16"/>
      <w:bookmarkEnd w:id="16"/>
      <w:r w:rsidDel="00000000" w:rsidR="00000000" w:rsidRPr="00000000">
        <w:rPr>
          <w:rFonts w:ascii="Times New Roman" w:cs="Times New Roman" w:eastAsia="Times New Roman" w:hAnsi="Times New Roman"/>
          <w:b w:val="1"/>
          <w:sz w:val="28"/>
          <w:szCs w:val="28"/>
          <w:rtl w:val="0"/>
        </w:rPr>
        <w:t xml:space="preserve">4.2 Put Option Payoff Analysis</w:t>
      </w:r>
    </w:p>
    <w:p w:rsidR="00000000" w:rsidDel="00000000" w:rsidP="00000000" w:rsidRDefault="00000000" w:rsidRPr="00000000" w14:paraId="000000C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put option's payoff also depends on the price of the underlying asset at expiration. For an at-the-money put option, the strike price is equal to the current price of the underlying asset. Consider a put option on John Lewis's shares with a strike price of £3.10 and a premium of £0.20.</w:t>
      </w:r>
    </w:p>
    <w:p w:rsidR="00000000" w:rsidDel="00000000" w:rsidP="00000000" w:rsidRDefault="00000000" w:rsidRPr="00000000" w14:paraId="000000C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payoff for the put option can be represented graphically as follows:</w:t>
      </w:r>
    </w:p>
    <w:p w:rsidR="00000000" w:rsidDel="00000000" w:rsidP="00000000" w:rsidRDefault="00000000" w:rsidRPr="00000000" w14:paraId="000000C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505075" cy="752475"/>
            <wp:effectExtent b="0" l="0" r="0" t="0"/>
            <wp:docPr id="11" name="image7.png"/>
            <a:graphic>
              <a:graphicData uri="http://schemas.openxmlformats.org/drawingml/2006/picture">
                <pic:pic>
                  <pic:nvPicPr>
                    <pic:cNvPr id="0" name="image7.png"/>
                    <pic:cNvPicPr preferRelativeResize="0"/>
                  </pic:nvPicPr>
                  <pic:blipFill>
                    <a:blip r:embed="rId29"/>
                    <a:srcRect b="0" l="0" r="0" t="0"/>
                    <a:stretch>
                      <a:fillRect/>
                    </a:stretch>
                  </pic:blipFill>
                  <pic:spPr>
                    <a:xfrm>
                      <a:off x="0" y="0"/>
                      <a:ext cx="2505075" cy="752475"/>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w:t>
      </w:r>
    </w:p>
    <w:p w:rsidR="00000000" w:rsidDel="00000000" w:rsidP="00000000" w:rsidRDefault="00000000" w:rsidRPr="00000000" w14:paraId="000000C8">
      <w:pPr>
        <w:numPr>
          <w:ilvl w:val="0"/>
          <w:numId w:val="5"/>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share price at expiration is £2.80, the payoff is £3.10 - £2.80 = £0.30.</w:t>
      </w:r>
    </w:p>
    <w:p w:rsidR="00000000" w:rsidDel="00000000" w:rsidP="00000000" w:rsidRDefault="00000000" w:rsidRPr="00000000" w14:paraId="000000C9">
      <w:pPr>
        <w:numPr>
          <w:ilvl w:val="0"/>
          <w:numId w:val="5"/>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share price at expiration is £3.50, the payoff is £0 (since the option is not exercised).</w:t>
      </w:r>
    </w:p>
    <w:p w:rsidR="00000000" w:rsidDel="00000000" w:rsidP="00000000" w:rsidRDefault="00000000" w:rsidRPr="00000000" w14:paraId="000000C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833938" cy="2951491"/>
            <wp:effectExtent b="0" l="0" r="0" t="0"/>
            <wp:docPr id="22" name="image12.png"/>
            <a:graphic>
              <a:graphicData uri="http://schemas.openxmlformats.org/drawingml/2006/picture">
                <pic:pic>
                  <pic:nvPicPr>
                    <pic:cNvPr id="0" name="image12.png"/>
                    <pic:cNvPicPr preferRelativeResize="0"/>
                  </pic:nvPicPr>
                  <pic:blipFill>
                    <a:blip r:embed="rId30"/>
                    <a:srcRect b="0" l="0" r="0" t="0"/>
                    <a:stretch>
                      <a:fillRect/>
                    </a:stretch>
                  </pic:blipFill>
                  <pic:spPr>
                    <a:xfrm>
                      <a:off x="0" y="0"/>
                      <a:ext cx="4833938" cy="2951491"/>
                    </a:xfrm>
                    <a:prstGeom prst="rect"/>
                    <a:ln/>
                  </pic:spPr>
                </pic:pic>
              </a:graphicData>
            </a:graphic>
          </wp:inline>
        </w:drawing>
      </w:r>
      <w:r w:rsidDel="00000000" w:rsidR="00000000" w:rsidRPr="00000000">
        <w:rPr>
          <w:rtl w:val="0"/>
        </w:rPr>
      </w:r>
    </w:p>
    <w:p w:rsidR="00000000" w:rsidDel="00000000" w:rsidP="00000000" w:rsidRDefault="00000000" w:rsidRPr="00000000" w14:paraId="000000C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Figure: </w:t>
      </w:r>
      <w:r w:rsidDel="00000000" w:rsidR="00000000" w:rsidRPr="00000000">
        <w:rPr>
          <w:rFonts w:ascii="Times New Roman" w:cs="Times New Roman" w:eastAsia="Times New Roman" w:hAnsi="Times New Roman"/>
          <w:sz w:val="24"/>
          <w:szCs w:val="24"/>
          <w:rtl w:val="0"/>
        </w:rPr>
        <w:t xml:space="preserve">Put Option Payoff Diagram</w:t>
      </w:r>
    </w:p>
    <w:p w:rsidR="00000000" w:rsidDel="00000000" w:rsidP="00000000" w:rsidRDefault="00000000" w:rsidRPr="00000000" w14:paraId="000000C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graph shows the payoff of an at-the-money put option at different share prices at expiration. The x-axis represents the share price at expiration, while the y-axis represents the payoff of the put option. The payoff is zero when the share price is above the strike price (£3.10), as the option is not exercised. When the share price falls below the strike price, the payoff increases linearly, reflecting the intrinsic value of the option minus the premium paid.</w:t>
      </w:r>
    </w:p>
    <w:p w:rsidR="00000000" w:rsidDel="00000000" w:rsidP="00000000" w:rsidRDefault="00000000" w:rsidRPr="00000000" w14:paraId="000000CD">
      <w:pPr>
        <w:pStyle w:val="Heading2"/>
        <w:keepNext w:val="0"/>
        <w:keepLines w:val="0"/>
        <w:spacing w:after="40" w:before="240" w:line="360" w:lineRule="auto"/>
        <w:rPr>
          <w:rFonts w:ascii="Times New Roman" w:cs="Times New Roman" w:eastAsia="Times New Roman" w:hAnsi="Times New Roman"/>
          <w:b w:val="1"/>
          <w:sz w:val="28"/>
          <w:szCs w:val="28"/>
        </w:rPr>
      </w:pPr>
      <w:bookmarkStart w:colFirst="0" w:colLast="0" w:name="_j08vwn182jl3" w:id="17"/>
      <w:bookmarkEnd w:id="17"/>
      <w:r w:rsidDel="00000000" w:rsidR="00000000" w:rsidRPr="00000000">
        <w:rPr>
          <w:rFonts w:ascii="Times New Roman" w:cs="Times New Roman" w:eastAsia="Times New Roman" w:hAnsi="Times New Roman"/>
          <w:b w:val="1"/>
          <w:sz w:val="28"/>
          <w:szCs w:val="28"/>
          <w:rtl w:val="0"/>
        </w:rPr>
        <w:t xml:space="preserve">4.3 Strangle/Straddle Construction</w:t>
      </w:r>
    </w:p>
    <w:p w:rsidR="00000000" w:rsidDel="00000000" w:rsidP="00000000" w:rsidRDefault="00000000" w:rsidRPr="00000000" w14:paraId="000000C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strangle and a straddle are options strategies that involve buying both call and put options on the same underlying asset with the same expiration date (Alam, 2022).</w:t>
      </w:r>
    </w:p>
    <w:p w:rsidR="00000000" w:rsidDel="00000000" w:rsidP="00000000" w:rsidRDefault="00000000" w:rsidRPr="00000000" w14:paraId="000000C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b w:val="1"/>
          <w:sz w:val="24"/>
          <w:szCs w:val="24"/>
          <w:rtl w:val="0"/>
        </w:rPr>
        <w:t xml:space="preserve">straddle</w:t>
      </w:r>
      <w:r w:rsidDel="00000000" w:rsidR="00000000" w:rsidRPr="00000000">
        <w:rPr>
          <w:rFonts w:ascii="Times New Roman" w:cs="Times New Roman" w:eastAsia="Times New Roman" w:hAnsi="Times New Roman"/>
          <w:sz w:val="24"/>
          <w:szCs w:val="24"/>
          <w:rtl w:val="0"/>
        </w:rPr>
        <w:t xml:space="preserve"> involves buying an at-the-money call option and an at-the-money put option. This strategy profits from significant price movements in either direction. The initial cost is higher due to both premiums being paid, but it offers high potential returns if the underlying asset moves significantly.</w:t>
      </w:r>
    </w:p>
    <w:p w:rsidR="00000000" w:rsidDel="00000000" w:rsidP="00000000" w:rsidRDefault="00000000" w:rsidRPr="00000000" w14:paraId="000000D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b w:val="1"/>
          <w:sz w:val="24"/>
          <w:szCs w:val="24"/>
          <w:rtl w:val="0"/>
        </w:rPr>
        <w:t xml:space="preserve">strangle</w:t>
      </w:r>
      <w:r w:rsidDel="00000000" w:rsidR="00000000" w:rsidRPr="00000000">
        <w:rPr>
          <w:rFonts w:ascii="Times New Roman" w:cs="Times New Roman" w:eastAsia="Times New Roman" w:hAnsi="Times New Roman"/>
          <w:sz w:val="24"/>
          <w:szCs w:val="24"/>
          <w:rtl w:val="0"/>
        </w:rPr>
        <w:t xml:space="preserve"> involves buying an out-of-the-money call option and an out-of-the-money put option. This strategy is cheaper than a straddle because the premiums for out-of-the-money options are lower. But, it is more sensitive to prices; it earns profits when there is a more significant change in prices.</w:t>
      </w:r>
    </w:p>
    <w:p w:rsidR="00000000" w:rsidDel="00000000" w:rsidP="00000000" w:rsidRDefault="00000000" w:rsidRPr="00000000" w14:paraId="000000D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instance, a straddle for John Lewis with a share price of £3.10 requires buying a call option and a put option with the same strike price. The total premium might be £0.40 (£0.20 per option).</w:t>
      </w:r>
    </w:p>
    <w:p w:rsidR="00000000" w:rsidDel="00000000" w:rsidP="00000000" w:rsidRDefault="00000000" w:rsidRPr="00000000" w14:paraId="000000D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straddle strategy pay-off can be explained graphically:</w:t>
      </w:r>
    </w:p>
    <w:p w:rsidR="00000000" w:rsidDel="00000000" w:rsidP="00000000" w:rsidRDefault="00000000" w:rsidRPr="00000000" w14:paraId="000000D3">
      <w:pPr>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795838" cy="2920542"/>
            <wp:effectExtent b="0" l="0" r="0" t="0"/>
            <wp:docPr id="12" name="image19.png"/>
            <a:graphic>
              <a:graphicData uri="http://schemas.openxmlformats.org/drawingml/2006/picture">
                <pic:pic>
                  <pic:nvPicPr>
                    <pic:cNvPr id="0" name="image19.png"/>
                    <pic:cNvPicPr preferRelativeResize="0"/>
                  </pic:nvPicPr>
                  <pic:blipFill>
                    <a:blip r:embed="rId31"/>
                    <a:srcRect b="0" l="0" r="0" t="0"/>
                    <a:stretch>
                      <a:fillRect/>
                    </a:stretch>
                  </pic:blipFill>
                  <pic:spPr>
                    <a:xfrm>
                      <a:off x="0" y="0"/>
                      <a:ext cx="4795838" cy="2920542"/>
                    </a:xfrm>
                    <a:prstGeom prst="rect"/>
                    <a:ln/>
                  </pic:spPr>
                </pic:pic>
              </a:graphicData>
            </a:graphic>
          </wp:inline>
        </w:drawing>
      </w:r>
      <w:r w:rsidDel="00000000" w:rsidR="00000000" w:rsidRPr="00000000">
        <w:rPr>
          <w:rtl w:val="0"/>
        </w:rPr>
      </w:r>
    </w:p>
    <w:p w:rsidR="00000000" w:rsidDel="00000000" w:rsidP="00000000" w:rsidRDefault="00000000" w:rsidRPr="00000000" w14:paraId="000000D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Figure: </w:t>
      </w:r>
      <w:r w:rsidDel="00000000" w:rsidR="00000000" w:rsidRPr="00000000">
        <w:rPr>
          <w:rFonts w:ascii="Times New Roman" w:cs="Times New Roman" w:eastAsia="Times New Roman" w:hAnsi="Times New Roman"/>
          <w:sz w:val="24"/>
          <w:szCs w:val="24"/>
          <w:rtl w:val="0"/>
        </w:rPr>
        <w:t xml:space="preserve">Straddle Strategy Payoff Diagram</w:t>
      </w:r>
    </w:p>
    <w:p w:rsidR="00000000" w:rsidDel="00000000" w:rsidP="00000000" w:rsidRDefault="00000000" w:rsidRPr="00000000" w14:paraId="000000D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graph shows that the straddle approach will earn greatly if the share price moves far from the strike price in one way, taking advantage of the underlying asset's volatility.</w:t>
      </w:r>
    </w:p>
    <w:p w:rsidR="00000000" w:rsidDel="00000000" w:rsidP="00000000" w:rsidRDefault="00000000" w:rsidRPr="00000000" w14:paraId="000000D6">
      <w:pPr>
        <w:pStyle w:val="Heading1"/>
        <w:keepNext w:val="0"/>
        <w:keepLines w:val="0"/>
        <w:spacing w:after="40" w:before="240" w:line="360" w:lineRule="auto"/>
        <w:rPr>
          <w:rFonts w:ascii="Times New Roman" w:cs="Times New Roman" w:eastAsia="Times New Roman" w:hAnsi="Times New Roman"/>
          <w:b w:val="1"/>
          <w:sz w:val="32"/>
          <w:szCs w:val="32"/>
        </w:rPr>
      </w:pPr>
      <w:bookmarkStart w:colFirst="0" w:colLast="0" w:name="_sqh692fjea39" w:id="18"/>
      <w:bookmarkEnd w:id="18"/>
      <w:r w:rsidDel="00000000" w:rsidR="00000000" w:rsidRPr="00000000">
        <w:rPr>
          <w:rFonts w:ascii="Times New Roman" w:cs="Times New Roman" w:eastAsia="Times New Roman" w:hAnsi="Times New Roman"/>
          <w:b w:val="1"/>
          <w:sz w:val="32"/>
          <w:szCs w:val="32"/>
          <w:rtl w:val="0"/>
        </w:rPr>
        <w:t xml:space="preserve">5. Performance of 10Y Note and its Impact</w:t>
      </w:r>
    </w:p>
    <w:p w:rsidR="00000000" w:rsidDel="00000000" w:rsidP="00000000" w:rsidRDefault="00000000" w:rsidRPr="00000000" w14:paraId="000000D7">
      <w:pPr>
        <w:pStyle w:val="Heading2"/>
        <w:keepNext w:val="0"/>
        <w:keepLines w:val="0"/>
        <w:spacing w:after="40" w:before="240" w:line="360" w:lineRule="auto"/>
        <w:rPr>
          <w:rFonts w:ascii="Times New Roman" w:cs="Times New Roman" w:eastAsia="Times New Roman" w:hAnsi="Times New Roman"/>
          <w:b w:val="1"/>
          <w:sz w:val="28"/>
          <w:szCs w:val="28"/>
        </w:rPr>
      </w:pPr>
      <w:bookmarkStart w:colFirst="0" w:colLast="0" w:name="_icldq6qmst8" w:id="19"/>
      <w:bookmarkEnd w:id="19"/>
      <w:r w:rsidDel="00000000" w:rsidR="00000000" w:rsidRPr="00000000">
        <w:rPr>
          <w:rFonts w:ascii="Times New Roman" w:cs="Times New Roman" w:eastAsia="Times New Roman" w:hAnsi="Times New Roman"/>
          <w:b w:val="1"/>
          <w:sz w:val="28"/>
          <w:szCs w:val="28"/>
          <w:rtl w:val="0"/>
        </w:rPr>
        <w:t xml:space="preserve">5.1 Performance of the 10Y Note </w:t>
      </w:r>
    </w:p>
    <w:p w:rsidR="00000000" w:rsidDel="00000000" w:rsidP="00000000" w:rsidRDefault="00000000" w:rsidRPr="00000000" w14:paraId="000000D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10-year Treasury note (10Y note) is a U.S. government debt obligation with a 10-year maturity. It's a key benchmark for mortgage and lending rates. Investor sentiment, inflation expectations, and economic outlook can be gleaned from 10Y note performance.</w:t>
      </w:r>
    </w:p>
    <w:p w:rsidR="00000000" w:rsidDel="00000000" w:rsidP="00000000" w:rsidRDefault="00000000" w:rsidRPr="00000000" w14:paraId="000000D9">
      <w:pPr>
        <w:pStyle w:val="Heading3"/>
        <w:keepNext w:val="0"/>
        <w:keepLines w:val="0"/>
        <w:spacing w:after="40" w:before="220" w:line="360" w:lineRule="auto"/>
        <w:rPr>
          <w:rFonts w:ascii="Times New Roman" w:cs="Times New Roman" w:eastAsia="Times New Roman" w:hAnsi="Times New Roman"/>
          <w:b w:val="1"/>
          <w:sz w:val="26"/>
          <w:szCs w:val="26"/>
        </w:rPr>
      </w:pPr>
      <w:bookmarkStart w:colFirst="0" w:colLast="0" w:name="_71jm7hc0pmq9" w:id="20"/>
      <w:bookmarkEnd w:id="20"/>
      <w:r w:rsidDel="00000000" w:rsidR="00000000" w:rsidRPr="00000000">
        <w:rPr>
          <w:rFonts w:ascii="Times New Roman" w:cs="Times New Roman" w:eastAsia="Times New Roman" w:hAnsi="Times New Roman"/>
          <w:b w:val="1"/>
          <w:sz w:val="26"/>
          <w:szCs w:val="26"/>
          <w:rtl w:val="0"/>
        </w:rPr>
        <w:t xml:space="preserve">Analysis of the Performance from January 2023 to December 2023</w:t>
      </w:r>
    </w:p>
    <w:p w:rsidR="00000000" w:rsidDel="00000000" w:rsidP="00000000" w:rsidRDefault="00000000" w:rsidRPr="00000000" w14:paraId="000000D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Economic statistics, Federal Reserve policy, and global financial events affect the 10Y note's yield. From January to December 2023, the 10Y note yield fluctuated with macroeconomic conditions.</w:t>
      </w:r>
    </w:p>
    <w:p w:rsidR="00000000" w:rsidDel="00000000" w:rsidP="00000000" w:rsidRDefault="00000000" w:rsidRPr="00000000" w14:paraId="000000D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January to March 2023</w:t>
      </w:r>
      <w:r w:rsidDel="00000000" w:rsidR="00000000" w:rsidRPr="00000000">
        <w:rPr>
          <w:rFonts w:ascii="Times New Roman" w:cs="Times New Roman" w:eastAsia="Times New Roman" w:hAnsi="Times New Roman"/>
          <w:sz w:val="24"/>
          <w:szCs w:val="24"/>
          <w:rtl w:val="0"/>
        </w:rPr>
        <w:t xml:space="preserve">: Yields averaged 3.5%. This stability was attributed to sluggish economic growth and the Fed's cautious interest rate approach. However, inflation remained an issue.</w:t>
      </w:r>
    </w:p>
    <w:p w:rsidR="00000000" w:rsidDel="00000000" w:rsidP="00000000" w:rsidRDefault="00000000" w:rsidRPr="00000000" w14:paraId="000000D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April to June 2023</w:t>
      </w:r>
      <w:r w:rsidDel="00000000" w:rsidR="00000000" w:rsidRPr="00000000">
        <w:rPr>
          <w:rFonts w:ascii="Times New Roman" w:cs="Times New Roman" w:eastAsia="Times New Roman" w:hAnsi="Times New Roman"/>
          <w:sz w:val="24"/>
          <w:szCs w:val="24"/>
          <w:rtl w:val="0"/>
        </w:rPr>
        <w:t xml:space="preserve">: Yields rose to 4.0% by June. Economic indicators, especially job growth and consumer expenditure, exceeded estimates, raising anticipation of additional Federal Reserve monetary tightening.</w:t>
      </w:r>
    </w:p>
    <w:p w:rsidR="00000000" w:rsidDel="00000000" w:rsidP="00000000" w:rsidRDefault="00000000" w:rsidRPr="00000000" w14:paraId="000000D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July to September 2023</w:t>
      </w:r>
      <w:r w:rsidDel="00000000" w:rsidR="00000000" w:rsidRPr="00000000">
        <w:rPr>
          <w:rFonts w:ascii="Times New Roman" w:cs="Times New Roman" w:eastAsia="Times New Roman" w:hAnsi="Times New Roman"/>
          <w:sz w:val="24"/>
          <w:szCs w:val="24"/>
          <w:rtl w:val="0"/>
        </w:rPr>
        <w:t xml:space="preserve">: The 10Y note yield peaked at 4.5% in summer. Higher yields resulted from the Fed's aggressive rate hikes to combat inflation. The 10Y note yield fluctuated due to geopolitical concerns and global market instability driving demand for safe-haven assets (Barrow, 2024).</w:t>
      </w:r>
    </w:p>
    <w:p w:rsidR="00000000" w:rsidDel="00000000" w:rsidP="00000000" w:rsidRDefault="00000000" w:rsidRPr="00000000" w14:paraId="000000D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October to December 2023</w:t>
      </w:r>
      <w:r w:rsidDel="00000000" w:rsidR="00000000" w:rsidRPr="00000000">
        <w:rPr>
          <w:rFonts w:ascii="Times New Roman" w:cs="Times New Roman" w:eastAsia="Times New Roman" w:hAnsi="Times New Roman"/>
          <w:sz w:val="24"/>
          <w:szCs w:val="24"/>
          <w:rtl w:val="0"/>
        </w:rPr>
        <w:t xml:space="preserve">: As inflation eased and the Federal Reserve announced a rate hike halt, the 10Y note yield fell to 4.0%. As economic uncertainty subsided, yields stabilised.</w:t>
      </w:r>
    </w:p>
    <w:p w:rsidR="00000000" w:rsidDel="00000000" w:rsidP="00000000" w:rsidRDefault="00000000" w:rsidRPr="00000000" w14:paraId="000000D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323316" cy="2681288"/>
            <wp:effectExtent b="0" l="0" r="0" t="0"/>
            <wp:docPr id="17" name="image17.png"/>
            <a:graphic>
              <a:graphicData uri="http://schemas.openxmlformats.org/drawingml/2006/picture">
                <pic:pic>
                  <pic:nvPicPr>
                    <pic:cNvPr id="0" name="image17.png"/>
                    <pic:cNvPicPr preferRelativeResize="0"/>
                  </pic:nvPicPr>
                  <pic:blipFill>
                    <a:blip r:embed="rId32"/>
                    <a:srcRect b="0" l="0" r="0" t="0"/>
                    <a:stretch>
                      <a:fillRect/>
                    </a:stretch>
                  </pic:blipFill>
                  <pic:spPr>
                    <a:xfrm>
                      <a:off x="0" y="0"/>
                      <a:ext cx="4323316" cy="2681288"/>
                    </a:xfrm>
                    <a:prstGeom prst="rect"/>
                    <a:ln/>
                  </pic:spPr>
                </pic:pic>
              </a:graphicData>
            </a:graphic>
          </wp:inline>
        </w:drawing>
      </w:r>
      <w:r w:rsidDel="00000000" w:rsidR="00000000" w:rsidRPr="00000000">
        <w:rPr>
          <w:rtl w:val="0"/>
        </w:rPr>
      </w:r>
    </w:p>
    <w:p w:rsidR="00000000" w:rsidDel="00000000" w:rsidP="00000000" w:rsidRDefault="00000000" w:rsidRPr="00000000" w14:paraId="000000E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graph shows the 10Y note yield curve from January to December 2023, showing how economic conditions and Federal Reserve decisions affect it.</w:t>
      </w:r>
    </w:p>
    <w:p w:rsidR="00000000" w:rsidDel="00000000" w:rsidP="00000000" w:rsidRDefault="00000000" w:rsidRPr="00000000" w14:paraId="000000E1">
      <w:pPr>
        <w:pStyle w:val="Heading2"/>
        <w:keepNext w:val="0"/>
        <w:keepLines w:val="0"/>
        <w:spacing w:after="40" w:before="240" w:line="360" w:lineRule="auto"/>
        <w:rPr>
          <w:rFonts w:ascii="Times New Roman" w:cs="Times New Roman" w:eastAsia="Times New Roman" w:hAnsi="Times New Roman"/>
          <w:b w:val="1"/>
          <w:sz w:val="28"/>
          <w:szCs w:val="28"/>
        </w:rPr>
      </w:pPr>
      <w:bookmarkStart w:colFirst="0" w:colLast="0" w:name="_iqew3zjx7obl" w:id="21"/>
      <w:bookmarkEnd w:id="21"/>
      <w:r w:rsidDel="00000000" w:rsidR="00000000" w:rsidRPr="00000000">
        <w:rPr>
          <w:rFonts w:ascii="Times New Roman" w:cs="Times New Roman" w:eastAsia="Times New Roman" w:hAnsi="Times New Roman"/>
          <w:b w:val="1"/>
          <w:sz w:val="28"/>
          <w:szCs w:val="28"/>
          <w:rtl w:val="0"/>
        </w:rPr>
        <w:t xml:space="preserve">5.2 Impact on Consumer Debt </w:t>
      </w:r>
    </w:p>
    <w:p w:rsidR="00000000" w:rsidDel="00000000" w:rsidP="00000000" w:rsidRDefault="00000000" w:rsidRPr="00000000" w14:paraId="000000E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10Y note is important in consumer credit since interest rates determine consumer borrowing costs. Mortgage, auto, and personal credit are affected by the 10Y note yield.</w:t>
      </w:r>
    </w:p>
    <w:p w:rsidR="00000000" w:rsidDel="00000000" w:rsidP="00000000" w:rsidRDefault="00000000" w:rsidRPr="00000000" w14:paraId="000000E3">
      <w:pPr>
        <w:keepNext w:val="0"/>
        <w:keepLines w:val="0"/>
        <w:spacing w:after="40" w:before="22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Mortgage Rates</w:t>
      </w:r>
    </w:p>
    <w:p w:rsidR="00000000" w:rsidDel="00000000" w:rsidP="00000000" w:rsidRDefault="00000000" w:rsidRPr="00000000" w14:paraId="000000E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Mortgage interest rates are highly sensitive since they are directly influenced by changes in the yield on the 10-year note. Mortgages and other loans with set interest rates are referred to as the 10-year note. Mortgage rates go up whenever there is an increase in the yield on the 10-year note. As the yield on the 10-year note increased throughout the summer of 2023, the costs of house financing skyrocketed, putting pressure on customers. As the cost of borrowing money continues to rise, an increasing number of customers will be dissuaded from purchasing homes (Weetman et al., 2020).</w:t>
      </w:r>
    </w:p>
    <w:p w:rsidR="00000000" w:rsidDel="00000000" w:rsidP="00000000" w:rsidRDefault="00000000" w:rsidRPr="00000000" w14:paraId="000000E5">
      <w:pPr>
        <w:keepNext w:val="0"/>
        <w:keepLines w:val="0"/>
        <w:spacing w:after="40" w:before="22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Auto Loans and Personal Loans</w:t>
      </w:r>
    </w:p>
    <w:p w:rsidR="00000000" w:rsidDel="00000000" w:rsidP="00000000" w:rsidRDefault="00000000" w:rsidRPr="00000000" w14:paraId="000000E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changes in the yield on the 10-year note also have an effect on the rates of auto and personal loans. These loans have higher interest rates and consumer costs due to higher yields. According to McLaney and Harvey (2023), this may result in fewer consumers requesting credit and purchasing automobiles.</w:t>
      </w:r>
    </w:p>
    <w:p w:rsidR="00000000" w:rsidDel="00000000" w:rsidP="00000000" w:rsidRDefault="00000000" w:rsidRPr="00000000" w14:paraId="000000E7">
      <w:pPr>
        <w:keepNext w:val="0"/>
        <w:keepLines w:val="0"/>
        <w:spacing w:after="40" w:before="22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Impact on Household Debt Levels</w:t>
      </w:r>
    </w:p>
    <w:p w:rsidR="00000000" w:rsidDel="00000000" w:rsidP="00000000" w:rsidRDefault="00000000" w:rsidRPr="00000000" w14:paraId="000000E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households are cautious borrowers, higher borrowing rates result in a reduction in the amount of money they borrow. 2023 saw an increase in the yield on the 10-year note, which most likely slowed the expansion of mortgages as well as personal loans and auto loans. It is possible that customers have postponed making large purchases or discovered alternative means to raise funds.</w:t>
      </w:r>
    </w:p>
    <w:p w:rsidR="00000000" w:rsidDel="00000000" w:rsidP="00000000" w:rsidRDefault="00000000" w:rsidRPr="00000000" w14:paraId="000000E9">
      <w:pPr>
        <w:keepNext w:val="0"/>
        <w:keepLines w:val="0"/>
        <w:spacing w:after="40" w:before="22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Economic Indicators and Data</w:t>
      </w:r>
    </w:p>
    <w:p w:rsidR="00000000" w:rsidDel="00000000" w:rsidP="00000000" w:rsidRDefault="00000000" w:rsidRPr="00000000" w14:paraId="000000E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Economic variables that help explain how 10Y note yield movements affect consumer debt include the following:</w:t>
      </w:r>
    </w:p>
    <w:p w:rsidR="00000000" w:rsidDel="00000000" w:rsidP="00000000" w:rsidRDefault="00000000" w:rsidRPr="00000000" w14:paraId="000000EB">
      <w:pPr>
        <w:numPr>
          <w:ilvl w:val="0"/>
          <w:numId w:val="14"/>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Mortgage Origination The Mortgage Bankers Association discovered that the number of mortgage applications was significantly lower than the average, while yields were significantly higher. The cost of owning a home is thought to include the payment of a mortgage.</w:t>
      </w:r>
    </w:p>
    <w:p w:rsidR="00000000" w:rsidDel="00000000" w:rsidP="00000000" w:rsidRDefault="00000000" w:rsidRPr="00000000" w14:paraId="000000EC">
      <w:pPr>
        <w:numPr>
          <w:ilvl w:val="0"/>
          <w:numId w:val="14"/>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reports on consumer credit, the Federal Reserve discovered that consumer credit expanded less in months with high yields, which indicates that consumers are borrowing more conservatively.</w:t>
      </w:r>
    </w:p>
    <w:p w:rsidR="00000000" w:rsidDel="00000000" w:rsidP="00000000" w:rsidRDefault="00000000" w:rsidRPr="00000000" w14:paraId="000000ED">
      <w:pPr>
        <w:numPr>
          <w:ilvl w:val="0"/>
          <w:numId w:val="14"/>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Housing Market Data: The National Association of Realtors recorded a dip in house resales when yields on 10-year notes reached their highest point in the middle of 2023. This suggests that higher prices discouraged purchasers from purchasing homes.</w:t>
      </w:r>
    </w:p>
    <w:p w:rsidR="00000000" w:rsidDel="00000000" w:rsidP="00000000" w:rsidRDefault="00000000" w:rsidRPr="00000000" w14:paraId="000000EE">
      <w:pPr>
        <w:spacing w:after="240" w:before="240" w:line="36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462463" cy="2796190"/>
            <wp:effectExtent b="0" l="0" r="0" t="0"/>
            <wp:docPr id="1" name="image16.png"/>
            <a:graphic>
              <a:graphicData uri="http://schemas.openxmlformats.org/drawingml/2006/picture">
                <pic:pic>
                  <pic:nvPicPr>
                    <pic:cNvPr id="0" name="image16.png"/>
                    <pic:cNvPicPr preferRelativeResize="0"/>
                  </pic:nvPicPr>
                  <pic:blipFill>
                    <a:blip r:embed="rId33"/>
                    <a:srcRect b="0" l="0" r="0" t="0"/>
                    <a:stretch>
                      <a:fillRect/>
                    </a:stretch>
                  </pic:blipFill>
                  <pic:spPr>
                    <a:xfrm>
                      <a:off x="0" y="0"/>
                      <a:ext cx="4462463" cy="2796190"/>
                    </a:xfrm>
                    <a:prstGeom prst="rect"/>
                    <a:ln/>
                  </pic:spPr>
                </pic:pic>
              </a:graphicData>
            </a:graphic>
          </wp:inline>
        </w:drawing>
      </w:r>
      <w:r w:rsidDel="00000000" w:rsidR="00000000" w:rsidRPr="00000000">
        <w:rPr>
          <w:rtl w:val="0"/>
        </w:rPr>
      </w:r>
    </w:p>
    <w:p w:rsidR="00000000" w:rsidDel="00000000" w:rsidP="00000000" w:rsidRDefault="00000000" w:rsidRPr="00000000" w14:paraId="000000F0">
      <w:pPr>
        <w:spacing w:after="240" w:before="240" w:line="36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sz w:val="24"/>
          <w:szCs w:val="24"/>
          <w:rtl w:val="0"/>
        </w:rPr>
        <w:t xml:space="preserve">The 2023 10Y note yield versus mortgage rate of interest graph shows how interest rate fluctuations affect borrowing costs.</w:t>
      </w:r>
      <w:r w:rsidDel="00000000" w:rsidR="00000000" w:rsidRPr="00000000">
        <w:rPr>
          <w:rtl w:val="0"/>
        </w:rPr>
      </w:r>
    </w:p>
    <w:p w:rsidR="00000000" w:rsidDel="00000000" w:rsidP="00000000" w:rsidRDefault="00000000" w:rsidRPr="00000000" w14:paraId="000000F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economic releases, decisions made by the Federal Reserve, and events at the global level created volatility in the 10Y note in 2023. The following types of loans were impacted by this change: credit cards, home loans, auto loans, and personal loans. According to Weetman (2019), increased interest rates caused borrowing costs to invert, consumer behaviour grew more cautious, and the housing industry and consumer demand may come to a standstill. Once these movements have been analysed, it will be much simpler to investigate other economic issues such as variations in the yield on 10-year notes and consumer debt.</w:t>
      </w:r>
    </w:p>
    <w:p w:rsidR="00000000" w:rsidDel="00000000" w:rsidP="00000000" w:rsidRDefault="00000000" w:rsidRPr="00000000" w14:paraId="000000F2">
      <w:pPr>
        <w:pStyle w:val="Heading1"/>
        <w:keepNext w:val="0"/>
        <w:keepLines w:val="0"/>
        <w:spacing w:after="40" w:before="240" w:line="360" w:lineRule="auto"/>
        <w:rPr>
          <w:rFonts w:ascii="Times New Roman" w:cs="Times New Roman" w:eastAsia="Times New Roman" w:hAnsi="Times New Roman"/>
          <w:b w:val="1"/>
          <w:sz w:val="32"/>
          <w:szCs w:val="32"/>
        </w:rPr>
      </w:pPr>
      <w:bookmarkStart w:colFirst="0" w:colLast="0" w:name="_t8ifn0g6zqao" w:id="22"/>
      <w:bookmarkEnd w:id="22"/>
      <w:r w:rsidDel="00000000" w:rsidR="00000000" w:rsidRPr="00000000">
        <w:rPr>
          <w:rFonts w:ascii="Times New Roman" w:cs="Times New Roman" w:eastAsia="Times New Roman" w:hAnsi="Times New Roman"/>
          <w:b w:val="1"/>
          <w:sz w:val="32"/>
          <w:szCs w:val="32"/>
          <w:rtl w:val="0"/>
        </w:rPr>
        <w:t xml:space="preserve">6. Conclusion</w:t>
      </w:r>
    </w:p>
    <w:p w:rsidR="00000000" w:rsidDel="00000000" w:rsidP="00000000" w:rsidRDefault="00000000" w:rsidRPr="00000000" w14:paraId="000000F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investigation found the following from John Lewis's financial statements and market movements after its IPO. Based on historical data, the company's share prices rose 10% from 2021 to 2023 (John Lewis Partnership, 2023). The calculated Sharpe and Treynor ratios show that risk-adjusted returns in 2023 are higher than in 2022, indicating greater risk management and financial performance. To show how derivative contracts, especially the option, help a corporation manage financial risk and capitalise on market possibilities, the case examined their viewpoints.</w:t>
      </w:r>
    </w:p>
    <w:p w:rsidR="00000000" w:rsidDel="00000000" w:rsidP="00000000" w:rsidRDefault="00000000" w:rsidRPr="00000000" w14:paraId="000000F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Consumer credit was severely affected by 2023 10-year Treasury note yield fluctuations. Due to rising returns, mortgages and loans increased, affecting borrowing patterns and the economy. Their relationship suggests that financial markets and the economy are affected by comparable dynamics.</w:t>
      </w:r>
    </w:p>
    <w:p w:rsidR="00000000" w:rsidDel="00000000" w:rsidP="00000000" w:rsidRDefault="00000000" w:rsidRPr="00000000" w14:paraId="000000F5">
      <w:pPr>
        <w:pStyle w:val="Heading2"/>
        <w:keepNext w:val="0"/>
        <w:keepLines w:val="0"/>
        <w:spacing w:after="40" w:before="240" w:line="360" w:lineRule="auto"/>
        <w:rPr>
          <w:rFonts w:ascii="Times New Roman" w:cs="Times New Roman" w:eastAsia="Times New Roman" w:hAnsi="Times New Roman"/>
          <w:b w:val="1"/>
          <w:sz w:val="28"/>
          <w:szCs w:val="28"/>
        </w:rPr>
      </w:pPr>
      <w:bookmarkStart w:colFirst="0" w:colLast="0" w:name="_2c88bl2vkkkp" w:id="23"/>
      <w:bookmarkEnd w:id="23"/>
      <w:r w:rsidDel="00000000" w:rsidR="00000000" w:rsidRPr="00000000">
        <w:rPr>
          <w:rFonts w:ascii="Times New Roman" w:cs="Times New Roman" w:eastAsia="Times New Roman" w:hAnsi="Times New Roman"/>
          <w:b w:val="1"/>
          <w:sz w:val="28"/>
          <w:szCs w:val="28"/>
          <w:rtl w:val="0"/>
        </w:rPr>
        <w:t xml:space="preserve">6.2 Implications for John Lewis and the Broader Financial Market</w:t>
      </w:r>
    </w:p>
    <w:p w:rsidR="00000000" w:rsidDel="00000000" w:rsidP="00000000" w:rsidRDefault="00000000" w:rsidRPr="00000000" w14:paraId="000000F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result, John Lewis is in a favourable position thanks to favourable performance metrics and risk management measures. Given that this company's compound annual growth rate (CAGR) was higher than that of the FTSE 100 Index, it is clear that the management team possesses sound business concepts, and investors have faith in them. Although the corporation is unable to influence fluctuations in interest rates or economic cycles, these factors nonetheless have an impact on the organisation. It is imperative that John Lewis continues to adapt in order to sustain its business performance in the face of external criticism.</w:t>
      </w:r>
    </w:p>
    <w:p w:rsidR="00000000" w:rsidDel="00000000" w:rsidP="00000000" w:rsidRDefault="00000000" w:rsidRPr="00000000" w14:paraId="000000F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important for the financial market to have access to the knowledge contained within these dynamics. Analysing how the conditions of the macroeconomy influence the operations of businesses and consumers is the focus of macroeconomics. A company's finances can be improved and the risks associated with fluctuating markets can be hedged using derivatives.</w:t>
      </w:r>
    </w:p>
    <w:p w:rsidR="00000000" w:rsidDel="00000000" w:rsidP="00000000" w:rsidRDefault="00000000" w:rsidRPr="00000000" w14:paraId="000000F8">
      <w:pPr>
        <w:pStyle w:val="Heading2"/>
        <w:keepNext w:val="0"/>
        <w:keepLines w:val="0"/>
        <w:spacing w:after="40" w:before="240" w:line="360" w:lineRule="auto"/>
        <w:rPr>
          <w:rFonts w:ascii="Times New Roman" w:cs="Times New Roman" w:eastAsia="Times New Roman" w:hAnsi="Times New Roman"/>
          <w:b w:val="1"/>
          <w:sz w:val="28"/>
          <w:szCs w:val="28"/>
        </w:rPr>
      </w:pPr>
      <w:bookmarkStart w:colFirst="0" w:colLast="0" w:name="_795tzwb56dy1" w:id="24"/>
      <w:bookmarkEnd w:id="24"/>
      <w:r w:rsidDel="00000000" w:rsidR="00000000" w:rsidRPr="00000000">
        <w:rPr>
          <w:rFonts w:ascii="Times New Roman" w:cs="Times New Roman" w:eastAsia="Times New Roman" w:hAnsi="Times New Roman"/>
          <w:b w:val="1"/>
          <w:sz w:val="28"/>
          <w:szCs w:val="28"/>
          <w:rtl w:val="0"/>
        </w:rPr>
        <w:t xml:space="preserve">6.3 Recommendations for Future Research or Practical Applications</w:t>
      </w:r>
    </w:p>
    <w:p w:rsidR="00000000" w:rsidDel="00000000" w:rsidP="00000000" w:rsidRDefault="00000000" w:rsidRPr="00000000" w14:paraId="000000F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future, research should be conducted to reveal the managerial methods that John Lewis employs in order to control exposures and capitalise on possibilities and difficulties presented by competitive markets. It is possible to discover new retail approaches and strategies by conducting research on other stores.</w:t>
      </w:r>
    </w:p>
    <w:p w:rsidR="00000000" w:rsidDel="00000000" w:rsidP="00000000" w:rsidRDefault="00000000" w:rsidRPr="00000000" w14:paraId="000000F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Kim et al.'s research from 2020, the most important thing for organisations to have is a sound derivative strategy and risk management both within and throughout the company. In order to improve the profitability of a company and make strategic business decisions, it is vital to conduct a fundamental study of macroeconomic concerns and the influence that these issues have on various patterns of customer behaviour and interest rate patterns.</w:t>
      </w:r>
    </w:p>
    <w:p w:rsidR="00000000" w:rsidDel="00000000" w:rsidP="00000000" w:rsidRDefault="00000000" w:rsidRPr="00000000" w14:paraId="000000F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comes to achieving long-term financial success, this analysis demonstrates that risk management and market responsiveness are fundamentally important. According to Nayal et al. (2021), John Lewis and a great number of other businesses have the potential to enhance their market positions and contribute to sustainable growth by utilising a variety of strategies, actively working on proposals for financial instruments, and focusing on macroeconomic considerations.</w:t>
      </w:r>
    </w:p>
    <w:p w:rsidR="00000000" w:rsidDel="00000000" w:rsidP="00000000" w:rsidRDefault="00000000" w:rsidRPr="00000000" w14:paraId="000000FC">
      <w:pPr>
        <w:pStyle w:val="Heading1"/>
        <w:keepNext w:val="0"/>
        <w:keepLines w:val="0"/>
        <w:spacing w:after="0" w:before="0" w:line="480" w:lineRule="auto"/>
        <w:jc w:val="center"/>
        <w:rPr>
          <w:rFonts w:ascii="Times New Roman" w:cs="Times New Roman" w:eastAsia="Times New Roman" w:hAnsi="Times New Roman"/>
          <w:b w:val="1"/>
          <w:sz w:val="24"/>
          <w:szCs w:val="24"/>
        </w:rPr>
      </w:pPr>
      <w:bookmarkStart w:colFirst="0" w:colLast="0" w:name="_5l93o5xxltiv" w:id="25"/>
      <w:bookmarkEnd w:id="25"/>
      <w:r w:rsidDel="00000000" w:rsidR="00000000" w:rsidRPr="00000000">
        <w:br w:type="page"/>
      </w:r>
      <w:r w:rsidDel="00000000" w:rsidR="00000000" w:rsidRPr="00000000">
        <w:rPr>
          <w:rtl w:val="0"/>
        </w:rPr>
      </w:r>
    </w:p>
    <w:p w:rsidR="00000000" w:rsidDel="00000000" w:rsidP="00000000" w:rsidRDefault="00000000" w:rsidRPr="00000000" w14:paraId="000000FD">
      <w:pPr>
        <w:pStyle w:val="Heading1"/>
        <w:keepNext w:val="0"/>
        <w:keepLines w:val="0"/>
        <w:spacing w:after="0" w:before="0" w:line="480" w:lineRule="auto"/>
        <w:rPr>
          <w:rFonts w:ascii="Times New Roman" w:cs="Times New Roman" w:eastAsia="Times New Roman" w:hAnsi="Times New Roman"/>
          <w:b w:val="1"/>
          <w:sz w:val="32"/>
          <w:szCs w:val="32"/>
        </w:rPr>
      </w:pPr>
      <w:bookmarkStart w:colFirst="0" w:colLast="0" w:name="_4x334t2t1c3x" w:id="26"/>
      <w:bookmarkEnd w:id="26"/>
      <w:r w:rsidDel="00000000" w:rsidR="00000000" w:rsidRPr="00000000">
        <w:rPr>
          <w:rFonts w:ascii="Times New Roman" w:cs="Times New Roman" w:eastAsia="Times New Roman" w:hAnsi="Times New Roman"/>
          <w:b w:val="1"/>
          <w:sz w:val="32"/>
          <w:szCs w:val="32"/>
          <w:rtl w:val="0"/>
        </w:rPr>
        <w:t xml:space="preserve">7. References</w:t>
      </w:r>
    </w:p>
    <w:p w:rsidR="00000000" w:rsidDel="00000000" w:rsidP="00000000" w:rsidRDefault="00000000" w:rsidRPr="00000000" w14:paraId="000000FE">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Alam, S. (2022). </w:t>
      </w:r>
      <w:r w:rsidDel="00000000" w:rsidR="00000000" w:rsidRPr="00000000">
        <w:rPr>
          <w:rFonts w:ascii="Times New Roman" w:cs="Times New Roman" w:eastAsia="Times New Roman" w:hAnsi="Times New Roman"/>
          <w:i w:val="1"/>
          <w:sz w:val="24"/>
          <w:szCs w:val="24"/>
          <w:rtl w:val="0"/>
        </w:rPr>
        <w:t xml:space="preserve">The 4S of Option Trading Strategies: Straddle, Strangle, Strap, Strip</w:t>
      </w:r>
      <w:r w:rsidDel="00000000" w:rsidR="00000000" w:rsidRPr="00000000">
        <w:rPr>
          <w:rFonts w:ascii="Times New Roman" w:cs="Times New Roman" w:eastAsia="Times New Roman" w:hAnsi="Times New Roman"/>
          <w:sz w:val="24"/>
          <w:szCs w:val="24"/>
          <w:rtl w:val="0"/>
        </w:rPr>
        <w:t xml:space="preserve">. Researchgate. https://www.researchgate.net/profile/Sm-Ikhtiar-Alam/publication/358485506_The_4S_of_Options_Trading_Strategies_Straddle_Strangle_Strap_Strip/links/620b590c7b05f82592ec8c36/The-4S-of-Options-Trading-Strategies-Straddle-Strangle-Strap-Strip.pdf</w:t>
      </w:r>
    </w:p>
    <w:p w:rsidR="00000000" w:rsidDel="00000000" w:rsidP="00000000" w:rsidRDefault="00000000" w:rsidRPr="00000000" w14:paraId="000000FF">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Backwell, A. (2023). An Intuitive Introduction to Finance and Derivatives. In </w:t>
      </w:r>
      <w:r w:rsidDel="00000000" w:rsidR="00000000" w:rsidRPr="00000000">
        <w:rPr>
          <w:rFonts w:ascii="Times New Roman" w:cs="Times New Roman" w:eastAsia="Times New Roman" w:hAnsi="Times New Roman"/>
          <w:i w:val="1"/>
          <w:sz w:val="24"/>
          <w:szCs w:val="24"/>
          <w:rtl w:val="0"/>
        </w:rPr>
        <w:t xml:space="preserve">Springer texts in business and economics</w:t>
      </w:r>
      <w:r w:rsidDel="00000000" w:rsidR="00000000" w:rsidRPr="00000000">
        <w:rPr>
          <w:rFonts w:ascii="Times New Roman" w:cs="Times New Roman" w:eastAsia="Times New Roman" w:hAnsi="Times New Roman"/>
          <w:sz w:val="24"/>
          <w:szCs w:val="24"/>
          <w:rtl w:val="0"/>
        </w:rPr>
        <w:t xml:space="preserve">. Springer International Publishing. https://doi.org/10.1007/978-3-031-23453-8</w:t>
      </w:r>
    </w:p>
    <w:p w:rsidR="00000000" w:rsidDel="00000000" w:rsidP="00000000" w:rsidRDefault="00000000" w:rsidRPr="00000000" w14:paraId="00000100">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Barrow, P. (2024). Essential business finance : a complete guide to starting, expanding and selling your business. </w:t>
      </w:r>
      <w:r w:rsidDel="00000000" w:rsidR="00000000" w:rsidRPr="00000000">
        <w:rPr>
          <w:rFonts w:ascii="Times New Roman" w:cs="Times New Roman" w:eastAsia="Times New Roman" w:hAnsi="Times New Roman"/>
          <w:i w:val="1"/>
          <w:sz w:val="24"/>
          <w:szCs w:val="24"/>
          <w:rtl w:val="0"/>
        </w:rPr>
        <w:t xml:space="preserve">Essential Business Finance : A Complete Guide to Starting, Expanding and Selling Your Business</w:t>
      </w:r>
      <w:r w:rsidDel="00000000" w:rsidR="00000000" w:rsidRPr="00000000">
        <w:rPr>
          <w:rFonts w:ascii="Times New Roman" w:cs="Times New Roman" w:eastAsia="Times New Roman" w:hAnsi="Times New Roman"/>
          <w:sz w:val="24"/>
          <w:szCs w:val="24"/>
          <w:rtl w:val="0"/>
        </w:rPr>
        <w:t xml:space="preserve">. https://cir.nii.ac.jp/crid/1130000795361631360</w:t>
      </w:r>
    </w:p>
    <w:p w:rsidR="00000000" w:rsidDel="00000000" w:rsidP="00000000" w:rsidRDefault="00000000" w:rsidRPr="00000000" w14:paraId="00000101">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Butler, S., &amp; Sweney, M. (2022, August 11). </w:t>
      </w:r>
      <w:r w:rsidDel="00000000" w:rsidR="00000000" w:rsidRPr="00000000">
        <w:rPr>
          <w:rFonts w:ascii="Times New Roman" w:cs="Times New Roman" w:eastAsia="Times New Roman" w:hAnsi="Times New Roman"/>
          <w:i w:val="1"/>
          <w:sz w:val="24"/>
          <w:szCs w:val="24"/>
          <w:rtl w:val="0"/>
        </w:rPr>
        <w:t xml:space="preserve">John Lewis to end “never knowingly undersold” era on 22 August</w:t>
      </w:r>
      <w:r w:rsidDel="00000000" w:rsidR="00000000" w:rsidRPr="00000000">
        <w:rPr>
          <w:rFonts w:ascii="Times New Roman" w:cs="Times New Roman" w:eastAsia="Times New Roman" w:hAnsi="Times New Roman"/>
          <w:sz w:val="24"/>
          <w:szCs w:val="24"/>
          <w:rtl w:val="0"/>
        </w:rPr>
        <w:t xml:space="preserve">. The Guardian. https://www.theguardian.com/business/2022/aug/11/john-lewis-to-retire-97-year-old-pledge-never-knowingly-undersold</w:t>
      </w:r>
    </w:p>
    <w:p w:rsidR="00000000" w:rsidDel="00000000" w:rsidP="00000000" w:rsidRDefault="00000000" w:rsidRPr="00000000" w14:paraId="00000102">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Chowdhury, S., &amp; Schulz, E. (2020). The levels of base pay and incentive pay used by small firms to compensate professional employees with general and specific human capital. </w:t>
      </w:r>
      <w:r w:rsidDel="00000000" w:rsidR="00000000" w:rsidRPr="00000000">
        <w:rPr>
          <w:rFonts w:ascii="Times New Roman" w:cs="Times New Roman" w:eastAsia="Times New Roman" w:hAnsi="Times New Roman"/>
          <w:i w:val="1"/>
          <w:sz w:val="24"/>
          <w:szCs w:val="24"/>
          <w:rtl w:val="0"/>
        </w:rPr>
        <w:t xml:space="preserve">Journal of Small Business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60</w:t>
      </w:r>
      <w:r w:rsidDel="00000000" w:rsidR="00000000" w:rsidRPr="00000000">
        <w:rPr>
          <w:rFonts w:ascii="Times New Roman" w:cs="Times New Roman" w:eastAsia="Times New Roman" w:hAnsi="Times New Roman"/>
          <w:sz w:val="24"/>
          <w:szCs w:val="24"/>
          <w:rtl w:val="0"/>
        </w:rPr>
        <w:t xml:space="preserve">(1), 1–31. https://doi.org/10.1080/00472778.2020.1794693</w:t>
      </w:r>
    </w:p>
    <w:p w:rsidR="00000000" w:rsidDel="00000000" w:rsidP="00000000" w:rsidRDefault="00000000" w:rsidRPr="00000000" w14:paraId="00000103">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Lewis Partnership. (2022). </w:t>
      </w:r>
      <w:r w:rsidDel="00000000" w:rsidR="00000000" w:rsidRPr="00000000">
        <w:rPr>
          <w:rFonts w:ascii="Times New Roman" w:cs="Times New Roman" w:eastAsia="Times New Roman" w:hAnsi="Times New Roman"/>
          <w:i w:val="1"/>
          <w:sz w:val="24"/>
          <w:szCs w:val="24"/>
          <w:rtl w:val="0"/>
        </w:rPr>
        <w:t xml:space="preserve">2021/22 Annual Report and Accounts</w:t>
      </w:r>
      <w:r w:rsidDel="00000000" w:rsidR="00000000" w:rsidRPr="00000000">
        <w:rPr>
          <w:rFonts w:ascii="Times New Roman" w:cs="Times New Roman" w:eastAsia="Times New Roman" w:hAnsi="Times New Roman"/>
          <w:sz w:val="24"/>
          <w:szCs w:val="24"/>
          <w:rtl w:val="0"/>
        </w:rPr>
        <w:t xml:space="preserve">. John Lewis Partnership. https://www.johnlewispartnership.co.uk/content/dam/cws/pdfs/Juniper/ARA-2022/John-Lewis-Partnership-plc-Annual-Report-and-Accounts-2022.pdf</w:t>
      </w:r>
    </w:p>
    <w:p w:rsidR="00000000" w:rsidDel="00000000" w:rsidP="00000000" w:rsidRDefault="00000000" w:rsidRPr="00000000" w14:paraId="00000104">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Lewis Partnership. (2023). </w:t>
      </w:r>
      <w:r w:rsidDel="00000000" w:rsidR="00000000" w:rsidRPr="00000000">
        <w:rPr>
          <w:rFonts w:ascii="Times New Roman" w:cs="Times New Roman" w:eastAsia="Times New Roman" w:hAnsi="Times New Roman"/>
          <w:i w:val="1"/>
          <w:sz w:val="24"/>
          <w:szCs w:val="24"/>
          <w:rtl w:val="0"/>
        </w:rPr>
        <w:t xml:space="preserve">jlp-plc-annual-report-and-accounts-2023.</w:t>
      </w:r>
      <w:r w:rsidDel="00000000" w:rsidR="00000000" w:rsidRPr="00000000">
        <w:rPr>
          <w:rFonts w:ascii="Times New Roman" w:cs="Times New Roman" w:eastAsia="Times New Roman" w:hAnsi="Times New Roman"/>
          <w:sz w:val="24"/>
          <w:szCs w:val="24"/>
          <w:rtl w:val="0"/>
        </w:rPr>
        <w:t xml:space="preserve"> John Lewis Partnership. https://www.johnlewispartnership.co.uk/content/dam/cws/pdfs/Juniper/ARA2023/jlp-plc-annual-report-and-accounts-2023.pdf</w:t>
      </w:r>
    </w:p>
    <w:p w:rsidR="00000000" w:rsidDel="00000000" w:rsidP="00000000" w:rsidRDefault="00000000" w:rsidRPr="00000000" w14:paraId="00000105">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Kim, S., Lee, G., &amp; Kang, H. (2020). Risk Management and Corporate Social Responsibility. </w:t>
      </w:r>
      <w:r w:rsidDel="00000000" w:rsidR="00000000" w:rsidRPr="00000000">
        <w:rPr>
          <w:rFonts w:ascii="Times New Roman" w:cs="Times New Roman" w:eastAsia="Times New Roman" w:hAnsi="Times New Roman"/>
          <w:i w:val="1"/>
          <w:sz w:val="24"/>
          <w:szCs w:val="24"/>
          <w:rtl w:val="0"/>
        </w:rPr>
        <w:t xml:space="preserve">Strategic Management Journal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42</w:t>
      </w:r>
      <w:r w:rsidDel="00000000" w:rsidR="00000000" w:rsidRPr="00000000">
        <w:rPr>
          <w:rFonts w:ascii="Times New Roman" w:cs="Times New Roman" w:eastAsia="Times New Roman" w:hAnsi="Times New Roman"/>
          <w:sz w:val="24"/>
          <w:szCs w:val="24"/>
          <w:rtl w:val="0"/>
        </w:rPr>
        <w:t xml:space="preserve">(1). https://doi.org/10.1002/smj.3224</w:t>
      </w:r>
    </w:p>
    <w:p w:rsidR="00000000" w:rsidDel="00000000" w:rsidP="00000000" w:rsidRDefault="00000000" w:rsidRPr="00000000" w14:paraId="00000106">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Mclaney, A., &amp; Harvey. (2023). </w:t>
      </w:r>
      <w:r w:rsidDel="00000000" w:rsidR="00000000" w:rsidRPr="00000000">
        <w:rPr>
          <w:rFonts w:ascii="Times New Roman" w:cs="Times New Roman" w:eastAsia="Times New Roman" w:hAnsi="Times New Roman"/>
          <w:i w:val="1"/>
          <w:sz w:val="24"/>
          <w:szCs w:val="24"/>
          <w:rtl w:val="0"/>
        </w:rPr>
        <w:t xml:space="preserve">A T R I L L ’ S A T R I L L ’ S</w:t>
      </w:r>
      <w:r w:rsidDel="00000000" w:rsidR="00000000" w:rsidRPr="00000000">
        <w:rPr>
          <w:rFonts w:ascii="Times New Roman" w:cs="Times New Roman" w:eastAsia="Times New Roman" w:hAnsi="Times New Roman"/>
          <w:sz w:val="24"/>
          <w:szCs w:val="24"/>
          <w:rtl w:val="0"/>
        </w:rPr>
        <w:t xml:space="preserve">. https://www.pearson.com/en-au/media/2005313/9781488616570-TOC.pdf</w:t>
      </w:r>
    </w:p>
    <w:p w:rsidR="00000000" w:rsidDel="00000000" w:rsidP="00000000" w:rsidRDefault="00000000" w:rsidRPr="00000000" w14:paraId="00000107">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Nayal, K., Kumar, S., Raut, R. D., Queiroz, M. M., Priyadarshinee, P., &amp; Narkhede, B. E. (2021). Supply Chain Firm Performance in Circular Economy and Digital Era to Achieve Sustainable Development Goals. </w:t>
      </w:r>
      <w:r w:rsidDel="00000000" w:rsidR="00000000" w:rsidRPr="00000000">
        <w:rPr>
          <w:rFonts w:ascii="Times New Roman" w:cs="Times New Roman" w:eastAsia="Times New Roman" w:hAnsi="Times New Roman"/>
          <w:i w:val="1"/>
          <w:sz w:val="24"/>
          <w:szCs w:val="24"/>
          <w:rtl w:val="0"/>
        </w:rPr>
        <w:t xml:space="preserve">Business Strategy and the Environment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31</w:t>
      </w:r>
      <w:r w:rsidDel="00000000" w:rsidR="00000000" w:rsidRPr="00000000">
        <w:rPr>
          <w:rFonts w:ascii="Times New Roman" w:cs="Times New Roman" w:eastAsia="Times New Roman" w:hAnsi="Times New Roman"/>
          <w:sz w:val="24"/>
          <w:szCs w:val="24"/>
          <w:rtl w:val="0"/>
        </w:rPr>
        <w:t xml:space="preserve">(3). https://doi.org/10.1002/bse.2935</w:t>
      </w:r>
    </w:p>
    <w:p w:rsidR="00000000" w:rsidDel="00000000" w:rsidP="00000000" w:rsidRDefault="00000000" w:rsidRPr="00000000" w14:paraId="00000108">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ONS. (2022, November 15). </w:t>
      </w:r>
      <w:r w:rsidDel="00000000" w:rsidR="00000000" w:rsidRPr="00000000">
        <w:rPr>
          <w:rFonts w:ascii="Times New Roman" w:cs="Times New Roman" w:eastAsia="Times New Roman" w:hAnsi="Times New Roman"/>
          <w:i w:val="1"/>
          <w:sz w:val="24"/>
          <w:szCs w:val="24"/>
          <w:rtl w:val="0"/>
        </w:rPr>
        <w:t xml:space="preserve">Gross Domestic Product: Year on Year growth: CVM SA % - Office for National Statistics</w:t>
      </w:r>
      <w:r w:rsidDel="00000000" w:rsidR="00000000" w:rsidRPr="00000000">
        <w:rPr>
          <w:rFonts w:ascii="Times New Roman" w:cs="Times New Roman" w:eastAsia="Times New Roman" w:hAnsi="Times New Roman"/>
          <w:sz w:val="24"/>
          <w:szCs w:val="24"/>
          <w:rtl w:val="0"/>
        </w:rPr>
        <w:t xml:space="preserve">. Ons.gov.uk. https://www.ons.gov.uk/economy/grossdomesticproductgdp/timeseries/ihyp/pn2</w:t>
      </w:r>
    </w:p>
    <w:p w:rsidR="00000000" w:rsidDel="00000000" w:rsidP="00000000" w:rsidRDefault="00000000" w:rsidRPr="00000000" w14:paraId="00000109">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Pushpalatha, E., &amp; Shankar, D. C. (2024). Risk-Return Trade-Off In Blue Chip Mutual Funds: An Evaluation Using Sharpe, Treynor, And Jensen Measures In The Banking Sector. </w:t>
      </w:r>
      <w:r w:rsidDel="00000000" w:rsidR="00000000" w:rsidRPr="00000000">
        <w:rPr>
          <w:rFonts w:ascii="Times New Roman" w:cs="Times New Roman" w:eastAsia="Times New Roman" w:hAnsi="Times New Roman"/>
          <w:i w:val="1"/>
          <w:sz w:val="24"/>
          <w:szCs w:val="24"/>
          <w:rtl w:val="0"/>
        </w:rPr>
        <w:t xml:space="preserve">Educational Administration: Theory and Practice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30</w:t>
      </w:r>
      <w:r w:rsidDel="00000000" w:rsidR="00000000" w:rsidRPr="00000000">
        <w:rPr>
          <w:rFonts w:ascii="Times New Roman" w:cs="Times New Roman" w:eastAsia="Times New Roman" w:hAnsi="Times New Roman"/>
          <w:sz w:val="24"/>
          <w:szCs w:val="24"/>
          <w:rtl w:val="0"/>
        </w:rPr>
        <w:t xml:space="preserve">(1), 429–438. https://doi.org/10.53555/kuey.v30i1.2600</w:t>
      </w:r>
    </w:p>
    <w:p w:rsidR="00000000" w:rsidDel="00000000" w:rsidP="00000000" w:rsidRDefault="00000000" w:rsidRPr="00000000" w14:paraId="0000010A">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Sammour, A. A., Chen, W., &amp; Balmer, J. M. T. (2020). Corporate heritage brand traits and corporate heritage brand identity: the case study of John Lewis. </w:t>
      </w:r>
      <w:r w:rsidDel="00000000" w:rsidR="00000000" w:rsidRPr="00000000">
        <w:rPr>
          <w:rFonts w:ascii="Times New Roman" w:cs="Times New Roman" w:eastAsia="Times New Roman" w:hAnsi="Times New Roman"/>
          <w:i w:val="1"/>
          <w:sz w:val="24"/>
          <w:szCs w:val="24"/>
          <w:rtl w:val="0"/>
        </w:rPr>
        <w:t xml:space="preserve">Qualitative Market Research: An International Journal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23</w:t>
      </w:r>
      <w:r w:rsidDel="00000000" w:rsidR="00000000" w:rsidRPr="00000000">
        <w:rPr>
          <w:rFonts w:ascii="Times New Roman" w:cs="Times New Roman" w:eastAsia="Times New Roman" w:hAnsi="Times New Roman"/>
          <w:sz w:val="24"/>
          <w:szCs w:val="24"/>
          <w:rtl w:val="0"/>
        </w:rPr>
        <w:t xml:space="preserve">(3), 447–470. https://doi.org/10.1108/qmr-03-2018-0039</w:t>
      </w:r>
    </w:p>
    <w:p w:rsidR="00000000" w:rsidDel="00000000" w:rsidP="00000000" w:rsidRDefault="00000000" w:rsidRPr="00000000" w14:paraId="0000010B">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Ward, M. (2024). </w:t>
      </w:r>
      <w:r w:rsidDel="00000000" w:rsidR="00000000" w:rsidRPr="00000000">
        <w:rPr>
          <w:rFonts w:ascii="Times New Roman" w:cs="Times New Roman" w:eastAsia="Times New Roman" w:hAnsi="Times New Roman"/>
          <w:i w:val="1"/>
          <w:sz w:val="24"/>
          <w:szCs w:val="24"/>
          <w:rtl w:val="0"/>
        </w:rPr>
        <w:t xml:space="preserve">Retail sector in the UK</w:t>
      </w:r>
      <w:r w:rsidDel="00000000" w:rsidR="00000000" w:rsidRPr="00000000">
        <w:rPr>
          <w:rFonts w:ascii="Times New Roman" w:cs="Times New Roman" w:eastAsia="Times New Roman" w:hAnsi="Times New Roman"/>
          <w:sz w:val="24"/>
          <w:szCs w:val="24"/>
          <w:rtl w:val="0"/>
        </w:rPr>
        <w:t xml:space="preserve">. Parliament.uk; researchbriefings.files.parliament.uk. https://researchbriefings.files.parliament.uk/documents/SN06186/SN06186.pdf</w:t>
      </w:r>
    </w:p>
    <w:p w:rsidR="00000000" w:rsidDel="00000000" w:rsidP="00000000" w:rsidRDefault="00000000" w:rsidRPr="00000000" w14:paraId="0000010C">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Weetman, P. (2019). Financial and Management Accounting. In </w:t>
      </w:r>
      <w:r w:rsidDel="00000000" w:rsidR="00000000" w:rsidRPr="00000000">
        <w:rPr>
          <w:rFonts w:ascii="Times New Roman" w:cs="Times New Roman" w:eastAsia="Times New Roman" w:hAnsi="Times New Roman"/>
          <w:i w:val="1"/>
          <w:sz w:val="24"/>
          <w:szCs w:val="24"/>
          <w:rtl w:val="0"/>
        </w:rPr>
        <w:t xml:space="preserve">Google Books</w:t>
      </w:r>
      <w:r w:rsidDel="00000000" w:rsidR="00000000" w:rsidRPr="00000000">
        <w:rPr>
          <w:rFonts w:ascii="Times New Roman" w:cs="Times New Roman" w:eastAsia="Times New Roman" w:hAnsi="Times New Roman"/>
          <w:sz w:val="24"/>
          <w:szCs w:val="24"/>
          <w:rtl w:val="0"/>
        </w:rPr>
        <w:t xml:space="preserve">. Pearson UK. https://books.google.com/books?hl=en&amp;lr=&amp;id=7JSgDwAAQBAJ&amp;oi=fnd&amp;pg=PT19&amp;dq=Weetman</w:t>
      </w:r>
    </w:p>
    <w:p w:rsidR="00000000" w:rsidDel="00000000" w:rsidP="00000000" w:rsidRDefault="00000000" w:rsidRPr="00000000" w14:paraId="0000010D">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Weetman, P., Ioannis Tsalavoutas, &amp; Gordon, P. (2020). International Corporate Reporting. In </w:t>
      </w:r>
      <w:r w:rsidDel="00000000" w:rsidR="00000000" w:rsidRPr="00000000">
        <w:rPr>
          <w:rFonts w:ascii="Times New Roman" w:cs="Times New Roman" w:eastAsia="Times New Roman" w:hAnsi="Times New Roman"/>
          <w:i w:val="1"/>
          <w:sz w:val="24"/>
          <w:szCs w:val="24"/>
          <w:rtl w:val="0"/>
        </w:rPr>
        <w:t xml:space="preserve">Routledge eBooks</w:t>
      </w:r>
      <w:r w:rsidDel="00000000" w:rsidR="00000000" w:rsidRPr="00000000">
        <w:rPr>
          <w:rFonts w:ascii="Times New Roman" w:cs="Times New Roman" w:eastAsia="Times New Roman" w:hAnsi="Times New Roman"/>
          <w:sz w:val="24"/>
          <w:szCs w:val="24"/>
          <w:rtl w:val="0"/>
        </w:rPr>
        <w:t xml:space="preserve">. Informa. https://doi.org/10.4324/9780429430985</w:t>
      </w:r>
    </w:p>
    <w:p w:rsidR="00000000" w:rsidDel="00000000" w:rsidP="00000000" w:rsidRDefault="00000000" w:rsidRPr="00000000" w14:paraId="0000010E">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Yan, S., &amp; Ji, X. (2019). Supply chain network design under the risk of uncertain disruptions. </w:t>
      </w:r>
      <w:r w:rsidDel="00000000" w:rsidR="00000000" w:rsidRPr="00000000">
        <w:rPr>
          <w:rFonts w:ascii="Times New Roman" w:cs="Times New Roman" w:eastAsia="Times New Roman" w:hAnsi="Times New Roman"/>
          <w:i w:val="1"/>
          <w:sz w:val="24"/>
          <w:szCs w:val="24"/>
          <w:rtl w:val="0"/>
        </w:rPr>
        <w:t xml:space="preserve">International Journal of Production Research</w:t>
      </w:r>
      <w:r w:rsidDel="00000000" w:rsidR="00000000" w:rsidRPr="00000000">
        <w:rPr>
          <w:rFonts w:ascii="Times New Roman" w:cs="Times New Roman" w:eastAsia="Times New Roman" w:hAnsi="Times New Roman"/>
          <w:sz w:val="24"/>
          <w:szCs w:val="24"/>
          <w:rtl w:val="0"/>
        </w:rPr>
        <w:t xml:space="preserve">, 1–17. https://doi.org/10.1080/00207543.2019.1696999</w:t>
      </w:r>
    </w:p>
    <w:p w:rsidR="00000000" w:rsidDel="00000000" w:rsidP="00000000" w:rsidRDefault="00000000" w:rsidRPr="00000000" w14:paraId="0000010F">
      <w:pP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Times New Roman"/>
  <w:font w:name="Gungsuh"/>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22" Type="http://schemas.openxmlformats.org/officeDocument/2006/relationships/image" Target="media/image14.png"/><Relationship Id="rId21" Type="http://schemas.openxmlformats.org/officeDocument/2006/relationships/image" Target="media/image18.png"/><Relationship Id="rId24" Type="http://schemas.openxmlformats.org/officeDocument/2006/relationships/image" Target="media/image6.png"/><Relationship Id="rId23" Type="http://schemas.openxmlformats.org/officeDocument/2006/relationships/image" Target="media/image2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7.png"/><Relationship Id="rId26" Type="http://schemas.openxmlformats.org/officeDocument/2006/relationships/image" Target="media/image22.png"/><Relationship Id="rId25" Type="http://schemas.openxmlformats.org/officeDocument/2006/relationships/image" Target="media/image2.png"/><Relationship Id="rId28" Type="http://schemas.openxmlformats.org/officeDocument/2006/relationships/image" Target="media/image21.png"/><Relationship Id="rId27" Type="http://schemas.openxmlformats.org/officeDocument/2006/relationships/image" Target="media/image8.png"/><Relationship Id="rId5" Type="http://schemas.openxmlformats.org/officeDocument/2006/relationships/styles" Target="styles.xml"/><Relationship Id="rId6" Type="http://schemas.openxmlformats.org/officeDocument/2006/relationships/image" Target="media/image28.png"/><Relationship Id="rId29" Type="http://schemas.openxmlformats.org/officeDocument/2006/relationships/image" Target="media/image7.png"/><Relationship Id="rId7" Type="http://schemas.openxmlformats.org/officeDocument/2006/relationships/image" Target="media/image3.png"/><Relationship Id="rId8" Type="http://schemas.openxmlformats.org/officeDocument/2006/relationships/image" Target="media/image15.png"/><Relationship Id="rId31" Type="http://schemas.openxmlformats.org/officeDocument/2006/relationships/image" Target="media/image19.png"/><Relationship Id="rId30" Type="http://schemas.openxmlformats.org/officeDocument/2006/relationships/image" Target="media/image12.png"/><Relationship Id="rId11" Type="http://schemas.openxmlformats.org/officeDocument/2006/relationships/image" Target="media/image13.png"/><Relationship Id="rId33" Type="http://schemas.openxmlformats.org/officeDocument/2006/relationships/image" Target="media/image16.png"/><Relationship Id="rId10" Type="http://schemas.openxmlformats.org/officeDocument/2006/relationships/image" Target="media/image4.png"/><Relationship Id="rId32" Type="http://schemas.openxmlformats.org/officeDocument/2006/relationships/image" Target="media/image17.png"/><Relationship Id="rId13" Type="http://schemas.openxmlformats.org/officeDocument/2006/relationships/image" Target="media/image11.png"/><Relationship Id="rId12" Type="http://schemas.openxmlformats.org/officeDocument/2006/relationships/image" Target="media/image9.png"/><Relationship Id="rId15" Type="http://schemas.openxmlformats.org/officeDocument/2006/relationships/image" Target="media/image24.png"/><Relationship Id="rId14" Type="http://schemas.openxmlformats.org/officeDocument/2006/relationships/image" Target="media/image25.png"/><Relationship Id="rId17" Type="http://schemas.openxmlformats.org/officeDocument/2006/relationships/image" Target="media/image5.png"/><Relationship Id="rId16" Type="http://schemas.openxmlformats.org/officeDocument/2006/relationships/image" Target="media/image26.png"/><Relationship Id="rId19" Type="http://schemas.openxmlformats.org/officeDocument/2006/relationships/image" Target="media/image1.png"/><Relationship Id="rId18"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