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CC0476"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AFA42C8" w:rsidR="00CD33A8" w:rsidRPr="003E55B0" w:rsidRDefault="00CD33A8" w:rsidP="00CD33A8">
      <w:pPr>
        <w:tabs>
          <w:tab w:val="left" w:pos="6540"/>
        </w:tabs>
        <w:spacing w:line="360" w:lineRule="auto"/>
        <w:rPr>
          <w:rFonts w:ascii="Arial" w:hAnsi="Arial" w:cs="Arial"/>
          <w:sz w:val="28"/>
          <w:szCs w:val="28"/>
        </w:rPr>
      </w:pPr>
      <w:r w:rsidRPr="003E55B0">
        <w:rPr>
          <w:rFonts w:ascii="Arial" w:hAnsi="Arial" w:cs="Arial"/>
          <w:b/>
          <w:bCs/>
          <w:sz w:val="28"/>
          <w:szCs w:val="28"/>
        </w:rPr>
        <w:t>Module name</w:t>
      </w:r>
      <w:r w:rsidRPr="00FE218D">
        <w:rPr>
          <w:rFonts w:ascii="Arial" w:hAnsi="Arial" w:cs="Arial"/>
          <w:b/>
          <w:bCs/>
          <w:sz w:val="28"/>
          <w:szCs w:val="28"/>
        </w:rPr>
        <w:t xml:space="preserve">: </w:t>
      </w:r>
      <w:r w:rsidR="003E55B0" w:rsidRPr="00FE218D">
        <w:rPr>
          <w:rFonts w:ascii="Arial" w:hAnsi="Arial" w:cs="Arial"/>
          <w:b/>
          <w:bCs/>
          <w:sz w:val="28"/>
          <w:szCs w:val="28"/>
        </w:rPr>
        <w:t>Introduction to Health and Social Care</w:t>
      </w:r>
    </w:p>
    <w:p w14:paraId="529D7354" w14:textId="18FFF8D8" w:rsidR="00CD33A8" w:rsidRPr="00FE218D" w:rsidRDefault="00CD33A8" w:rsidP="00CD33A8">
      <w:pPr>
        <w:tabs>
          <w:tab w:val="left" w:pos="6540"/>
        </w:tabs>
        <w:spacing w:line="360" w:lineRule="auto"/>
        <w:rPr>
          <w:rFonts w:ascii="Arial" w:hAnsi="Arial" w:cs="Arial"/>
          <w:b/>
          <w:bCs/>
          <w:sz w:val="28"/>
          <w:szCs w:val="28"/>
        </w:rPr>
      </w:pPr>
      <w:r w:rsidRPr="00CD33A8">
        <w:rPr>
          <w:rFonts w:ascii="Arial" w:hAnsi="Arial" w:cs="Arial"/>
          <w:b/>
          <w:bCs/>
          <w:sz w:val="28"/>
          <w:szCs w:val="28"/>
        </w:rPr>
        <w:t>Module code</w:t>
      </w:r>
      <w:r w:rsidRPr="00CD33A8">
        <w:rPr>
          <w:rFonts w:ascii="Arial" w:hAnsi="Arial" w:cs="Arial"/>
          <w:sz w:val="28"/>
          <w:szCs w:val="28"/>
        </w:rPr>
        <w:t>:</w:t>
      </w:r>
      <w:r w:rsidR="003E55B0">
        <w:rPr>
          <w:rFonts w:ascii="Arial" w:hAnsi="Arial" w:cs="Arial"/>
          <w:sz w:val="28"/>
          <w:szCs w:val="28"/>
        </w:rPr>
        <w:t xml:space="preserve"> </w:t>
      </w:r>
      <w:r w:rsidR="0097240F" w:rsidRPr="00FE218D">
        <w:rPr>
          <w:rFonts w:ascii="Arial" w:hAnsi="Arial" w:cs="Arial"/>
          <w:b/>
          <w:bCs/>
          <w:sz w:val="28"/>
          <w:szCs w:val="28"/>
        </w:rPr>
        <w:t>LCHS 4003</w:t>
      </w:r>
    </w:p>
    <w:p w14:paraId="0A48766D" w14:textId="4EC1E781" w:rsidR="00074402" w:rsidRPr="003E55B0" w:rsidRDefault="00074402" w:rsidP="00CD33A8">
      <w:pPr>
        <w:tabs>
          <w:tab w:val="left" w:pos="6540"/>
        </w:tabs>
        <w:spacing w:line="360" w:lineRule="auto"/>
        <w:rPr>
          <w:rFonts w:ascii="Arial" w:hAnsi="Arial" w:cs="Arial"/>
          <w:sz w:val="28"/>
          <w:szCs w:val="28"/>
        </w:rPr>
      </w:pPr>
      <w:r w:rsidRPr="003E55B0">
        <w:rPr>
          <w:rFonts w:ascii="Arial" w:hAnsi="Arial" w:cs="Arial"/>
          <w:b/>
          <w:bCs/>
          <w:sz w:val="28"/>
          <w:szCs w:val="28"/>
        </w:rPr>
        <w:t>Student name</w:t>
      </w:r>
      <w:r w:rsidRPr="003E55B0">
        <w:rPr>
          <w:rFonts w:ascii="Arial" w:hAnsi="Arial" w:cs="Arial"/>
          <w:sz w:val="28"/>
          <w:szCs w:val="28"/>
        </w:rPr>
        <w:t>:</w:t>
      </w:r>
      <w:r w:rsidR="0097240F">
        <w:rPr>
          <w:rFonts w:ascii="Arial" w:hAnsi="Arial" w:cs="Arial"/>
          <w:sz w:val="28"/>
          <w:szCs w:val="28"/>
        </w:rPr>
        <w:t xml:space="preserve"> </w:t>
      </w:r>
      <w:r w:rsidR="0097240F" w:rsidRPr="00FE218D">
        <w:rPr>
          <w:rFonts w:ascii="Arial" w:hAnsi="Arial" w:cs="Arial"/>
          <w:b/>
          <w:bCs/>
          <w:sz w:val="28"/>
          <w:szCs w:val="28"/>
        </w:rPr>
        <w:t>Bernardita Rodriguez Brown</w:t>
      </w:r>
    </w:p>
    <w:p w14:paraId="5E81F6AD" w14:textId="2EFA37CF" w:rsidR="00074402" w:rsidRDefault="00074402" w:rsidP="00CD33A8">
      <w:pPr>
        <w:tabs>
          <w:tab w:val="left" w:pos="6540"/>
        </w:tabs>
        <w:spacing w:line="360" w:lineRule="auto"/>
        <w:rPr>
          <w:rFonts w:ascii="Arial" w:hAnsi="Arial" w:cs="Arial"/>
          <w:b/>
          <w:bCs/>
          <w:sz w:val="28"/>
          <w:szCs w:val="28"/>
        </w:rPr>
      </w:pPr>
      <w:r w:rsidRPr="003E55B0">
        <w:rPr>
          <w:rFonts w:ascii="Arial" w:hAnsi="Arial" w:cs="Arial"/>
          <w:b/>
          <w:bCs/>
          <w:sz w:val="28"/>
          <w:szCs w:val="28"/>
        </w:rPr>
        <w:t>Student ID</w:t>
      </w:r>
      <w:r w:rsidRPr="003E55B0">
        <w:rPr>
          <w:rFonts w:ascii="Arial" w:hAnsi="Arial" w:cs="Arial"/>
          <w:sz w:val="28"/>
          <w:szCs w:val="28"/>
        </w:rPr>
        <w:t>:</w:t>
      </w:r>
      <w:r w:rsidR="0097240F">
        <w:rPr>
          <w:rFonts w:ascii="Arial" w:hAnsi="Arial" w:cs="Arial"/>
          <w:sz w:val="28"/>
          <w:szCs w:val="28"/>
        </w:rPr>
        <w:t xml:space="preserve"> </w:t>
      </w:r>
      <w:r w:rsidR="0097240F" w:rsidRPr="00FE218D">
        <w:rPr>
          <w:rFonts w:ascii="Arial" w:hAnsi="Arial" w:cs="Arial"/>
          <w:b/>
          <w:bCs/>
          <w:sz w:val="28"/>
          <w:szCs w:val="28"/>
        </w:rPr>
        <w:t>2508289</w:t>
      </w:r>
    </w:p>
    <w:p w14:paraId="28AF15A3" w14:textId="32E90106" w:rsidR="0025440E" w:rsidRPr="00FE218D" w:rsidRDefault="0025440E" w:rsidP="00CD33A8">
      <w:pPr>
        <w:tabs>
          <w:tab w:val="left" w:pos="6540"/>
        </w:tabs>
        <w:spacing w:line="360" w:lineRule="auto"/>
        <w:rPr>
          <w:rFonts w:ascii="Arial" w:hAnsi="Arial" w:cs="Arial"/>
          <w:b/>
          <w:bCs/>
          <w:sz w:val="28"/>
          <w:szCs w:val="28"/>
        </w:rPr>
      </w:pPr>
      <w:r>
        <w:rPr>
          <w:rFonts w:ascii="Arial" w:hAnsi="Arial" w:cs="Arial"/>
          <w:b/>
          <w:bCs/>
          <w:sz w:val="28"/>
          <w:szCs w:val="28"/>
        </w:rPr>
        <w:t>Assignment Title: Promoting Person-Centred Care and Multi-Agency Collaboration: A case study of Mr. Ahmed</w:t>
      </w:r>
    </w:p>
    <w:p w14:paraId="1A0B2D2B" w14:textId="420B11EB"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97240F">
        <w:rPr>
          <w:rFonts w:ascii="Arial" w:hAnsi="Arial" w:cs="Arial"/>
          <w:sz w:val="28"/>
          <w:szCs w:val="28"/>
        </w:rPr>
        <w:t xml:space="preserve"> </w:t>
      </w:r>
      <w:r w:rsidR="0097240F" w:rsidRPr="00FE218D">
        <w:rPr>
          <w:rFonts w:ascii="Arial" w:hAnsi="Arial" w:cs="Arial"/>
          <w:b/>
          <w:bCs/>
          <w:sz w:val="28"/>
          <w:szCs w:val="28"/>
        </w:rPr>
        <w:t>Mr</w:t>
      </w:r>
      <w:r w:rsidR="00FE218D" w:rsidRPr="00FE218D">
        <w:rPr>
          <w:rFonts w:ascii="Arial" w:hAnsi="Arial" w:cs="Arial"/>
          <w:b/>
          <w:bCs/>
          <w:sz w:val="28"/>
          <w:szCs w:val="28"/>
        </w:rPr>
        <w:t>.</w:t>
      </w:r>
      <w:r w:rsidR="0097240F" w:rsidRPr="00FE218D">
        <w:rPr>
          <w:rFonts w:ascii="Arial" w:hAnsi="Arial" w:cs="Arial"/>
          <w:b/>
          <w:bCs/>
          <w:sz w:val="28"/>
          <w:szCs w:val="28"/>
        </w:rPr>
        <w:t xml:space="preserve"> Shepherd Ziko</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Default="00B87E75" w:rsidP="0010450B">
      <w:pPr>
        <w:pStyle w:val="Heading1"/>
      </w:pPr>
      <w:r w:rsidRPr="00CD33A8">
        <w:lastRenderedPageBreak/>
        <w:t>Table of contents</w:t>
      </w:r>
    </w:p>
    <w:p w14:paraId="6253BF04" w14:textId="77777777" w:rsidR="0025563A" w:rsidRDefault="0025563A" w:rsidP="0025563A">
      <w:pPr>
        <w:rPr>
          <w:lang w:eastAsia="en-GB"/>
        </w:rPr>
      </w:pPr>
    </w:p>
    <w:p w14:paraId="79910D3B" w14:textId="1EF694BF" w:rsidR="0025563A" w:rsidRPr="00FE218D" w:rsidRDefault="0025563A" w:rsidP="0025563A">
      <w:pPr>
        <w:rPr>
          <w:rFonts w:ascii="Arial" w:hAnsi="Arial" w:cs="Arial"/>
          <w:b/>
          <w:bCs/>
          <w:sz w:val="28"/>
          <w:szCs w:val="28"/>
          <w:lang w:val="fr-FR" w:eastAsia="en-GB"/>
        </w:rPr>
      </w:pPr>
      <w:r w:rsidRPr="00FE218D">
        <w:rPr>
          <w:rFonts w:ascii="Arial" w:hAnsi="Arial" w:cs="Arial"/>
          <w:b/>
          <w:bCs/>
          <w:sz w:val="28"/>
          <w:szCs w:val="28"/>
          <w:lang w:val="fr-FR" w:eastAsia="en-GB"/>
        </w:rPr>
        <w:t>Introduction …………………………………………………  page 3</w:t>
      </w:r>
    </w:p>
    <w:p w14:paraId="0A24A3C5" w14:textId="02B48D4E" w:rsidR="0025563A" w:rsidRPr="00FE218D" w:rsidRDefault="0025563A" w:rsidP="0025563A">
      <w:pPr>
        <w:rPr>
          <w:rFonts w:ascii="Arial" w:hAnsi="Arial" w:cs="Arial"/>
          <w:b/>
          <w:bCs/>
          <w:sz w:val="28"/>
          <w:szCs w:val="28"/>
          <w:lang w:eastAsia="en-GB"/>
        </w:rPr>
      </w:pPr>
      <w:r w:rsidRPr="00FE218D">
        <w:rPr>
          <w:rFonts w:ascii="Arial" w:hAnsi="Arial" w:cs="Arial"/>
          <w:b/>
          <w:bCs/>
          <w:sz w:val="28"/>
          <w:szCs w:val="28"/>
          <w:lang w:eastAsia="en-GB"/>
        </w:rPr>
        <w:t xml:space="preserve">Importance of </w:t>
      </w:r>
      <w:r w:rsidR="00FE218D" w:rsidRPr="00FE218D">
        <w:rPr>
          <w:rFonts w:ascii="Arial" w:hAnsi="Arial" w:cs="Arial"/>
          <w:b/>
          <w:bCs/>
          <w:sz w:val="28"/>
          <w:szCs w:val="28"/>
          <w:lang w:eastAsia="en-GB"/>
        </w:rPr>
        <w:t>e</w:t>
      </w:r>
      <w:r w:rsidRPr="00FE218D">
        <w:rPr>
          <w:rFonts w:ascii="Arial" w:hAnsi="Arial" w:cs="Arial"/>
          <w:b/>
          <w:bCs/>
          <w:sz w:val="28"/>
          <w:szCs w:val="28"/>
          <w:lang w:eastAsia="en-GB"/>
        </w:rPr>
        <w:t xml:space="preserve">ffective </w:t>
      </w:r>
      <w:r w:rsidR="00FE218D" w:rsidRPr="00FE218D">
        <w:rPr>
          <w:rFonts w:ascii="Arial" w:hAnsi="Arial" w:cs="Arial"/>
          <w:b/>
          <w:bCs/>
          <w:sz w:val="28"/>
          <w:szCs w:val="28"/>
          <w:lang w:eastAsia="en-GB"/>
        </w:rPr>
        <w:t>c</w:t>
      </w:r>
      <w:r w:rsidRPr="00FE218D">
        <w:rPr>
          <w:rFonts w:ascii="Arial" w:hAnsi="Arial" w:cs="Arial"/>
          <w:b/>
          <w:bCs/>
          <w:sz w:val="28"/>
          <w:szCs w:val="28"/>
          <w:lang w:eastAsia="en-GB"/>
        </w:rPr>
        <w:t>ommunication ………………</w:t>
      </w:r>
      <w:r w:rsidR="00FE218D" w:rsidRPr="00FE218D">
        <w:rPr>
          <w:rFonts w:ascii="Arial" w:hAnsi="Arial" w:cs="Arial"/>
          <w:b/>
          <w:bCs/>
          <w:sz w:val="28"/>
          <w:szCs w:val="28"/>
          <w:lang w:eastAsia="en-GB"/>
        </w:rPr>
        <w:t xml:space="preserve"> </w:t>
      </w:r>
      <w:r w:rsidR="00FE218D">
        <w:rPr>
          <w:rFonts w:ascii="Arial" w:hAnsi="Arial" w:cs="Arial"/>
          <w:b/>
          <w:bCs/>
          <w:sz w:val="28"/>
          <w:szCs w:val="28"/>
          <w:lang w:eastAsia="en-GB"/>
        </w:rPr>
        <w:t xml:space="preserve"> </w:t>
      </w:r>
      <w:r w:rsidR="00FE218D" w:rsidRPr="00FE218D">
        <w:rPr>
          <w:rFonts w:ascii="Arial" w:hAnsi="Arial" w:cs="Arial"/>
          <w:b/>
          <w:bCs/>
          <w:sz w:val="28"/>
          <w:szCs w:val="28"/>
          <w:lang w:eastAsia="en-GB"/>
        </w:rPr>
        <w:t>p</w:t>
      </w:r>
      <w:r w:rsidRPr="00FE218D">
        <w:rPr>
          <w:rFonts w:ascii="Arial" w:hAnsi="Arial" w:cs="Arial"/>
          <w:b/>
          <w:bCs/>
          <w:sz w:val="28"/>
          <w:szCs w:val="28"/>
          <w:lang w:eastAsia="en-GB"/>
        </w:rPr>
        <w:t>age</w:t>
      </w:r>
      <w:r w:rsidR="00FE218D" w:rsidRPr="00FE218D">
        <w:rPr>
          <w:rFonts w:ascii="Arial" w:hAnsi="Arial" w:cs="Arial"/>
          <w:b/>
          <w:bCs/>
          <w:sz w:val="28"/>
          <w:szCs w:val="28"/>
          <w:lang w:eastAsia="en-GB"/>
        </w:rPr>
        <w:t xml:space="preserve"> 3 – 4</w:t>
      </w:r>
    </w:p>
    <w:p w14:paraId="0ECEEBCC" w14:textId="224F6EDC" w:rsidR="00FE218D" w:rsidRDefault="00FE218D" w:rsidP="0025563A">
      <w:pPr>
        <w:rPr>
          <w:rFonts w:ascii="Arial" w:hAnsi="Arial" w:cs="Arial"/>
          <w:b/>
          <w:bCs/>
          <w:sz w:val="28"/>
          <w:szCs w:val="28"/>
          <w:lang w:eastAsia="en-GB"/>
        </w:rPr>
      </w:pPr>
      <w:r w:rsidRPr="00FE218D">
        <w:rPr>
          <w:rFonts w:ascii="Arial" w:hAnsi="Arial" w:cs="Arial"/>
          <w:b/>
          <w:bCs/>
          <w:sz w:val="28"/>
          <w:szCs w:val="28"/>
          <w:lang w:eastAsia="en-GB"/>
        </w:rPr>
        <w:t>Importance of good administrative skills …</w:t>
      </w:r>
      <w:r>
        <w:rPr>
          <w:rFonts w:ascii="Arial" w:hAnsi="Arial" w:cs="Arial"/>
          <w:b/>
          <w:bCs/>
          <w:sz w:val="28"/>
          <w:szCs w:val="28"/>
          <w:lang w:eastAsia="en-GB"/>
        </w:rPr>
        <w:t>………….   page 4 – 5</w:t>
      </w:r>
    </w:p>
    <w:p w14:paraId="5C656D2E" w14:textId="68DD3BDF" w:rsidR="00FE218D" w:rsidRPr="009E60B0" w:rsidRDefault="00FE218D" w:rsidP="0025563A">
      <w:pPr>
        <w:rPr>
          <w:rFonts w:ascii="Arial" w:hAnsi="Arial" w:cs="Arial"/>
          <w:b/>
          <w:bCs/>
          <w:sz w:val="28"/>
          <w:szCs w:val="28"/>
          <w:lang w:val="fr-FR" w:eastAsia="en-GB"/>
        </w:rPr>
      </w:pPr>
      <w:r>
        <w:rPr>
          <w:rFonts w:ascii="Arial" w:hAnsi="Arial" w:cs="Arial"/>
          <w:b/>
          <w:bCs/>
          <w:sz w:val="28"/>
          <w:szCs w:val="28"/>
          <w:lang w:eastAsia="en-GB"/>
        </w:rPr>
        <w:t xml:space="preserve">Importance of working collaboratively ………………..  </w:t>
      </w:r>
      <w:r w:rsidRPr="009E60B0">
        <w:rPr>
          <w:rFonts w:ascii="Arial" w:hAnsi="Arial" w:cs="Arial"/>
          <w:b/>
          <w:bCs/>
          <w:sz w:val="28"/>
          <w:szCs w:val="28"/>
          <w:lang w:val="fr-FR" w:eastAsia="en-GB"/>
        </w:rPr>
        <w:t>page 5 – 6</w:t>
      </w:r>
    </w:p>
    <w:p w14:paraId="39529D6D" w14:textId="234754DA" w:rsidR="00FE218D" w:rsidRPr="009E60B0" w:rsidRDefault="00FE218D" w:rsidP="0025563A">
      <w:pPr>
        <w:rPr>
          <w:rFonts w:ascii="Arial" w:hAnsi="Arial" w:cs="Arial"/>
          <w:b/>
          <w:bCs/>
          <w:sz w:val="28"/>
          <w:szCs w:val="28"/>
          <w:lang w:val="fr-FR" w:eastAsia="en-GB"/>
        </w:rPr>
      </w:pPr>
      <w:r w:rsidRPr="009E60B0">
        <w:rPr>
          <w:rFonts w:ascii="Arial" w:hAnsi="Arial" w:cs="Arial"/>
          <w:b/>
          <w:bCs/>
          <w:sz w:val="28"/>
          <w:szCs w:val="28"/>
          <w:lang w:val="fr-FR" w:eastAsia="en-GB"/>
        </w:rPr>
        <w:t>Conclusion …………………………………………………  page 6</w:t>
      </w:r>
    </w:p>
    <w:p w14:paraId="43BF426D" w14:textId="1D942A52" w:rsidR="00FE218D" w:rsidRPr="009E60B0" w:rsidRDefault="00F7118B" w:rsidP="0025563A">
      <w:pPr>
        <w:rPr>
          <w:rFonts w:ascii="Arial" w:hAnsi="Arial" w:cs="Arial"/>
          <w:b/>
          <w:bCs/>
          <w:sz w:val="28"/>
          <w:szCs w:val="28"/>
          <w:lang w:val="fr-FR" w:eastAsia="en-GB"/>
        </w:rPr>
      </w:pPr>
      <w:r w:rsidRPr="009E60B0">
        <w:rPr>
          <w:rFonts w:ascii="Arial" w:hAnsi="Arial" w:cs="Arial"/>
          <w:b/>
          <w:bCs/>
          <w:sz w:val="28"/>
          <w:szCs w:val="28"/>
          <w:lang w:val="fr-FR" w:eastAsia="en-GB"/>
        </w:rPr>
        <w:t>Références</w:t>
      </w:r>
      <w:r w:rsidR="00FE218D" w:rsidRPr="009E60B0">
        <w:rPr>
          <w:rFonts w:ascii="Arial" w:hAnsi="Arial" w:cs="Arial"/>
          <w:b/>
          <w:bCs/>
          <w:sz w:val="28"/>
          <w:szCs w:val="28"/>
          <w:lang w:val="fr-FR" w:eastAsia="en-GB"/>
        </w:rPr>
        <w:t xml:space="preserve"> …………………………………………………  page 7 - 8</w:t>
      </w:r>
    </w:p>
    <w:p w14:paraId="573B778A" w14:textId="77777777" w:rsidR="00FE218D" w:rsidRPr="009E60B0" w:rsidRDefault="00FE218D" w:rsidP="0025563A">
      <w:pPr>
        <w:rPr>
          <w:rFonts w:ascii="Arial" w:hAnsi="Arial" w:cs="Arial"/>
          <w:b/>
          <w:bCs/>
          <w:sz w:val="28"/>
          <w:szCs w:val="28"/>
          <w:lang w:val="fr-FR" w:eastAsia="en-GB"/>
        </w:rPr>
      </w:pPr>
    </w:p>
    <w:p w14:paraId="7428B942" w14:textId="77777777" w:rsidR="00FE218D" w:rsidRPr="009E60B0" w:rsidRDefault="00FE218D" w:rsidP="0025563A">
      <w:pPr>
        <w:rPr>
          <w:rFonts w:ascii="Arial" w:hAnsi="Arial" w:cs="Arial"/>
          <w:b/>
          <w:bCs/>
          <w:sz w:val="28"/>
          <w:szCs w:val="28"/>
          <w:lang w:val="fr-FR" w:eastAsia="en-GB"/>
        </w:rPr>
      </w:pPr>
    </w:p>
    <w:p w14:paraId="72ED328B" w14:textId="217508C8" w:rsidR="00E37FC5" w:rsidRPr="009E60B0" w:rsidRDefault="00E37FC5" w:rsidP="00E37FC5">
      <w:pPr>
        <w:rPr>
          <w:lang w:val="fr-FR" w:eastAsia="en-GB"/>
        </w:rPr>
      </w:pPr>
    </w:p>
    <w:p w14:paraId="13E00080" w14:textId="137FF22A" w:rsidR="00B87E75" w:rsidRPr="009E60B0" w:rsidRDefault="00B87E75" w:rsidP="00CD33A8">
      <w:pPr>
        <w:spacing w:line="360" w:lineRule="auto"/>
        <w:rPr>
          <w:rFonts w:asciiTheme="minorBidi" w:hAnsiTheme="minorBidi"/>
          <w:sz w:val="22"/>
          <w:lang w:val="fr-FR"/>
        </w:rPr>
      </w:pPr>
    </w:p>
    <w:p w14:paraId="2E79F7ED" w14:textId="182913C0" w:rsidR="00B87E75" w:rsidRPr="009E60B0" w:rsidRDefault="00B87E75" w:rsidP="00CD33A8">
      <w:pPr>
        <w:spacing w:line="360" w:lineRule="auto"/>
        <w:rPr>
          <w:rFonts w:asciiTheme="minorBidi" w:hAnsiTheme="minorBidi"/>
          <w:sz w:val="22"/>
          <w:lang w:val="fr-FR"/>
        </w:rPr>
      </w:pPr>
    </w:p>
    <w:p w14:paraId="7AE771D5" w14:textId="1C06E45A" w:rsidR="00B87E75" w:rsidRPr="009E60B0" w:rsidRDefault="00B87E75" w:rsidP="00CD33A8">
      <w:pPr>
        <w:spacing w:line="360" w:lineRule="auto"/>
        <w:rPr>
          <w:rFonts w:asciiTheme="minorBidi" w:hAnsiTheme="minorBidi"/>
          <w:sz w:val="22"/>
          <w:lang w:val="fr-FR"/>
        </w:rPr>
      </w:pPr>
    </w:p>
    <w:p w14:paraId="4F7320CB" w14:textId="000D21B8" w:rsidR="00B87E75" w:rsidRPr="009E60B0" w:rsidRDefault="00B87E75" w:rsidP="00CD33A8">
      <w:pPr>
        <w:spacing w:line="360" w:lineRule="auto"/>
        <w:rPr>
          <w:rFonts w:asciiTheme="minorBidi" w:hAnsiTheme="minorBidi"/>
          <w:sz w:val="22"/>
          <w:lang w:val="fr-FR"/>
        </w:rPr>
      </w:pPr>
      <w:r w:rsidRPr="009E60B0">
        <w:rPr>
          <w:rFonts w:asciiTheme="minorBidi" w:hAnsiTheme="minorBidi"/>
          <w:sz w:val="22"/>
          <w:lang w:val="fr-FR"/>
        </w:rPr>
        <w:br w:type="page"/>
      </w:r>
    </w:p>
    <w:p w14:paraId="6F047753" w14:textId="690D0CEA" w:rsidR="00EB1347" w:rsidRPr="00EB1347" w:rsidRDefault="00B87E75" w:rsidP="00676403">
      <w:pPr>
        <w:pStyle w:val="Heading1"/>
        <w:numPr>
          <w:ilvl w:val="0"/>
          <w:numId w:val="0"/>
        </w:numPr>
        <w:ind w:left="720" w:hanging="360"/>
      </w:pPr>
      <w:r w:rsidRPr="00EB1347">
        <w:lastRenderedPageBreak/>
        <w:t>Introduction</w:t>
      </w:r>
    </w:p>
    <w:p w14:paraId="25A4C103" w14:textId="01A11709" w:rsidR="0097240F" w:rsidRPr="00EB1347" w:rsidRDefault="0097240F" w:rsidP="00F7118B">
      <w:pPr>
        <w:spacing w:line="360" w:lineRule="auto"/>
        <w:rPr>
          <w:sz w:val="22"/>
        </w:rPr>
      </w:pPr>
      <w:r w:rsidRPr="00EB1347">
        <w:rPr>
          <w:rFonts w:ascii="Arial" w:hAnsi="Arial" w:cs="Arial"/>
          <w:color w:val="222222"/>
          <w:sz w:val="22"/>
          <w:shd w:val="clear" w:color="auto" w:fill="FFFFFF"/>
        </w:rPr>
        <w:t xml:space="preserve">This report provides a comprehensive critical analysis of the health and social care provision for Mr. Ahmed, a 68-year-old stroke survivor. As highlighted by Symonds et al. (2020), </w:t>
      </w:r>
      <w:r w:rsidR="001441F4">
        <w:rPr>
          <w:rFonts w:ascii="Arial" w:hAnsi="Arial" w:cs="Arial"/>
          <w:color w:val="222222"/>
          <w:sz w:val="22"/>
          <w:shd w:val="clear" w:color="auto" w:fill="FFFFFF"/>
        </w:rPr>
        <w:t>“</w:t>
      </w:r>
      <w:r w:rsidRPr="00EB1347">
        <w:rPr>
          <w:rFonts w:ascii="Arial" w:hAnsi="Arial" w:cs="Arial"/>
          <w:color w:val="222222"/>
          <w:sz w:val="22"/>
          <w:shd w:val="clear" w:color="auto" w:fill="FFFFFF"/>
        </w:rPr>
        <w:t>person-</w:t>
      </w:r>
      <w:r w:rsidR="00670C37" w:rsidRPr="00EB1347">
        <w:rPr>
          <w:rFonts w:ascii="Arial" w:hAnsi="Arial" w:cs="Arial"/>
          <w:color w:val="222222"/>
          <w:sz w:val="22"/>
          <w:shd w:val="clear" w:color="auto" w:fill="FFFFFF"/>
        </w:rPr>
        <w:t>centred</w:t>
      </w:r>
      <w:r w:rsidRPr="00EB1347">
        <w:rPr>
          <w:rFonts w:ascii="Arial" w:hAnsi="Arial" w:cs="Arial"/>
          <w:color w:val="222222"/>
          <w:sz w:val="22"/>
          <w:shd w:val="clear" w:color="auto" w:fill="FFFFFF"/>
        </w:rPr>
        <w:t xml:space="preserve"> care</w:t>
      </w:r>
      <w:r w:rsidR="001441F4">
        <w:rPr>
          <w:rFonts w:ascii="Arial" w:hAnsi="Arial" w:cs="Arial"/>
          <w:color w:val="222222"/>
          <w:sz w:val="22"/>
          <w:shd w:val="clear" w:color="auto" w:fill="FFFFFF"/>
        </w:rPr>
        <w:t>”</w:t>
      </w:r>
      <w:r w:rsidRPr="00EB1347">
        <w:rPr>
          <w:rFonts w:ascii="Arial" w:hAnsi="Arial" w:cs="Arial"/>
          <w:color w:val="222222"/>
          <w:sz w:val="22"/>
          <w:shd w:val="clear" w:color="auto" w:fill="FFFFFF"/>
        </w:rPr>
        <w:t xml:space="preserve"> is the fundamental foundation of modern practice, requiring a holistic approach that respects individual linguistic, cultural, and physical needs. Following his hospital discharge, Mr. Ahmed’s recovery is dependent on a complex </w:t>
      </w:r>
      <w:r w:rsidR="0082123D">
        <w:rPr>
          <w:rFonts w:ascii="Arial" w:hAnsi="Arial" w:cs="Arial"/>
          <w:color w:val="222222"/>
          <w:sz w:val="22"/>
          <w:shd w:val="clear" w:color="auto" w:fill="FFFFFF"/>
        </w:rPr>
        <w:t>m</w:t>
      </w:r>
      <w:r w:rsidRPr="00EB1347">
        <w:rPr>
          <w:rFonts w:ascii="Arial" w:hAnsi="Arial" w:cs="Arial"/>
          <w:color w:val="222222"/>
          <w:sz w:val="22"/>
          <w:shd w:val="clear" w:color="auto" w:fill="FFFFFF"/>
        </w:rPr>
        <w:t xml:space="preserve">ultidisciplinary </w:t>
      </w:r>
      <w:r w:rsidR="0082123D">
        <w:rPr>
          <w:rFonts w:ascii="Arial" w:hAnsi="Arial" w:cs="Arial"/>
          <w:color w:val="222222"/>
          <w:sz w:val="22"/>
          <w:shd w:val="clear" w:color="auto" w:fill="FFFFFF"/>
        </w:rPr>
        <w:t>t</w:t>
      </w:r>
      <w:r w:rsidRPr="00EB1347">
        <w:rPr>
          <w:rFonts w:ascii="Arial" w:hAnsi="Arial" w:cs="Arial"/>
          <w:color w:val="222222"/>
          <w:sz w:val="22"/>
          <w:shd w:val="clear" w:color="auto" w:fill="FFFFFF"/>
        </w:rPr>
        <w:t>eam (MDT), including a GP, district nurse, and domiciliary care workers. However, the recent failure in service delivery—a missed home visit leading to omitted medication—highlights a significant breakdown in professional standards. This assignment examines the legal obligations under the Equality Act 2010 to provide equitable communication support (</w:t>
      </w:r>
      <w:r w:rsidR="001441F4">
        <w:rPr>
          <w:rFonts w:ascii="Arial" w:hAnsi="Arial" w:cs="Arial"/>
          <w:color w:val="222222"/>
          <w:sz w:val="22"/>
          <w:shd w:val="clear" w:color="auto" w:fill="FFFFFF"/>
        </w:rPr>
        <w:t>Equality Act</w:t>
      </w:r>
      <w:r w:rsidRPr="00EB1347">
        <w:rPr>
          <w:rFonts w:ascii="Arial" w:hAnsi="Arial" w:cs="Arial"/>
          <w:color w:val="222222"/>
          <w:sz w:val="22"/>
          <w:shd w:val="clear" w:color="auto" w:fill="FFFFFF"/>
        </w:rPr>
        <w:t xml:space="preserve"> 2010) and the rigorous administrative requirements of the Data Protection Act 2018</w:t>
      </w:r>
      <w:r w:rsidR="001441F4">
        <w:rPr>
          <w:rFonts w:ascii="Arial" w:hAnsi="Arial" w:cs="Arial"/>
          <w:color w:val="222222"/>
          <w:sz w:val="22"/>
          <w:shd w:val="clear" w:color="auto" w:fill="FFFFFF"/>
        </w:rPr>
        <w:t xml:space="preserve"> (updated 2026)</w:t>
      </w:r>
      <w:r w:rsidRPr="00EB1347">
        <w:rPr>
          <w:rFonts w:ascii="Arial" w:hAnsi="Arial" w:cs="Arial"/>
          <w:color w:val="222222"/>
          <w:sz w:val="22"/>
          <w:shd w:val="clear" w:color="auto" w:fill="FFFFFF"/>
        </w:rPr>
        <w:t xml:space="preserve"> in ensuring accurate record-keeping (Information Commissioner’s Office [ICO], 2018). Furthermore, it evaluates the vital role of interprofessional collaboration in safeguarding vulnerable adults (Fox, </w:t>
      </w:r>
      <w:r w:rsidR="0084757A" w:rsidRPr="00EB1347">
        <w:rPr>
          <w:rFonts w:ascii="Arial" w:hAnsi="Arial" w:cs="Arial"/>
          <w:color w:val="222222"/>
          <w:sz w:val="22"/>
          <w:shd w:val="clear" w:color="auto" w:fill="FFFFFF"/>
        </w:rPr>
        <w:t>McCallum</w:t>
      </w:r>
      <w:r w:rsidRPr="00EB1347">
        <w:rPr>
          <w:rFonts w:ascii="Arial" w:hAnsi="Arial" w:cs="Arial"/>
          <w:color w:val="222222"/>
          <w:sz w:val="22"/>
          <w:shd w:val="clear" w:color="auto" w:fill="FFFFFF"/>
        </w:rPr>
        <w:t xml:space="preserve">, and Mikkola, 2025). By </w:t>
      </w:r>
      <w:r w:rsidR="001441F4" w:rsidRPr="00EB1347">
        <w:rPr>
          <w:rFonts w:ascii="Arial" w:hAnsi="Arial" w:cs="Arial"/>
          <w:color w:val="222222"/>
          <w:sz w:val="22"/>
          <w:shd w:val="clear" w:color="auto" w:fill="FFFFFF"/>
        </w:rPr>
        <w:t>analysing</w:t>
      </w:r>
      <w:r w:rsidRPr="00EB1347">
        <w:rPr>
          <w:rFonts w:ascii="Arial" w:hAnsi="Arial" w:cs="Arial"/>
          <w:color w:val="222222"/>
          <w:sz w:val="22"/>
          <w:shd w:val="clear" w:color="auto" w:fill="FFFFFF"/>
        </w:rPr>
        <w:t xml:space="preserve"> these frameworks alongside </w:t>
      </w:r>
      <w:r w:rsidR="00F963DF">
        <w:rPr>
          <w:rFonts w:ascii="Arial" w:hAnsi="Arial" w:cs="Arial"/>
          <w:color w:val="222222"/>
          <w:sz w:val="22"/>
          <w:shd w:val="clear" w:color="auto" w:fill="FFFFFF"/>
        </w:rPr>
        <w:t>statutory professional requirements enforced by the</w:t>
      </w:r>
      <w:r w:rsidRPr="00EB1347">
        <w:rPr>
          <w:rFonts w:ascii="Arial" w:hAnsi="Arial" w:cs="Arial"/>
          <w:color w:val="222222"/>
          <w:sz w:val="22"/>
          <w:shd w:val="clear" w:color="auto" w:fill="FFFFFF"/>
        </w:rPr>
        <w:t xml:space="preserve"> Nursing and Midwifery Council (NMC, 2018), this report demonstrates how legislative compliance and effective multi-agency strategies are essential to promote Mr. Ahmed’s long-term wellbeing and safety.</w:t>
      </w:r>
    </w:p>
    <w:p w14:paraId="52010A5E" w14:textId="77777777" w:rsidR="0026393A" w:rsidRPr="00EB1347" w:rsidRDefault="0026393A" w:rsidP="00EB1347">
      <w:pPr>
        <w:tabs>
          <w:tab w:val="left" w:pos="6540"/>
        </w:tabs>
        <w:spacing w:line="360" w:lineRule="auto"/>
        <w:rPr>
          <w:rFonts w:ascii="Arial" w:hAnsi="Arial" w:cs="Arial"/>
          <w:sz w:val="22"/>
        </w:rPr>
      </w:pPr>
    </w:p>
    <w:p w14:paraId="73B07562" w14:textId="6B9B887D" w:rsidR="008E3943" w:rsidRPr="00EB1347" w:rsidRDefault="00676403" w:rsidP="00676403">
      <w:pPr>
        <w:pStyle w:val="Heading1"/>
        <w:numPr>
          <w:ilvl w:val="0"/>
          <w:numId w:val="0"/>
        </w:numPr>
        <w:ind w:left="360"/>
      </w:pPr>
      <w:r>
        <w:t>Importance of  effective communication</w:t>
      </w:r>
    </w:p>
    <w:p w14:paraId="3398AF2B" w14:textId="64A46152" w:rsidR="008E3943" w:rsidRDefault="00B76A9E" w:rsidP="00F7118B">
      <w:pPr>
        <w:tabs>
          <w:tab w:val="left" w:pos="6540"/>
        </w:tabs>
        <w:spacing w:line="360" w:lineRule="auto"/>
        <w:rPr>
          <w:rFonts w:ascii="Arial" w:hAnsi="Arial" w:cs="Arial"/>
          <w:color w:val="222222"/>
          <w:sz w:val="22"/>
          <w:shd w:val="clear" w:color="auto" w:fill="FFFFFF"/>
        </w:rPr>
      </w:pPr>
      <w:r>
        <w:rPr>
          <w:rFonts w:ascii="Arial" w:hAnsi="Arial" w:cs="Arial"/>
          <w:color w:val="222222"/>
          <w:sz w:val="22"/>
          <w:shd w:val="clear" w:color="auto" w:fill="FFFFFF"/>
        </w:rPr>
        <w:t xml:space="preserve">Successful interaction </w:t>
      </w:r>
      <w:r w:rsidR="0097240F" w:rsidRPr="00EB1347">
        <w:rPr>
          <w:rFonts w:ascii="Arial" w:hAnsi="Arial" w:cs="Arial"/>
          <w:color w:val="222222"/>
          <w:sz w:val="22"/>
          <w:shd w:val="clear" w:color="auto" w:fill="FFFFFF"/>
        </w:rPr>
        <w:t xml:space="preserve"> is the </w:t>
      </w:r>
      <w:r>
        <w:rPr>
          <w:rFonts w:ascii="Arial" w:hAnsi="Arial" w:cs="Arial"/>
          <w:color w:val="222222"/>
          <w:sz w:val="22"/>
          <w:shd w:val="clear" w:color="auto" w:fill="FFFFFF"/>
        </w:rPr>
        <w:t>foundation</w:t>
      </w:r>
      <w:r w:rsidR="0097240F" w:rsidRPr="00EB1347">
        <w:rPr>
          <w:rFonts w:ascii="Arial" w:hAnsi="Arial" w:cs="Arial"/>
          <w:color w:val="222222"/>
          <w:sz w:val="22"/>
          <w:shd w:val="clear" w:color="auto" w:fill="FFFFFF"/>
        </w:rPr>
        <w:t xml:space="preserve"> of safe and ethical care, particularly for service users like Mr. Ahmed who face s</w:t>
      </w:r>
      <w:r>
        <w:rPr>
          <w:rFonts w:ascii="Arial" w:hAnsi="Arial" w:cs="Arial"/>
          <w:color w:val="222222"/>
          <w:sz w:val="22"/>
          <w:shd w:val="clear" w:color="auto" w:fill="FFFFFF"/>
        </w:rPr>
        <w:t>ubstantial</w:t>
      </w:r>
      <w:r w:rsidR="0097240F" w:rsidRPr="00EB1347">
        <w:rPr>
          <w:rFonts w:ascii="Arial" w:hAnsi="Arial" w:cs="Arial"/>
          <w:color w:val="222222"/>
          <w:sz w:val="22"/>
          <w:shd w:val="clear" w:color="auto" w:fill="FFFFFF"/>
        </w:rPr>
        <w:t xml:space="preserve"> l</w:t>
      </w:r>
      <w:r>
        <w:rPr>
          <w:rFonts w:ascii="Arial" w:hAnsi="Arial" w:cs="Arial"/>
          <w:color w:val="222222"/>
          <w:sz w:val="22"/>
          <w:shd w:val="clear" w:color="auto" w:fill="FFFFFF"/>
        </w:rPr>
        <w:t>anguage</w:t>
      </w:r>
      <w:r w:rsidR="0097240F" w:rsidRPr="00EB1347">
        <w:rPr>
          <w:rFonts w:ascii="Arial" w:hAnsi="Arial" w:cs="Arial"/>
          <w:color w:val="222222"/>
          <w:sz w:val="22"/>
          <w:shd w:val="clear" w:color="auto" w:fill="FFFFFF"/>
        </w:rPr>
        <w:t xml:space="preserve"> and post-stroke </w:t>
      </w:r>
      <w:r>
        <w:rPr>
          <w:rFonts w:ascii="Arial" w:hAnsi="Arial" w:cs="Arial"/>
          <w:color w:val="222222"/>
          <w:sz w:val="22"/>
          <w:shd w:val="clear" w:color="auto" w:fill="FFFFFF"/>
        </w:rPr>
        <w:t>obstacles</w:t>
      </w:r>
      <w:r w:rsidR="0097240F" w:rsidRPr="00EB1347">
        <w:rPr>
          <w:rFonts w:ascii="Arial" w:hAnsi="Arial" w:cs="Arial"/>
          <w:color w:val="222222"/>
          <w:sz w:val="22"/>
          <w:shd w:val="clear" w:color="auto" w:fill="FFFFFF"/>
        </w:rPr>
        <w:t xml:space="preserve">. Under the </w:t>
      </w:r>
      <w:r w:rsidR="0097240F" w:rsidRPr="00B721DB">
        <w:rPr>
          <w:rFonts w:ascii="Arial" w:hAnsi="Arial" w:cs="Arial"/>
          <w:color w:val="222222"/>
          <w:sz w:val="22"/>
          <w:shd w:val="clear" w:color="auto" w:fill="FFFFFF"/>
        </w:rPr>
        <w:t>Equality Act 2010</w:t>
      </w:r>
      <w:r w:rsidR="0097240F" w:rsidRPr="00B721DB">
        <w:rPr>
          <w:rFonts w:ascii="Arial" w:hAnsi="Arial" w:cs="Arial"/>
          <w:b/>
          <w:bCs/>
          <w:color w:val="222222"/>
          <w:sz w:val="22"/>
          <w:shd w:val="clear" w:color="auto" w:fill="FFFFFF"/>
        </w:rPr>
        <w:t>,</w:t>
      </w:r>
      <w:r w:rsidR="0097240F" w:rsidRPr="00EB1347">
        <w:rPr>
          <w:rFonts w:ascii="Arial" w:hAnsi="Arial" w:cs="Arial"/>
          <w:color w:val="222222"/>
          <w:sz w:val="22"/>
          <w:shd w:val="clear" w:color="auto" w:fill="FFFFFF"/>
        </w:rPr>
        <w:t xml:space="preserve"> healthcare providers have a </w:t>
      </w:r>
      <w:r>
        <w:rPr>
          <w:rFonts w:ascii="Arial" w:hAnsi="Arial" w:cs="Arial"/>
          <w:color w:val="222222"/>
          <w:sz w:val="22"/>
          <w:shd w:val="clear" w:color="auto" w:fill="FFFFFF"/>
        </w:rPr>
        <w:t>legal</w:t>
      </w:r>
      <w:r w:rsidR="0097240F" w:rsidRPr="00EB1347">
        <w:rPr>
          <w:rFonts w:ascii="Arial" w:hAnsi="Arial" w:cs="Arial"/>
          <w:color w:val="222222"/>
          <w:sz w:val="22"/>
          <w:shd w:val="clear" w:color="auto" w:fill="FFFFFF"/>
        </w:rPr>
        <w:t xml:space="preserve"> "Public Sector Equality </w:t>
      </w:r>
      <w:r>
        <w:rPr>
          <w:rFonts w:ascii="Arial" w:hAnsi="Arial" w:cs="Arial"/>
          <w:color w:val="222222"/>
          <w:sz w:val="22"/>
          <w:shd w:val="clear" w:color="auto" w:fill="FFFFFF"/>
        </w:rPr>
        <w:t>Obligation</w:t>
      </w:r>
      <w:r w:rsidR="0097240F" w:rsidRPr="00EB1347">
        <w:rPr>
          <w:rFonts w:ascii="Arial" w:hAnsi="Arial" w:cs="Arial"/>
          <w:color w:val="222222"/>
          <w:sz w:val="22"/>
          <w:shd w:val="clear" w:color="auto" w:fill="FFFFFF"/>
        </w:rPr>
        <w:t xml:space="preserve">" to eliminate discrimination and provide "reasonable adjustments" for individuals with protected characteristics, specifically disability and race </w:t>
      </w:r>
      <w:r w:rsidR="0097240F" w:rsidRPr="00B721DB">
        <w:rPr>
          <w:rFonts w:ascii="Arial" w:hAnsi="Arial" w:cs="Arial"/>
          <w:color w:val="222222"/>
          <w:sz w:val="22"/>
          <w:shd w:val="clear" w:color="auto" w:fill="FFFFFF"/>
        </w:rPr>
        <w:t>(Equality and Human Rights Commission [EHRC], 2022).</w:t>
      </w:r>
      <w:r w:rsidR="0097240F" w:rsidRPr="00EB1347">
        <w:rPr>
          <w:rFonts w:ascii="Arial" w:hAnsi="Arial" w:cs="Arial"/>
          <w:color w:val="222222"/>
          <w:sz w:val="22"/>
          <w:shd w:val="clear" w:color="auto" w:fill="FFFFFF"/>
        </w:rPr>
        <w:t xml:space="preserve"> For Mr. Ahmed, whose primary language is Bengali, the Act mandates that communication be adapted to ensure he is not at a substantial disadvantage compared to English speakers. Failing to provide accessible information, such as translated medication charts or professional interpreters, is a direct breach of these legal obligations and undermines the principle of empowerment found within the </w:t>
      </w:r>
      <w:r w:rsidR="0097240F" w:rsidRPr="00B721DB">
        <w:rPr>
          <w:rFonts w:ascii="Arial" w:hAnsi="Arial" w:cs="Arial"/>
          <w:color w:val="222222"/>
          <w:sz w:val="22"/>
          <w:shd w:val="clear" w:color="auto" w:fill="FFFFFF"/>
        </w:rPr>
        <w:t>Care Act 2014.</w:t>
      </w:r>
      <w:r w:rsidR="0097240F" w:rsidRPr="00B721DB">
        <w:rPr>
          <w:rFonts w:ascii="Arial" w:hAnsi="Arial" w:cs="Arial"/>
          <w:color w:val="222222"/>
          <w:sz w:val="22"/>
        </w:rPr>
        <w:br/>
      </w:r>
      <w:r w:rsidR="0097240F" w:rsidRPr="00EB1347">
        <w:rPr>
          <w:rFonts w:ascii="Arial" w:hAnsi="Arial" w:cs="Arial"/>
          <w:color w:val="222222"/>
          <w:sz w:val="22"/>
        </w:rPr>
        <w:br/>
      </w:r>
      <w:r w:rsidR="0097240F" w:rsidRPr="00EB1347">
        <w:rPr>
          <w:rFonts w:ascii="Arial" w:hAnsi="Arial" w:cs="Arial"/>
          <w:color w:val="222222"/>
          <w:sz w:val="22"/>
          <w:shd w:val="clear" w:color="auto" w:fill="FFFFFF"/>
        </w:rPr>
        <w:t xml:space="preserve">To facilitate high-quality interaction, Berlo’s SMCR Model (Source, Message, Channel, Receiver) serves as a vital analytical framework. In this context, the 'Source' (the care worker or nurse) must possess the cultural competence to encode a 'Message' (clinical instructions) into a 'Channel'—such as visual aids, pictograms, or translated text—that the </w:t>
      </w:r>
      <w:r w:rsidR="0097240F" w:rsidRPr="00EB1347">
        <w:rPr>
          <w:rFonts w:ascii="Arial" w:hAnsi="Arial" w:cs="Arial"/>
          <w:color w:val="222222"/>
          <w:sz w:val="22"/>
          <w:shd w:val="clear" w:color="auto" w:fill="FFFFFF"/>
        </w:rPr>
        <w:lastRenderedPageBreak/>
        <w:t xml:space="preserve">'Receiver' (Mr. Ahmed) can accurately decode (Chen et al., 2024). Research by the American Hospital Association (AHA, 2022) indicates that communication breakdowns are a leading cause of preventable medical errors; therefore, relying solely on Mr. Ahmed's wife for communication may lead to a loss of his direct "voice" and autonomy. Professional bodies, such as the Nursing and Midwifery Council (NMC, 2018), </w:t>
      </w:r>
      <w:r>
        <w:rPr>
          <w:rFonts w:ascii="Arial" w:hAnsi="Arial" w:cs="Arial"/>
          <w:color w:val="222222"/>
          <w:sz w:val="22"/>
          <w:shd w:val="clear" w:color="auto" w:fill="FFFFFF"/>
        </w:rPr>
        <w:t xml:space="preserve">unambiguously require that professionals employ a wide variety of verbal and non-verbal communication </w:t>
      </w:r>
      <w:r w:rsidR="0013649D">
        <w:rPr>
          <w:rFonts w:ascii="Arial" w:hAnsi="Arial" w:cs="Arial"/>
          <w:color w:val="222222"/>
          <w:sz w:val="22"/>
          <w:shd w:val="clear" w:color="auto" w:fill="FFFFFF"/>
        </w:rPr>
        <w:t>strategies to aid comprehension and</w:t>
      </w:r>
      <w:r w:rsidR="0097240F" w:rsidRPr="00EB1347">
        <w:rPr>
          <w:rFonts w:ascii="Arial" w:hAnsi="Arial" w:cs="Arial"/>
          <w:color w:val="222222"/>
          <w:sz w:val="22"/>
          <w:shd w:val="clear" w:color="auto" w:fill="FFFFFF"/>
        </w:rPr>
        <w:t xml:space="preserve"> confirm that the service user has consented to their care.</w:t>
      </w:r>
      <w:r w:rsidR="0097240F" w:rsidRPr="00EB1347">
        <w:rPr>
          <w:rFonts w:ascii="Arial" w:hAnsi="Arial" w:cs="Arial"/>
          <w:color w:val="222222"/>
          <w:sz w:val="22"/>
        </w:rPr>
        <w:br/>
      </w:r>
      <w:r w:rsidR="0097240F" w:rsidRPr="00EB1347">
        <w:rPr>
          <w:rFonts w:ascii="Arial" w:hAnsi="Arial" w:cs="Arial"/>
          <w:color w:val="222222"/>
          <w:sz w:val="22"/>
        </w:rPr>
        <w:br/>
      </w:r>
      <w:r w:rsidR="0097240F" w:rsidRPr="00EB1347">
        <w:rPr>
          <w:rFonts w:ascii="Arial" w:hAnsi="Arial" w:cs="Arial"/>
          <w:color w:val="222222"/>
          <w:sz w:val="22"/>
          <w:shd w:val="clear" w:color="auto" w:fill="FFFFFF"/>
        </w:rPr>
        <w:t xml:space="preserve">Furthermore, effective communication is linked to the "Human Rights Act 1998," specifically the </w:t>
      </w:r>
      <w:r w:rsidR="0013649D">
        <w:rPr>
          <w:rFonts w:ascii="Arial" w:hAnsi="Arial" w:cs="Arial"/>
          <w:color w:val="222222"/>
          <w:sz w:val="22"/>
          <w:shd w:val="clear" w:color="auto" w:fill="FFFFFF"/>
        </w:rPr>
        <w:t>entitlement</w:t>
      </w:r>
      <w:r w:rsidR="0097240F" w:rsidRPr="00EB1347">
        <w:rPr>
          <w:rFonts w:ascii="Arial" w:hAnsi="Arial" w:cs="Arial"/>
          <w:color w:val="222222"/>
          <w:sz w:val="22"/>
          <w:shd w:val="clear" w:color="auto" w:fill="FFFFFF"/>
        </w:rPr>
        <w:t xml:space="preserve"> to liberty and security, </w:t>
      </w:r>
      <w:r w:rsidR="0013649D">
        <w:rPr>
          <w:rFonts w:ascii="Arial" w:hAnsi="Arial" w:cs="Arial"/>
          <w:color w:val="222222"/>
          <w:sz w:val="22"/>
          <w:shd w:val="clear" w:color="auto" w:fill="FFFFFF"/>
        </w:rPr>
        <w:t>which is safeguarded only when the service user understands their treatment</w:t>
      </w:r>
      <w:r w:rsidR="0097240F" w:rsidRPr="00EB1347">
        <w:rPr>
          <w:rFonts w:ascii="Arial" w:hAnsi="Arial" w:cs="Arial"/>
          <w:color w:val="222222"/>
          <w:sz w:val="22"/>
          <w:shd w:val="clear" w:color="auto" w:fill="FFFFFF"/>
        </w:rPr>
        <w:t xml:space="preserve"> (EHRC, 2022). In Mr. Ahmed’s case, the Speech and Language Therapist (SLT) plays a crucial role in assessing his speech difficulties, but these professional recommendations must be communicated clearly to the domiciliary care staff to be effective. By adhering to the Equality Act 2010 and utilizing structured models like SMCR, the care team ensures that Mr. Ahmed receives equitable care that respects his cultural identity and reduces the risk of clinical negligence (Fox, </w:t>
      </w:r>
      <w:r w:rsidR="0084757A" w:rsidRPr="00EB1347">
        <w:rPr>
          <w:rFonts w:ascii="Arial" w:hAnsi="Arial" w:cs="Arial"/>
          <w:color w:val="222222"/>
          <w:sz w:val="22"/>
          <w:shd w:val="clear" w:color="auto" w:fill="FFFFFF"/>
        </w:rPr>
        <w:t>McCallum</w:t>
      </w:r>
      <w:r w:rsidR="0097240F" w:rsidRPr="00EB1347">
        <w:rPr>
          <w:rFonts w:ascii="Arial" w:hAnsi="Arial" w:cs="Arial"/>
          <w:color w:val="222222"/>
          <w:sz w:val="22"/>
          <w:shd w:val="clear" w:color="auto" w:fill="FFFFFF"/>
        </w:rPr>
        <w:t>, and Mikkola, 2025).</w:t>
      </w:r>
    </w:p>
    <w:p w14:paraId="7979F20C" w14:textId="77777777" w:rsidR="00EB1347" w:rsidRPr="00EB1347" w:rsidRDefault="00EB1347" w:rsidP="00F7118B">
      <w:pPr>
        <w:tabs>
          <w:tab w:val="left" w:pos="6540"/>
        </w:tabs>
        <w:spacing w:line="360" w:lineRule="auto"/>
        <w:rPr>
          <w:rFonts w:asciiTheme="minorBidi" w:hAnsiTheme="minorBidi"/>
          <w:sz w:val="22"/>
        </w:rPr>
      </w:pPr>
    </w:p>
    <w:p w14:paraId="60B2CDC3" w14:textId="5320E817" w:rsidR="00B87E75" w:rsidRPr="00EB1347" w:rsidRDefault="008E3943" w:rsidP="00676403">
      <w:pPr>
        <w:pStyle w:val="Heading1"/>
        <w:numPr>
          <w:ilvl w:val="0"/>
          <w:numId w:val="0"/>
        </w:numPr>
        <w:ind w:left="720" w:hanging="360"/>
      </w:pPr>
      <w:r w:rsidRPr="00EB1347">
        <w:t xml:space="preserve">Importance of good administrative skills </w:t>
      </w:r>
    </w:p>
    <w:p w14:paraId="68FFD705" w14:textId="7842B11D" w:rsidR="008E3943" w:rsidRPr="00EB1347" w:rsidRDefault="0097240F" w:rsidP="00F7118B">
      <w:pPr>
        <w:spacing w:line="360" w:lineRule="auto"/>
        <w:rPr>
          <w:sz w:val="22"/>
        </w:rPr>
      </w:pPr>
      <w:r w:rsidRPr="00EB1347">
        <w:rPr>
          <w:rFonts w:ascii="Arial" w:hAnsi="Arial" w:cs="Arial"/>
          <w:color w:val="222222"/>
          <w:sz w:val="22"/>
          <w:shd w:val="clear" w:color="auto" w:fill="FFFFFF"/>
        </w:rPr>
        <w:t>The incident of the missed home visit and subsequent medication error in Mr. Ahmed’s case serves as a critical example of how administrative failures can directly compromise patient safety. Good administrative skills in the health and social care sector are far more than clerical duties; they are essential clinical safeguards that ensure "continuity of care" and professional accountability (City of York</w:t>
      </w:r>
      <w:r w:rsidR="00D965D7">
        <w:rPr>
          <w:rFonts w:ascii="Arial" w:hAnsi="Arial" w:cs="Arial"/>
          <w:color w:val="222222"/>
          <w:sz w:val="22"/>
          <w:shd w:val="clear" w:color="auto" w:fill="FFFFFF"/>
        </w:rPr>
        <w:t xml:space="preserve"> Council</w:t>
      </w:r>
      <w:r w:rsidRPr="00EB1347">
        <w:rPr>
          <w:rFonts w:ascii="Arial" w:hAnsi="Arial" w:cs="Arial"/>
          <w:color w:val="222222"/>
          <w:sz w:val="22"/>
          <w:shd w:val="clear" w:color="auto" w:fill="FFFFFF"/>
        </w:rPr>
        <w:t>, 202</w:t>
      </w:r>
      <w:r w:rsidR="0043648F">
        <w:rPr>
          <w:rFonts w:ascii="Arial" w:hAnsi="Arial" w:cs="Arial"/>
          <w:color w:val="222222"/>
          <w:sz w:val="22"/>
          <w:shd w:val="clear" w:color="auto" w:fill="FFFFFF"/>
        </w:rPr>
        <w:t>6</w:t>
      </w:r>
      <w:r w:rsidRPr="00EB1347">
        <w:rPr>
          <w:rFonts w:ascii="Arial" w:hAnsi="Arial" w:cs="Arial"/>
          <w:color w:val="222222"/>
          <w:sz w:val="22"/>
          <w:shd w:val="clear" w:color="auto" w:fill="FFFFFF"/>
        </w:rPr>
        <w:t xml:space="preserve">). All administrative practices and record-keeping must align strictly with the </w:t>
      </w:r>
      <w:r w:rsidRPr="00D965D7">
        <w:rPr>
          <w:rFonts w:ascii="Arial" w:hAnsi="Arial" w:cs="Arial"/>
          <w:color w:val="222222"/>
          <w:sz w:val="22"/>
          <w:shd w:val="clear" w:color="auto" w:fill="FFFFFF"/>
        </w:rPr>
        <w:t>Data Protection Act 2018,</w:t>
      </w:r>
      <w:r w:rsidRPr="00EB1347">
        <w:rPr>
          <w:rFonts w:ascii="Arial" w:hAnsi="Arial" w:cs="Arial"/>
          <w:color w:val="222222"/>
          <w:sz w:val="22"/>
          <w:shd w:val="clear" w:color="auto" w:fill="FFFFFF"/>
        </w:rPr>
        <w:t xml:space="preserve"> which stipulates that personal and health data must be processed accurately, lawfully, and securely (ICO, 2018). The Act’s principle of "Accuracy" is paramount here; it dictates that health records and visit logs must be updated in real-time to prevent situations where the MDT is unaware of gaps in service delivery (Spencer and Patel, 2019).</w:t>
      </w:r>
      <w:r w:rsidRPr="00EB1347">
        <w:rPr>
          <w:rFonts w:ascii="Arial" w:hAnsi="Arial" w:cs="Arial"/>
          <w:color w:val="222222"/>
          <w:sz w:val="22"/>
        </w:rPr>
        <w:br/>
      </w:r>
      <w:r w:rsidRPr="00EB1347">
        <w:rPr>
          <w:rFonts w:ascii="Arial" w:hAnsi="Arial" w:cs="Arial"/>
          <w:color w:val="222222"/>
          <w:sz w:val="22"/>
        </w:rPr>
        <w:br/>
      </w:r>
      <w:r w:rsidRPr="00EB1347">
        <w:rPr>
          <w:rFonts w:ascii="Arial" w:hAnsi="Arial" w:cs="Arial"/>
          <w:color w:val="222222"/>
          <w:sz w:val="22"/>
          <w:shd w:val="clear" w:color="auto" w:fill="FFFFFF"/>
        </w:rPr>
        <w:t xml:space="preserve">Moreover, the </w:t>
      </w:r>
      <w:r w:rsidRPr="00D965D7">
        <w:rPr>
          <w:rFonts w:ascii="Arial" w:hAnsi="Arial" w:cs="Arial"/>
          <w:color w:val="222222"/>
          <w:sz w:val="22"/>
          <w:shd w:val="clear" w:color="auto" w:fill="FFFFFF"/>
        </w:rPr>
        <w:t>Care Quality Commission (CQC, 2022)</w:t>
      </w:r>
      <w:r w:rsidRPr="00EB1347">
        <w:rPr>
          <w:rFonts w:ascii="Arial" w:hAnsi="Arial" w:cs="Arial"/>
          <w:color w:val="222222"/>
          <w:sz w:val="22"/>
          <w:shd w:val="clear" w:color="auto" w:fill="FFFFFF"/>
        </w:rPr>
        <w:t xml:space="preserve"> "Duty of Candour" regulation requires that administrative systems be transparent and robust. When an error occurs—such as Mr. Ahmed’s missed medication—the organization has a legal duty to be open with the family and use administrative records to conduct a thorough investigation. Professional standards, including the </w:t>
      </w:r>
      <w:r w:rsidRPr="00D965D7">
        <w:rPr>
          <w:rFonts w:ascii="Arial" w:hAnsi="Arial" w:cs="Arial"/>
          <w:color w:val="222222"/>
          <w:sz w:val="22"/>
          <w:shd w:val="clear" w:color="auto" w:fill="FFFFFF"/>
        </w:rPr>
        <w:t>Health and Care Professions Council (HCPC) Standards of Conduct (2016),</w:t>
      </w:r>
      <w:r w:rsidRPr="00EB1347">
        <w:rPr>
          <w:rFonts w:ascii="Arial" w:hAnsi="Arial" w:cs="Arial"/>
          <w:color w:val="222222"/>
          <w:sz w:val="22"/>
          <w:shd w:val="clear" w:color="auto" w:fill="FFFFFF"/>
        </w:rPr>
        <w:t xml:space="preserve"> mandate that all care providers maintain clear, legible, and accurate records to manage </w:t>
      </w:r>
      <w:r w:rsidRPr="00EB1347">
        <w:rPr>
          <w:rFonts w:ascii="Arial" w:hAnsi="Arial" w:cs="Arial"/>
          <w:color w:val="222222"/>
          <w:sz w:val="22"/>
          <w:shd w:val="clear" w:color="auto" w:fill="FFFFFF"/>
        </w:rPr>
        <w:lastRenderedPageBreak/>
        <w:t>clinical risks effectively. For Mr. Ahmed, the failure to log the missed visit represents a breach of the "Integrity and Confidentiality" principles of the Data Protection Act 2018, as his safety was compromised by a lack of data oversight (ICO, 2018).</w:t>
      </w:r>
      <w:r w:rsidRPr="00EB1347">
        <w:rPr>
          <w:rFonts w:ascii="Arial" w:hAnsi="Arial" w:cs="Arial"/>
          <w:color w:val="222222"/>
          <w:sz w:val="22"/>
        </w:rPr>
        <w:br/>
      </w:r>
      <w:r w:rsidRPr="00EB1347">
        <w:rPr>
          <w:rFonts w:ascii="Arial" w:hAnsi="Arial" w:cs="Arial"/>
          <w:color w:val="222222"/>
          <w:sz w:val="22"/>
        </w:rPr>
        <w:br/>
      </w:r>
      <w:r w:rsidR="000B4469" w:rsidRPr="00D965D7">
        <w:rPr>
          <w:rFonts w:ascii="Arial" w:hAnsi="Arial" w:cs="Arial"/>
          <w:color w:val="222222"/>
          <w:sz w:val="22"/>
          <w:shd w:val="clear" w:color="auto" w:fill="FFFFFF"/>
        </w:rPr>
        <w:t>The</w:t>
      </w:r>
      <w:r w:rsidRPr="00D965D7">
        <w:rPr>
          <w:rFonts w:ascii="Arial" w:hAnsi="Arial" w:cs="Arial"/>
          <w:color w:val="222222"/>
          <w:sz w:val="22"/>
          <w:shd w:val="clear" w:color="auto" w:fill="FFFFFF"/>
        </w:rPr>
        <w:t xml:space="preserve"> NMC (2018)</w:t>
      </w:r>
      <w:r w:rsidRPr="00EB1347">
        <w:rPr>
          <w:rFonts w:ascii="Arial" w:hAnsi="Arial" w:cs="Arial"/>
          <w:color w:val="222222"/>
          <w:sz w:val="22"/>
          <w:shd w:val="clear" w:color="auto" w:fill="FFFFFF"/>
        </w:rPr>
        <w:t xml:space="preserve"> emphasizes that "if it is not recorded, it did not happen." This professional mantra underscores the necessity of detailed documentation during handovers between the district nurse and the domiciliary care team. Effective administrative skills involve the use of digital monitoring systems that flag missed appointments automatically, allowing for immediate intervention. By maintaining rigorous documentation, the care agency </w:t>
      </w:r>
      <w:r w:rsidR="000B4469" w:rsidRPr="00EB1347">
        <w:rPr>
          <w:rFonts w:ascii="Arial" w:hAnsi="Arial" w:cs="Arial"/>
          <w:color w:val="222222"/>
          <w:sz w:val="22"/>
          <w:shd w:val="clear" w:color="auto" w:fill="FFFFFF"/>
        </w:rPr>
        <w:t>fulfils</w:t>
      </w:r>
      <w:r w:rsidRPr="00EB1347">
        <w:rPr>
          <w:rFonts w:ascii="Arial" w:hAnsi="Arial" w:cs="Arial"/>
          <w:color w:val="222222"/>
          <w:sz w:val="22"/>
          <w:shd w:val="clear" w:color="auto" w:fill="FFFFFF"/>
        </w:rPr>
        <w:t xml:space="preserve"> its statutory safeguarding duties under the </w:t>
      </w:r>
      <w:r w:rsidRPr="00D965D7">
        <w:rPr>
          <w:rFonts w:ascii="Arial" w:hAnsi="Arial" w:cs="Arial"/>
          <w:color w:val="222222"/>
          <w:sz w:val="22"/>
          <w:shd w:val="clear" w:color="auto" w:fill="FFFFFF"/>
        </w:rPr>
        <w:t>Care Act 2014,</w:t>
      </w:r>
      <w:r w:rsidRPr="00EB1347">
        <w:rPr>
          <w:rFonts w:ascii="Arial" w:hAnsi="Arial" w:cs="Arial"/>
          <w:color w:val="222222"/>
          <w:sz w:val="22"/>
          <w:shd w:val="clear" w:color="auto" w:fill="FFFFFF"/>
        </w:rPr>
        <w:t xml:space="preserve"> ensuring that Mr. Ahmed’s health status is monitored consistently (City of York</w:t>
      </w:r>
      <w:r w:rsidR="0043648F">
        <w:rPr>
          <w:rFonts w:ascii="Arial" w:hAnsi="Arial" w:cs="Arial"/>
          <w:color w:val="222222"/>
          <w:sz w:val="22"/>
          <w:shd w:val="clear" w:color="auto" w:fill="FFFFFF"/>
        </w:rPr>
        <w:t xml:space="preserve"> Council</w:t>
      </w:r>
      <w:r w:rsidRPr="00EB1347">
        <w:rPr>
          <w:rFonts w:ascii="Arial" w:hAnsi="Arial" w:cs="Arial"/>
          <w:color w:val="222222"/>
          <w:sz w:val="22"/>
          <w:shd w:val="clear" w:color="auto" w:fill="FFFFFF"/>
        </w:rPr>
        <w:t>, 202</w:t>
      </w:r>
      <w:r w:rsidR="0043648F">
        <w:rPr>
          <w:rFonts w:ascii="Arial" w:hAnsi="Arial" w:cs="Arial"/>
          <w:color w:val="222222"/>
          <w:sz w:val="22"/>
          <w:shd w:val="clear" w:color="auto" w:fill="FFFFFF"/>
        </w:rPr>
        <w:t>6</w:t>
      </w:r>
      <w:r w:rsidRPr="00EB1347">
        <w:rPr>
          <w:rFonts w:ascii="Arial" w:hAnsi="Arial" w:cs="Arial"/>
          <w:color w:val="222222"/>
          <w:sz w:val="22"/>
          <w:shd w:val="clear" w:color="auto" w:fill="FFFFFF"/>
        </w:rPr>
        <w:t>).</w:t>
      </w:r>
      <w:r w:rsidR="000B4469">
        <w:rPr>
          <w:rFonts w:ascii="Arial" w:hAnsi="Arial" w:cs="Arial"/>
          <w:color w:val="222222"/>
          <w:sz w:val="22"/>
          <w:shd w:val="clear" w:color="auto" w:fill="FFFFFF"/>
        </w:rPr>
        <w:t xml:space="preserve">  Furthermore, under the </w:t>
      </w:r>
      <w:r w:rsidR="000B4469" w:rsidRPr="00D965D7">
        <w:rPr>
          <w:rFonts w:ascii="Arial" w:hAnsi="Arial" w:cs="Arial"/>
          <w:color w:val="222222"/>
          <w:sz w:val="22"/>
          <w:shd w:val="clear" w:color="auto" w:fill="FFFFFF"/>
        </w:rPr>
        <w:t>Mental Capacity Act 2005,</w:t>
      </w:r>
      <w:r w:rsidR="000B4469" w:rsidRPr="0025563A">
        <w:rPr>
          <w:rFonts w:ascii="Arial" w:hAnsi="Arial" w:cs="Arial"/>
          <w:b/>
          <w:bCs/>
          <w:color w:val="222222"/>
          <w:sz w:val="22"/>
          <w:shd w:val="clear" w:color="auto" w:fill="FFFFFF"/>
        </w:rPr>
        <w:t xml:space="preserve"> </w:t>
      </w:r>
      <w:r w:rsidR="000B4469">
        <w:rPr>
          <w:rFonts w:ascii="Arial" w:hAnsi="Arial" w:cs="Arial"/>
          <w:color w:val="222222"/>
          <w:sz w:val="22"/>
          <w:shd w:val="clear" w:color="auto" w:fill="FFFFFF"/>
        </w:rPr>
        <w:t>accurate records are vital to document that Mr. Ahmed has been supported to make his own decisions regarding his medication regime, ensuring his autonomy is protected through clear administrative evidence (Social Care Institute for Excellence {SCIE}, 2020).</w:t>
      </w:r>
    </w:p>
    <w:p w14:paraId="2B008FF6" w14:textId="77777777" w:rsidR="008E3943" w:rsidRPr="00EB1347" w:rsidRDefault="008E3943" w:rsidP="00EB1347">
      <w:pPr>
        <w:tabs>
          <w:tab w:val="left" w:pos="6540"/>
        </w:tabs>
        <w:spacing w:line="360" w:lineRule="auto"/>
        <w:rPr>
          <w:rFonts w:asciiTheme="minorBidi" w:hAnsiTheme="minorBidi"/>
          <w:sz w:val="22"/>
        </w:rPr>
      </w:pPr>
    </w:p>
    <w:p w14:paraId="581C99BF" w14:textId="6EC64F0A" w:rsidR="00B87E75" w:rsidRPr="00EB1347" w:rsidRDefault="008E3943" w:rsidP="00676403">
      <w:pPr>
        <w:pStyle w:val="Heading1"/>
        <w:numPr>
          <w:ilvl w:val="0"/>
          <w:numId w:val="0"/>
        </w:numPr>
        <w:ind w:left="360"/>
      </w:pPr>
      <w:r w:rsidRPr="00EB1347">
        <w:t>Importance of working collaboratively</w:t>
      </w:r>
    </w:p>
    <w:p w14:paraId="38C1CA13" w14:textId="73906076" w:rsidR="0097240F" w:rsidRPr="00EB1347" w:rsidRDefault="0097240F" w:rsidP="00F7118B">
      <w:pPr>
        <w:spacing w:line="360" w:lineRule="auto"/>
        <w:rPr>
          <w:sz w:val="22"/>
        </w:rPr>
      </w:pPr>
      <w:r w:rsidRPr="00EB1347">
        <w:rPr>
          <w:rFonts w:ascii="Arial" w:hAnsi="Arial" w:cs="Arial"/>
          <w:color w:val="222222"/>
          <w:sz w:val="22"/>
          <w:shd w:val="clear" w:color="auto" w:fill="FFFFFF"/>
        </w:rPr>
        <w:t xml:space="preserve">Collaborative practice and interprofessional teamwork are vital for managing the complex, multi-layered needs of stroke survivors like Mr. Ahmed. His </w:t>
      </w:r>
      <w:r w:rsidR="007E6664">
        <w:rPr>
          <w:rFonts w:ascii="Arial" w:hAnsi="Arial" w:cs="Arial"/>
          <w:color w:val="222222"/>
          <w:sz w:val="22"/>
          <w:shd w:val="clear" w:color="auto" w:fill="FFFFFF"/>
        </w:rPr>
        <w:t xml:space="preserve">integrated support plan incorporates wide range of professionals, </w:t>
      </w:r>
      <w:r w:rsidRPr="00EB1347">
        <w:rPr>
          <w:rFonts w:ascii="Arial" w:hAnsi="Arial" w:cs="Arial"/>
          <w:color w:val="222222"/>
          <w:sz w:val="22"/>
          <w:shd w:val="clear" w:color="auto" w:fill="FFFFFF"/>
        </w:rPr>
        <w:t xml:space="preserve">including a GP, a </w:t>
      </w:r>
      <w:r w:rsidR="009B45C4">
        <w:rPr>
          <w:rFonts w:ascii="Arial" w:hAnsi="Arial" w:cs="Arial"/>
          <w:color w:val="222222"/>
          <w:sz w:val="22"/>
          <w:shd w:val="clear" w:color="auto" w:fill="FFFFFF"/>
        </w:rPr>
        <w:t>community</w:t>
      </w:r>
      <w:r w:rsidRPr="00EB1347">
        <w:rPr>
          <w:rFonts w:ascii="Arial" w:hAnsi="Arial" w:cs="Arial"/>
          <w:color w:val="222222"/>
          <w:sz w:val="22"/>
          <w:shd w:val="clear" w:color="auto" w:fill="FFFFFF"/>
        </w:rPr>
        <w:t xml:space="preserve"> nurse, </w:t>
      </w:r>
      <w:r w:rsidR="009B45C4">
        <w:rPr>
          <w:rFonts w:ascii="Arial" w:hAnsi="Arial" w:cs="Arial"/>
          <w:color w:val="222222"/>
          <w:sz w:val="22"/>
          <w:shd w:val="clear" w:color="auto" w:fill="FFFFFF"/>
        </w:rPr>
        <w:t>home</w:t>
      </w:r>
      <w:r w:rsidRPr="00EB1347">
        <w:rPr>
          <w:rFonts w:ascii="Arial" w:hAnsi="Arial" w:cs="Arial"/>
          <w:color w:val="222222"/>
          <w:sz w:val="22"/>
          <w:shd w:val="clear" w:color="auto" w:fill="FFFFFF"/>
        </w:rPr>
        <w:t xml:space="preserve"> care </w:t>
      </w:r>
      <w:r w:rsidR="009B45C4">
        <w:rPr>
          <w:rFonts w:ascii="Arial" w:hAnsi="Arial" w:cs="Arial"/>
          <w:color w:val="222222"/>
          <w:sz w:val="22"/>
          <w:shd w:val="clear" w:color="auto" w:fill="FFFFFF"/>
        </w:rPr>
        <w:t>assistants</w:t>
      </w:r>
      <w:r w:rsidRPr="00EB1347">
        <w:rPr>
          <w:rFonts w:ascii="Arial" w:hAnsi="Arial" w:cs="Arial"/>
          <w:color w:val="222222"/>
          <w:sz w:val="22"/>
          <w:shd w:val="clear" w:color="auto" w:fill="FFFFFF"/>
        </w:rPr>
        <w:t xml:space="preserve">, and a Speech and Language Therapist (SLT). </w:t>
      </w:r>
      <w:r w:rsidR="007E6664">
        <w:rPr>
          <w:rFonts w:ascii="Arial" w:hAnsi="Arial" w:cs="Arial"/>
          <w:color w:val="222222"/>
          <w:sz w:val="22"/>
          <w:shd w:val="clear" w:color="auto" w:fill="FFFFFF"/>
        </w:rPr>
        <w:t>In accordance with</w:t>
      </w:r>
      <w:r w:rsidRPr="00EB1347">
        <w:rPr>
          <w:rFonts w:ascii="Arial" w:hAnsi="Arial" w:cs="Arial"/>
          <w:color w:val="222222"/>
          <w:sz w:val="22"/>
          <w:shd w:val="clear" w:color="auto" w:fill="FFFFFF"/>
        </w:rPr>
        <w:t xml:space="preserve"> Nwosu (2024), the Multidisciplinary Team (MDT) approach is the primary strategy for ensuring that these professionals do not work in isolation, but rather toward a unified, person-</w:t>
      </w:r>
      <w:r w:rsidR="001A31B6" w:rsidRPr="00EB1347">
        <w:rPr>
          <w:rFonts w:ascii="Arial" w:hAnsi="Arial" w:cs="Arial"/>
          <w:color w:val="222222"/>
          <w:sz w:val="22"/>
          <w:shd w:val="clear" w:color="auto" w:fill="FFFFFF"/>
        </w:rPr>
        <w:t>centred</w:t>
      </w:r>
      <w:r w:rsidRPr="00EB1347">
        <w:rPr>
          <w:rFonts w:ascii="Arial" w:hAnsi="Arial" w:cs="Arial"/>
          <w:color w:val="222222"/>
          <w:sz w:val="22"/>
          <w:shd w:val="clear" w:color="auto" w:fill="FFFFFF"/>
        </w:rPr>
        <w:t xml:space="preserve"> goal. This collaborative framework is legally </w:t>
      </w:r>
      <w:r w:rsidR="009B45C4">
        <w:rPr>
          <w:rFonts w:ascii="Arial" w:hAnsi="Arial" w:cs="Arial"/>
          <w:color w:val="222222"/>
          <w:sz w:val="22"/>
          <w:shd w:val="clear" w:color="auto" w:fill="FFFFFF"/>
        </w:rPr>
        <w:t xml:space="preserve">endorsed </w:t>
      </w:r>
      <w:r w:rsidRPr="00EB1347">
        <w:rPr>
          <w:rFonts w:ascii="Arial" w:hAnsi="Arial" w:cs="Arial"/>
          <w:color w:val="222222"/>
          <w:sz w:val="22"/>
          <w:shd w:val="clear" w:color="auto" w:fill="FFFFFF"/>
        </w:rPr>
        <w:t xml:space="preserve">by the </w:t>
      </w:r>
      <w:r w:rsidRPr="0025440E">
        <w:rPr>
          <w:rFonts w:ascii="Arial" w:hAnsi="Arial" w:cs="Arial"/>
          <w:color w:val="222222"/>
          <w:sz w:val="22"/>
          <w:shd w:val="clear" w:color="auto" w:fill="FFFFFF"/>
        </w:rPr>
        <w:t>Care Act 2014,</w:t>
      </w:r>
      <w:r w:rsidRPr="00EB1347">
        <w:rPr>
          <w:rFonts w:ascii="Arial" w:hAnsi="Arial" w:cs="Arial"/>
          <w:color w:val="222222"/>
          <w:sz w:val="22"/>
          <w:shd w:val="clear" w:color="auto" w:fill="FFFFFF"/>
        </w:rPr>
        <w:t xml:space="preserve"> which places a mandatory duty on local authorities and health partners to cooperate in the interest of the service user’s holistic wellbeing.</w:t>
      </w:r>
      <w:r w:rsidRPr="00EB1347">
        <w:rPr>
          <w:rFonts w:ascii="Arial" w:hAnsi="Arial" w:cs="Arial"/>
          <w:color w:val="222222"/>
          <w:sz w:val="22"/>
        </w:rPr>
        <w:br/>
      </w:r>
      <w:r w:rsidRPr="00EB1347">
        <w:rPr>
          <w:rFonts w:ascii="Arial" w:hAnsi="Arial" w:cs="Arial"/>
          <w:color w:val="222222"/>
          <w:sz w:val="22"/>
        </w:rPr>
        <w:br/>
      </w:r>
      <w:r w:rsidR="00FD31F4">
        <w:rPr>
          <w:rFonts w:ascii="Arial" w:hAnsi="Arial" w:cs="Arial"/>
          <w:color w:val="222222"/>
          <w:sz w:val="22"/>
          <w:shd w:val="clear" w:color="auto" w:fill="FFFFFF"/>
        </w:rPr>
        <w:t xml:space="preserve">Crucially, the missed medication incident may trigger a statutory safeguarding enquiry.  </w:t>
      </w:r>
      <w:r w:rsidR="007E6664">
        <w:rPr>
          <w:rFonts w:ascii="Arial" w:hAnsi="Arial" w:cs="Arial"/>
          <w:color w:val="222222"/>
          <w:sz w:val="22"/>
          <w:shd w:val="clear" w:color="auto" w:fill="FFFFFF"/>
        </w:rPr>
        <w:t>Pursuant to</w:t>
      </w:r>
      <w:r w:rsidR="00FD31F4">
        <w:rPr>
          <w:rFonts w:ascii="Arial" w:hAnsi="Arial" w:cs="Arial"/>
          <w:color w:val="222222"/>
          <w:sz w:val="22"/>
          <w:shd w:val="clear" w:color="auto" w:fill="FFFFFF"/>
        </w:rPr>
        <w:t xml:space="preserve"> </w:t>
      </w:r>
      <w:r w:rsidR="0025563A" w:rsidRPr="0025440E">
        <w:rPr>
          <w:rFonts w:ascii="Arial" w:hAnsi="Arial" w:cs="Arial"/>
          <w:color w:val="222222"/>
          <w:sz w:val="22"/>
          <w:shd w:val="clear" w:color="auto" w:fill="FFFFFF"/>
        </w:rPr>
        <w:t>S</w:t>
      </w:r>
      <w:r w:rsidR="00FD31F4" w:rsidRPr="0025440E">
        <w:rPr>
          <w:rFonts w:ascii="Arial" w:hAnsi="Arial" w:cs="Arial"/>
          <w:color w:val="222222"/>
          <w:sz w:val="22"/>
          <w:shd w:val="clear" w:color="auto" w:fill="FFFFFF"/>
        </w:rPr>
        <w:t>ection 42 of the Care Act 2014</w:t>
      </w:r>
      <w:r w:rsidR="00FD31F4" w:rsidRPr="0025563A">
        <w:rPr>
          <w:rFonts w:ascii="Arial" w:hAnsi="Arial" w:cs="Arial"/>
          <w:b/>
          <w:bCs/>
          <w:color w:val="222222"/>
          <w:sz w:val="22"/>
          <w:shd w:val="clear" w:color="auto" w:fill="FFFFFF"/>
        </w:rPr>
        <w:t>,</w:t>
      </w:r>
      <w:r w:rsidR="00FD31F4">
        <w:rPr>
          <w:rFonts w:ascii="Arial" w:hAnsi="Arial" w:cs="Arial"/>
          <w:color w:val="222222"/>
          <w:sz w:val="22"/>
          <w:shd w:val="clear" w:color="auto" w:fill="FFFFFF"/>
        </w:rPr>
        <w:t xml:space="preserve"> the </w:t>
      </w:r>
      <w:r w:rsidR="007E6664">
        <w:rPr>
          <w:rFonts w:ascii="Arial" w:hAnsi="Arial" w:cs="Arial"/>
          <w:color w:val="222222"/>
          <w:sz w:val="22"/>
          <w:shd w:val="clear" w:color="auto" w:fill="FFFFFF"/>
        </w:rPr>
        <w:t>regional</w:t>
      </w:r>
      <w:r w:rsidR="00FD31F4">
        <w:rPr>
          <w:rFonts w:ascii="Arial" w:hAnsi="Arial" w:cs="Arial"/>
          <w:color w:val="222222"/>
          <w:sz w:val="22"/>
          <w:shd w:val="clear" w:color="auto" w:fill="FFFFFF"/>
        </w:rPr>
        <w:t xml:space="preserve"> authority</w:t>
      </w:r>
      <w:r w:rsidR="007E6664">
        <w:rPr>
          <w:rFonts w:ascii="Arial" w:hAnsi="Arial" w:cs="Arial"/>
          <w:color w:val="222222"/>
          <w:sz w:val="22"/>
          <w:shd w:val="clear" w:color="auto" w:fill="FFFFFF"/>
        </w:rPr>
        <w:t xml:space="preserve"> is legally required to conduct an investigation when a person who requires support is suspected of being at risk of mistreat or neglect</w:t>
      </w:r>
      <w:r w:rsidR="00FD31F4">
        <w:rPr>
          <w:rFonts w:ascii="Arial" w:hAnsi="Arial" w:cs="Arial"/>
          <w:color w:val="222222"/>
          <w:sz w:val="22"/>
          <w:shd w:val="clear" w:color="auto" w:fill="FFFFFF"/>
        </w:rPr>
        <w:t xml:space="preserve"> (Government UK, 2014).  Effective collaboration ensures that the domiciliary agency, the GP, and the district nurse share information rapidly to mitigate such risks.  </w:t>
      </w:r>
      <w:r w:rsidRPr="00EB1347">
        <w:rPr>
          <w:rFonts w:ascii="Arial" w:hAnsi="Arial" w:cs="Arial"/>
          <w:color w:val="222222"/>
          <w:sz w:val="22"/>
          <w:shd w:val="clear" w:color="auto" w:fill="FFFFFF"/>
        </w:rPr>
        <w:t xml:space="preserve">However, multi-agency working is often fraught with challenges, such as </w:t>
      </w:r>
      <w:r w:rsidR="009E60B0">
        <w:rPr>
          <w:rFonts w:ascii="Arial" w:hAnsi="Arial" w:cs="Arial"/>
          <w:color w:val="222222"/>
          <w:sz w:val="22"/>
          <w:shd w:val="clear" w:color="auto" w:fill="FFFFFF"/>
        </w:rPr>
        <w:t>i</w:t>
      </w:r>
      <w:r w:rsidRPr="00EB1347">
        <w:rPr>
          <w:rFonts w:ascii="Arial" w:hAnsi="Arial" w:cs="Arial"/>
          <w:color w:val="222222"/>
          <w:sz w:val="22"/>
          <w:shd w:val="clear" w:color="auto" w:fill="FFFFFF"/>
        </w:rPr>
        <w:t xml:space="preserve">nformation silos and poor communication between different organizations (WHO, 2010). In Mr. Ahmed’s case, the missed medication incident suggests that the communication link between the </w:t>
      </w:r>
      <w:r w:rsidRPr="00EB1347">
        <w:rPr>
          <w:rFonts w:ascii="Arial" w:hAnsi="Arial" w:cs="Arial"/>
          <w:color w:val="222222"/>
          <w:sz w:val="22"/>
          <w:shd w:val="clear" w:color="auto" w:fill="FFFFFF"/>
        </w:rPr>
        <w:lastRenderedPageBreak/>
        <w:t xml:space="preserve">domiciliary agency and the district nurse was insufficient. To overcome these barriers, strategies such </w:t>
      </w:r>
      <w:r w:rsidRPr="0025563A">
        <w:rPr>
          <w:rFonts w:ascii="Arial" w:hAnsi="Arial" w:cs="Arial"/>
          <w:color w:val="222222"/>
          <w:sz w:val="22"/>
          <w:shd w:val="clear" w:color="auto" w:fill="FFFFFF"/>
        </w:rPr>
        <w:t>as</w:t>
      </w:r>
      <w:r w:rsidRPr="0025563A">
        <w:rPr>
          <w:rFonts w:ascii="Arial" w:hAnsi="Arial" w:cs="Arial"/>
          <w:b/>
          <w:bCs/>
          <w:color w:val="222222"/>
          <w:sz w:val="22"/>
          <w:shd w:val="clear" w:color="auto" w:fill="FFFFFF"/>
        </w:rPr>
        <w:t xml:space="preserve"> </w:t>
      </w:r>
      <w:r w:rsidRPr="0025440E">
        <w:rPr>
          <w:rFonts w:ascii="Arial" w:hAnsi="Arial" w:cs="Arial"/>
          <w:color w:val="222222"/>
          <w:sz w:val="22"/>
          <w:shd w:val="clear" w:color="auto" w:fill="FFFFFF"/>
        </w:rPr>
        <w:t>Integrated Care Pathways (ICPs)</w:t>
      </w:r>
      <w:r w:rsidRPr="00EB1347">
        <w:rPr>
          <w:rFonts w:ascii="Arial" w:hAnsi="Arial" w:cs="Arial"/>
          <w:color w:val="222222"/>
          <w:sz w:val="22"/>
          <w:shd w:val="clear" w:color="auto" w:fill="FFFFFF"/>
        </w:rPr>
        <w:t xml:space="preserve"> and shared electronic health records are essential (Fox, </w:t>
      </w:r>
      <w:r w:rsidR="0084757A" w:rsidRPr="00EB1347">
        <w:rPr>
          <w:rFonts w:ascii="Arial" w:hAnsi="Arial" w:cs="Arial"/>
          <w:color w:val="222222"/>
          <w:sz w:val="22"/>
          <w:shd w:val="clear" w:color="auto" w:fill="FFFFFF"/>
        </w:rPr>
        <w:t>McCallum</w:t>
      </w:r>
      <w:r w:rsidRPr="00EB1347">
        <w:rPr>
          <w:rFonts w:ascii="Arial" w:hAnsi="Arial" w:cs="Arial"/>
          <w:color w:val="222222"/>
          <w:sz w:val="22"/>
          <w:shd w:val="clear" w:color="auto" w:fill="FFFFFF"/>
        </w:rPr>
        <w:t>, and Mikkola, 2025). These tools ensure that the SLT’s specific communication strategies for Mr. Ahmed are accessible to the daily care workers, preventing "fragmented care."</w:t>
      </w:r>
      <w:r w:rsidRPr="00EB1347">
        <w:rPr>
          <w:rFonts w:ascii="Arial" w:hAnsi="Arial" w:cs="Arial"/>
          <w:color w:val="222222"/>
          <w:sz w:val="22"/>
        </w:rPr>
        <w:br/>
      </w:r>
      <w:r w:rsidRPr="00EB1347">
        <w:rPr>
          <w:rFonts w:ascii="Arial" w:hAnsi="Arial" w:cs="Arial"/>
          <w:color w:val="222222"/>
          <w:sz w:val="22"/>
        </w:rPr>
        <w:br/>
      </w:r>
      <w:r w:rsidRPr="00EB1347">
        <w:rPr>
          <w:rFonts w:ascii="Arial" w:hAnsi="Arial" w:cs="Arial"/>
          <w:color w:val="222222"/>
          <w:sz w:val="22"/>
          <w:shd w:val="clear" w:color="auto" w:fill="FFFFFF"/>
        </w:rPr>
        <w:t xml:space="preserve">Effective collaboration also requires "Relational Coordination," which Ibarra and Hansen (2011) define as communicating and relating for the purpose of task integration. This involves regular meetings where Mr. Ahmed and his wife are active participants, ensuring their voices are heard. By fostering a culture of mutual respect and shared accountability, the MDT can move beyond a reactive stance to a proactive one. This collaborative synergy not only improves clinical outcomes but also ensures that the service remains compliant with the </w:t>
      </w:r>
      <w:r w:rsidRPr="0025440E">
        <w:rPr>
          <w:rFonts w:ascii="Arial" w:hAnsi="Arial" w:cs="Arial"/>
          <w:color w:val="222222"/>
          <w:sz w:val="22"/>
          <w:shd w:val="clear" w:color="auto" w:fill="FFFFFF"/>
        </w:rPr>
        <w:t>CQC (2022)</w:t>
      </w:r>
      <w:r w:rsidRPr="00EB1347">
        <w:rPr>
          <w:rFonts w:ascii="Arial" w:hAnsi="Arial" w:cs="Arial"/>
          <w:color w:val="222222"/>
          <w:sz w:val="22"/>
          <w:shd w:val="clear" w:color="auto" w:fill="FFFFFF"/>
        </w:rPr>
        <w:t xml:space="preserve"> standards for "well-led" and "effective" care delivery (WHO, 2010).</w:t>
      </w:r>
      <w:r w:rsidR="00FD31F4">
        <w:rPr>
          <w:rFonts w:ascii="Arial" w:hAnsi="Arial" w:cs="Arial"/>
          <w:color w:val="222222"/>
          <w:sz w:val="22"/>
          <w:shd w:val="clear" w:color="auto" w:fill="FFFFFF"/>
        </w:rPr>
        <w:t xml:space="preserve"> Ultimately, a unified MDT approach protects Mr. Ahmed from the “silo-working” that led to the medication error, upholding the ethical principle of non-maleficence (Fox, </w:t>
      </w:r>
      <w:r w:rsidR="00F7118B">
        <w:rPr>
          <w:rFonts w:ascii="Arial" w:hAnsi="Arial" w:cs="Arial"/>
          <w:color w:val="222222"/>
          <w:sz w:val="22"/>
          <w:shd w:val="clear" w:color="auto" w:fill="FFFFFF"/>
        </w:rPr>
        <w:t>McCallum</w:t>
      </w:r>
      <w:r w:rsidR="00FD31F4">
        <w:rPr>
          <w:rFonts w:ascii="Arial" w:hAnsi="Arial" w:cs="Arial"/>
          <w:color w:val="222222"/>
          <w:sz w:val="22"/>
          <w:shd w:val="clear" w:color="auto" w:fill="FFFFFF"/>
        </w:rPr>
        <w:t>, and Mikkola, 2025).</w:t>
      </w:r>
    </w:p>
    <w:p w14:paraId="3A742EE2" w14:textId="77777777" w:rsidR="008E3943" w:rsidRPr="00EB1347" w:rsidRDefault="008E3943" w:rsidP="00EB1347">
      <w:pPr>
        <w:tabs>
          <w:tab w:val="left" w:pos="6540"/>
        </w:tabs>
        <w:spacing w:line="360" w:lineRule="auto"/>
        <w:rPr>
          <w:rFonts w:asciiTheme="minorBidi" w:hAnsiTheme="minorBidi"/>
          <w:sz w:val="22"/>
        </w:rPr>
      </w:pPr>
    </w:p>
    <w:p w14:paraId="233C02A1" w14:textId="1F95026A" w:rsidR="00676403" w:rsidRPr="00676403" w:rsidRDefault="00B87E75" w:rsidP="00676403">
      <w:pPr>
        <w:pStyle w:val="Heading1"/>
        <w:numPr>
          <w:ilvl w:val="0"/>
          <w:numId w:val="0"/>
        </w:numPr>
        <w:ind w:left="720"/>
      </w:pPr>
      <w:r w:rsidRPr="00EB1347">
        <w:t>Conclusion</w:t>
      </w:r>
      <w:r w:rsidR="00CD33A8" w:rsidRPr="00EB1347">
        <w:t xml:space="preserve"> </w:t>
      </w:r>
    </w:p>
    <w:p w14:paraId="33F8F0BD" w14:textId="322BBA82" w:rsidR="00B87E75" w:rsidRDefault="00E9006A" w:rsidP="00F7118B">
      <w:pPr>
        <w:spacing w:line="360" w:lineRule="auto"/>
        <w:rPr>
          <w:sz w:val="22"/>
        </w:rPr>
      </w:pPr>
      <w:r w:rsidRPr="00EB1347">
        <w:rPr>
          <w:rFonts w:ascii="Arial" w:hAnsi="Arial" w:cs="Arial"/>
          <w:color w:val="222222"/>
          <w:sz w:val="22"/>
          <w:shd w:val="clear" w:color="auto" w:fill="FFFFFF"/>
        </w:rPr>
        <w:t xml:space="preserve">In conclusion, the analysis of Mr. Ahmed’s case study underscores the inextricable link between legislative compliance, professional standards, and patient safety. The Equality Act 2010 provides a clear legal mandate to ensure that Mr. Ahmed’s linguistic and physical needs are met through inclusive, adapted communication strategies (EHRC, 2022). Simultaneously, the Data Protection Act 2018 and the NMC Code (2018) provide the necessary regulatory framework for the high-level administrative diligence required to maintain accountability and prevent clinical errors like missed medication (ICO, 2018). The investigation into the current service failure must focus on strengthening the MDT framework and improving the flow of information between agencies (Nwosu, 2024). As this report has demonstrated, effective communication—guided by models such as Berlo’s SMCR—is essential to uphold the dignity and autonomy of the service user (Chen et al., 2024). Ultimately, by strictly adhering to the Care Act 2014 and fostering a culture of interprofessional cooperation, the multidisciplinary team can ensure that Mr. Ahmed receives a safe, equitable, and high-quality care experience (Fox, </w:t>
      </w:r>
      <w:r w:rsidR="009E60B0" w:rsidRPr="00EB1347">
        <w:rPr>
          <w:rFonts w:ascii="Arial" w:hAnsi="Arial" w:cs="Arial"/>
          <w:color w:val="222222"/>
          <w:sz w:val="22"/>
          <w:shd w:val="clear" w:color="auto" w:fill="FFFFFF"/>
        </w:rPr>
        <w:t>McCallum</w:t>
      </w:r>
      <w:r w:rsidRPr="00EB1347">
        <w:rPr>
          <w:rFonts w:ascii="Arial" w:hAnsi="Arial" w:cs="Arial"/>
          <w:color w:val="222222"/>
          <w:sz w:val="22"/>
          <w:shd w:val="clear" w:color="auto" w:fill="FFFFFF"/>
        </w:rPr>
        <w:t>, and Mikkola, 2025).</w:t>
      </w:r>
    </w:p>
    <w:p w14:paraId="273ED51A" w14:textId="77777777" w:rsidR="00EB1347" w:rsidRPr="00EB1347" w:rsidRDefault="00EB1347" w:rsidP="00EB1347">
      <w:pPr>
        <w:spacing w:line="360" w:lineRule="auto"/>
        <w:rPr>
          <w:sz w:val="32"/>
          <w:szCs w:val="32"/>
        </w:rPr>
      </w:pPr>
    </w:p>
    <w:p w14:paraId="64BA3859" w14:textId="2DC84D71" w:rsidR="00676403" w:rsidRPr="00676403" w:rsidRDefault="00C4500F" w:rsidP="00676403">
      <w:pPr>
        <w:pStyle w:val="Heading1"/>
        <w:numPr>
          <w:ilvl w:val="0"/>
          <w:numId w:val="0"/>
        </w:numPr>
        <w:ind w:left="720"/>
      </w:pPr>
      <w:r w:rsidRPr="0010450B">
        <w:lastRenderedPageBreak/>
        <w:t>Reference</w:t>
      </w:r>
    </w:p>
    <w:p w14:paraId="74D3B2C7" w14:textId="074B7A14" w:rsidR="00E37FC5" w:rsidRPr="0041180E" w:rsidRDefault="0010450B" w:rsidP="0041180E">
      <w:pPr>
        <w:shd w:val="clear" w:color="auto" w:fill="FFFFFF"/>
        <w:spacing w:after="0" w:line="360" w:lineRule="auto"/>
        <w:rPr>
          <w:rFonts w:ascii="Arial" w:eastAsia="Times New Roman" w:hAnsi="Arial" w:cs="Arial"/>
          <w:color w:val="222222"/>
          <w:sz w:val="22"/>
          <w:lang w:eastAsia="en-GB"/>
        </w:rPr>
      </w:pPr>
      <w:r w:rsidRPr="0041180E">
        <w:rPr>
          <w:rFonts w:ascii="Arial" w:eastAsia="Times New Roman" w:hAnsi="Arial" w:cs="Arial"/>
          <w:color w:val="222222"/>
          <w:sz w:val="22"/>
          <w:lang w:eastAsia="en-GB"/>
        </w:rPr>
        <w:t> Care Quality Commission (CQC) (2022) Regulation 20: Duty of candour. London: CQC.</w:t>
      </w:r>
      <w:r w:rsidRPr="0041180E">
        <w:rPr>
          <w:rFonts w:ascii="Arial" w:eastAsia="Times New Roman" w:hAnsi="Arial" w:cs="Arial"/>
          <w:color w:val="222222"/>
          <w:sz w:val="22"/>
          <w:lang w:eastAsia="en-GB"/>
        </w:rPr>
        <w:br/>
      </w:r>
      <w:r w:rsidRPr="0041180E">
        <w:rPr>
          <w:rFonts w:ascii="Arial" w:eastAsia="Times New Roman" w:hAnsi="Arial" w:cs="Arial"/>
          <w:color w:val="222222"/>
          <w:sz w:val="22"/>
          <w:lang w:eastAsia="en-GB"/>
        </w:rPr>
        <w:br/>
        <w:t>Chen, Q. et al. (2024) ‘Application effect of the nursing practice based on the SMCR communication model’, Frontiers in Medicine, 11. doi:10.3389/fmed.2024.1350975.</w:t>
      </w:r>
      <w:r w:rsidRPr="0041180E">
        <w:rPr>
          <w:rFonts w:ascii="Arial" w:eastAsia="Times New Roman" w:hAnsi="Arial" w:cs="Arial"/>
          <w:color w:val="222222"/>
          <w:sz w:val="22"/>
          <w:lang w:eastAsia="en-GB"/>
        </w:rPr>
        <w:br/>
      </w:r>
      <w:r w:rsidRPr="0041180E">
        <w:rPr>
          <w:rFonts w:ascii="Arial" w:eastAsia="Times New Roman" w:hAnsi="Arial" w:cs="Arial"/>
          <w:color w:val="222222"/>
          <w:sz w:val="22"/>
          <w:lang w:eastAsia="en-GB"/>
        </w:rPr>
        <w:br/>
        <w:t>City of York (2025) Recording and Keeping Records in Adult Social Care. Available at: </w:t>
      </w:r>
      <w:hyperlink r:id="rId9" w:tgtFrame="_blank" w:history="1">
        <w:r w:rsidRPr="0041180E">
          <w:rPr>
            <w:rFonts w:ascii="Arial" w:eastAsia="Times New Roman" w:hAnsi="Arial" w:cs="Arial"/>
            <w:color w:val="1155CC"/>
            <w:sz w:val="22"/>
            <w:u w:val="single"/>
            <w:lang w:eastAsia="en-GB"/>
          </w:rPr>
          <w:t>https://cityofyorkadults.trixonline.co.uk</w:t>
        </w:r>
      </w:hyperlink>
      <w:r w:rsidRPr="0041180E">
        <w:rPr>
          <w:rFonts w:ascii="Arial" w:eastAsia="Times New Roman" w:hAnsi="Arial" w:cs="Arial"/>
          <w:color w:val="222222"/>
          <w:sz w:val="22"/>
          <w:lang w:eastAsia="en-GB"/>
        </w:rPr>
        <w:br/>
      </w:r>
      <w:r w:rsidRPr="0041180E">
        <w:rPr>
          <w:rFonts w:ascii="Arial" w:eastAsia="Times New Roman" w:hAnsi="Arial" w:cs="Arial"/>
          <w:color w:val="222222"/>
          <w:sz w:val="22"/>
          <w:lang w:eastAsia="en-GB"/>
        </w:rPr>
        <w:br/>
        <w:t>Data Protection Act 2018, c. 12. Available at: </w:t>
      </w:r>
      <w:hyperlink r:id="rId10" w:tgtFrame="_blank" w:history="1">
        <w:r w:rsidRPr="0041180E">
          <w:rPr>
            <w:rFonts w:ascii="Arial" w:eastAsia="Times New Roman" w:hAnsi="Arial" w:cs="Arial"/>
            <w:color w:val="1155CC"/>
            <w:sz w:val="22"/>
            <w:u w:val="single"/>
            <w:lang w:eastAsia="en-GB"/>
          </w:rPr>
          <w:t>https://www.legislation.gov.uk/ukpga/2018/12/contents</w:t>
        </w:r>
      </w:hyperlink>
      <w:r w:rsidRPr="0041180E">
        <w:rPr>
          <w:rFonts w:ascii="Arial" w:eastAsia="Times New Roman" w:hAnsi="Arial" w:cs="Arial"/>
          <w:color w:val="222222"/>
          <w:sz w:val="22"/>
          <w:lang w:eastAsia="en-GB"/>
        </w:rPr>
        <w:br/>
      </w:r>
      <w:r w:rsidRPr="0041180E">
        <w:rPr>
          <w:rFonts w:ascii="Arial" w:eastAsia="Times New Roman" w:hAnsi="Arial" w:cs="Arial"/>
          <w:color w:val="222222"/>
          <w:sz w:val="22"/>
          <w:lang w:eastAsia="en-GB"/>
        </w:rPr>
        <w:br/>
        <w:t>Equality Act 2010, c. 15. Available at: </w:t>
      </w:r>
      <w:hyperlink r:id="rId11" w:tgtFrame="_blank" w:history="1">
        <w:r w:rsidRPr="0041180E">
          <w:rPr>
            <w:rFonts w:ascii="Arial" w:eastAsia="Times New Roman" w:hAnsi="Arial" w:cs="Arial"/>
            <w:color w:val="1155CC"/>
            <w:sz w:val="22"/>
            <w:u w:val="single"/>
            <w:lang w:eastAsia="en-GB"/>
          </w:rPr>
          <w:t>https://www.legislation.gov.uk/ukpga/2010/15/contents</w:t>
        </w:r>
      </w:hyperlink>
      <w:r w:rsidRPr="0041180E">
        <w:rPr>
          <w:rFonts w:ascii="Arial" w:eastAsia="Times New Roman" w:hAnsi="Arial" w:cs="Arial"/>
          <w:color w:val="222222"/>
          <w:sz w:val="22"/>
          <w:lang w:eastAsia="en-GB"/>
        </w:rPr>
        <w:br/>
      </w:r>
      <w:r w:rsidRPr="0041180E">
        <w:rPr>
          <w:rFonts w:ascii="Arial" w:eastAsia="Times New Roman" w:hAnsi="Arial" w:cs="Arial"/>
          <w:color w:val="222222"/>
          <w:sz w:val="22"/>
          <w:lang w:eastAsia="en-GB"/>
        </w:rPr>
        <w:br/>
        <w:t>Equality and Human Rights Commission (EHRC) (2022) Equality Act 2010 Code of Practice. London: EHRC.</w:t>
      </w:r>
      <w:r w:rsidRPr="0041180E">
        <w:rPr>
          <w:rFonts w:ascii="Arial" w:eastAsia="Times New Roman" w:hAnsi="Arial" w:cs="Arial"/>
          <w:color w:val="222222"/>
          <w:sz w:val="22"/>
          <w:lang w:eastAsia="en-GB"/>
        </w:rPr>
        <w:br/>
      </w:r>
      <w:r w:rsidRPr="0041180E">
        <w:rPr>
          <w:rFonts w:ascii="Arial" w:eastAsia="Times New Roman" w:hAnsi="Arial" w:cs="Arial"/>
          <w:color w:val="222222"/>
          <w:sz w:val="22"/>
          <w:lang w:eastAsia="en-GB"/>
        </w:rPr>
        <w:br/>
        <w:t xml:space="preserve">Fox, S., </w:t>
      </w:r>
      <w:r w:rsidR="0084757A" w:rsidRPr="0041180E">
        <w:rPr>
          <w:rFonts w:ascii="Arial" w:eastAsia="Times New Roman" w:hAnsi="Arial" w:cs="Arial"/>
          <w:color w:val="222222"/>
          <w:sz w:val="22"/>
          <w:lang w:eastAsia="en-GB"/>
        </w:rPr>
        <w:t>McCallum</w:t>
      </w:r>
      <w:r w:rsidRPr="0041180E">
        <w:rPr>
          <w:rFonts w:ascii="Arial" w:eastAsia="Times New Roman" w:hAnsi="Arial" w:cs="Arial"/>
          <w:color w:val="222222"/>
          <w:sz w:val="22"/>
          <w:lang w:eastAsia="en-GB"/>
        </w:rPr>
        <w:t>, K. and Mikkola, L. (2025) Interprofessional Communication in Health and Social Care. Cham: Springer Nature.</w:t>
      </w:r>
    </w:p>
    <w:p w14:paraId="25F117AE" w14:textId="77777777" w:rsidR="00E37FC5" w:rsidRPr="0041180E" w:rsidRDefault="00E37FC5" w:rsidP="0041180E">
      <w:pPr>
        <w:shd w:val="clear" w:color="auto" w:fill="FFFFFF"/>
        <w:spacing w:after="0" w:line="360" w:lineRule="auto"/>
        <w:rPr>
          <w:rFonts w:ascii="Arial" w:eastAsia="Times New Roman" w:hAnsi="Arial" w:cs="Arial"/>
          <w:color w:val="222222"/>
          <w:sz w:val="22"/>
          <w:lang w:eastAsia="en-GB"/>
        </w:rPr>
      </w:pPr>
    </w:p>
    <w:p w14:paraId="120A8F9E" w14:textId="5E33FF25" w:rsidR="008034DD" w:rsidRPr="0041180E" w:rsidRDefault="00E37FC5" w:rsidP="0041180E">
      <w:pPr>
        <w:shd w:val="clear" w:color="auto" w:fill="FFFFFF"/>
        <w:spacing w:after="0" w:line="360" w:lineRule="auto"/>
        <w:rPr>
          <w:rFonts w:ascii="Arial" w:eastAsia="Times New Roman" w:hAnsi="Arial" w:cs="Arial"/>
          <w:color w:val="222222"/>
          <w:sz w:val="22"/>
          <w:lang w:eastAsia="en-GB"/>
        </w:rPr>
      </w:pPr>
      <w:r w:rsidRPr="0041180E">
        <w:rPr>
          <w:rFonts w:ascii="Arial" w:eastAsia="Times New Roman" w:hAnsi="Arial" w:cs="Arial"/>
          <w:color w:val="222222"/>
          <w:sz w:val="22"/>
          <w:lang w:eastAsia="en-GB"/>
        </w:rPr>
        <w:t xml:space="preserve">Government UK (2014) Care Act 2014: Section 42 – Enquiry by local authority. Available at: </w:t>
      </w:r>
      <w:r w:rsidRPr="0041180E">
        <w:rPr>
          <w:rFonts w:ascii="Arial" w:eastAsia="Times New Roman" w:hAnsi="Arial" w:cs="Arial"/>
          <w:color w:val="4472C4" w:themeColor="accent1"/>
          <w:sz w:val="22"/>
          <w:lang w:eastAsia="en-GB"/>
        </w:rPr>
        <w:t>http://www.legislation.gov.uk/ukpga/2014/23/section/42</w:t>
      </w:r>
      <w:r w:rsidR="0010450B" w:rsidRPr="0041180E">
        <w:rPr>
          <w:rFonts w:ascii="Arial" w:eastAsia="Times New Roman" w:hAnsi="Arial" w:cs="Arial"/>
          <w:color w:val="222222"/>
          <w:sz w:val="22"/>
          <w:lang w:eastAsia="en-GB"/>
        </w:rPr>
        <w:br/>
      </w:r>
      <w:r w:rsidR="0010450B" w:rsidRPr="0041180E">
        <w:rPr>
          <w:rFonts w:ascii="Arial" w:eastAsia="Times New Roman" w:hAnsi="Arial" w:cs="Arial"/>
          <w:color w:val="222222"/>
          <w:sz w:val="22"/>
          <w:lang w:eastAsia="en-GB"/>
        </w:rPr>
        <w:br/>
        <w:t>Health and Care Professions Council (HCPC) (2016) Standards of conduct, performance and ethics. London: HCPC.</w:t>
      </w:r>
      <w:r w:rsidR="0010450B" w:rsidRPr="0041180E">
        <w:rPr>
          <w:rFonts w:ascii="Arial" w:eastAsia="Times New Roman" w:hAnsi="Arial" w:cs="Arial"/>
          <w:color w:val="222222"/>
          <w:sz w:val="22"/>
          <w:lang w:eastAsia="en-GB"/>
        </w:rPr>
        <w:br/>
      </w:r>
      <w:r w:rsidR="0010450B" w:rsidRPr="0041180E">
        <w:rPr>
          <w:rFonts w:ascii="Arial" w:eastAsia="Times New Roman" w:hAnsi="Arial" w:cs="Arial"/>
          <w:color w:val="222222"/>
          <w:sz w:val="22"/>
          <w:lang w:eastAsia="en-GB"/>
        </w:rPr>
        <w:br/>
        <w:t>Ibarra, H. and Hansen, M.T. (2011) ‘Are you a collaborative leader?’, Harvard Business Review, 89(7/8), pp. 68-74.</w:t>
      </w:r>
      <w:r w:rsidR="0010450B" w:rsidRPr="0041180E">
        <w:rPr>
          <w:rFonts w:ascii="Arial" w:eastAsia="Times New Roman" w:hAnsi="Arial" w:cs="Arial"/>
          <w:color w:val="222222"/>
          <w:sz w:val="22"/>
          <w:lang w:eastAsia="en-GB"/>
        </w:rPr>
        <w:br/>
      </w:r>
      <w:r w:rsidR="0010450B" w:rsidRPr="0041180E">
        <w:rPr>
          <w:rFonts w:ascii="Arial" w:eastAsia="Times New Roman" w:hAnsi="Arial" w:cs="Arial"/>
          <w:color w:val="222222"/>
          <w:sz w:val="22"/>
          <w:lang w:eastAsia="en-GB"/>
        </w:rPr>
        <w:br/>
        <w:t>Information Commissioner’s Office (ICO) (2018) Guide to the General Data Protection Regulation (GDPR). Available at: </w:t>
      </w:r>
      <w:hyperlink r:id="rId12" w:tgtFrame="_blank" w:history="1">
        <w:r w:rsidR="0010450B" w:rsidRPr="0041180E">
          <w:rPr>
            <w:rFonts w:ascii="Arial" w:eastAsia="Times New Roman" w:hAnsi="Arial" w:cs="Arial"/>
            <w:color w:val="1155CC"/>
            <w:sz w:val="22"/>
            <w:u w:val="single"/>
            <w:lang w:eastAsia="en-GB"/>
          </w:rPr>
          <w:t>https://ico.org.uk</w:t>
        </w:r>
      </w:hyperlink>
      <w:r w:rsidR="0010450B" w:rsidRPr="0041180E">
        <w:rPr>
          <w:rFonts w:ascii="Arial" w:eastAsia="Times New Roman" w:hAnsi="Arial" w:cs="Arial"/>
          <w:color w:val="222222"/>
          <w:sz w:val="22"/>
          <w:lang w:eastAsia="en-GB"/>
        </w:rPr>
        <w:br/>
      </w:r>
      <w:r w:rsidR="0010450B" w:rsidRPr="0041180E">
        <w:rPr>
          <w:rFonts w:ascii="Arial" w:eastAsia="Times New Roman" w:hAnsi="Arial" w:cs="Arial"/>
          <w:color w:val="222222"/>
          <w:sz w:val="22"/>
          <w:lang w:eastAsia="en-GB"/>
        </w:rPr>
        <w:br/>
        <w:t>Nursing and Midwifery Council (NMC) (2018) The Code: Professional standards of practice and behaviour. London: NMC.</w:t>
      </w:r>
      <w:r w:rsidR="0010450B" w:rsidRPr="0041180E">
        <w:rPr>
          <w:rFonts w:ascii="Arial" w:eastAsia="Times New Roman" w:hAnsi="Arial" w:cs="Arial"/>
          <w:color w:val="222222"/>
          <w:sz w:val="22"/>
          <w:lang w:eastAsia="en-GB"/>
        </w:rPr>
        <w:br/>
      </w:r>
      <w:r w:rsidR="0010450B" w:rsidRPr="0041180E">
        <w:rPr>
          <w:rFonts w:ascii="Arial" w:eastAsia="Times New Roman" w:hAnsi="Arial" w:cs="Arial"/>
          <w:color w:val="222222"/>
          <w:sz w:val="22"/>
          <w:lang w:eastAsia="en-GB"/>
        </w:rPr>
        <w:br/>
        <w:t xml:space="preserve">Nwosu, A. E. (2024) ‘Multidisciplinary Working Models to Promote Collaborative Leadership’, </w:t>
      </w:r>
      <w:r w:rsidR="0010450B" w:rsidRPr="0041180E">
        <w:rPr>
          <w:rFonts w:ascii="Arial" w:eastAsia="Times New Roman" w:hAnsi="Arial" w:cs="Arial"/>
          <w:color w:val="222222"/>
          <w:sz w:val="22"/>
          <w:lang w:eastAsia="en-GB"/>
        </w:rPr>
        <w:lastRenderedPageBreak/>
        <w:t>International Journal of Science and Research (IJSR), 13(5).</w:t>
      </w:r>
      <w:r w:rsidR="0010450B" w:rsidRPr="0041180E">
        <w:rPr>
          <w:rFonts w:ascii="Arial" w:eastAsia="Times New Roman" w:hAnsi="Arial" w:cs="Arial"/>
          <w:color w:val="222222"/>
          <w:sz w:val="22"/>
          <w:lang w:eastAsia="en-GB"/>
        </w:rPr>
        <w:br/>
      </w:r>
      <w:r w:rsidR="0010450B" w:rsidRPr="0041180E">
        <w:rPr>
          <w:rFonts w:ascii="Arial" w:eastAsia="Times New Roman" w:hAnsi="Arial" w:cs="Arial"/>
          <w:color w:val="222222"/>
          <w:sz w:val="22"/>
          <w:lang w:eastAsia="en-GB"/>
        </w:rPr>
        <w:br/>
        <w:t>Spencer, A. and Patel, S. (2019) ‘Applying the Data Protection Act 2018 and GDPR principles in healthcare settings’, Nursing Management. doi:10.7748/nm.2019.e1806.</w:t>
      </w:r>
      <w:r w:rsidR="0010450B" w:rsidRPr="0041180E">
        <w:rPr>
          <w:rFonts w:ascii="Arial" w:eastAsia="Times New Roman" w:hAnsi="Arial" w:cs="Arial"/>
          <w:color w:val="222222"/>
          <w:sz w:val="22"/>
          <w:lang w:eastAsia="en-GB"/>
        </w:rPr>
        <w:br/>
      </w:r>
      <w:r w:rsidR="0010450B" w:rsidRPr="0041180E">
        <w:rPr>
          <w:rFonts w:ascii="Arial" w:eastAsia="Times New Roman" w:hAnsi="Arial" w:cs="Arial"/>
          <w:color w:val="222222"/>
          <w:sz w:val="22"/>
          <w:lang w:eastAsia="en-GB"/>
        </w:rPr>
        <w:br/>
        <w:t>Symonds, J. et al. (2020) ‘Making person-centred assessments’, Journal of Social Work, 20(4). doi:10.1177/1468017319830593.</w:t>
      </w:r>
      <w:r w:rsidR="0010450B" w:rsidRPr="0041180E">
        <w:rPr>
          <w:rFonts w:ascii="Arial" w:eastAsia="Times New Roman" w:hAnsi="Arial" w:cs="Arial"/>
          <w:color w:val="222222"/>
          <w:sz w:val="22"/>
          <w:lang w:eastAsia="en-GB"/>
        </w:rPr>
        <w:br/>
      </w:r>
      <w:r w:rsidR="0010450B" w:rsidRPr="0041180E">
        <w:rPr>
          <w:rFonts w:ascii="Arial" w:eastAsia="Times New Roman" w:hAnsi="Arial" w:cs="Arial"/>
          <w:color w:val="222222"/>
          <w:sz w:val="22"/>
          <w:lang w:eastAsia="en-GB"/>
        </w:rPr>
        <w:br/>
        <w:t>World Health Organization (WHO) (2010) Framework for action on interprofessional education and collaborative practice. Geneva: WHO.</w:t>
      </w:r>
    </w:p>
    <w:p w14:paraId="010F72F2" w14:textId="77777777" w:rsidR="00C4500F" w:rsidRPr="0041180E" w:rsidRDefault="00C4500F" w:rsidP="0041180E">
      <w:pPr>
        <w:pStyle w:val="NoSpacing"/>
        <w:spacing w:line="360" w:lineRule="auto"/>
        <w:rPr>
          <w:bCs/>
          <w:sz w:val="22"/>
          <w:lang w:eastAsia="en-GB"/>
        </w:rPr>
      </w:pPr>
    </w:p>
    <w:p w14:paraId="6BEE7491" w14:textId="77777777" w:rsidR="00C4500F" w:rsidRPr="0041180E" w:rsidRDefault="00C4500F" w:rsidP="0041180E">
      <w:pPr>
        <w:spacing w:line="360" w:lineRule="auto"/>
        <w:rPr>
          <w:bCs/>
          <w:sz w:val="22"/>
          <w:lang w:eastAsia="en-GB"/>
        </w:rPr>
      </w:pPr>
    </w:p>
    <w:p w14:paraId="1425F4AC" w14:textId="55D86C4C" w:rsidR="001D7C03" w:rsidRPr="0041180E" w:rsidRDefault="00C4500F" w:rsidP="0041180E">
      <w:pPr>
        <w:pStyle w:val="Heading1"/>
        <w:numPr>
          <w:ilvl w:val="0"/>
          <w:numId w:val="0"/>
        </w:numPr>
        <w:ind w:left="360"/>
        <w:rPr>
          <w:rFonts w:cs="Arial"/>
          <w:sz w:val="22"/>
          <w:szCs w:val="22"/>
        </w:rPr>
      </w:pPr>
      <w:r w:rsidRPr="0041180E">
        <w:rPr>
          <w:sz w:val="22"/>
          <w:szCs w:val="22"/>
        </w:rPr>
        <w:t xml:space="preserve"> </w:t>
      </w:r>
      <w:r w:rsidRPr="0041180E">
        <w:rPr>
          <w:sz w:val="22"/>
          <w:szCs w:val="22"/>
        </w:rPr>
        <w:br/>
      </w:r>
    </w:p>
    <w:sectPr w:rsidR="001D7C03" w:rsidRPr="0041180E" w:rsidSect="00E620E7">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0EB31" w14:textId="77777777" w:rsidR="00E10828" w:rsidRDefault="00E10828" w:rsidP="003E4ECF">
      <w:pPr>
        <w:spacing w:after="0" w:line="240" w:lineRule="auto"/>
      </w:pPr>
      <w:r>
        <w:separator/>
      </w:r>
    </w:p>
  </w:endnote>
  <w:endnote w:type="continuationSeparator" w:id="0">
    <w:p w14:paraId="5B41148C" w14:textId="77777777" w:rsidR="00E10828" w:rsidRDefault="00E1082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6AF395" w14:textId="77777777" w:rsidR="00E10828" w:rsidRDefault="00E10828" w:rsidP="003E4ECF">
      <w:pPr>
        <w:spacing w:after="0" w:line="240" w:lineRule="auto"/>
      </w:pPr>
      <w:r>
        <w:separator/>
      </w:r>
    </w:p>
  </w:footnote>
  <w:footnote w:type="continuationSeparator" w:id="0">
    <w:p w14:paraId="61502D1A" w14:textId="77777777" w:rsidR="00E10828" w:rsidRDefault="00E10828"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E748CE"/>
    <w:multiLevelType w:val="hybridMultilevel"/>
    <w:tmpl w:val="9B5A77C2"/>
    <w:lvl w:ilvl="0" w:tplc="DD8E1FB6">
      <w:start w:val="1"/>
      <w:numFmt w:val="decimal"/>
      <w:pStyle w:val="Heading1"/>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639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B4469"/>
    <w:rsid w:val="0010450B"/>
    <w:rsid w:val="0013649D"/>
    <w:rsid w:val="001441F4"/>
    <w:rsid w:val="001A31B6"/>
    <w:rsid w:val="001D7C03"/>
    <w:rsid w:val="00216C85"/>
    <w:rsid w:val="0025440E"/>
    <w:rsid w:val="0025563A"/>
    <w:rsid w:val="0026393A"/>
    <w:rsid w:val="00273EDD"/>
    <w:rsid w:val="002C3965"/>
    <w:rsid w:val="00321C4C"/>
    <w:rsid w:val="00392BBC"/>
    <w:rsid w:val="003E4ECF"/>
    <w:rsid w:val="003E55B0"/>
    <w:rsid w:val="0041180E"/>
    <w:rsid w:val="0043648F"/>
    <w:rsid w:val="00474543"/>
    <w:rsid w:val="004A736E"/>
    <w:rsid w:val="00670C37"/>
    <w:rsid w:val="00676403"/>
    <w:rsid w:val="006925AA"/>
    <w:rsid w:val="00725177"/>
    <w:rsid w:val="007A1B8D"/>
    <w:rsid w:val="007E6664"/>
    <w:rsid w:val="008034DD"/>
    <w:rsid w:val="00814A9E"/>
    <w:rsid w:val="0082123D"/>
    <w:rsid w:val="0084757A"/>
    <w:rsid w:val="008E3943"/>
    <w:rsid w:val="0090040D"/>
    <w:rsid w:val="0097240F"/>
    <w:rsid w:val="009B45C4"/>
    <w:rsid w:val="009D052C"/>
    <w:rsid w:val="009D1D1E"/>
    <w:rsid w:val="009E60B0"/>
    <w:rsid w:val="00A035FD"/>
    <w:rsid w:val="00AD23A0"/>
    <w:rsid w:val="00B1391C"/>
    <w:rsid w:val="00B721DB"/>
    <w:rsid w:val="00B76A9E"/>
    <w:rsid w:val="00B87E75"/>
    <w:rsid w:val="00C4500F"/>
    <w:rsid w:val="00CC0476"/>
    <w:rsid w:val="00CD33A8"/>
    <w:rsid w:val="00D05A18"/>
    <w:rsid w:val="00D1122B"/>
    <w:rsid w:val="00D965D7"/>
    <w:rsid w:val="00E10828"/>
    <w:rsid w:val="00E37FC5"/>
    <w:rsid w:val="00E569FD"/>
    <w:rsid w:val="00E620E7"/>
    <w:rsid w:val="00E9006A"/>
    <w:rsid w:val="00EB1347"/>
    <w:rsid w:val="00F11952"/>
    <w:rsid w:val="00F16B4D"/>
    <w:rsid w:val="00F66E1B"/>
    <w:rsid w:val="00F7118B"/>
    <w:rsid w:val="00F963DF"/>
    <w:rsid w:val="00FD31F4"/>
    <w:rsid w:val="00FE218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0450B"/>
    <w:pPr>
      <w:keepNext/>
      <w:keepLines/>
      <w:numPr>
        <w:numId w:val="1"/>
      </w:numPr>
      <w:spacing w:before="240" w:after="0" w:line="360" w:lineRule="auto"/>
      <w:outlineLvl w:val="0"/>
    </w:pPr>
    <w:rPr>
      <w:rFonts w:ascii="Arial" w:eastAsiaTheme="majorEastAsia" w:hAnsi="Arial"/>
      <w:b/>
      <w:sz w:val="32"/>
      <w:szCs w:val="32"/>
      <w:lang w:eastAsia="en-GB"/>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50B"/>
    <w:rPr>
      <w:rFonts w:ascii="Arial" w:eastAsiaTheme="majorEastAsia" w:hAnsi="Arial"/>
      <w:b/>
      <w:sz w:val="32"/>
      <w:szCs w:val="32"/>
      <w:lang w:eastAsia="en-GB"/>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97240F"/>
    <w:pPr>
      <w:ind w:left="720"/>
      <w:contextualSpacing/>
    </w:pPr>
  </w:style>
  <w:style w:type="character" w:styleId="Hyperlink">
    <w:name w:val="Hyperlink"/>
    <w:basedOn w:val="DefaultParagraphFont"/>
    <w:uiPriority w:val="99"/>
    <w:semiHidden/>
    <w:unhideWhenUsed/>
    <w:rsid w:val="00EB1347"/>
    <w:rPr>
      <w:color w:val="0000FF"/>
      <w:u w:val="single"/>
    </w:rPr>
  </w:style>
  <w:style w:type="paragraph" w:styleId="NoSpacing">
    <w:name w:val="No Spacing"/>
    <w:uiPriority w:val="1"/>
    <w:qFormat/>
    <w:rsid w:val="00EB134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co.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cityofyorkadults.trixonline.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1897</Words>
  <Characters>11614</Characters>
  <Application>Microsoft Office Word</Application>
  <DocSecurity>0</DocSecurity>
  <Lines>241</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Bernardita Rodriguez Brown (2508289)</cp:lastModifiedBy>
  <cp:revision>2</cp:revision>
  <dcterms:created xsi:type="dcterms:W3CDTF">2026-04-17T15:31:00Z</dcterms:created>
  <dcterms:modified xsi:type="dcterms:W3CDTF">2026-04-17T15:31:00Z</dcterms:modified>
</cp:coreProperties>
</file>