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PT Sans" w:hAnsi="PT Sans" w:cs="PT Sans"/>
          <w:b/>
          <w:sz w:val="38"/>
        </w:rPr>
      </w:pPr>
    </w:p>
    <w:p>
      <w:pPr>
        <w:rPr>
          <w:rFonts w:ascii="Arial" w:hAnsi="Arial" w:cs="Arial"/>
          <w:b/>
          <w:bCs/>
          <w:sz w:val="28"/>
          <w:szCs w:val="28"/>
          <w:lang w:val="en-US"/>
        </w:rPr>
      </w:pPr>
    </w:p>
    <w:p>
      <w:pPr>
        <w:spacing w:line="360" w:lineRule="auto"/>
        <w:jc w:val="right"/>
        <w:rPr>
          <w:rFonts w:ascii="Arial" w:hAnsi="Arial" w:cs="Arial"/>
          <w:b/>
          <w:bCs/>
          <w:sz w:val="28"/>
          <w:szCs w:val="28"/>
          <w:lang w:val="en-US"/>
        </w:rPr>
      </w:pPr>
      <w:r>
        <w:rPr>
          <w:rFonts w:ascii="Times New Roman" w:hAnsi="Times New Roman" w:cs="Times New Roman"/>
          <w:b/>
          <w:sz w:val="38"/>
          <w:lang w:val="en-US"/>
        </w:rPr>
        <w:t>Exploring the Motivations and Expectations of Healthcare Professionals in Continuing Education Programs: A Qualitative Study</w:t>
      </w:r>
    </w:p>
    <w:p>
      <w:pPr>
        <w:rPr>
          <w:rFonts w:ascii="Arial" w:hAnsi="Arial" w:cs="Arial"/>
          <w:b/>
          <w:bCs/>
          <w:sz w:val="28"/>
          <w:szCs w:val="28"/>
        </w:rPr>
      </w:pPr>
    </w:p>
    <w:p>
      <w:pPr>
        <w:rPr>
          <w:rFonts w:ascii="Arial" w:hAnsi="Arial" w:cs="Arial"/>
          <w:b/>
          <w:bCs/>
          <w:sz w:val="28"/>
          <w:szCs w:val="28"/>
          <w:lang w:val="en-US"/>
        </w:rPr>
      </w:pPr>
    </w:p>
    <w:p>
      <w:pPr>
        <w:spacing w:line="480" w:lineRule="auto"/>
        <w:jc w:val="right"/>
        <w:rPr>
          <w:b/>
          <w:i/>
          <w:sz w:val="48"/>
          <w:szCs w:val="48"/>
        </w:rPr>
      </w:pPr>
    </w:p>
    <w:p>
      <w:pPr>
        <w:spacing w:line="480" w:lineRule="auto"/>
        <w:jc w:val="right"/>
        <w:rPr>
          <w:b/>
          <w:i/>
          <w:sz w:val="48"/>
          <w:szCs w:val="48"/>
        </w:rPr>
      </w:pPr>
      <w:r>
        <w:rPr>
          <w:rFonts w:hint="eastAsia"/>
          <w:b/>
          <w:i/>
          <w:sz w:val="48"/>
          <w:szCs w:val="48"/>
        </w:rPr>
        <w:t>ECGE7002P</w:t>
      </w:r>
    </w:p>
    <w:p>
      <w:pPr>
        <w:spacing w:line="360" w:lineRule="auto"/>
        <w:rPr>
          <w:rFonts w:ascii="Arial" w:hAnsi="Arial" w:cs="Arial"/>
          <w:b/>
          <w:bCs/>
          <w:sz w:val="28"/>
          <w:szCs w:val="28"/>
          <w:lang w:val="en-US"/>
        </w:rPr>
      </w:pPr>
    </w:p>
    <w:p>
      <w:pPr>
        <w:spacing w:line="360" w:lineRule="auto"/>
        <w:jc w:val="right"/>
        <w:rPr>
          <w:rFonts w:ascii="Arial" w:hAnsi="Arial" w:cs="Arial"/>
          <w:b/>
          <w:bCs/>
          <w:sz w:val="28"/>
          <w:szCs w:val="28"/>
          <w:lang w:val="en-US"/>
        </w:rPr>
      </w:pPr>
      <w:r>
        <w:rPr>
          <w:rFonts w:ascii="Arial" w:hAnsi="Arial" w:cs="Arial"/>
          <w:b/>
          <w:bCs/>
          <w:sz w:val="28"/>
          <w:szCs w:val="28"/>
          <w:lang w:val="en-US"/>
        </w:rPr>
        <w:t xml:space="preserve">MODULE NAME: </w:t>
      </w:r>
      <w:r>
        <w:rPr>
          <w:rFonts w:ascii="Arial" w:hAnsi="Arial" w:cs="Arial"/>
          <w:b/>
          <w:bCs/>
          <w:sz w:val="28"/>
          <w:szCs w:val="28"/>
          <w:lang w:val="en-US"/>
        </w:rPr>
        <w:tab/>
      </w:r>
      <w:r>
        <w:rPr>
          <w:rFonts w:ascii="Arial" w:hAnsi="Arial" w:cs="Arial"/>
          <w:b/>
          <w:bCs/>
          <w:sz w:val="28"/>
          <w:szCs w:val="28"/>
          <w:lang w:val="en-US"/>
        </w:rPr>
        <w:t>MA (Ed)</w:t>
      </w:r>
    </w:p>
    <w:p>
      <w:pPr>
        <w:spacing w:line="360" w:lineRule="auto"/>
        <w:jc w:val="right"/>
        <w:rPr>
          <w:rFonts w:ascii="Arial" w:hAnsi="Arial" w:cs="Arial"/>
          <w:b/>
          <w:bCs/>
          <w:sz w:val="28"/>
          <w:szCs w:val="28"/>
          <w:lang w:val="en-US"/>
        </w:rPr>
      </w:pPr>
      <w:r>
        <w:rPr>
          <w:rFonts w:ascii="Arial" w:hAnsi="Arial" w:cs="Arial"/>
          <w:b/>
          <w:bCs/>
          <w:sz w:val="28"/>
          <w:szCs w:val="28"/>
          <w:lang w:val="en-US"/>
        </w:rPr>
        <w:t xml:space="preserve">NAME:         </w:t>
      </w:r>
      <w:r>
        <w:rPr>
          <w:rFonts w:ascii="Arial" w:hAnsi="Arial" w:cs="Arial"/>
          <w:b/>
          <w:bCs/>
          <w:sz w:val="28"/>
          <w:szCs w:val="28"/>
          <w:lang w:val="en-US"/>
        </w:rPr>
        <w:tab/>
      </w:r>
      <w:r>
        <w:rPr>
          <w:rFonts w:ascii="Arial" w:hAnsi="Arial" w:cs="Arial"/>
          <w:b/>
          <w:bCs/>
          <w:sz w:val="28"/>
          <w:szCs w:val="28"/>
          <w:lang w:val="en-US"/>
        </w:rPr>
        <w:tab/>
      </w:r>
      <w:r>
        <w:rPr>
          <w:rFonts w:ascii="Arial" w:hAnsi="Arial" w:cs="Arial"/>
          <w:b/>
          <w:bCs/>
          <w:sz w:val="28"/>
          <w:szCs w:val="28"/>
          <w:lang w:val="en-US"/>
        </w:rPr>
        <w:t>Ying Li</w:t>
      </w:r>
    </w:p>
    <w:p>
      <w:pPr>
        <w:spacing w:line="360" w:lineRule="auto"/>
        <w:jc w:val="right"/>
        <w:rPr>
          <w:rFonts w:ascii="Arial" w:hAnsi="Arial" w:cs="Arial"/>
          <w:b/>
          <w:bCs/>
          <w:sz w:val="28"/>
          <w:szCs w:val="28"/>
          <w:lang w:val="en-US"/>
        </w:rPr>
      </w:pPr>
      <w:r>
        <w:rPr>
          <w:rFonts w:ascii="Arial" w:hAnsi="Arial" w:cs="Arial"/>
          <w:b/>
          <w:bCs/>
          <w:sz w:val="28"/>
          <w:szCs w:val="28"/>
          <w:lang w:val="en-US"/>
        </w:rPr>
        <w:t>STUDENT ID:</w:t>
      </w:r>
      <w:r>
        <w:rPr>
          <w:rFonts w:ascii="Arial" w:hAnsi="Arial" w:cs="Arial"/>
          <w:b/>
          <w:bCs/>
          <w:sz w:val="28"/>
          <w:szCs w:val="28"/>
          <w:lang w:val="en-US"/>
        </w:rPr>
        <w:tab/>
      </w:r>
      <w:r>
        <w:rPr>
          <w:rFonts w:ascii="Arial" w:hAnsi="Arial" w:cs="Arial"/>
          <w:b/>
          <w:bCs/>
          <w:sz w:val="28"/>
          <w:szCs w:val="28"/>
          <w:lang w:val="en-US"/>
        </w:rPr>
        <w:tab/>
      </w:r>
      <w:r>
        <w:rPr>
          <w:rFonts w:ascii="Arial" w:hAnsi="Arial" w:cs="Arial"/>
          <w:b/>
          <w:bCs/>
          <w:sz w:val="28"/>
          <w:szCs w:val="28"/>
          <w:lang w:val="en-US"/>
        </w:rPr>
        <w:t>2218268</w:t>
      </w:r>
    </w:p>
    <w:p>
      <w:pPr>
        <w:spacing w:line="360" w:lineRule="auto"/>
        <w:jc w:val="right"/>
        <w:rPr>
          <w:rFonts w:ascii="Arial" w:hAnsi="Arial" w:cs="Arial"/>
          <w:b/>
          <w:bCs/>
          <w:sz w:val="28"/>
          <w:szCs w:val="28"/>
          <w:lang w:val="en-US"/>
        </w:rPr>
      </w:pPr>
      <w:r>
        <w:rPr>
          <w:rFonts w:ascii="Arial" w:hAnsi="Arial" w:cs="Arial"/>
          <w:b/>
          <w:bCs/>
          <w:sz w:val="28"/>
          <w:szCs w:val="28"/>
          <w:lang w:val="en-US"/>
        </w:rPr>
        <w:t xml:space="preserve">WORD COUNT:   </w:t>
      </w:r>
      <w:r>
        <w:rPr>
          <w:rFonts w:ascii="Arial" w:hAnsi="Arial" w:cs="Arial"/>
          <w:b/>
          <w:bCs/>
          <w:sz w:val="28"/>
          <w:szCs w:val="28"/>
          <w:lang w:val="en-US"/>
        </w:rPr>
        <w:tab/>
      </w:r>
      <w:r>
        <w:rPr>
          <w:rFonts w:ascii="Arial" w:hAnsi="Arial" w:cs="Arial"/>
          <w:b/>
          <w:bCs/>
          <w:sz w:val="28"/>
          <w:szCs w:val="28"/>
          <w:lang w:val="en-US"/>
        </w:rPr>
        <w:t>14,114</w:t>
      </w:r>
    </w:p>
    <w:p>
      <w:pPr>
        <w:spacing w:line="360" w:lineRule="auto"/>
        <w:jc w:val="right"/>
        <w:rPr>
          <w:rFonts w:ascii="Arial" w:hAnsi="Arial" w:cs="Arial"/>
          <w:b/>
          <w:bCs/>
          <w:sz w:val="28"/>
          <w:szCs w:val="28"/>
          <w:lang w:val="en-US"/>
        </w:rPr>
      </w:pPr>
    </w:p>
    <w:p>
      <w:pPr>
        <w:spacing w:line="360" w:lineRule="auto"/>
        <w:jc w:val="right"/>
        <w:rPr>
          <w:rFonts w:ascii="Arial" w:hAnsi="Arial" w:cs="Arial"/>
          <w:b/>
          <w:bCs/>
          <w:sz w:val="28"/>
          <w:szCs w:val="28"/>
          <w:lang w:val="en-US"/>
        </w:rPr>
      </w:pPr>
    </w:p>
    <w:p>
      <w:pPr>
        <w:spacing w:line="360" w:lineRule="auto"/>
        <w:jc w:val="right"/>
        <w:rPr>
          <w:i/>
          <w:sz w:val="40"/>
          <w:szCs w:val="40"/>
        </w:rPr>
      </w:pPr>
      <w:r>
        <w:rPr>
          <w:rFonts w:hint="eastAsia"/>
          <w:i/>
          <w:sz w:val="40"/>
          <w:szCs w:val="40"/>
          <w:lang w:val="en-US" w:eastAsia="zh-CN"/>
        </w:rPr>
        <w:t>30</w:t>
      </w:r>
      <w:r>
        <w:rPr>
          <w:i/>
          <w:sz w:val="40"/>
          <w:szCs w:val="40"/>
        </w:rPr>
        <w:t>th November 2023</w:t>
      </w:r>
    </w:p>
    <w:p>
      <w:pPr>
        <w:spacing w:line="360" w:lineRule="auto"/>
        <w:jc w:val="right"/>
        <w:rPr>
          <w:i/>
          <w:sz w:val="40"/>
          <w:szCs w:val="40"/>
        </w:rPr>
      </w:pPr>
      <w:r>
        <w:rPr>
          <w:i/>
          <w:sz w:val="40"/>
          <w:szCs w:val="40"/>
        </w:rPr>
        <w:t xml:space="preserve">Yr Athrofa: Education and Humanities </w:t>
      </w:r>
    </w:p>
    <w:p>
      <w:pPr>
        <w:spacing w:line="360" w:lineRule="auto"/>
        <w:jc w:val="right"/>
        <w:rPr>
          <w:rFonts w:ascii="Arial" w:hAnsi="Arial" w:cs="Arial"/>
          <w:b/>
          <w:bCs/>
          <w:sz w:val="28"/>
          <w:szCs w:val="28"/>
          <w:lang w:val="en-US"/>
        </w:rPr>
      </w:pPr>
      <w:r>
        <w:rPr>
          <w:rFonts w:ascii="Arial" w:hAnsi="Arial" w:cs="Arial"/>
          <w:b/>
          <w:bCs/>
          <w:sz w:val="28"/>
          <w:szCs w:val="28"/>
          <w:lang w:val="en-US"/>
        </w:rPr>
        <w:t xml:space="preserve"> </w:t>
      </w:r>
    </w:p>
    <w:p>
      <w:pPr>
        <w:rPr>
          <w:rFonts w:ascii="Arial" w:hAnsi="Arial" w:cs="Arial"/>
          <w:b/>
          <w:bCs/>
          <w:sz w:val="28"/>
          <w:szCs w:val="28"/>
          <w:lang w:val="en-US"/>
        </w:rPr>
      </w:pPr>
      <w:r>
        <w:rPr>
          <w:rFonts w:ascii="Arial" w:hAnsi="Arial" w:cs="Arial"/>
          <w:b/>
          <w:bCs/>
          <w:sz w:val="28"/>
          <w:szCs w:val="28"/>
          <w:lang w:val="en-US"/>
        </w:rPr>
        <w:br w:type="page"/>
      </w:r>
    </w:p>
    <w:p>
      <w:pPr>
        <w:rPr>
          <w:rFonts w:ascii="Arial" w:hAnsi="Arial" w:cs="Arial"/>
          <w:b/>
          <w:bCs/>
          <w:sz w:val="28"/>
          <w:szCs w:val="28"/>
          <w:lang w:val="en-US"/>
        </w:rPr>
      </w:pPr>
    </w:p>
    <w:p>
      <w:pPr>
        <w:ind w:left="720"/>
        <w:rPr>
          <w:b/>
        </w:rPr>
      </w:pPr>
      <w:bookmarkStart w:id="0" w:name="_Toc147660143"/>
      <w:bookmarkStart w:id="1" w:name="_Toc134793948"/>
    </w:p>
    <w:p>
      <w:pPr>
        <w:spacing w:line="480" w:lineRule="auto"/>
        <w:outlineLvl w:val="0"/>
        <w:rPr>
          <w:b/>
        </w:rPr>
      </w:pPr>
      <w:bookmarkStart w:id="2" w:name="_Toc45110155"/>
      <w:bookmarkStart w:id="3" w:name="_Toc9191"/>
      <w:r>
        <w:rPr>
          <w:b/>
        </w:rPr>
        <w:t>DECLARATION FORM</w:t>
      </w:r>
      <w:bookmarkEnd w:id="2"/>
      <w:bookmarkEnd w:id="3"/>
    </w:p>
    <w:p>
      <w:r>
        <w:drawing>
          <wp:inline distT="0" distB="0" distL="0" distR="0">
            <wp:extent cx="2855595" cy="1184275"/>
            <wp:effectExtent l="0" t="0" r="0" b="0"/>
            <wp:docPr id="1" name="Picture 2"/>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55595" cy="1184275"/>
                    </a:xfrm>
                    <a:prstGeom prst="rect">
                      <a:avLst/>
                    </a:prstGeom>
                    <a:noFill/>
                    <a:ln>
                      <a:noFill/>
                    </a:ln>
                  </pic:spPr>
                </pic:pic>
              </a:graphicData>
            </a:graphic>
          </wp:inline>
        </w:drawing>
      </w:r>
    </w:p>
    <w:p>
      <w:pPr>
        <w:jc w:val="center"/>
      </w:pPr>
    </w:p>
    <w:p>
      <w:pPr>
        <w:jc w:val="center"/>
      </w:pPr>
    </w:p>
    <w:p>
      <w:pPr>
        <w:rPr>
          <w:b/>
          <w:bCs/>
        </w:rPr>
      </w:pPr>
    </w:p>
    <w:p>
      <w:pPr>
        <w:rPr>
          <w:b/>
          <w:bCs/>
        </w:rPr>
      </w:pPr>
    </w:p>
    <w:p>
      <w:pPr>
        <w:rPr>
          <w:b/>
          <w:bCs/>
        </w:rPr>
      </w:pPr>
    </w:p>
    <w:p>
      <w:pPr>
        <w:rPr>
          <w:b/>
          <w:bCs/>
        </w:rPr>
      </w:pPr>
      <w:r>
        <w:rPr>
          <w:b/>
          <w:bCs/>
        </w:rPr>
        <w:t>Name of the Programme of Study: MA(Ed)</w:t>
      </w:r>
    </w:p>
    <w:p>
      <w:pPr>
        <w:rPr>
          <w:b/>
          <w:bCs/>
        </w:rPr>
      </w:pPr>
    </w:p>
    <w:p>
      <w:pPr>
        <w:rPr>
          <w:b/>
          <w:bCs/>
        </w:rPr>
      </w:pPr>
      <w:r>
        <w:rPr>
          <w:b/>
          <w:bCs/>
        </w:rPr>
        <w:t>Name of Student (Capital Letters): YING LI</w:t>
      </w:r>
    </w:p>
    <w:p>
      <w:pPr>
        <w:rPr>
          <w:b/>
          <w:bCs/>
        </w:rPr>
      </w:pPr>
    </w:p>
    <w:p>
      <w:pPr>
        <w:rPr>
          <w:b/>
          <w:bCs/>
        </w:rPr>
      </w:pPr>
    </w:p>
    <w:p>
      <w:pPr>
        <w:rPr>
          <w:b/>
          <w:bCs/>
        </w:rPr>
      </w:pPr>
    </w:p>
    <w:p>
      <w:pPr>
        <w:rPr>
          <w:b/>
          <w:bCs/>
        </w:rPr>
      </w:pPr>
      <w:r>
        <w:rPr>
          <w:b/>
          <w:bCs/>
        </w:rPr>
        <w:t>DECLARATION</w:t>
      </w:r>
    </w:p>
    <w:p>
      <w:pPr>
        <w:rPr>
          <w:b/>
          <w:bCs/>
        </w:rPr>
      </w:pPr>
    </w:p>
    <w:p>
      <w:pPr>
        <w:rPr>
          <w:b/>
          <w:bCs/>
        </w:rPr>
      </w:pPr>
      <w:r>
        <w:rPr>
          <w:b/>
          <w:bCs/>
        </w:rPr>
        <w:t>I certify that the whole of this work is the result of my individual effort, and that all sources have been acknowledged.</w:t>
      </w:r>
    </w:p>
    <w:p>
      <w:pPr>
        <w:rPr>
          <w:b/>
          <w:bCs/>
        </w:rPr>
      </w:pPr>
    </w:p>
    <w:p>
      <w:pPr>
        <w:rPr>
          <w:b/>
          <w:bCs/>
        </w:rPr>
      </w:pPr>
      <w:r>
        <w:rPr>
          <w:b/>
          <w:bCs/>
        </w:rPr>
        <w:t>Signed ....................</w:t>
      </w:r>
      <w:r>
        <w:rPr>
          <w:rFonts w:ascii="Arial" w:hAnsi="Arial" w:cs="Arial"/>
          <w:sz w:val="22"/>
          <w:szCs w:val="22"/>
          <w:lang w:val="en-US" w:eastAsia="zh-CN"/>
        </w:rPr>
        <w:drawing>
          <wp:inline distT="0" distB="0" distL="114300" distR="114300">
            <wp:extent cx="1363345" cy="574675"/>
            <wp:effectExtent l="0" t="0" r="0" b="0"/>
            <wp:docPr id="2" name="图片 2" descr="微信图片_2023051221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0512211132"/>
                    <pic:cNvPicPr>
                      <a:picLocks noChangeAspect="1"/>
                    </pic:cNvPicPr>
                  </pic:nvPicPr>
                  <pic:blipFill>
                    <a:blip r:embed="rId7"/>
                    <a:srcRect r="2675" b="9771"/>
                    <a:stretch>
                      <a:fillRect/>
                    </a:stretch>
                  </pic:blipFill>
                  <pic:spPr>
                    <a:xfrm>
                      <a:off x="0" y="0"/>
                      <a:ext cx="1363345" cy="574675"/>
                    </a:xfrm>
                    <a:prstGeom prst="rect">
                      <a:avLst/>
                    </a:prstGeom>
                  </pic:spPr>
                </pic:pic>
              </a:graphicData>
            </a:graphic>
          </wp:inline>
        </w:drawing>
      </w:r>
      <w:r>
        <w:rPr>
          <w:b/>
          <w:bCs/>
        </w:rPr>
        <w:t>................... (Student)</w:t>
      </w:r>
    </w:p>
    <w:p>
      <w:pPr>
        <w:rPr>
          <w:b/>
          <w:bCs/>
        </w:rPr>
      </w:pPr>
    </w:p>
    <w:p>
      <w:pPr>
        <w:rPr>
          <w:b/>
          <w:bCs/>
        </w:rPr>
      </w:pPr>
      <w:r>
        <w:rPr>
          <w:b/>
          <w:bCs/>
        </w:rPr>
        <w:t>Date     ...............</w:t>
      </w:r>
      <w:r>
        <w:rPr>
          <w:rFonts w:hint="eastAsia"/>
          <w:b/>
          <w:bCs/>
          <w:lang w:val="en-US" w:eastAsia="zh-CN"/>
        </w:rPr>
        <w:t>.....30</w:t>
      </w:r>
      <w:r>
        <w:rPr>
          <w:rFonts w:hint="eastAsia"/>
          <w:b/>
          <w:bCs/>
          <w:vertAlign w:val="superscript"/>
          <w:lang w:val="en-US" w:eastAsia="zh-CN"/>
        </w:rPr>
        <w:t>th</w:t>
      </w:r>
      <w:r>
        <w:rPr>
          <w:b/>
          <w:bCs/>
        </w:rPr>
        <w:t>..</w:t>
      </w:r>
      <w:r>
        <w:rPr>
          <w:rFonts w:hint="eastAsia"/>
          <w:b/>
          <w:bCs/>
          <w:lang w:val="en-US" w:eastAsia="zh-CN"/>
        </w:rPr>
        <w:t>November</w:t>
      </w:r>
      <w:r>
        <w:rPr>
          <w:b/>
          <w:bCs/>
        </w:rPr>
        <w:t>..</w:t>
      </w:r>
      <w:r>
        <w:rPr>
          <w:rFonts w:hint="eastAsia"/>
          <w:b/>
          <w:bCs/>
          <w:lang w:val="en-US" w:eastAsia="zh-CN"/>
        </w:rPr>
        <w:t>2023</w:t>
      </w:r>
      <w:r>
        <w:rPr>
          <w:b/>
          <w:bCs/>
        </w:rPr>
        <w:t>.......................................</w:t>
      </w:r>
    </w:p>
    <w:p>
      <w:pPr>
        <w:rPr>
          <w:b/>
          <w:bCs/>
        </w:rPr>
      </w:pPr>
    </w:p>
    <w:p>
      <w:pPr>
        <w:rPr>
          <w:b/>
          <w:bCs/>
        </w:rPr>
      </w:pPr>
    </w:p>
    <w:p>
      <w:pPr>
        <w:rPr>
          <w:b/>
          <w:bCs/>
        </w:rPr>
      </w:pPr>
    </w:p>
    <w:p>
      <w:pPr>
        <w:rPr>
          <w:b/>
          <w:bCs/>
        </w:rPr>
      </w:pPr>
    </w:p>
    <w:p>
      <w:pPr>
        <w:rPr>
          <w:b/>
          <w:bCs/>
        </w:rPr>
      </w:pPr>
      <w:r>
        <w:rPr>
          <w:b/>
          <w:bCs/>
        </w:rPr>
        <w:t>DECLARATION</w:t>
      </w:r>
    </w:p>
    <w:p>
      <w:pPr>
        <w:rPr>
          <w:b/>
          <w:bCs/>
        </w:rPr>
      </w:pPr>
    </w:p>
    <w:p>
      <w:pPr>
        <w:rPr>
          <w:b/>
          <w:bCs/>
        </w:rPr>
      </w:pPr>
      <w:r>
        <w:rPr>
          <w:b/>
          <w:bCs/>
        </w:rPr>
        <w:t>I am satisfied that this work is the result of the Student’s effort.</w:t>
      </w:r>
    </w:p>
    <w:p>
      <w:pPr>
        <w:rPr>
          <w:b/>
          <w:bCs/>
        </w:rPr>
      </w:pPr>
    </w:p>
    <w:p>
      <w:pPr>
        <w:rPr>
          <w:b/>
          <w:bCs/>
        </w:rPr>
      </w:pPr>
      <w:r>
        <w:rPr>
          <w:b/>
          <w:bCs/>
        </w:rPr>
        <w:t>Signed .............................................................. (Lecturer)</w:t>
      </w:r>
    </w:p>
    <w:p>
      <w:pPr>
        <w:rPr>
          <w:b/>
          <w:bCs/>
        </w:rPr>
      </w:pPr>
    </w:p>
    <w:p>
      <w:pPr>
        <w:rPr>
          <w:b/>
          <w:bCs/>
        </w:rPr>
      </w:pPr>
      <w:r>
        <w:rPr>
          <w:b/>
          <w:bCs/>
        </w:rPr>
        <w:t>Date     ..............................................................</w:t>
      </w:r>
    </w:p>
    <w:p>
      <w:pPr>
        <w:rPr>
          <w:b/>
          <w:bCs/>
        </w:rPr>
      </w:pPr>
    </w:p>
    <w:p>
      <w:pPr>
        <w:rPr>
          <w:b/>
          <w:bCs/>
        </w:rPr>
      </w:pPr>
    </w:p>
    <w:p>
      <w:pPr>
        <w:rPr>
          <w:b/>
          <w:bCs/>
        </w:rPr>
      </w:pPr>
    </w:p>
    <w:p>
      <w:pPr>
        <w:rPr>
          <w:rFonts w:ascii="Times New Roman" w:hAnsi="Times New Roman" w:cs="Times New Roman"/>
          <w:b/>
          <w:bCs/>
          <w:sz w:val="28"/>
          <w:szCs w:val="28"/>
        </w:rPr>
      </w:pPr>
    </w:p>
    <w:p>
      <w:pPr>
        <w:rPr>
          <w:rFonts w:hint="eastAsia" w:ascii="Times New Roman" w:hAnsi="Times New Roman" w:cs="Times New Roman" w:eastAsiaTheme="minorEastAsia"/>
          <w:b/>
          <w:bCs/>
          <w:sz w:val="24"/>
          <w:szCs w:val="24"/>
          <w:lang w:val="en-US" w:eastAsia="zh-CN"/>
        </w:rPr>
      </w:pPr>
      <w:r>
        <w:rPr>
          <w:rFonts w:ascii="Times New Roman" w:hAnsi="Times New Roman" w:cs="Times New Roman"/>
          <w:b/>
          <w:bCs/>
          <w:sz w:val="24"/>
          <w:szCs w:val="24"/>
        </w:rPr>
        <w:br w:type="page"/>
      </w:r>
    </w:p>
    <w:p>
      <w:pPr>
        <w:jc w:val="center"/>
        <w:rPr>
          <w:rFonts w:ascii="Times New Roman" w:hAnsi="Times New Roman" w:cs="Times New Roman"/>
          <w:b/>
          <w:bCs/>
          <w:sz w:val="24"/>
          <w:szCs w:val="24"/>
        </w:rPr>
      </w:pPr>
      <w:r>
        <w:rPr>
          <w:rFonts w:ascii="Times New Roman" w:hAnsi="Times New Roman" w:cs="Times New Roman"/>
          <w:b/>
          <w:bCs/>
          <w:sz w:val="24"/>
          <w:szCs w:val="24"/>
        </w:rPr>
        <w:t>Acknowledgements</w:t>
      </w:r>
    </w:p>
    <w:p>
      <w:pPr>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First and foremost, I would like to extend my deepest gratitude to my supervisors, for their unwavering guidance, patience, and expertise throughout the course of this research. Their feedback and insights were invaluable in shaping the direction and depth of this study.</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I am also indebted to the entire faculty of Education School, University of Wales, for creating an academic environment conducive to exploration and growth. My fellow postgraduate students deserve a special mention for their camaraderie </w:t>
      </w:r>
      <w:r>
        <w:rPr>
          <w:rFonts w:hint="eastAsia" w:ascii="Times New Roman" w:hAnsi="Times New Roman" w:cs="Times New Roman"/>
        </w:rPr>
        <w:t>and</w:t>
      </w:r>
      <w:r>
        <w:rPr>
          <w:rFonts w:ascii="Times New Roman" w:hAnsi="Times New Roman" w:cs="Times New Roman"/>
        </w:rPr>
        <w:t xml:space="preserve"> critical insights that provided both intellectual stimulation and much-needed respite.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 am eternally grateful to my family for their unwavering support and belief in my capabilities, even in moments of self-doubt. To my friends who have been a constant source of encouragement, laughter, and perspective, I owe more than words can express.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Thank you all for being a part of this incredible journey.</w:t>
      </w:r>
    </w:p>
    <w:p>
      <w:pPr>
        <w:rPr>
          <w:rFonts w:ascii="Times New Roman" w:hAnsi="Times New Roman" w:cs="Times New Roman"/>
        </w:rPr>
      </w:pPr>
      <w:r>
        <w:rPr>
          <w:rFonts w:ascii="Times New Roman" w:hAnsi="Times New Roman" w:cs="Times New Roman"/>
        </w:rPr>
        <w:br w:type="page"/>
      </w:r>
    </w:p>
    <w:p>
      <w:pPr>
        <w:pStyle w:val="2"/>
        <w:spacing w:before="240" w:after="240"/>
        <w:jc w:val="center"/>
      </w:pPr>
      <w:bookmarkStart w:id="4" w:name="_Toc45110158"/>
      <w:bookmarkStart w:id="5" w:name="_Toc7194"/>
      <w:r>
        <w:t>ABSTRACT</w:t>
      </w:r>
      <w:bookmarkEnd w:id="4"/>
      <w:bookmarkEnd w:id="5"/>
    </w:p>
    <w:p>
      <w:pPr>
        <w:spacing w:line="480" w:lineRule="auto"/>
        <w:rPr>
          <w:rFonts w:ascii="Times New Roman" w:hAnsi="Times New Roman" w:cs="Times New Roman"/>
        </w:rPr>
      </w:pPr>
      <w:r>
        <w:rPr>
          <w:rFonts w:ascii="Times New Roman" w:hAnsi="Times New Roman" w:cs="Times New Roman"/>
        </w:rPr>
        <w:t>This dissertation investigates the motivations and expectations of healthcare professionals participating in continuing education programs, with a particular focus on programs offered by private training companies. Despite the recognized importance of continuing professional development (CPD) in the healthcare sector, there exists a notable gap in understanding the specific motivations and expectations of healthcare professionals in this context. This study aims to bridge this gap by providing an in-depth exploration of these elements, offering valuable insights for the development of tailored continuing education programs that enhance professional competence and satisfaction.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Employing a qualitative research methodology, the study adopts a constructivist epistemological stance, recognizing the constructed nature of knowledge through human experiences and interactions. The research engages with healthcare professionals through in-depth semi-structured interviews, employing purposive sampling to focus on doctors and nurses with direct experience or interest in continuing education programs offered by private training companies. The thematic analysis of the interview data reveals multifaceted motivations for participation, including professional advancement, mandatory requirements, peer influence, personal enrichment, and the need to keep abreast of market trends and demands.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The study further delves into the expectations of healthcare professionals regarding the content, delivery, and outcomes of these programs. Participants express a strong preference for content that is relevant, deep, and reflective of the latest advancements in healthcare. They also emphasize the importance of interactive and engaging delivery methods, as well as flexibility in learning to accommodate their professional schedules. The findings highlight the critical role of private training companies in meeting these expectations through customized and personalized courses, technological integration, quality trainers, continuous feedback mechanisms, and collaborative learning environments.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The dissertation discusses the implications of these findings for practice and policy in the healthcare education sector. It suggests a shift towards more adaptive, learner-centric educational models and highlights the need for training providers to align their offerings with the current needs and preferences of healthcare professionals. The study also identifies potential areas for further research, including the exploration of demographic influences on motivations and expectations, the efficacy of online versus traditional learning modes, and the long-term impact of these programs on professional trajectories and healthcare practices.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summary, this research provides a comprehensive understanding of the factors influencing healthcare professionals' decisions to engage with private training companies for continuing education and their expectations from these programs. It offers a nuanced perspective on the evolving dynamics of continuous learning in the healthcare sector, with significant implications for educational methodologies, policy decisions, and future research directions.</w:t>
      </w:r>
    </w:p>
    <w:p>
      <w:pPr>
        <w:spacing w:line="480" w:lineRule="auto"/>
        <w:rPr>
          <w:rFonts w:ascii="Times New Roman" w:hAnsi="Times New Roman" w:cs="Times New Roman"/>
        </w:rPr>
      </w:pPr>
    </w:p>
    <w:p>
      <w:pPr>
        <w:spacing w:line="480" w:lineRule="auto"/>
        <w:jc w:val="center"/>
        <w:rPr>
          <w:rFonts w:ascii="Times New Roman" w:hAnsi="Times New Roman" w:cs="Times New Roman"/>
          <w:b/>
        </w:rPr>
      </w:pPr>
    </w:p>
    <w:p>
      <w:pPr>
        <w:spacing w:line="480" w:lineRule="auto"/>
        <w:rPr>
          <w:rFonts w:ascii="Times New Roman" w:hAnsi="Times New Roman" w:cs="Times New Roman"/>
          <w:b/>
        </w:rPr>
      </w:pPr>
    </w:p>
    <w:p>
      <w:pPr>
        <w:spacing w:line="480" w:lineRule="auto"/>
        <w:rPr>
          <w:rFonts w:ascii="Times New Roman" w:hAnsi="Times New Roman" w:cs="Times New Roman"/>
        </w:rPr>
      </w:pPr>
    </w:p>
    <w:p>
      <w:pPr>
        <w:rPr>
          <w:rFonts w:ascii="Times New Roman" w:hAnsi="Times New Roman" w:cs="Times New Roman"/>
        </w:rPr>
      </w:pPr>
    </w:p>
    <w:p>
      <w:r>
        <w:br w:type="page"/>
      </w:r>
    </w:p>
    <w:sdt>
      <w:sdtPr>
        <w:rPr>
          <w:rFonts w:asciiTheme="minorHAnsi" w:hAnsiTheme="minorHAnsi" w:eastAsiaTheme="minorEastAsia" w:cstheme="minorBidi"/>
          <w:b w:val="0"/>
          <w:bCs w:val="0"/>
          <w:color w:val="auto"/>
          <w:sz w:val="24"/>
          <w:szCs w:val="24"/>
          <w:lang w:val="en-GB" w:eastAsia="zh-CN"/>
        </w:rPr>
        <w:id w:val="208921274"/>
        <w:docPartObj>
          <w:docPartGallery w:val="Table of Contents"/>
          <w:docPartUnique/>
        </w:docPartObj>
      </w:sdtPr>
      <w:sdtEndPr>
        <w:rPr>
          <w:rFonts w:asciiTheme="minorHAnsi" w:hAnsiTheme="minorHAnsi" w:eastAsiaTheme="minorEastAsia" w:cstheme="minorBidi"/>
          <w:b w:val="0"/>
          <w:bCs w:val="0"/>
          <w:color w:val="auto"/>
          <w:sz w:val="24"/>
          <w:szCs w:val="24"/>
          <w:lang w:val="en-GB" w:eastAsia="zh-CN"/>
        </w:rPr>
      </w:sdtEndPr>
      <w:sdtContent>
        <w:p>
          <w:pPr>
            <w:pStyle w:val="31"/>
          </w:pPr>
          <w:r>
            <w:t>Table of Contents</w:t>
          </w:r>
        </w:p>
        <w:p>
          <w:pPr>
            <w:pStyle w:val="11"/>
            <w:tabs>
              <w:tab w:val="right" w:leader="dot" w:pos="9026"/>
            </w:tabs>
          </w:pPr>
          <w:r>
            <w:rPr>
              <w:b w:val="0"/>
              <w:bCs w:val="0"/>
            </w:rPr>
            <w:fldChar w:fldCharType="begin"/>
          </w:r>
          <w:r>
            <w:instrText xml:space="preserve"> TOC \o "1-3" \h \z \u </w:instrText>
          </w:r>
          <w:r>
            <w:rPr>
              <w:b w:val="0"/>
              <w:bCs w:val="0"/>
            </w:rPr>
            <w:fldChar w:fldCharType="separate"/>
          </w:r>
          <w:r>
            <w:rPr>
              <w:bCs w:val="0"/>
            </w:rPr>
            <w:fldChar w:fldCharType="begin"/>
          </w:r>
          <w:r>
            <w:rPr>
              <w:bCs w:val="0"/>
            </w:rPr>
            <w:instrText xml:space="preserve"> HYPERLINK \l _Toc9191 </w:instrText>
          </w:r>
          <w:r>
            <w:rPr>
              <w:bCs w:val="0"/>
            </w:rPr>
            <w:fldChar w:fldCharType="separate"/>
          </w:r>
          <w:r>
            <w:t>DECLARATION FORM</w:t>
          </w:r>
          <w:r>
            <w:tab/>
          </w:r>
          <w:r>
            <w:fldChar w:fldCharType="begin"/>
          </w:r>
          <w:r>
            <w:instrText xml:space="preserve"> PAGEREF _Toc9191 \h </w:instrText>
          </w:r>
          <w:r>
            <w:fldChar w:fldCharType="separate"/>
          </w:r>
          <w:r>
            <w:t>2</w:t>
          </w:r>
          <w:r>
            <w:fldChar w:fldCharType="end"/>
          </w:r>
          <w:r>
            <w:rPr>
              <w:bCs w:val="0"/>
            </w:rPr>
            <w:fldChar w:fldCharType="end"/>
          </w:r>
        </w:p>
        <w:p>
          <w:pPr>
            <w:pStyle w:val="11"/>
            <w:tabs>
              <w:tab w:val="right" w:leader="dot" w:pos="9026"/>
            </w:tabs>
          </w:pPr>
          <w:r>
            <w:rPr>
              <w:bCs/>
            </w:rPr>
            <w:fldChar w:fldCharType="begin"/>
          </w:r>
          <w:r>
            <w:rPr>
              <w:bCs/>
            </w:rPr>
            <w:instrText xml:space="preserve"> HYPERLINK \l _Toc7194 </w:instrText>
          </w:r>
          <w:r>
            <w:rPr>
              <w:bCs/>
            </w:rPr>
            <w:fldChar w:fldCharType="separate"/>
          </w:r>
          <w:r>
            <w:t>ABSTRACT</w:t>
          </w:r>
          <w:r>
            <w:tab/>
          </w:r>
          <w:r>
            <w:fldChar w:fldCharType="begin"/>
          </w:r>
          <w:r>
            <w:instrText xml:space="preserve"> PAGEREF _Toc7194 \h </w:instrText>
          </w:r>
          <w:r>
            <w:fldChar w:fldCharType="separate"/>
          </w:r>
          <w:r>
            <w:t>4</w:t>
          </w:r>
          <w:r>
            <w:fldChar w:fldCharType="end"/>
          </w:r>
          <w:r>
            <w:rPr>
              <w:bCs/>
            </w:rPr>
            <w:fldChar w:fldCharType="end"/>
          </w:r>
        </w:p>
        <w:p>
          <w:pPr>
            <w:pStyle w:val="11"/>
            <w:tabs>
              <w:tab w:val="right" w:leader="dot" w:pos="9026"/>
            </w:tabs>
          </w:pPr>
          <w:r>
            <w:rPr>
              <w:bCs/>
            </w:rPr>
            <w:fldChar w:fldCharType="begin"/>
          </w:r>
          <w:r>
            <w:rPr>
              <w:bCs/>
            </w:rPr>
            <w:instrText xml:space="preserve"> HYPERLINK \l _Toc26060 </w:instrText>
          </w:r>
          <w:r>
            <w:rPr>
              <w:bCs/>
            </w:rPr>
            <w:fldChar w:fldCharType="separate"/>
          </w:r>
          <w:r>
            <w:t>Chapter 1</w:t>
          </w:r>
          <w:r>
            <w:rPr>
              <w:rFonts w:hint="eastAsia" w:eastAsia="宋体"/>
              <w:lang w:val="en-US" w:eastAsia="zh-CN"/>
            </w:rPr>
            <w:t xml:space="preserve">        </w:t>
          </w:r>
          <w:r>
            <w:t>Introduction</w:t>
          </w:r>
          <w:r>
            <w:tab/>
          </w:r>
          <w:r>
            <w:fldChar w:fldCharType="begin"/>
          </w:r>
          <w:r>
            <w:instrText xml:space="preserve"> PAGEREF _Toc26060 \h </w:instrText>
          </w:r>
          <w:r>
            <w:fldChar w:fldCharType="separate"/>
          </w:r>
          <w:r>
            <w:t>9</w:t>
          </w:r>
          <w:r>
            <w:fldChar w:fldCharType="end"/>
          </w:r>
          <w:r>
            <w:rPr>
              <w:bCs/>
            </w:rPr>
            <w:fldChar w:fldCharType="end"/>
          </w:r>
        </w:p>
        <w:p>
          <w:pPr>
            <w:pStyle w:val="14"/>
            <w:tabs>
              <w:tab w:val="right" w:leader="dot" w:pos="9026"/>
            </w:tabs>
          </w:pPr>
          <w:r>
            <w:rPr>
              <w:bCs/>
            </w:rPr>
            <w:fldChar w:fldCharType="begin"/>
          </w:r>
          <w:r>
            <w:rPr>
              <w:bCs/>
            </w:rPr>
            <w:instrText xml:space="preserve"> HYPERLINK \l _Toc4614 </w:instrText>
          </w:r>
          <w:r>
            <w:rPr>
              <w:bCs/>
            </w:rPr>
            <w:fldChar w:fldCharType="separate"/>
          </w:r>
          <w:r>
            <w:t>1.1</w:t>
          </w:r>
          <w:r>
            <w:rPr>
              <w:rFonts w:hint="eastAsia"/>
              <w:lang w:val="en-US" w:eastAsia="zh-CN"/>
            </w:rPr>
            <w:t xml:space="preserve">  </w:t>
          </w:r>
          <w:r>
            <w:t>Background and Context</w:t>
          </w:r>
          <w:r>
            <w:tab/>
          </w:r>
          <w:r>
            <w:fldChar w:fldCharType="begin"/>
          </w:r>
          <w:r>
            <w:instrText xml:space="preserve"> PAGEREF _Toc4614 \h </w:instrText>
          </w:r>
          <w:r>
            <w:fldChar w:fldCharType="separate"/>
          </w:r>
          <w:r>
            <w:t>9</w:t>
          </w:r>
          <w:r>
            <w:fldChar w:fldCharType="end"/>
          </w:r>
          <w:r>
            <w:rPr>
              <w:bCs/>
            </w:rPr>
            <w:fldChar w:fldCharType="end"/>
          </w:r>
        </w:p>
        <w:p>
          <w:pPr>
            <w:pStyle w:val="7"/>
            <w:tabs>
              <w:tab w:val="right" w:leader="dot" w:pos="9026"/>
            </w:tabs>
          </w:pPr>
          <w:r>
            <w:rPr>
              <w:bCs/>
            </w:rPr>
            <w:fldChar w:fldCharType="begin"/>
          </w:r>
          <w:r>
            <w:rPr>
              <w:bCs/>
            </w:rPr>
            <w:instrText xml:space="preserve"> HYPERLINK \l _Toc20694 </w:instrText>
          </w:r>
          <w:r>
            <w:rPr>
              <w:bCs/>
            </w:rPr>
            <w:fldChar w:fldCharType="separate"/>
          </w:r>
          <w:r>
            <w:rPr>
              <w:lang w:val="en-US"/>
            </w:rPr>
            <w:t>1.1.1</w:t>
          </w:r>
          <w:r>
            <w:rPr>
              <w:rFonts w:hint="eastAsia"/>
              <w:lang w:val="en-US" w:eastAsia="zh-CN"/>
            </w:rPr>
            <w:t xml:space="preserve">   </w:t>
          </w:r>
          <w:r>
            <w:rPr>
              <w:lang w:val="en-US"/>
            </w:rPr>
            <w:t>The Historical Evolution of Continuing Healthcare Education</w:t>
          </w:r>
          <w:r>
            <w:tab/>
          </w:r>
          <w:r>
            <w:fldChar w:fldCharType="begin"/>
          </w:r>
          <w:r>
            <w:instrText xml:space="preserve"> PAGEREF _Toc20694 \h </w:instrText>
          </w:r>
          <w:r>
            <w:fldChar w:fldCharType="separate"/>
          </w:r>
          <w:r>
            <w:t>9</w:t>
          </w:r>
          <w:r>
            <w:fldChar w:fldCharType="end"/>
          </w:r>
          <w:r>
            <w:rPr>
              <w:bCs/>
            </w:rPr>
            <w:fldChar w:fldCharType="end"/>
          </w:r>
        </w:p>
        <w:p>
          <w:pPr>
            <w:pStyle w:val="7"/>
            <w:tabs>
              <w:tab w:val="right" w:leader="dot" w:pos="9026"/>
            </w:tabs>
          </w:pPr>
          <w:r>
            <w:rPr>
              <w:bCs/>
            </w:rPr>
            <w:fldChar w:fldCharType="begin"/>
          </w:r>
          <w:r>
            <w:rPr>
              <w:bCs/>
            </w:rPr>
            <w:instrText xml:space="preserve"> HYPERLINK \l _Toc27551 </w:instrText>
          </w:r>
          <w:r>
            <w:rPr>
              <w:bCs/>
            </w:rPr>
            <w:fldChar w:fldCharType="separate"/>
          </w:r>
          <w:r>
            <w:t>1.1.2</w:t>
          </w:r>
          <w:r>
            <w:rPr>
              <w:rFonts w:hint="eastAsia"/>
              <w:lang w:val="en-US" w:eastAsia="zh-CN"/>
            </w:rPr>
            <w:t xml:space="preserve">   </w:t>
          </w:r>
          <w:r>
            <w:t>Introduction to the Healthcare Landscape in China</w:t>
          </w:r>
          <w:r>
            <w:tab/>
          </w:r>
          <w:r>
            <w:fldChar w:fldCharType="begin"/>
          </w:r>
          <w:r>
            <w:instrText xml:space="preserve"> PAGEREF _Toc27551 \h </w:instrText>
          </w:r>
          <w:r>
            <w:fldChar w:fldCharType="separate"/>
          </w:r>
          <w:r>
            <w:t>10</w:t>
          </w:r>
          <w:r>
            <w:fldChar w:fldCharType="end"/>
          </w:r>
          <w:r>
            <w:rPr>
              <w:bCs/>
            </w:rPr>
            <w:fldChar w:fldCharType="end"/>
          </w:r>
        </w:p>
        <w:p>
          <w:pPr>
            <w:pStyle w:val="7"/>
            <w:tabs>
              <w:tab w:val="right" w:leader="dot" w:pos="9026"/>
            </w:tabs>
          </w:pPr>
          <w:r>
            <w:rPr>
              <w:bCs/>
            </w:rPr>
            <w:fldChar w:fldCharType="begin"/>
          </w:r>
          <w:r>
            <w:rPr>
              <w:bCs/>
            </w:rPr>
            <w:instrText xml:space="preserve"> HYPERLINK \l _Toc28805 </w:instrText>
          </w:r>
          <w:r>
            <w:rPr>
              <w:bCs/>
            </w:rPr>
            <w:fldChar w:fldCharType="separate"/>
          </w:r>
          <w:r>
            <w:t>1.1.3</w:t>
          </w:r>
          <w:r>
            <w:rPr>
              <w:rFonts w:hint="eastAsia"/>
              <w:lang w:val="en-US" w:eastAsia="zh-CN"/>
            </w:rPr>
            <w:t xml:space="preserve">   </w:t>
          </w:r>
          <w:r>
            <w:rPr>
              <w:rFonts w:hint="eastAsia"/>
            </w:rPr>
            <w:t>Di</w:t>
          </w:r>
          <w:r>
            <w:t>versity of Healthcare Professionals in China</w:t>
          </w:r>
          <w:r>
            <w:tab/>
          </w:r>
          <w:r>
            <w:fldChar w:fldCharType="begin"/>
          </w:r>
          <w:r>
            <w:instrText xml:space="preserve"> PAGEREF _Toc28805 \h </w:instrText>
          </w:r>
          <w:r>
            <w:fldChar w:fldCharType="separate"/>
          </w:r>
          <w:r>
            <w:t>11</w:t>
          </w:r>
          <w:r>
            <w:fldChar w:fldCharType="end"/>
          </w:r>
          <w:r>
            <w:rPr>
              <w:bCs/>
            </w:rPr>
            <w:fldChar w:fldCharType="end"/>
          </w:r>
        </w:p>
        <w:p>
          <w:pPr>
            <w:pStyle w:val="7"/>
            <w:tabs>
              <w:tab w:val="right" w:leader="dot" w:pos="9026"/>
            </w:tabs>
          </w:pPr>
          <w:r>
            <w:rPr>
              <w:bCs/>
            </w:rPr>
            <w:fldChar w:fldCharType="begin"/>
          </w:r>
          <w:r>
            <w:rPr>
              <w:bCs/>
            </w:rPr>
            <w:instrText xml:space="preserve"> HYPERLINK \l _Toc4414 </w:instrText>
          </w:r>
          <w:r>
            <w:rPr>
              <w:bCs/>
            </w:rPr>
            <w:fldChar w:fldCharType="separate"/>
          </w:r>
          <w:r>
            <w:t>1.1.4</w:t>
          </w:r>
          <w:r>
            <w:rPr>
              <w:rFonts w:hint="eastAsia"/>
              <w:lang w:val="en-US" w:eastAsia="zh-CN"/>
            </w:rPr>
            <w:t xml:space="preserve">   </w:t>
          </w:r>
          <w:r>
            <w:rPr>
              <w:rFonts w:hint="eastAsia"/>
            </w:rPr>
            <w:t>Con</w:t>
          </w:r>
          <w:r>
            <w:t>temporary Challenges in Chinese Healthcare</w:t>
          </w:r>
          <w:r>
            <w:tab/>
          </w:r>
          <w:r>
            <w:fldChar w:fldCharType="begin"/>
          </w:r>
          <w:r>
            <w:instrText xml:space="preserve"> PAGEREF _Toc4414 \h </w:instrText>
          </w:r>
          <w:r>
            <w:fldChar w:fldCharType="separate"/>
          </w:r>
          <w:r>
            <w:t>13</w:t>
          </w:r>
          <w:r>
            <w:fldChar w:fldCharType="end"/>
          </w:r>
          <w:r>
            <w:rPr>
              <w:bCs/>
            </w:rPr>
            <w:fldChar w:fldCharType="end"/>
          </w:r>
        </w:p>
        <w:p>
          <w:pPr>
            <w:pStyle w:val="7"/>
            <w:tabs>
              <w:tab w:val="right" w:leader="dot" w:pos="9026"/>
            </w:tabs>
          </w:pPr>
          <w:r>
            <w:rPr>
              <w:bCs/>
            </w:rPr>
            <w:fldChar w:fldCharType="begin"/>
          </w:r>
          <w:r>
            <w:rPr>
              <w:bCs/>
            </w:rPr>
            <w:instrText xml:space="preserve"> HYPERLINK \l _Toc21318 </w:instrText>
          </w:r>
          <w:r>
            <w:rPr>
              <w:bCs/>
            </w:rPr>
            <w:fldChar w:fldCharType="separate"/>
          </w:r>
          <w:r>
            <w:t>1.1.5</w:t>
          </w:r>
          <w:r>
            <w:rPr>
              <w:rFonts w:hint="eastAsia"/>
              <w:lang w:val="en-US" w:eastAsia="zh-CN"/>
            </w:rPr>
            <w:t xml:space="preserve">   </w:t>
          </w:r>
          <w:r>
            <w:t>Role of Private Training Companies in China</w:t>
          </w:r>
          <w:r>
            <w:tab/>
          </w:r>
          <w:r>
            <w:fldChar w:fldCharType="begin"/>
          </w:r>
          <w:r>
            <w:instrText xml:space="preserve"> PAGEREF _Toc21318 \h </w:instrText>
          </w:r>
          <w:r>
            <w:fldChar w:fldCharType="separate"/>
          </w:r>
          <w:r>
            <w:t>15</w:t>
          </w:r>
          <w:r>
            <w:fldChar w:fldCharType="end"/>
          </w:r>
          <w:r>
            <w:rPr>
              <w:bCs/>
            </w:rPr>
            <w:fldChar w:fldCharType="end"/>
          </w:r>
        </w:p>
        <w:p>
          <w:pPr>
            <w:pStyle w:val="7"/>
            <w:tabs>
              <w:tab w:val="right" w:leader="dot" w:pos="9026"/>
            </w:tabs>
          </w:pPr>
          <w:r>
            <w:rPr>
              <w:bCs/>
            </w:rPr>
            <w:fldChar w:fldCharType="begin"/>
          </w:r>
          <w:r>
            <w:rPr>
              <w:bCs/>
            </w:rPr>
            <w:instrText xml:space="preserve"> HYPERLINK \l _Toc18758 </w:instrText>
          </w:r>
          <w:r>
            <w:rPr>
              <w:bCs/>
            </w:rPr>
            <w:fldChar w:fldCharType="separate"/>
          </w:r>
          <w:r>
            <w:t>1.1.6</w:t>
          </w:r>
          <w:r>
            <w:rPr>
              <w:rFonts w:hint="eastAsia"/>
              <w:lang w:val="en-US" w:eastAsia="zh-CN"/>
            </w:rPr>
            <w:t xml:space="preserve">   T</w:t>
          </w:r>
          <w:r>
            <w:t>he Company Information of the Study</w:t>
          </w:r>
          <w:r>
            <w:tab/>
          </w:r>
          <w:r>
            <w:fldChar w:fldCharType="begin"/>
          </w:r>
          <w:r>
            <w:instrText xml:space="preserve"> PAGEREF _Toc18758 \h </w:instrText>
          </w:r>
          <w:r>
            <w:fldChar w:fldCharType="separate"/>
          </w:r>
          <w:r>
            <w:t>17</w:t>
          </w:r>
          <w:r>
            <w:fldChar w:fldCharType="end"/>
          </w:r>
          <w:r>
            <w:rPr>
              <w:bCs/>
            </w:rPr>
            <w:fldChar w:fldCharType="end"/>
          </w:r>
        </w:p>
        <w:p>
          <w:pPr>
            <w:pStyle w:val="14"/>
            <w:tabs>
              <w:tab w:val="right" w:leader="dot" w:pos="9026"/>
            </w:tabs>
          </w:pPr>
          <w:r>
            <w:rPr>
              <w:bCs/>
            </w:rPr>
            <w:fldChar w:fldCharType="begin"/>
          </w:r>
          <w:r>
            <w:rPr>
              <w:bCs/>
            </w:rPr>
            <w:instrText xml:space="preserve"> HYPERLINK \l _Toc30957 </w:instrText>
          </w:r>
          <w:r>
            <w:rPr>
              <w:bCs/>
            </w:rPr>
            <w:fldChar w:fldCharType="separate"/>
          </w:r>
          <w:r>
            <w:t>1.2</w:t>
          </w:r>
          <w:r>
            <w:rPr>
              <w:rFonts w:hint="eastAsia"/>
              <w:lang w:val="en-US" w:eastAsia="zh-CN"/>
            </w:rPr>
            <w:t xml:space="preserve">  </w:t>
          </w:r>
          <w:r>
            <w:t>Research Aim and Objectives</w:t>
          </w:r>
          <w:r>
            <w:tab/>
          </w:r>
          <w:r>
            <w:fldChar w:fldCharType="begin"/>
          </w:r>
          <w:r>
            <w:instrText xml:space="preserve"> PAGEREF _Toc30957 \h </w:instrText>
          </w:r>
          <w:r>
            <w:fldChar w:fldCharType="separate"/>
          </w:r>
          <w:r>
            <w:t>19</w:t>
          </w:r>
          <w:r>
            <w:fldChar w:fldCharType="end"/>
          </w:r>
          <w:r>
            <w:rPr>
              <w:bCs/>
            </w:rPr>
            <w:fldChar w:fldCharType="end"/>
          </w:r>
        </w:p>
        <w:p>
          <w:pPr>
            <w:pStyle w:val="14"/>
            <w:tabs>
              <w:tab w:val="right" w:leader="dot" w:pos="9026"/>
            </w:tabs>
          </w:pPr>
          <w:r>
            <w:rPr>
              <w:bCs/>
            </w:rPr>
            <w:fldChar w:fldCharType="begin"/>
          </w:r>
          <w:r>
            <w:rPr>
              <w:bCs/>
            </w:rPr>
            <w:instrText xml:space="preserve"> HYPERLINK \l _Toc9015 </w:instrText>
          </w:r>
          <w:r>
            <w:rPr>
              <w:bCs/>
            </w:rPr>
            <w:fldChar w:fldCharType="separate"/>
          </w:r>
          <w:r>
            <w:t>1.3</w:t>
          </w:r>
          <w:r>
            <w:rPr>
              <w:rFonts w:hint="eastAsia"/>
              <w:lang w:val="en-US" w:eastAsia="zh-CN"/>
            </w:rPr>
            <w:t xml:space="preserve">  </w:t>
          </w:r>
          <w:r>
            <w:t>Research Questions</w:t>
          </w:r>
          <w:r>
            <w:tab/>
          </w:r>
          <w:r>
            <w:fldChar w:fldCharType="begin"/>
          </w:r>
          <w:r>
            <w:instrText xml:space="preserve"> PAGEREF _Toc9015 \h </w:instrText>
          </w:r>
          <w:r>
            <w:fldChar w:fldCharType="separate"/>
          </w:r>
          <w:r>
            <w:t>20</w:t>
          </w:r>
          <w:r>
            <w:fldChar w:fldCharType="end"/>
          </w:r>
          <w:r>
            <w:rPr>
              <w:bCs/>
            </w:rPr>
            <w:fldChar w:fldCharType="end"/>
          </w:r>
        </w:p>
        <w:p>
          <w:pPr>
            <w:pStyle w:val="14"/>
            <w:tabs>
              <w:tab w:val="right" w:leader="dot" w:pos="9026"/>
            </w:tabs>
          </w:pPr>
          <w:r>
            <w:rPr>
              <w:bCs/>
            </w:rPr>
            <w:fldChar w:fldCharType="begin"/>
          </w:r>
          <w:r>
            <w:rPr>
              <w:bCs/>
            </w:rPr>
            <w:instrText xml:space="preserve"> HYPERLINK \l _Toc28171 </w:instrText>
          </w:r>
          <w:r>
            <w:rPr>
              <w:bCs/>
            </w:rPr>
            <w:fldChar w:fldCharType="separate"/>
          </w:r>
          <w:r>
            <w:t>1.4</w:t>
          </w:r>
          <w:r>
            <w:rPr>
              <w:rFonts w:hint="eastAsia"/>
              <w:lang w:val="en-US" w:eastAsia="zh-CN"/>
            </w:rPr>
            <w:t xml:space="preserve">  </w:t>
          </w:r>
          <w:r>
            <w:t>Significance of the Study</w:t>
          </w:r>
          <w:r>
            <w:tab/>
          </w:r>
          <w:r>
            <w:fldChar w:fldCharType="begin"/>
          </w:r>
          <w:r>
            <w:instrText xml:space="preserve"> PAGEREF _Toc28171 \h </w:instrText>
          </w:r>
          <w:r>
            <w:fldChar w:fldCharType="separate"/>
          </w:r>
          <w:r>
            <w:t>21</w:t>
          </w:r>
          <w:r>
            <w:fldChar w:fldCharType="end"/>
          </w:r>
          <w:r>
            <w:rPr>
              <w:bCs/>
            </w:rPr>
            <w:fldChar w:fldCharType="end"/>
          </w:r>
        </w:p>
        <w:p>
          <w:pPr>
            <w:pStyle w:val="14"/>
            <w:tabs>
              <w:tab w:val="right" w:leader="dot" w:pos="9026"/>
            </w:tabs>
          </w:pPr>
          <w:r>
            <w:rPr>
              <w:bCs/>
            </w:rPr>
            <w:fldChar w:fldCharType="begin"/>
          </w:r>
          <w:r>
            <w:rPr>
              <w:bCs/>
            </w:rPr>
            <w:instrText xml:space="preserve"> HYPERLINK \l _Toc4130 </w:instrText>
          </w:r>
          <w:r>
            <w:rPr>
              <w:bCs/>
            </w:rPr>
            <w:fldChar w:fldCharType="separate"/>
          </w:r>
          <w:r>
            <w:t>1.5</w:t>
          </w:r>
          <w:r>
            <w:rPr>
              <w:rFonts w:hint="eastAsia"/>
              <w:lang w:val="en-US" w:eastAsia="zh-CN"/>
            </w:rPr>
            <w:t xml:space="preserve">  </w:t>
          </w:r>
          <w:r>
            <w:t>Structure of the Dissertation</w:t>
          </w:r>
          <w:r>
            <w:tab/>
          </w:r>
          <w:r>
            <w:fldChar w:fldCharType="begin"/>
          </w:r>
          <w:r>
            <w:instrText xml:space="preserve"> PAGEREF _Toc4130 \h </w:instrText>
          </w:r>
          <w:r>
            <w:fldChar w:fldCharType="separate"/>
          </w:r>
          <w:r>
            <w:t>22</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_Toc17171 </w:instrText>
          </w:r>
          <w:r>
            <w:rPr>
              <w:bCs/>
            </w:rPr>
            <w:fldChar w:fldCharType="separate"/>
          </w:r>
          <w:r>
            <w:t>Chapter 2</w:t>
          </w:r>
          <w:r>
            <w:tab/>
          </w:r>
          <w:r>
            <w:rPr>
              <w:rFonts w:hint="eastAsia" w:eastAsia="宋体"/>
              <w:lang w:val="en-US" w:eastAsia="zh-CN"/>
            </w:rPr>
            <w:t xml:space="preserve">        </w:t>
          </w:r>
          <w:r>
            <w:t>Literature Review</w:t>
          </w:r>
          <w:r>
            <w:tab/>
          </w:r>
          <w:r>
            <w:fldChar w:fldCharType="begin"/>
          </w:r>
          <w:r>
            <w:instrText xml:space="preserve"> PAGEREF _Toc17171 \h </w:instrText>
          </w:r>
          <w:r>
            <w:fldChar w:fldCharType="separate"/>
          </w:r>
          <w:r>
            <w:t>24</w:t>
          </w:r>
          <w:r>
            <w:fldChar w:fldCharType="end"/>
          </w:r>
          <w:r>
            <w:rPr>
              <w:bCs/>
            </w:rPr>
            <w:fldChar w:fldCharType="end"/>
          </w:r>
        </w:p>
        <w:p>
          <w:pPr>
            <w:pStyle w:val="14"/>
            <w:tabs>
              <w:tab w:val="right" w:leader="dot" w:pos="9026"/>
            </w:tabs>
          </w:pPr>
          <w:r>
            <w:rPr>
              <w:bCs/>
            </w:rPr>
            <w:fldChar w:fldCharType="begin"/>
          </w:r>
          <w:r>
            <w:rPr>
              <w:bCs/>
            </w:rPr>
            <w:instrText xml:space="preserve"> HYPERLINK \l _Toc15312 </w:instrText>
          </w:r>
          <w:r>
            <w:rPr>
              <w:bCs/>
            </w:rPr>
            <w:fldChar w:fldCharType="separate"/>
          </w:r>
          <w:r>
            <w:t>2.1</w:t>
          </w:r>
          <w:r>
            <w:rPr>
              <w:rFonts w:hint="eastAsia"/>
              <w:lang w:val="en-US" w:eastAsia="zh-CN"/>
            </w:rPr>
            <w:t xml:space="preserve">  </w:t>
          </w:r>
          <w:r>
            <w:t>Continuing Professional Development in Healthcare</w:t>
          </w:r>
          <w:r>
            <w:tab/>
          </w:r>
          <w:r>
            <w:fldChar w:fldCharType="begin"/>
          </w:r>
          <w:r>
            <w:instrText xml:space="preserve"> PAGEREF _Toc15312 \h </w:instrText>
          </w:r>
          <w:r>
            <w:fldChar w:fldCharType="separate"/>
          </w:r>
          <w:r>
            <w:t>24</w:t>
          </w:r>
          <w:r>
            <w:fldChar w:fldCharType="end"/>
          </w:r>
          <w:r>
            <w:rPr>
              <w:bCs/>
            </w:rPr>
            <w:fldChar w:fldCharType="end"/>
          </w:r>
        </w:p>
        <w:p>
          <w:pPr>
            <w:pStyle w:val="7"/>
            <w:tabs>
              <w:tab w:val="right" w:leader="dot" w:pos="9026"/>
            </w:tabs>
          </w:pPr>
          <w:r>
            <w:rPr>
              <w:bCs/>
            </w:rPr>
            <w:fldChar w:fldCharType="begin"/>
          </w:r>
          <w:r>
            <w:rPr>
              <w:bCs/>
            </w:rPr>
            <w:instrText xml:space="preserve"> HYPERLINK \l _Toc17757 </w:instrText>
          </w:r>
          <w:r>
            <w:rPr>
              <w:bCs/>
            </w:rPr>
            <w:fldChar w:fldCharType="separate"/>
          </w:r>
          <w:r>
            <w:t>2.1.1</w:t>
          </w:r>
          <w:r>
            <w:rPr>
              <w:rFonts w:hint="eastAsia"/>
              <w:lang w:val="en-US" w:eastAsia="zh-CN"/>
            </w:rPr>
            <w:t xml:space="preserve">   </w:t>
          </w:r>
          <w:r>
            <w:t>Definition and Importance of Continuing Professional Development</w:t>
          </w:r>
          <w:r>
            <w:tab/>
          </w:r>
          <w:r>
            <w:fldChar w:fldCharType="begin"/>
          </w:r>
          <w:r>
            <w:instrText xml:space="preserve"> PAGEREF _Toc17757 \h </w:instrText>
          </w:r>
          <w:r>
            <w:fldChar w:fldCharType="separate"/>
          </w:r>
          <w:r>
            <w:t>24</w:t>
          </w:r>
          <w:r>
            <w:fldChar w:fldCharType="end"/>
          </w:r>
          <w:r>
            <w:rPr>
              <w:bCs/>
            </w:rPr>
            <w:fldChar w:fldCharType="end"/>
          </w:r>
        </w:p>
        <w:p>
          <w:pPr>
            <w:pStyle w:val="7"/>
            <w:tabs>
              <w:tab w:val="right" w:leader="dot" w:pos="9026"/>
            </w:tabs>
          </w:pPr>
          <w:r>
            <w:rPr>
              <w:bCs/>
            </w:rPr>
            <w:fldChar w:fldCharType="begin"/>
          </w:r>
          <w:r>
            <w:rPr>
              <w:bCs/>
            </w:rPr>
            <w:instrText xml:space="preserve"> HYPERLINK \l _Toc5152 </w:instrText>
          </w:r>
          <w:r>
            <w:rPr>
              <w:bCs/>
            </w:rPr>
            <w:fldChar w:fldCharType="separate"/>
          </w:r>
          <w:r>
            <w:t>2.1.2</w:t>
          </w:r>
          <w:r>
            <w:rPr>
              <w:rFonts w:hint="eastAsia"/>
              <w:lang w:val="en-US" w:eastAsia="zh-CN"/>
            </w:rPr>
            <w:t xml:space="preserve">   </w:t>
          </w:r>
          <w:r>
            <w:t>Current Trends and Challenges in Healthcare Continuing Education</w:t>
          </w:r>
          <w:r>
            <w:tab/>
          </w:r>
          <w:r>
            <w:fldChar w:fldCharType="begin"/>
          </w:r>
          <w:r>
            <w:instrText xml:space="preserve"> PAGEREF _Toc5152 \h </w:instrText>
          </w:r>
          <w:r>
            <w:fldChar w:fldCharType="separate"/>
          </w:r>
          <w:r>
            <w:t>25</w:t>
          </w:r>
          <w:r>
            <w:fldChar w:fldCharType="end"/>
          </w:r>
          <w:r>
            <w:rPr>
              <w:bCs/>
            </w:rPr>
            <w:fldChar w:fldCharType="end"/>
          </w:r>
        </w:p>
        <w:p>
          <w:pPr>
            <w:pStyle w:val="14"/>
            <w:tabs>
              <w:tab w:val="right" w:leader="dot" w:pos="9026"/>
            </w:tabs>
          </w:pPr>
          <w:r>
            <w:rPr>
              <w:bCs/>
            </w:rPr>
            <w:fldChar w:fldCharType="begin"/>
          </w:r>
          <w:r>
            <w:rPr>
              <w:bCs/>
            </w:rPr>
            <w:instrText xml:space="preserve"> HYPERLINK \l _Toc20871 </w:instrText>
          </w:r>
          <w:r>
            <w:rPr>
              <w:bCs/>
            </w:rPr>
            <w:fldChar w:fldCharType="separate"/>
          </w:r>
          <w:r>
            <w:t>2.2</w:t>
          </w:r>
          <w:r>
            <w:rPr>
              <w:rFonts w:hint="eastAsia"/>
              <w:lang w:val="en-US" w:eastAsia="zh-CN"/>
            </w:rPr>
            <w:t xml:space="preserve">  </w:t>
          </w:r>
          <w:r>
            <w:t>Adult Learning Theory and Its Relevance to Continuing Education</w:t>
          </w:r>
          <w:r>
            <w:tab/>
          </w:r>
          <w:r>
            <w:fldChar w:fldCharType="begin"/>
          </w:r>
          <w:r>
            <w:instrText xml:space="preserve"> PAGEREF _Toc20871 \h </w:instrText>
          </w:r>
          <w:r>
            <w:fldChar w:fldCharType="separate"/>
          </w:r>
          <w:r>
            <w:t>25</w:t>
          </w:r>
          <w:r>
            <w:fldChar w:fldCharType="end"/>
          </w:r>
          <w:r>
            <w:rPr>
              <w:bCs/>
            </w:rPr>
            <w:fldChar w:fldCharType="end"/>
          </w:r>
        </w:p>
        <w:p>
          <w:pPr>
            <w:pStyle w:val="7"/>
            <w:tabs>
              <w:tab w:val="right" w:leader="dot" w:pos="9026"/>
            </w:tabs>
          </w:pPr>
          <w:r>
            <w:rPr>
              <w:bCs/>
            </w:rPr>
            <w:fldChar w:fldCharType="begin"/>
          </w:r>
          <w:r>
            <w:rPr>
              <w:bCs/>
            </w:rPr>
            <w:instrText xml:space="preserve"> HYPERLINK \l _Toc6253 </w:instrText>
          </w:r>
          <w:r>
            <w:rPr>
              <w:bCs/>
            </w:rPr>
            <w:fldChar w:fldCharType="separate"/>
          </w:r>
          <w:r>
            <w:t>2.2.1</w:t>
          </w:r>
          <w:r>
            <w:rPr>
              <w:rFonts w:hint="eastAsia"/>
              <w:lang w:val="en-US" w:eastAsia="zh-CN"/>
            </w:rPr>
            <w:t xml:space="preserve">   </w:t>
          </w:r>
          <w:r>
            <w:t>Key Principles of Adult Learning Theory</w:t>
          </w:r>
          <w:r>
            <w:tab/>
          </w:r>
          <w:r>
            <w:fldChar w:fldCharType="begin"/>
          </w:r>
          <w:r>
            <w:instrText xml:space="preserve"> PAGEREF _Toc6253 \h </w:instrText>
          </w:r>
          <w:r>
            <w:fldChar w:fldCharType="separate"/>
          </w:r>
          <w:r>
            <w:t>25</w:t>
          </w:r>
          <w:r>
            <w:fldChar w:fldCharType="end"/>
          </w:r>
          <w:r>
            <w:rPr>
              <w:bCs/>
            </w:rPr>
            <w:fldChar w:fldCharType="end"/>
          </w:r>
        </w:p>
        <w:p>
          <w:pPr>
            <w:pStyle w:val="7"/>
            <w:tabs>
              <w:tab w:val="right" w:leader="dot" w:pos="9026"/>
            </w:tabs>
          </w:pPr>
          <w:r>
            <w:rPr>
              <w:bCs/>
            </w:rPr>
            <w:fldChar w:fldCharType="begin"/>
          </w:r>
          <w:r>
            <w:rPr>
              <w:bCs/>
            </w:rPr>
            <w:instrText xml:space="preserve"> HYPERLINK \l _Toc4568 </w:instrText>
          </w:r>
          <w:r>
            <w:rPr>
              <w:bCs/>
            </w:rPr>
            <w:fldChar w:fldCharType="separate"/>
          </w:r>
          <w:r>
            <w:t>2.2.2</w:t>
          </w:r>
          <w:r>
            <w:rPr>
              <w:rFonts w:hint="eastAsia"/>
              <w:lang w:val="en-US" w:eastAsia="zh-CN"/>
            </w:rPr>
            <w:t xml:space="preserve">   </w:t>
          </w:r>
          <w:r>
            <w:t>Implications for CPD Programmes for Healthcare Professionals</w:t>
          </w:r>
          <w:r>
            <w:tab/>
          </w:r>
          <w:r>
            <w:fldChar w:fldCharType="begin"/>
          </w:r>
          <w:r>
            <w:instrText xml:space="preserve"> PAGEREF _Toc4568 \h </w:instrText>
          </w:r>
          <w:r>
            <w:fldChar w:fldCharType="separate"/>
          </w:r>
          <w:r>
            <w:t>26</w:t>
          </w:r>
          <w:r>
            <w:fldChar w:fldCharType="end"/>
          </w:r>
          <w:r>
            <w:rPr>
              <w:bCs/>
            </w:rPr>
            <w:fldChar w:fldCharType="end"/>
          </w:r>
        </w:p>
        <w:p>
          <w:pPr>
            <w:pStyle w:val="14"/>
            <w:tabs>
              <w:tab w:val="right" w:leader="dot" w:pos="9026"/>
            </w:tabs>
          </w:pPr>
          <w:r>
            <w:rPr>
              <w:bCs/>
            </w:rPr>
            <w:fldChar w:fldCharType="begin"/>
          </w:r>
          <w:r>
            <w:rPr>
              <w:bCs/>
            </w:rPr>
            <w:instrText xml:space="preserve"> HYPERLINK \l _Toc6388 </w:instrText>
          </w:r>
          <w:r>
            <w:rPr>
              <w:bCs/>
            </w:rPr>
            <w:fldChar w:fldCharType="separate"/>
          </w:r>
          <w:r>
            <w:t>2.3</w:t>
          </w:r>
          <w:r>
            <w:rPr>
              <w:rFonts w:hint="eastAsia"/>
              <w:lang w:val="en-US" w:eastAsia="zh-CN"/>
            </w:rPr>
            <w:t xml:space="preserve">  </w:t>
          </w:r>
          <w:r>
            <w:t>Expectancy-Value Theory and Its Relevance to Continuing Education</w:t>
          </w:r>
          <w:r>
            <w:tab/>
          </w:r>
          <w:r>
            <w:fldChar w:fldCharType="begin"/>
          </w:r>
          <w:r>
            <w:instrText xml:space="preserve"> PAGEREF _Toc6388 \h </w:instrText>
          </w:r>
          <w:r>
            <w:fldChar w:fldCharType="separate"/>
          </w:r>
          <w:r>
            <w:t>28</w:t>
          </w:r>
          <w:r>
            <w:fldChar w:fldCharType="end"/>
          </w:r>
          <w:r>
            <w:rPr>
              <w:bCs/>
            </w:rPr>
            <w:fldChar w:fldCharType="end"/>
          </w:r>
        </w:p>
        <w:p>
          <w:pPr>
            <w:pStyle w:val="7"/>
            <w:tabs>
              <w:tab w:val="right" w:leader="dot" w:pos="9026"/>
            </w:tabs>
          </w:pPr>
          <w:r>
            <w:rPr>
              <w:bCs/>
            </w:rPr>
            <w:fldChar w:fldCharType="begin"/>
          </w:r>
          <w:r>
            <w:rPr>
              <w:bCs/>
            </w:rPr>
            <w:instrText xml:space="preserve"> HYPERLINK \l _Toc20600 </w:instrText>
          </w:r>
          <w:r>
            <w:rPr>
              <w:bCs/>
            </w:rPr>
            <w:fldChar w:fldCharType="separate"/>
          </w:r>
          <w:r>
            <w:t>2.3.1</w:t>
          </w:r>
          <w:r>
            <w:rPr>
              <w:rFonts w:hint="eastAsia"/>
              <w:lang w:val="en-US" w:eastAsia="zh-CN"/>
            </w:rPr>
            <w:t xml:space="preserve">   </w:t>
          </w:r>
          <w:r>
            <w:t>The Role of Expectancy in Healthcare Continuing Education</w:t>
          </w:r>
          <w:r>
            <w:tab/>
          </w:r>
          <w:r>
            <w:fldChar w:fldCharType="begin"/>
          </w:r>
          <w:r>
            <w:instrText xml:space="preserve"> PAGEREF _Toc20600 \h </w:instrText>
          </w:r>
          <w:r>
            <w:fldChar w:fldCharType="separate"/>
          </w:r>
          <w:r>
            <w:t>28</w:t>
          </w:r>
          <w:r>
            <w:fldChar w:fldCharType="end"/>
          </w:r>
          <w:r>
            <w:rPr>
              <w:bCs/>
            </w:rPr>
            <w:fldChar w:fldCharType="end"/>
          </w:r>
        </w:p>
        <w:p>
          <w:pPr>
            <w:pStyle w:val="7"/>
            <w:tabs>
              <w:tab w:val="right" w:leader="dot" w:pos="9026"/>
            </w:tabs>
          </w:pPr>
          <w:r>
            <w:rPr>
              <w:bCs/>
            </w:rPr>
            <w:fldChar w:fldCharType="begin"/>
          </w:r>
          <w:r>
            <w:rPr>
              <w:bCs/>
            </w:rPr>
            <w:instrText xml:space="preserve"> HYPERLINK \l _Toc3729 </w:instrText>
          </w:r>
          <w:r>
            <w:rPr>
              <w:bCs/>
            </w:rPr>
            <w:fldChar w:fldCharType="separate"/>
          </w:r>
          <w:r>
            <w:t>2.3.2</w:t>
          </w:r>
          <w:r>
            <w:rPr>
              <w:rFonts w:hint="eastAsia"/>
              <w:lang w:val="en-US" w:eastAsia="zh-CN"/>
            </w:rPr>
            <w:t xml:space="preserve">   </w:t>
          </w:r>
          <w:r>
            <w:t>The Importance of Value in Healthcare Continuing Education</w:t>
          </w:r>
          <w:r>
            <w:tab/>
          </w:r>
          <w:r>
            <w:fldChar w:fldCharType="begin"/>
          </w:r>
          <w:r>
            <w:instrText xml:space="preserve"> PAGEREF _Toc3729 \h </w:instrText>
          </w:r>
          <w:r>
            <w:fldChar w:fldCharType="separate"/>
          </w:r>
          <w:r>
            <w:t>29</w:t>
          </w:r>
          <w:r>
            <w:fldChar w:fldCharType="end"/>
          </w:r>
          <w:r>
            <w:rPr>
              <w:bCs/>
            </w:rPr>
            <w:fldChar w:fldCharType="end"/>
          </w:r>
        </w:p>
        <w:p>
          <w:pPr>
            <w:pStyle w:val="7"/>
            <w:tabs>
              <w:tab w:val="right" w:leader="dot" w:pos="9026"/>
            </w:tabs>
          </w:pPr>
          <w:r>
            <w:rPr>
              <w:bCs/>
            </w:rPr>
            <w:fldChar w:fldCharType="begin"/>
          </w:r>
          <w:r>
            <w:rPr>
              <w:bCs/>
            </w:rPr>
            <w:instrText xml:space="preserve"> HYPERLINK \l _Toc1222 </w:instrText>
          </w:r>
          <w:r>
            <w:rPr>
              <w:bCs/>
            </w:rPr>
            <w:fldChar w:fldCharType="separate"/>
          </w:r>
          <w:r>
            <w:t>2.3.3</w:t>
          </w:r>
          <w:r>
            <w:rPr>
              <w:rFonts w:hint="eastAsia"/>
              <w:lang w:val="en-US" w:eastAsia="zh-CN"/>
            </w:rPr>
            <w:t xml:space="preserve">   </w:t>
          </w:r>
          <w:r>
            <w:t>Expectancy-Value Theory in CPD Programs</w:t>
          </w:r>
          <w:r>
            <w:tab/>
          </w:r>
          <w:r>
            <w:fldChar w:fldCharType="begin"/>
          </w:r>
          <w:r>
            <w:instrText xml:space="preserve"> PAGEREF _Toc1222 \h </w:instrText>
          </w:r>
          <w:r>
            <w:fldChar w:fldCharType="separate"/>
          </w:r>
          <w:r>
            <w:t>29</w:t>
          </w:r>
          <w:r>
            <w:fldChar w:fldCharType="end"/>
          </w:r>
          <w:r>
            <w:rPr>
              <w:bCs/>
            </w:rPr>
            <w:fldChar w:fldCharType="end"/>
          </w:r>
        </w:p>
        <w:p>
          <w:pPr>
            <w:pStyle w:val="14"/>
            <w:tabs>
              <w:tab w:val="right" w:leader="dot" w:pos="9026"/>
            </w:tabs>
          </w:pPr>
          <w:r>
            <w:rPr>
              <w:bCs/>
            </w:rPr>
            <w:fldChar w:fldCharType="begin"/>
          </w:r>
          <w:r>
            <w:rPr>
              <w:bCs/>
            </w:rPr>
            <w:instrText xml:space="preserve"> HYPERLINK \l _Toc13651 </w:instrText>
          </w:r>
          <w:r>
            <w:rPr>
              <w:bCs/>
            </w:rPr>
            <w:fldChar w:fldCharType="separate"/>
          </w:r>
          <w:r>
            <w:t>2.4</w:t>
          </w:r>
          <w:r>
            <w:rPr>
              <w:rFonts w:hint="eastAsia"/>
              <w:lang w:val="en-US" w:eastAsia="zh-CN"/>
            </w:rPr>
            <w:t xml:space="preserve">  </w:t>
          </w:r>
          <w:r>
            <w:t>Factors Influencing Healthcare Professionals' Motivation and Expectations</w:t>
          </w:r>
          <w:r>
            <w:tab/>
          </w:r>
          <w:r>
            <w:fldChar w:fldCharType="begin"/>
          </w:r>
          <w:r>
            <w:instrText xml:space="preserve"> PAGEREF _Toc13651 \h </w:instrText>
          </w:r>
          <w:r>
            <w:fldChar w:fldCharType="separate"/>
          </w:r>
          <w:r>
            <w:t>30</w:t>
          </w:r>
          <w:r>
            <w:fldChar w:fldCharType="end"/>
          </w:r>
          <w:r>
            <w:rPr>
              <w:bCs/>
            </w:rPr>
            <w:fldChar w:fldCharType="end"/>
          </w:r>
        </w:p>
        <w:p>
          <w:pPr>
            <w:pStyle w:val="7"/>
            <w:tabs>
              <w:tab w:val="right" w:leader="dot" w:pos="9026"/>
            </w:tabs>
          </w:pPr>
          <w:r>
            <w:rPr>
              <w:bCs/>
            </w:rPr>
            <w:fldChar w:fldCharType="begin"/>
          </w:r>
          <w:r>
            <w:rPr>
              <w:bCs/>
            </w:rPr>
            <w:instrText xml:space="preserve"> HYPERLINK \l _Toc15386 </w:instrText>
          </w:r>
          <w:r>
            <w:rPr>
              <w:bCs/>
            </w:rPr>
            <w:fldChar w:fldCharType="separate"/>
          </w:r>
          <w:r>
            <w:t>2.4.1</w:t>
          </w:r>
          <w:r>
            <w:rPr>
              <w:rFonts w:hint="eastAsia"/>
              <w:lang w:val="en-US" w:eastAsia="zh-CN"/>
            </w:rPr>
            <w:t xml:space="preserve">   </w:t>
          </w:r>
          <w:r>
            <w:t>Overview of Motivational Theories in the Context of Continuing Education</w:t>
          </w:r>
          <w:r>
            <w:tab/>
          </w:r>
          <w:r>
            <w:fldChar w:fldCharType="begin"/>
          </w:r>
          <w:r>
            <w:instrText xml:space="preserve"> PAGEREF _Toc15386 \h </w:instrText>
          </w:r>
          <w:r>
            <w:fldChar w:fldCharType="separate"/>
          </w:r>
          <w:r>
            <w:t>30</w:t>
          </w:r>
          <w:r>
            <w:fldChar w:fldCharType="end"/>
          </w:r>
          <w:r>
            <w:rPr>
              <w:bCs/>
            </w:rPr>
            <w:fldChar w:fldCharType="end"/>
          </w:r>
        </w:p>
        <w:p>
          <w:pPr>
            <w:pStyle w:val="7"/>
            <w:tabs>
              <w:tab w:val="right" w:leader="dot" w:pos="9026"/>
            </w:tabs>
          </w:pPr>
          <w:r>
            <w:rPr>
              <w:bCs/>
            </w:rPr>
            <w:fldChar w:fldCharType="begin"/>
          </w:r>
          <w:r>
            <w:rPr>
              <w:bCs/>
            </w:rPr>
            <w:instrText xml:space="preserve"> HYPERLINK \l _Toc10416 </w:instrText>
          </w:r>
          <w:r>
            <w:rPr>
              <w:bCs/>
            </w:rPr>
            <w:fldChar w:fldCharType="separate"/>
          </w:r>
          <w:r>
            <w:t>2.4.2</w:t>
          </w:r>
          <w:r>
            <w:rPr>
              <w:rFonts w:hint="eastAsia"/>
              <w:lang w:val="en-US" w:eastAsia="zh-CN"/>
            </w:rPr>
            <w:t xml:space="preserve">   </w:t>
          </w:r>
          <w:r>
            <w:t>Factors Affecting Healthcare Professionals' Motivation</w:t>
          </w:r>
          <w:r>
            <w:tab/>
          </w:r>
          <w:r>
            <w:fldChar w:fldCharType="begin"/>
          </w:r>
          <w:r>
            <w:instrText xml:space="preserve"> PAGEREF _Toc10416 \h </w:instrText>
          </w:r>
          <w:r>
            <w:fldChar w:fldCharType="separate"/>
          </w:r>
          <w:r>
            <w:t>30</w:t>
          </w:r>
          <w:r>
            <w:fldChar w:fldCharType="end"/>
          </w:r>
          <w:r>
            <w:rPr>
              <w:bCs/>
            </w:rPr>
            <w:fldChar w:fldCharType="end"/>
          </w:r>
        </w:p>
        <w:p>
          <w:pPr>
            <w:pStyle w:val="7"/>
            <w:tabs>
              <w:tab w:val="right" w:leader="dot" w:pos="9026"/>
            </w:tabs>
          </w:pPr>
          <w:r>
            <w:rPr>
              <w:bCs/>
            </w:rPr>
            <w:fldChar w:fldCharType="begin"/>
          </w:r>
          <w:r>
            <w:rPr>
              <w:bCs/>
            </w:rPr>
            <w:instrText xml:space="preserve"> HYPERLINK \l _Toc16801 </w:instrText>
          </w:r>
          <w:r>
            <w:rPr>
              <w:bCs/>
            </w:rPr>
            <w:fldChar w:fldCharType="separate"/>
          </w:r>
          <w:r>
            <w:t>2.4.3</w:t>
          </w:r>
          <w:r>
            <w:rPr>
              <w:rFonts w:hint="eastAsia"/>
              <w:lang w:val="en-US" w:eastAsia="zh-CN"/>
            </w:rPr>
            <w:t xml:space="preserve">   </w:t>
          </w:r>
          <w:r>
            <w:t>Expectations of Healthcare Professionals Regarding Continuing Education Programs</w:t>
          </w:r>
          <w:r>
            <w:tab/>
          </w:r>
          <w:r>
            <w:fldChar w:fldCharType="begin"/>
          </w:r>
          <w:r>
            <w:instrText xml:space="preserve"> PAGEREF _Toc16801 \h </w:instrText>
          </w:r>
          <w:r>
            <w:fldChar w:fldCharType="separate"/>
          </w:r>
          <w:r>
            <w:t>31</w:t>
          </w:r>
          <w:r>
            <w:fldChar w:fldCharType="end"/>
          </w:r>
          <w:r>
            <w:rPr>
              <w:bCs/>
            </w:rPr>
            <w:fldChar w:fldCharType="end"/>
          </w:r>
        </w:p>
        <w:p>
          <w:pPr>
            <w:pStyle w:val="14"/>
            <w:tabs>
              <w:tab w:val="right" w:leader="dot" w:pos="9026"/>
            </w:tabs>
          </w:pPr>
          <w:r>
            <w:rPr>
              <w:bCs/>
            </w:rPr>
            <w:fldChar w:fldCharType="begin"/>
          </w:r>
          <w:r>
            <w:rPr>
              <w:bCs/>
            </w:rPr>
            <w:instrText xml:space="preserve"> HYPERLINK \l _Toc30307 </w:instrText>
          </w:r>
          <w:r>
            <w:rPr>
              <w:bCs/>
            </w:rPr>
            <w:fldChar w:fldCharType="separate"/>
          </w:r>
          <w:r>
            <w:t>2.5</w:t>
          </w:r>
          <w:r>
            <w:rPr>
              <w:rFonts w:hint="eastAsia"/>
              <w:lang w:val="en-US" w:eastAsia="zh-CN"/>
            </w:rPr>
            <w:t xml:space="preserve">  </w:t>
          </w:r>
          <w:r>
            <w:t>The Role of Private Training Companies in Providing Continuing Education</w:t>
          </w:r>
          <w:r>
            <w:tab/>
          </w:r>
          <w:r>
            <w:fldChar w:fldCharType="begin"/>
          </w:r>
          <w:r>
            <w:instrText xml:space="preserve"> PAGEREF _Toc30307 \h </w:instrText>
          </w:r>
          <w:r>
            <w:fldChar w:fldCharType="separate"/>
          </w:r>
          <w:r>
            <w:t>31</w:t>
          </w:r>
          <w:r>
            <w:fldChar w:fldCharType="end"/>
          </w:r>
          <w:r>
            <w:rPr>
              <w:bCs/>
            </w:rPr>
            <w:fldChar w:fldCharType="end"/>
          </w:r>
        </w:p>
        <w:p>
          <w:pPr>
            <w:pStyle w:val="7"/>
            <w:tabs>
              <w:tab w:val="right" w:leader="dot" w:pos="9026"/>
            </w:tabs>
          </w:pPr>
          <w:r>
            <w:rPr>
              <w:bCs/>
            </w:rPr>
            <w:fldChar w:fldCharType="begin"/>
          </w:r>
          <w:r>
            <w:rPr>
              <w:bCs/>
            </w:rPr>
            <w:instrText xml:space="preserve"> HYPERLINK \l _Toc17994 </w:instrText>
          </w:r>
          <w:r>
            <w:rPr>
              <w:bCs/>
            </w:rPr>
            <w:fldChar w:fldCharType="separate"/>
          </w:r>
          <w:r>
            <w:t>2.5.1</w:t>
          </w:r>
          <w:r>
            <w:rPr>
              <w:rFonts w:hint="eastAsia"/>
              <w:lang w:val="en-US" w:eastAsia="zh-CN"/>
            </w:rPr>
            <w:t xml:space="preserve">   </w:t>
          </w:r>
          <w:r>
            <w:t>Strategies and Approaches Used by Private Training Companies</w:t>
          </w:r>
          <w:r>
            <w:tab/>
          </w:r>
          <w:r>
            <w:fldChar w:fldCharType="begin"/>
          </w:r>
          <w:r>
            <w:instrText xml:space="preserve"> PAGEREF _Toc17994 \h </w:instrText>
          </w:r>
          <w:r>
            <w:fldChar w:fldCharType="separate"/>
          </w:r>
          <w:r>
            <w:t>32</w:t>
          </w:r>
          <w:r>
            <w:fldChar w:fldCharType="end"/>
          </w:r>
          <w:r>
            <w:rPr>
              <w:bCs/>
            </w:rPr>
            <w:fldChar w:fldCharType="end"/>
          </w:r>
        </w:p>
        <w:p>
          <w:pPr>
            <w:pStyle w:val="7"/>
            <w:tabs>
              <w:tab w:val="right" w:leader="dot" w:pos="9026"/>
            </w:tabs>
          </w:pPr>
          <w:r>
            <w:rPr>
              <w:bCs/>
            </w:rPr>
            <w:fldChar w:fldCharType="begin"/>
          </w:r>
          <w:r>
            <w:rPr>
              <w:bCs/>
            </w:rPr>
            <w:instrText xml:space="preserve"> HYPERLINK \l _Toc1342 </w:instrText>
          </w:r>
          <w:r>
            <w:rPr>
              <w:bCs/>
            </w:rPr>
            <w:fldChar w:fldCharType="separate"/>
          </w:r>
          <w:r>
            <w:t>2.5.2</w:t>
          </w:r>
          <w:r>
            <w:rPr>
              <w:rFonts w:hint="eastAsia"/>
              <w:lang w:val="en-US" w:eastAsia="zh-CN"/>
            </w:rPr>
            <w:t xml:space="preserve">   </w:t>
          </w:r>
          <w:r>
            <w:t>Effectiveness in Providing Tailored Continuing Education Programs</w:t>
          </w:r>
          <w:r>
            <w:tab/>
          </w:r>
          <w:r>
            <w:fldChar w:fldCharType="begin"/>
          </w:r>
          <w:r>
            <w:instrText xml:space="preserve"> PAGEREF _Toc1342 \h </w:instrText>
          </w:r>
          <w:r>
            <w:fldChar w:fldCharType="separate"/>
          </w:r>
          <w:r>
            <w:t>32</w:t>
          </w:r>
          <w:r>
            <w:fldChar w:fldCharType="end"/>
          </w:r>
          <w:r>
            <w:rPr>
              <w:bCs/>
            </w:rPr>
            <w:fldChar w:fldCharType="end"/>
          </w:r>
        </w:p>
        <w:p>
          <w:pPr>
            <w:pStyle w:val="7"/>
            <w:tabs>
              <w:tab w:val="right" w:leader="dot" w:pos="9026"/>
            </w:tabs>
          </w:pPr>
          <w:r>
            <w:rPr>
              <w:bCs/>
            </w:rPr>
            <w:fldChar w:fldCharType="begin"/>
          </w:r>
          <w:r>
            <w:rPr>
              <w:bCs/>
            </w:rPr>
            <w:instrText xml:space="preserve"> HYPERLINK \l _Toc4308 </w:instrText>
          </w:r>
          <w:r>
            <w:rPr>
              <w:bCs/>
            </w:rPr>
            <w:fldChar w:fldCharType="separate"/>
          </w:r>
          <w:r>
            <w:t>2.5.3</w:t>
          </w:r>
          <w:r>
            <w:rPr>
              <w:rFonts w:hint="eastAsia"/>
              <w:lang w:val="en-US" w:eastAsia="zh-CN"/>
            </w:rPr>
            <w:t xml:space="preserve">  </w:t>
          </w:r>
          <w:r>
            <w:t>Challenges in Meeting the Needs and Expectations of Healthcare Professionals</w:t>
          </w:r>
          <w:r>
            <w:tab/>
          </w:r>
          <w:r>
            <w:fldChar w:fldCharType="begin"/>
          </w:r>
          <w:r>
            <w:instrText xml:space="preserve"> PAGEREF _Toc4308 \h </w:instrText>
          </w:r>
          <w:r>
            <w:fldChar w:fldCharType="separate"/>
          </w:r>
          <w:r>
            <w:t>32</w:t>
          </w:r>
          <w:r>
            <w:fldChar w:fldCharType="end"/>
          </w:r>
          <w:r>
            <w:rPr>
              <w:bCs/>
            </w:rPr>
            <w:fldChar w:fldCharType="end"/>
          </w:r>
        </w:p>
        <w:p>
          <w:pPr>
            <w:pStyle w:val="14"/>
            <w:tabs>
              <w:tab w:val="right" w:leader="dot" w:pos="9026"/>
            </w:tabs>
          </w:pPr>
          <w:r>
            <w:rPr>
              <w:bCs/>
            </w:rPr>
            <w:fldChar w:fldCharType="begin"/>
          </w:r>
          <w:r>
            <w:rPr>
              <w:bCs/>
            </w:rPr>
            <w:instrText xml:space="preserve"> HYPERLINK \l _Toc22384 </w:instrText>
          </w:r>
          <w:r>
            <w:rPr>
              <w:bCs/>
            </w:rPr>
            <w:fldChar w:fldCharType="separate"/>
          </w:r>
          <w:r>
            <w:t>2.6</w:t>
          </w:r>
          <w:r>
            <w:rPr>
              <w:rFonts w:hint="eastAsia"/>
              <w:lang w:val="en-US" w:eastAsia="zh-CN"/>
            </w:rPr>
            <w:t xml:space="preserve">  </w:t>
          </w:r>
          <w:r>
            <w:t>Integrating Theories: Developing a Theoretical Framework</w:t>
          </w:r>
          <w:r>
            <w:tab/>
          </w:r>
          <w:r>
            <w:fldChar w:fldCharType="begin"/>
          </w:r>
          <w:r>
            <w:instrText xml:space="preserve"> PAGEREF _Toc22384 \h </w:instrText>
          </w:r>
          <w:r>
            <w:fldChar w:fldCharType="separate"/>
          </w:r>
          <w:r>
            <w:t>33</w:t>
          </w:r>
          <w:r>
            <w:fldChar w:fldCharType="end"/>
          </w:r>
          <w:r>
            <w:rPr>
              <w:bCs/>
            </w:rPr>
            <w:fldChar w:fldCharType="end"/>
          </w:r>
        </w:p>
        <w:p>
          <w:pPr>
            <w:pStyle w:val="7"/>
            <w:tabs>
              <w:tab w:val="right" w:leader="dot" w:pos="9026"/>
            </w:tabs>
          </w:pPr>
          <w:r>
            <w:rPr>
              <w:bCs/>
            </w:rPr>
            <w:fldChar w:fldCharType="begin"/>
          </w:r>
          <w:r>
            <w:rPr>
              <w:bCs/>
            </w:rPr>
            <w:instrText xml:space="preserve"> HYPERLINK \l _Toc16245 </w:instrText>
          </w:r>
          <w:r>
            <w:rPr>
              <w:bCs/>
            </w:rPr>
            <w:fldChar w:fldCharType="separate"/>
          </w:r>
          <w:r>
            <w:t>2.6.1</w:t>
          </w:r>
          <w:r>
            <w:rPr>
              <w:rFonts w:hint="eastAsia"/>
              <w:lang w:val="en-US" w:eastAsia="zh-CN"/>
            </w:rPr>
            <w:t xml:space="preserve">   </w:t>
          </w:r>
          <w:r>
            <w:t>Integrating Continuing Professional Development, Adult Learning Theory, and Expectancy-Value Theory</w:t>
          </w:r>
          <w:r>
            <w:tab/>
          </w:r>
          <w:r>
            <w:fldChar w:fldCharType="begin"/>
          </w:r>
          <w:r>
            <w:instrText xml:space="preserve"> PAGEREF _Toc16245 \h </w:instrText>
          </w:r>
          <w:r>
            <w:fldChar w:fldCharType="separate"/>
          </w:r>
          <w:r>
            <w:t>33</w:t>
          </w:r>
          <w:r>
            <w:fldChar w:fldCharType="end"/>
          </w:r>
          <w:r>
            <w:rPr>
              <w:bCs/>
            </w:rPr>
            <w:fldChar w:fldCharType="end"/>
          </w:r>
        </w:p>
        <w:p>
          <w:pPr>
            <w:pStyle w:val="7"/>
            <w:tabs>
              <w:tab w:val="right" w:leader="dot" w:pos="9026"/>
            </w:tabs>
          </w:pPr>
          <w:r>
            <w:rPr>
              <w:bCs/>
            </w:rPr>
            <w:fldChar w:fldCharType="begin"/>
          </w:r>
          <w:r>
            <w:rPr>
              <w:bCs/>
            </w:rPr>
            <w:instrText xml:space="preserve"> HYPERLINK \l _Toc11276 </w:instrText>
          </w:r>
          <w:r>
            <w:rPr>
              <w:bCs/>
            </w:rPr>
            <w:fldChar w:fldCharType="separate"/>
          </w:r>
          <w:r>
            <w:t>2.6.2</w:t>
          </w:r>
          <w:r>
            <w:rPr>
              <w:rFonts w:hint="eastAsia"/>
              <w:lang w:val="en-US" w:eastAsia="zh-CN"/>
            </w:rPr>
            <w:t xml:space="preserve">   </w:t>
          </w:r>
          <w:r>
            <w:t>The Proposed Theoretical Framework and Its Relevance to the Research Questions</w:t>
          </w:r>
          <w:r>
            <w:tab/>
          </w:r>
          <w:r>
            <w:fldChar w:fldCharType="begin"/>
          </w:r>
          <w:r>
            <w:instrText xml:space="preserve"> PAGEREF _Toc11276 \h </w:instrText>
          </w:r>
          <w:r>
            <w:fldChar w:fldCharType="separate"/>
          </w:r>
          <w:r>
            <w:t>34</w:t>
          </w:r>
          <w:r>
            <w:fldChar w:fldCharType="end"/>
          </w:r>
          <w:r>
            <w:rPr>
              <w:bCs/>
            </w:rPr>
            <w:fldChar w:fldCharType="end"/>
          </w:r>
        </w:p>
        <w:p>
          <w:pPr>
            <w:pStyle w:val="14"/>
            <w:tabs>
              <w:tab w:val="right" w:leader="dot" w:pos="9026"/>
            </w:tabs>
          </w:pPr>
          <w:r>
            <w:rPr>
              <w:bCs/>
            </w:rPr>
            <w:fldChar w:fldCharType="begin"/>
          </w:r>
          <w:r>
            <w:rPr>
              <w:bCs/>
            </w:rPr>
            <w:instrText xml:space="preserve"> HYPERLINK \l _Toc12226 </w:instrText>
          </w:r>
          <w:r>
            <w:rPr>
              <w:bCs/>
            </w:rPr>
            <w:fldChar w:fldCharType="separate"/>
          </w:r>
          <w:r>
            <w:t>2.7</w:t>
          </w:r>
          <w:r>
            <w:rPr>
              <w:rFonts w:hint="eastAsia"/>
              <w:lang w:val="en-US" w:eastAsia="zh-CN"/>
            </w:rPr>
            <w:t xml:space="preserve">  </w:t>
          </w:r>
          <w:r>
            <w:t>Conclusion</w:t>
          </w:r>
          <w:r>
            <w:tab/>
          </w:r>
          <w:r>
            <w:fldChar w:fldCharType="begin"/>
          </w:r>
          <w:r>
            <w:instrText xml:space="preserve"> PAGEREF _Toc12226 \h </w:instrText>
          </w:r>
          <w:r>
            <w:fldChar w:fldCharType="separate"/>
          </w:r>
          <w:r>
            <w:t>34</w:t>
          </w:r>
          <w:r>
            <w:fldChar w:fldCharType="end"/>
          </w:r>
          <w:r>
            <w:rPr>
              <w:bCs/>
            </w:rPr>
            <w:fldChar w:fldCharType="end"/>
          </w:r>
        </w:p>
        <w:p>
          <w:pPr>
            <w:pStyle w:val="11"/>
            <w:tabs>
              <w:tab w:val="right" w:leader="dot" w:pos="9026"/>
            </w:tabs>
          </w:pPr>
          <w:r>
            <w:rPr>
              <w:bCs/>
            </w:rPr>
            <w:fldChar w:fldCharType="begin"/>
          </w:r>
          <w:r>
            <w:rPr>
              <w:bCs/>
            </w:rPr>
            <w:instrText xml:space="preserve"> HYPERLINK \l _Toc25056 </w:instrText>
          </w:r>
          <w:r>
            <w:rPr>
              <w:bCs/>
            </w:rPr>
            <w:fldChar w:fldCharType="separate"/>
          </w:r>
          <w:r>
            <w:t>Chapter 3</w:t>
          </w:r>
          <w:r>
            <w:rPr>
              <w:rFonts w:hint="eastAsia" w:eastAsia="宋体"/>
              <w:lang w:val="en-US" w:eastAsia="zh-CN"/>
            </w:rPr>
            <w:t xml:space="preserve">        </w:t>
          </w:r>
          <w:r>
            <w:t>Methodology</w:t>
          </w:r>
          <w:r>
            <w:tab/>
          </w:r>
          <w:r>
            <w:fldChar w:fldCharType="begin"/>
          </w:r>
          <w:r>
            <w:instrText xml:space="preserve"> PAGEREF _Toc25056 \h </w:instrText>
          </w:r>
          <w:r>
            <w:fldChar w:fldCharType="separate"/>
          </w:r>
          <w:r>
            <w:t>36</w:t>
          </w:r>
          <w:r>
            <w:fldChar w:fldCharType="end"/>
          </w:r>
          <w:r>
            <w:rPr>
              <w:bCs/>
            </w:rPr>
            <w:fldChar w:fldCharType="end"/>
          </w:r>
        </w:p>
        <w:p>
          <w:pPr>
            <w:pStyle w:val="14"/>
            <w:tabs>
              <w:tab w:val="right" w:leader="dot" w:pos="9026"/>
            </w:tabs>
          </w:pPr>
          <w:r>
            <w:rPr>
              <w:bCs/>
            </w:rPr>
            <w:fldChar w:fldCharType="begin"/>
          </w:r>
          <w:r>
            <w:rPr>
              <w:bCs/>
            </w:rPr>
            <w:instrText xml:space="preserve"> HYPERLINK \l _Toc1718 </w:instrText>
          </w:r>
          <w:r>
            <w:rPr>
              <w:bCs/>
            </w:rPr>
            <w:fldChar w:fldCharType="separate"/>
          </w:r>
          <w:r>
            <w:t>3.1</w:t>
          </w:r>
          <w:r>
            <w:rPr>
              <w:rFonts w:hint="eastAsia"/>
              <w:lang w:val="en-US" w:eastAsia="zh-CN"/>
            </w:rPr>
            <w:t xml:space="preserve">  </w:t>
          </w:r>
          <w:r>
            <w:t>Introduction to Methodology</w:t>
          </w:r>
          <w:r>
            <w:tab/>
          </w:r>
          <w:r>
            <w:fldChar w:fldCharType="begin"/>
          </w:r>
          <w:r>
            <w:instrText xml:space="preserve"> PAGEREF _Toc1718 \h </w:instrText>
          </w:r>
          <w:r>
            <w:fldChar w:fldCharType="separate"/>
          </w:r>
          <w:r>
            <w:t>36</w:t>
          </w:r>
          <w:r>
            <w:fldChar w:fldCharType="end"/>
          </w:r>
          <w:r>
            <w:rPr>
              <w:bCs/>
            </w:rPr>
            <w:fldChar w:fldCharType="end"/>
          </w:r>
        </w:p>
        <w:p>
          <w:pPr>
            <w:pStyle w:val="14"/>
            <w:tabs>
              <w:tab w:val="right" w:leader="dot" w:pos="9026"/>
            </w:tabs>
          </w:pPr>
          <w:r>
            <w:rPr>
              <w:bCs/>
            </w:rPr>
            <w:fldChar w:fldCharType="begin"/>
          </w:r>
          <w:r>
            <w:rPr>
              <w:bCs/>
            </w:rPr>
            <w:instrText xml:space="preserve"> HYPERLINK \l _Toc19924 </w:instrText>
          </w:r>
          <w:r>
            <w:rPr>
              <w:bCs/>
            </w:rPr>
            <w:fldChar w:fldCharType="separate"/>
          </w:r>
          <w:r>
            <w:t>3.2</w:t>
          </w:r>
          <w:r>
            <w:rPr>
              <w:rFonts w:hint="eastAsia"/>
              <w:lang w:val="en-US" w:eastAsia="zh-CN"/>
            </w:rPr>
            <w:t xml:space="preserve">  </w:t>
          </w:r>
          <w:r>
            <w:t>Research Design</w:t>
          </w:r>
          <w:r>
            <w:tab/>
          </w:r>
          <w:r>
            <w:fldChar w:fldCharType="begin"/>
          </w:r>
          <w:r>
            <w:instrText xml:space="preserve"> PAGEREF _Toc19924 \h </w:instrText>
          </w:r>
          <w:r>
            <w:fldChar w:fldCharType="separate"/>
          </w:r>
          <w:r>
            <w:t>38</w:t>
          </w:r>
          <w:r>
            <w:fldChar w:fldCharType="end"/>
          </w:r>
          <w:r>
            <w:rPr>
              <w:bCs/>
            </w:rPr>
            <w:fldChar w:fldCharType="end"/>
          </w:r>
        </w:p>
        <w:p>
          <w:pPr>
            <w:pStyle w:val="7"/>
            <w:tabs>
              <w:tab w:val="right" w:leader="dot" w:pos="9026"/>
            </w:tabs>
          </w:pPr>
          <w:r>
            <w:rPr>
              <w:bCs/>
            </w:rPr>
            <w:fldChar w:fldCharType="begin"/>
          </w:r>
          <w:r>
            <w:rPr>
              <w:bCs/>
            </w:rPr>
            <w:instrText xml:space="preserve"> HYPERLINK \l _Toc25097 </w:instrText>
          </w:r>
          <w:r>
            <w:rPr>
              <w:bCs/>
            </w:rPr>
            <w:fldChar w:fldCharType="separate"/>
          </w:r>
          <w:r>
            <w:t>3.2.1</w:t>
          </w:r>
          <w:r>
            <w:rPr>
              <w:rFonts w:hint="eastAsia"/>
              <w:lang w:val="en-US" w:eastAsia="zh-CN"/>
            </w:rPr>
            <w:t xml:space="preserve">   </w:t>
          </w:r>
          <w:r>
            <w:t>Qualitative Research Approach</w:t>
          </w:r>
          <w:r>
            <w:tab/>
          </w:r>
          <w:r>
            <w:fldChar w:fldCharType="begin"/>
          </w:r>
          <w:r>
            <w:instrText xml:space="preserve"> PAGEREF _Toc25097 \h </w:instrText>
          </w:r>
          <w:r>
            <w:fldChar w:fldCharType="separate"/>
          </w:r>
          <w:r>
            <w:t>38</w:t>
          </w:r>
          <w:r>
            <w:fldChar w:fldCharType="end"/>
          </w:r>
          <w:r>
            <w:rPr>
              <w:bCs/>
            </w:rPr>
            <w:fldChar w:fldCharType="end"/>
          </w:r>
        </w:p>
        <w:p>
          <w:pPr>
            <w:pStyle w:val="7"/>
            <w:tabs>
              <w:tab w:val="right" w:leader="dot" w:pos="9026"/>
            </w:tabs>
          </w:pPr>
          <w:r>
            <w:rPr>
              <w:bCs/>
            </w:rPr>
            <w:fldChar w:fldCharType="begin"/>
          </w:r>
          <w:r>
            <w:rPr>
              <w:bCs/>
            </w:rPr>
            <w:instrText xml:space="preserve"> HYPERLINK \l _Toc2409 </w:instrText>
          </w:r>
          <w:r>
            <w:rPr>
              <w:bCs/>
            </w:rPr>
            <w:fldChar w:fldCharType="separate"/>
          </w:r>
          <w:r>
            <w:t>3.2.2</w:t>
          </w:r>
          <w:r>
            <w:rPr>
              <w:rFonts w:hint="eastAsia"/>
              <w:lang w:val="en-US" w:eastAsia="zh-CN"/>
            </w:rPr>
            <w:t xml:space="preserve">   </w:t>
          </w:r>
          <w:r>
            <w:t>Rationale for Selecting a Qualitative Approach</w:t>
          </w:r>
          <w:r>
            <w:tab/>
          </w:r>
          <w:r>
            <w:fldChar w:fldCharType="begin"/>
          </w:r>
          <w:r>
            <w:instrText xml:space="preserve"> PAGEREF _Toc2409 \h </w:instrText>
          </w:r>
          <w:r>
            <w:fldChar w:fldCharType="separate"/>
          </w:r>
          <w:r>
            <w:t>38</w:t>
          </w:r>
          <w:r>
            <w:fldChar w:fldCharType="end"/>
          </w:r>
          <w:r>
            <w:rPr>
              <w:bCs/>
            </w:rPr>
            <w:fldChar w:fldCharType="end"/>
          </w:r>
        </w:p>
        <w:p>
          <w:pPr>
            <w:pStyle w:val="14"/>
            <w:tabs>
              <w:tab w:val="right" w:leader="dot" w:pos="9026"/>
            </w:tabs>
          </w:pPr>
          <w:r>
            <w:rPr>
              <w:bCs/>
            </w:rPr>
            <w:fldChar w:fldCharType="begin"/>
          </w:r>
          <w:r>
            <w:rPr>
              <w:bCs/>
            </w:rPr>
            <w:instrText xml:space="preserve"> HYPERLINK \l _Toc17726 </w:instrText>
          </w:r>
          <w:r>
            <w:rPr>
              <w:bCs/>
            </w:rPr>
            <w:fldChar w:fldCharType="separate"/>
          </w:r>
          <w:r>
            <w:t>3.3</w:t>
          </w:r>
          <w:r>
            <w:rPr>
              <w:rFonts w:hint="eastAsia"/>
              <w:lang w:val="en-US" w:eastAsia="zh-CN"/>
            </w:rPr>
            <w:t xml:space="preserve">  </w:t>
          </w:r>
          <w:r>
            <w:t>Sampling</w:t>
          </w:r>
          <w:r>
            <w:tab/>
          </w:r>
          <w:r>
            <w:fldChar w:fldCharType="begin"/>
          </w:r>
          <w:r>
            <w:instrText xml:space="preserve"> PAGEREF _Toc17726 \h </w:instrText>
          </w:r>
          <w:r>
            <w:fldChar w:fldCharType="separate"/>
          </w:r>
          <w:r>
            <w:t>39</w:t>
          </w:r>
          <w:r>
            <w:fldChar w:fldCharType="end"/>
          </w:r>
          <w:r>
            <w:rPr>
              <w:bCs/>
            </w:rPr>
            <w:fldChar w:fldCharType="end"/>
          </w:r>
        </w:p>
        <w:p>
          <w:pPr>
            <w:pStyle w:val="7"/>
            <w:tabs>
              <w:tab w:val="right" w:leader="dot" w:pos="9026"/>
            </w:tabs>
          </w:pPr>
          <w:r>
            <w:rPr>
              <w:bCs/>
            </w:rPr>
            <w:fldChar w:fldCharType="begin"/>
          </w:r>
          <w:r>
            <w:rPr>
              <w:bCs/>
            </w:rPr>
            <w:instrText xml:space="preserve"> HYPERLINK \l _Toc8723 </w:instrText>
          </w:r>
          <w:r>
            <w:rPr>
              <w:bCs/>
            </w:rPr>
            <w:fldChar w:fldCharType="separate"/>
          </w:r>
          <w:r>
            <w:t>3.3.1</w:t>
          </w:r>
          <w:r>
            <w:rPr>
              <w:rFonts w:hint="eastAsia"/>
              <w:lang w:val="en-US" w:eastAsia="zh-CN"/>
            </w:rPr>
            <w:t xml:space="preserve">   </w:t>
          </w:r>
          <w:r>
            <w:t>Purposive Sampling Strategy</w:t>
          </w:r>
          <w:r>
            <w:tab/>
          </w:r>
          <w:r>
            <w:fldChar w:fldCharType="begin"/>
          </w:r>
          <w:r>
            <w:instrText xml:space="preserve"> PAGEREF _Toc8723 \h </w:instrText>
          </w:r>
          <w:r>
            <w:fldChar w:fldCharType="separate"/>
          </w:r>
          <w:r>
            <w:t>39</w:t>
          </w:r>
          <w:r>
            <w:fldChar w:fldCharType="end"/>
          </w:r>
          <w:r>
            <w:rPr>
              <w:bCs/>
            </w:rPr>
            <w:fldChar w:fldCharType="end"/>
          </w:r>
        </w:p>
        <w:p>
          <w:pPr>
            <w:pStyle w:val="7"/>
            <w:tabs>
              <w:tab w:val="right" w:leader="dot" w:pos="9026"/>
            </w:tabs>
          </w:pPr>
          <w:r>
            <w:rPr>
              <w:bCs/>
            </w:rPr>
            <w:fldChar w:fldCharType="begin"/>
          </w:r>
          <w:r>
            <w:rPr>
              <w:bCs/>
            </w:rPr>
            <w:instrText xml:space="preserve"> HYPERLINK \l _Toc10248 </w:instrText>
          </w:r>
          <w:r>
            <w:rPr>
              <w:bCs/>
            </w:rPr>
            <w:fldChar w:fldCharType="separate"/>
          </w:r>
          <w:r>
            <w:t>3.3.2</w:t>
          </w:r>
          <w:r>
            <w:rPr>
              <w:rFonts w:hint="eastAsia"/>
              <w:lang w:val="en-US" w:eastAsia="zh-CN"/>
            </w:rPr>
            <w:t xml:space="preserve">   </w:t>
          </w:r>
          <w:r>
            <w:t>Alternative Sampling Methods and Their Limitations</w:t>
          </w:r>
          <w:r>
            <w:tab/>
          </w:r>
          <w:r>
            <w:fldChar w:fldCharType="begin"/>
          </w:r>
          <w:r>
            <w:instrText xml:space="preserve"> PAGEREF _Toc10248 \h </w:instrText>
          </w:r>
          <w:r>
            <w:fldChar w:fldCharType="separate"/>
          </w:r>
          <w:r>
            <w:t>39</w:t>
          </w:r>
          <w:r>
            <w:fldChar w:fldCharType="end"/>
          </w:r>
          <w:r>
            <w:rPr>
              <w:bCs/>
            </w:rPr>
            <w:fldChar w:fldCharType="end"/>
          </w:r>
        </w:p>
        <w:p>
          <w:pPr>
            <w:pStyle w:val="7"/>
            <w:tabs>
              <w:tab w:val="right" w:leader="dot" w:pos="9026"/>
            </w:tabs>
          </w:pPr>
          <w:r>
            <w:rPr>
              <w:bCs/>
            </w:rPr>
            <w:fldChar w:fldCharType="begin"/>
          </w:r>
          <w:r>
            <w:rPr>
              <w:bCs/>
            </w:rPr>
            <w:instrText xml:space="preserve"> HYPERLINK \l _Toc6273 </w:instrText>
          </w:r>
          <w:r>
            <w:rPr>
              <w:bCs/>
            </w:rPr>
            <w:fldChar w:fldCharType="separate"/>
          </w:r>
          <w:r>
            <w:t>3.3.3</w:t>
          </w:r>
          <w:r>
            <w:rPr>
              <w:rFonts w:hint="eastAsia"/>
              <w:lang w:val="en-US" w:eastAsia="zh-CN"/>
            </w:rPr>
            <w:t xml:space="preserve">   </w:t>
          </w:r>
          <w:r>
            <w:t>Target Population</w:t>
          </w:r>
          <w:r>
            <w:tab/>
          </w:r>
          <w:r>
            <w:fldChar w:fldCharType="begin"/>
          </w:r>
          <w:r>
            <w:instrText xml:space="preserve"> PAGEREF _Toc6273 \h </w:instrText>
          </w:r>
          <w:r>
            <w:fldChar w:fldCharType="separate"/>
          </w:r>
          <w:r>
            <w:t>40</w:t>
          </w:r>
          <w:r>
            <w:fldChar w:fldCharType="end"/>
          </w:r>
          <w:r>
            <w:rPr>
              <w:bCs/>
            </w:rPr>
            <w:fldChar w:fldCharType="end"/>
          </w:r>
        </w:p>
        <w:p>
          <w:pPr>
            <w:pStyle w:val="7"/>
            <w:tabs>
              <w:tab w:val="right" w:leader="dot" w:pos="9026"/>
            </w:tabs>
          </w:pPr>
          <w:r>
            <w:rPr>
              <w:bCs/>
            </w:rPr>
            <w:fldChar w:fldCharType="begin"/>
          </w:r>
          <w:r>
            <w:rPr>
              <w:bCs/>
            </w:rPr>
            <w:instrText xml:space="preserve"> HYPERLINK \l _Toc30969 </w:instrText>
          </w:r>
          <w:r>
            <w:rPr>
              <w:bCs/>
            </w:rPr>
            <w:fldChar w:fldCharType="separate"/>
          </w:r>
          <w:r>
            <w:t>3.3.4</w:t>
          </w:r>
          <w:r>
            <w:rPr>
              <w:rFonts w:hint="eastAsia"/>
              <w:lang w:val="en-US" w:eastAsia="zh-CN"/>
            </w:rPr>
            <w:t xml:space="preserve">   </w:t>
          </w:r>
          <w:r>
            <w:t>Target Population</w:t>
          </w:r>
          <w:r>
            <w:tab/>
          </w:r>
          <w:r>
            <w:fldChar w:fldCharType="begin"/>
          </w:r>
          <w:r>
            <w:instrText xml:space="preserve"> PAGEREF _Toc30969 \h </w:instrText>
          </w:r>
          <w:r>
            <w:fldChar w:fldCharType="separate"/>
          </w:r>
          <w:r>
            <w:t>40</w:t>
          </w:r>
          <w:r>
            <w:fldChar w:fldCharType="end"/>
          </w:r>
          <w:r>
            <w:rPr>
              <w:bCs/>
            </w:rPr>
            <w:fldChar w:fldCharType="end"/>
          </w:r>
        </w:p>
        <w:p>
          <w:pPr>
            <w:pStyle w:val="7"/>
            <w:tabs>
              <w:tab w:val="right" w:leader="dot" w:pos="9026"/>
            </w:tabs>
          </w:pPr>
          <w:r>
            <w:rPr>
              <w:bCs/>
            </w:rPr>
            <w:fldChar w:fldCharType="begin"/>
          </w:r>
          <w:r>
            <w:rPr>
              <w:bCs/>
            </w:rPr>
            <w:instrText xml:space="preserve"> HYPERLINK \l _Toc22294 </w:instrText>
          </w:r>
          <w:r>
            <w:rPr>
              <w:bCs/>
            </w:rPr>
            <w:fldChar w:fldCharType="separate"/>
          </w:r>
          <w:r>
            <w:t>3.3.5</w:t>
          </w:r>
          <w:r>
            <w:rPr>
              <w:rFonts w:hint="eastAsia"/>
              <w:lang w:val="en-US" w:eastAsia="zh-CN"/>
            </w:rPr>
            <w:t xml:space="preserve">   </w:t>
          </w:r>
          <w:r>
            <w:t>Inclusion and Exclusion Criteria</w:t>
          </w:r>
          <w:r>
            <w:tab/>
          </w:r>
          <w:r>
            <w:fldChar w:fldCharType="begin"/>
          </w:r>
          <w:r>
            <w:instrText xml:space="preserve"> PAGEREF _Toc22294 \h </w:instrText>
          </w:r>
          <w:r>
            <w:fldChar w:fldCharType="separate"/>
          </w:r>
          <w:r>
            <w:t>41</w:t>
          </w:r>
          <w:r>
            <w:fldChar w:fldCharType="end"/>
          </w:r>
          <w:r>
            <w:rPr>
              <w:bCs/>
            </w:rPr>
            <w:fldChar w:fldCharType="end"/>
          </w:r>
        </w:p>
        <w:p>
          <w:pPr>
            <w:pStyle w:val="14"/>
            <w:tabs>
              <w:tab w:val="right" w:leader="dot" w:pos="9026"/>
            </w:tabs>
          </w:pPr>
          <w:r>
            <w:rPr>
              <w:bCs/>
            </w:rPr>
            <w:fldChar w:fldCharType="begin"/>
          </w:r>
          <w:r>
            <w:rPr>
              <w:bCs/>
            </w:rPr>
            <w:instrText xml:space="preserve"> HYPERLINK \l _Toc16031 </w:instrText>
          </w:r>
          <w:r>
            <w:rPr>
              <w:bCs/>
            </w:rPr>
            <w:fldChar w:fldCharType="separate"/>
          </w:r>
          <w:r>
            <w:t>3.4</w:t>
          </w:r>
          <w:r>
            <w:rPr>
              <w:rFonts w:hint="eastAsia"/>
              <w:lang w:val="en-US" w:eastAsia="zh-CN"/>
            </w:rPr>
            <w:t xml:space="preserve">  </w:t>
          </w:r>
          <w:r>
            <w:t>Data Collection</w:t>
          </w:r>
          <w:r>
            <w:tab/>
          </w:r>
          <w:r>
            <w:fldChar w:fldCharType="begin"/>
          </w:r>
          <w:r>
            <w:instrText xml:space="preserve"> PAGEREF _Toc16031 \h </w:instrText>
          </w:r>
          <w:r>
            <w:fldChar w:fldCharType="separate"/>
          </w:r>
          <w:r>
            <w:t>42</w:t>
          </w:r>
          <w:r>
            <w:fldChar w:fldCharType="end"/>
          </w:r>
          <w:r>
            <w:rPr>
              <w:bCs/>
            </w:rPr>
            <w:fldChar w:fldCharType="end"/>
          </w:r>
        </w:p>
        <w:p>
          <w:pPr>
            <w:pStyle w:val="7"/>
            <w:tabs>
              <w:tab w:val="right" w:leader="dot" w:pos="9026"/>
            </w:tabs>
          </w:pPr>
          <w:r>
            <w:rPr>
              <w:bCs/>
            </w:rPr>
            <w:fldChar w:fldCharType="begin"/>
          </w:r>
          <w:r>
            <w:rPr>
              <w:bCs/>
            </w:rPr>
            <w:instrText xml:space="preserve"> HYPERLINK \l _Toc16662 </w:instrText>
          </w:r>
          <w:r>
            <w:rPr>
              <w:bCs/>
            </w:rPr>
            <w:fldChar w:fldCharType="separate"/>
          </w:r>
          <w:r>
            <w:t>3.4.1</w:t>
          </w:r>
          <w:r>
            <w:rPr>
              <w:rFonts w:hint="eastAsia"/>
              <w:lang w:val="en-US" w:eastAsia="zh-CN"/>
            </w:rPr>
            <w:t xml:space="preserve">   </w:t>
          </w:r>
          <w:r>
            <w:t>In-Depth, Semi-Structured Interviews</w:t>
          </w:r>
          <w:r>
            <w:tab/>
          </w:r>
          <w:r>
            <w:fldChar w:fldCharType="begin"/>
          </w:r>
          <w:r>
            <w:instrText xml:space="preserve"> PAGEREF _Toc16662 \h </w:instrText>
          </w:r>
          <w:r>
            <w:fldChar w:fldCharType="separate"/>
          </w:r>
          <w:r>
            <w:t>42</w:t>
          </w:r>
          <w:r>
            <w:fldChar w:fldCharType="end"/>
          </w:r>
          <w:r>
            <w:rPr>
              <w:bCs/>
            </w:rPr>
            <w:fldChar w:fldCharType="end"/>
          </w:r>
        </w:p>
        <w:p>
          <w:pPr>
            <w:pStyle w:val="7"/>
            <w:tabs>
              <w:tab w:val="right" w:leader="dot" w:pos="9026"/>
            </w:tabs>
          </w:pPr>
          <w:r>
            <w:rPr>
              <w:bCs/>
            </w:rPr>
            <w:fldChar w:fldCharType="begin"/>
          </w:r>
          <w:r>
            <w:rPr>
              <w:bCs/>
            </w:rPr>
            <w:instrText xml:space="preserve"> HYPERLINK \l _Toc4719 </w:instrText>
          </w:r>
          <w:r>
            <w:rPr>
              <w:bCs/>
            </w:rPr>
            <w:fldChar w:fldCharType="separate"/>
          </w:r>
          <w:r>
            <w:t>3.4.2</w:t>
          </w:r>
          <w:r>
            <w:rPr>
              <w:rFonts w:hint="eastAsia"/>
              <w:lang w:val="en-US" w:eastAsia="zh-CN"/>
            </w:rPr>
            <w:t xml:space="preserve">   </w:t>
          </w:r>
          <w:r>
            <w:t>Development of the Interview Guide</w:t>
          </w:r>
          <w:r>
            <w:tab/>
          </w:r>
          <w:r>
            <w:fldChar w:fldCharType="begin"/>
          </w:r>
          <w:r>
            <w:instrText xml:space="preserve"> PAGEREF _Toc4719 \h </w:instrText>
          </w:r>
          <w:r>
            <w:fldChar w:fldCharType="separate"/>
          </w:r>
          <w:r>
            <w:t>42</w:t>
          </w:r>
          <w:r>
            <w:fldChar w:fldCharType="end"/>
          </w:r>
          <w:r>
            <w:rPr>
              <w:bCs/>
            </w:rPr>
            <w:fldChar w:fldCharType="end"/>
          </w:r>
        </w:p>
        <w:p>
          <w:pPr>
            <w:pStyle w:val="7"/>
            <w:tabs>
              <w:tab w:val="right" w:leader="dot" w:pos="9026"/>
            </w:tabs>
          </w:pPr>
          <w:r>
            <w:rPr>
              <w:bCs/>
            </w:rPr>
            <w:fldChar w:fldCharType="begin"/>
          </w:r>
          <w:r>
            <w:rPr>
              <w:bCs/>
            </w:rPr>
            <w:instrText xml:space="preserve"> HYPERLINK \l _Toc18520 </w:instrText>
          </w:r>
          <w:r>
            <w:rPr>
              <w:bCs/>
            </w:rPr>
            <w:fldChar w:fldCharType="separate"/>
          </w:r>
          <w:r>
            <w:t>3.4.3</w:t>
          </w:r>
          <w:r>
            <w:rPr>
              <w:rFonts w:hint="eastAsia"/>
              <w:lang w:val="en-US" w:eastAsia="zh-CN"/>
            </w:rPr>
            <w:t xml:space="preserve">   </w:t>
          </w:r>
          <w:r>
            <w:t>Face-to-Face Online Interviews</w:t>
          </w:r>
          <w:r>
            <w:tab/>
          </w:r>
          <w:r>
            <w:fldChar w:fldCharType="begin"/>
          </w:r>
          <w:r>
            <w:instrText xml:space="preserve"> PAGEREF _Toc18520 \h </w:instrText>
          </w:r>
          <w:r>
            <w:fldChar w:fldCharType="separate"/>
          </w:r>
          <w:r>
            <w:t>42</w:t>
          </w:r>
          <w:r>
            <w:fldChar w:fldCharType="end"/>
          </w:r>
          <w:r>
            <w:rPr>
              <w:bCs/>
            </w:rPr>
            <w:fldChar w:fldCharType="end"/>
          </w:r>
        </w:p>
        <w:p>
          <w:pPr>
            <w:pStyle w:val="14"/>
            <w:tabs>
              <w:tab w:val="right" w:leader="dot" w:pos="9026"/>
            </w:tabs>
          </w:pPr>
          <w:r>
            <w:rPr>
              <w:bCs/>
            </w:rPr>
            <w:fldChar w:fldCharType="begin"/>
          </w:r>
          <w:r>
            <w:rPr>
              <w:bCs/>
            </w:rPr>
            <w:instrText xml:space="preserve"> HYPERLINK \l _Toc19509 </w:instrText>
          </w:r>
          <w:r>
            <w:rPr>
              <w:bCs/>
            </w:rPr>
            <w:fldChar w:fldCharType="separate"/>
          </w:r>
          <w:r>
            <w:t>3.5</w:t>
          </w:r>
          <w:r>
            <w:rPr>
              <w:rFonts w:hint="eastAsia"/>
              <w:lang w:val="en-US" w:eastAsia="zh-CN"/>
            </w:rPr>
            <w:t xml:space="preserve">  </w:t>
          </w:r>
          <w:r>
            <w:t>Data Analysis</w:t>
          </w:r>
          <w:r>
            <w:tab/>
          </w:r>
          <w:r>
            <w:fldChar w:fldCharType="begin"/>
          </w:r>
          <w:r>
            <w:instrText xml:space="preserve"> PAGEREF _Toc19509 \h </w:instrText>
          </w:r>
          <w:r>
            <w:fldChar w:fldCharType="separate"/>
          </w:r>
          <w:r>
            <w:t>43</w:t>
          </w:r>
          <w:r>
            <w:fldChar w:fldCharType="end"/>
          </w:r>
          <w:r>
            <w:rPr>
              <w:bCs/>
            </w:rPr>
            <w:fldChar w:fldCharType="end"/>
          </w:r>
        </w:p>
        <w:p>
          <w:pPr>
            <w:pStyle w:val="7"/>
            <w:tabs>
              <w:tab w:val="right" w:leader="dot" w:pos="9026"/>
            </w:tabs>
          </w:pPr>
          <w:r>
            <w:rPr>
              <w:bCs/>
            </w:rPr>
            <w:fldChar w:fldCharType="begin"/>
          </w:r>
          <w:r>
            <w:rPr>
              <w:bCs/>
            </w:rPr>
            <w:instrText xml:space="preserve"> HYPERLINK \l _Toc9600 </w:instrText>
          </w:r>
          <w:r>
            <w:rPr>
              <w:bCs/>
            </w:rPr>
            <w:fldChar w:fldCharType="separate"/>
          </w:r>
          <w:r>
            <w:t>3.5.1</w:t>
          </w:r>
          <w:r>
            <w:rPr>
              <w:rFonts w:hint="eastAsia"/>
              <w:lang w:val="en-US" w:eastAsia="zh-CN"/>
            </w:rPr>
            <w:t xml:space="preserve">   </w:t>
          </w:r>
          <w:r>
            <w:t>Thematic Analysis</w:t>
          </w:r>
          <w:r>
            <w:tab/>
          </w:r>
          <w:r>
            <w:fldChar w:fldCharType="begin"/>
          </w:r>
          <w:r>
            <w:instrText xml:space="preserve"> PAGEREF _Toc9600 \h </w:instrText>
          </w:r>
          <w:r>
            <w:fldChar w:fldCharType="separate"/>
          </w:r>
          <w:r>
            <w:t>43</w:t>
          </w:r>
          <w:r>
            <w:fldChar w:fldCharType="end"/>
          </w:r>
          <w:r>
            <w:rPr>
              <w:bCs/>
            </w:rPr>
            <w:fldChar w:fldCharType="end"/>
          </w:r>
        </w:p>
        <w:p>
          <w:pPr>
            <w:pStyle w:val="7"/>
            <w:tabs>
              <w:tab w:val="right" w:leader="dot" w:pos="9026"/>
            </w:tabs>
          </w:pPr>
          <w:r>
            <w:rPr>
              <w:bCs/>
            </w:rPr>
            <w:fldChar w:fldCharType="begin"/>
          </w:r>
          <w:r>
            <w:rPr>
              <w:bCs/>
            </w:rPr>
            <w:instrText xml:space="preserve"> HYPERLINK \l _Toc10728 </w:instrText>
          </w:r>
          <w:r>
            <w:rPr>
              <w:bCs/>
            </w:rPr>
            <w:fldChar w:fldCharType="separate"/>
          </w:r>
          <w:r>
            <w:t>3.5.2</w:t>
          </w:r>
          <w:r>
            <w:rPr>
              <w:rFonts w:hint="eastAsia"/>
              <w:lang w:val="en-US" w:eastAsia="zh-CN"/>
            </w:rPr>
            <w:t xml:space="preserve">   </w:t>
          </w:r>
          <w:r>
            <w:t>Steps in the Analysis Process</w:t>
          </w:r>
          <w:r>
            <w:tab/>
          </w:r>
          <w:r>
            <w:fldChar w:fldCharType="begin"/>
          </w:r>
          <w:r>
            <w:instrText xml:space="preserve"> PAGEREF _Toc10728 \h </w:instrText>
          </w:r>
          <w:r>
            <w:fldChar w:fldCharType="separate"/>
          </w:r>
          <w:r>
            <w:t>43</w:t>
          </w:r>
          <w:r>
            <w:fldChar w:fldCharType="end"/>
          </w:r>
          <w:r>
            <w:rPr>
              <w:bCs/>
            </w:rPr>
            <w:fldChar w:fldCharType="end"/>
          </w:r>
        </w:p>
        <w:p>
          <w:pPr>
            <w:pStyle w:val="14"/>
            <w:tabs>
              <w:tab w:val="right" w:leader="dot" w:pos="9026"/>
            </w:tabs>
          </w:pPr>
          <w:r>
            <w:rPr>
              <w:bCs/>
            </w:rPr>
            <w:fldChar w:fldCharType="begin"/>
          </w:r>
          <w:r>
            <w:rPr>
              <w:bCs/>
            </w:rPr>
            <w:instrText xml:space="preserve"> HYPERLINK \l _Toc28427 </w:instrText>
          </w:r>
          <w:r>
            <w:rPr>
              <w:bCs/>
            </w:rPr>
            <w:fldChar w:fldCharType="separate"/>
          </w:r>
          <w:r>
            <w:t>3.6</w:t>
          </w:r>
          <w:r>
            <w:rPr>
              <w:rFonts w:hint="eastAsia"/>
              <w:lang w:val="en-US" w:eastAsia="zh-CN"/>
            </w:rPr>
            <w:t xml:space="preserve">  </w:t>
          </w:r>
          <w:r>
            <w:t>Ethical Considerations</w:t>
          </w:r>
          <w:r>
            <w:tab/>
          </w:r>
          <w:r>
            <w:fldChar w:fldCharType="begin"/>
          </w:r>
          <w:r>
            <w:instrText xml:space="preserve"> PAGEREF _Toc28427 \h </w:instrText>
          </w:r>
          <w:r>
            <w:fldChar w:fldCharType="separate"/>
          </w:r>
          <w:r>
            <w:t>44</w:t>
          </w:r>
          <w:r>
            <w:fldChar w:fldCharType="end"/>
          </w:r>
          <w:r>
            <w:rPr>
              <w:bCs/>
            </w:rPr>
            <w:fldChar w:fldCharType="end"/>
          </w:r>
        </w:p>
        <w:p>
          <w:pPr>
            <w:pStyle w:val="7"/>
            <w:tabs>
              <w:tab w:val="right" w:leader="dot" w:pos="9026"/>
            </w:tabs>
          </w:pPr>
          <w:r>
            <w:rPr>
              <w:bCs/>
            </w:rPr>
            <w:fldChar w:fldCharType="begin"/>
          </w:r>
          <w:r>
            <w:rPr>
              <w:bCs/>
            </w:rPr>
            <w:instrText xml:space="preserve"> HYPERLINK \l _Toc24320 </w:instrText>
          </w:r>
          <w:r>
            <w:rPr>
              <w:bCs/>
            </w:rPr>
            <w:fldChar w:fldCharType="separate"/>
          </w:r>
          <w:r>
            <w:t>3.6.1</w:t>
          </w:r>
          <w:r>
            <w:rPr>
              <w:rFonts w:hint="eastAsia"/>
              <w:lang w:val="en-US" w:eastAsia="zh-CN"/>
            </w:rPr>
            <w:t xml:space="preserve">   </w:t>
          </w:r>
          <w:r>
            <w:t>Informed Consent</w:t>
          </w:r>
          <w:r>
            <w:tab/>
          </w:r>
          <w:r>
            <w:fldChar w:fldCharType="begin"/>
          </w:r>
          <w:r>
            <w:instrText xml:space="preserve"> PAGEREF _Toc24320 \h </w:instrText>
          </w:r>
          <w:r>
            <w:fldChar w:fldCharType="separate"/>
          </w:r>
          <w:r>
            <w:t>44</w:t>
          </w:r>
          <w:r>
            <w:fldChar w:fldCharType="end"/>
          </w:r>
          <w:r>
            <w:rPr>
              <w:bCs/>
            </w:rPr>
            <w:fldChar w:fldCharType="end"/>
          </w:r>
        </w:p>
        <w:p>
          <w:pPr>
            <w:pStyle w:val="7"/>
            <w:tabs>
              <w:tab w:val="right" w:leader="dot" w:pos="9026"/>
            </w:tabs>
          </w:pPr>
          <w:r>
            <w:rPr>
              <w:bCs/>
            </w:rPr>
            <w:fldChar w:fldCharType="begin"/>
          </w:r>
          <w:r>
            <w:rPr>
              <w:bCs/>
            </w:rPr>
            <w:instrText xml:space="preserve"> HYPERLINK \l _Toc28084 </w:instrText>
          </w:r>
          <w:r>
            <w:rPr>
              <w:bCs/>
            </w:rPr>
            <w:fldChar w:fldCharType="separate"/>
          </w:r>
          <w:r>
            <w:t>3.6.2</w:t>
          </w:r>
          <w:r>
            <w:rPr>
              <w:rFonts w:hint="eastAsia"/>
              <w:lang w:val="en-US" w:eastAsia="zh-CN"/>
            </w:rPr>
            <w:t xml:space="preserve">   </w:t>
          </w:r>
          <w:r>
            <w:t>Confidentiality and Anonymity</w:t>
          </w:r>
          <w:r>
            <w:tab/>
          </w:r>
          <w:r>
            <w:fldChar w:fldCharType="begin"/>
          </w:r>
          <w:r>
            <w:instrText xml:space="preserve"> PAGEREF _Toc28084 \h </w:instrText>
          </w:r>
          <w:r>
            <w:fldChar w:fldCharType="separate"/>
          </w:r>
          <w:r>
            <w:t>44</w:t>
          </w:r>
          <w:r>
            <w:fldChar w:fldCharType="end"/>
          </w:r>
          <w:r>
            <w:rPr>
              <w:bCs/>
            </w:rPr>
            <w:fldChar w:fldCharType="end"/>
          </w:r>
        </w:p>
        <w:p>
          <w:pPr>
            <w:pStyle w:val="7"/>
            <w:tabs>
              <w:tab w:val="right" w:leader="dot" w:pos="9026"/>
            </w:tabs>
          </w:pPr>
          <w:r>
            <w:rPr>
              <w:bCs/>
            </w:rPr>
            <w:fldChar w:fldCharType="begin"/>
          </w:r>
          <w:r>
            <w:rPr>
              <w:bCs/>
            </w:rPr>
            <w:instrText xml:space="preserve"> HYPERLINK \l _Toc4051 </w:instrText>
          </w:r>
          <w:r>
            <w:rPr>
              <w:bCs/>
            </w:rPr>
            <w:fldChar w:fldCharType="separate"/>
          </w:r>
          <w:r>
            <w:t>3.6.3</w:t>
          </w:r>
          <w:r>
            <w:rPr>
              <w:rFonts w:hint="eastAsia"/>
              <w:lang w:val="en-US" w:eastAsia="zh-CN"/>
            </w:rPr>
            <w:t xml:space="preserve">   </w:t>
          </w:r>
          <w:r>
            <w:t>Minimizing Harm to Participants</w:t>
          </w:r>
          <w:r>
            <w:tab/>
          </w:r>
          <w:r>
            <w:fldChar w:fldCharType="begin"/>
          </w:r>
          <w:r>
            <w:instrText xml:space="preserve"> PAGEREF _Toc4051 \h </w:instrText>
          </w:r>
          <w:r>
            <w:fldChar w:fldCharType="separate"/>
          </w:r>
          <w:r>
            <w:t>45</w:t>
          </w:r>
          <w:r>
            <w:fldChar w:fldCharType="end"/>
          </w:r>
          <w:r>
            <w:rPr>
              <w:bCs/>
            </w:rPr>
            <w:fldChar w:fldCharType="end"/>
          </w:r>
        </w:p>
        <w:p>
          <w:pPr>
            <w:pStyle w:val="14"/>
            <w:tabs>
              <w:tab w:val="right" w:leader="dot" w:pos="9026"/>
            </w:tabs>
          </w:pPr>
          <w:r>
            <w:rPr>
              <w:bCs/>
            </w:rPr>
            <w:fldChar w:fldCharType="begin"/>
          </w:r>
          <w:r>
            <w:rPr>
              <w:bCs/>
            </w:rPr>
            <w:instrText xml:space="preserve"> HYPERLINK \l _Toc16629 </w:instrText>
          </w:r>
          <w:r>
            <w:rPr>
              <w:bCs/>
            </w:rPr>
            <w:fldChar w:fldCharType="separate"/>
          </w:r>
          <w:r>
            <w:t>3.7</w:t>
          </w:r>
          <w:r>
            <w:rPr>
              <w:rFonts w:hint="eastAsia"/>
              <w:lang w:val="en-US" w:eastAsia="zh-CN"/>
            </w:rPr>
            <w:t xml:space="preserve">  </w:t>
          </w:r>
          <w:r>
            <w:t>Trustworthiness and Rigor</w:t>
          </w:r>
          <w:r>
            <w:tab/>
          </w:r>
          <w:r>
            <w:fldChar w:fldCharType="begin"/>
          </w:r>
          <w:r>
            <w:instrText xml:space="preserve"> PAGEREF _Toc16629 \h </w:instrText>
          </w:r>
          <w:r>
            <w:fldChar w:fldCharType="separate"/>
          </w:r>
          <w:r>
            <w:t>45</w:t>
          </w:r>
          <w:r>
            <w:fldChar w:fldCharType="end"/>
          </w:r>
          <w:r>
            <w:rPr>
              <w:bCs/>
            </w:rPr>
            <w:fldChar w:fldCharType="end"/>
          </w:r>
        </w:p>
        <w:p>
          <w:pPr>
            <w:pStyle w:val="7"/>
            <w:tabs>
              <w:tab w:val="right" w:leader="dot" w:pos="9026"/>
            </w:tabs>
          </w:pPr>
          <w:r>
            <w:rPr>
              <w:bCs/>
            </w:rPr>
            <w:fldChar w:fldCharType="begin"/>
          </w:r>
          <w:r>
            <w:rPr>
              <w:bCs/>
            </w:rPr>
            <w:instrText xml:space="preserve"> HYPERLINK \l _Toc8320 </w:instrText>
          </w:r>
          <w:r>
            <w:rPr>
              <w:bCs/>
            </w:rPr>
            <w:fldChar w:fldCharType="separate"/>
          </w:r>
          <w:r>
            <w:t>3.7.1</w:t>
          </w:r>
          <w:r>
            <w:rPr>
              <w:rFonts w:hint="eastAsia"/>
              <w:lang w:val="en-US" w:eastAsia="zh-CN"/>
            </w:rPr>
            <w:t xml:space="preserve">   </w:t>
          </w:r>
          <w:r>
            <w:t>Credibility, Transferability, Dependability, and Confirmability</w:t>
          </w:r>
          <w:r>
            <w:tab/>
          </w:r>
          <w:r>
            <w:fldChar w:fldCharType="begin"/>
          </w:r>
          <w:r>
            <w:instrText xml:space="preserve"> PAGEREF _Toc8320 \h </w:instrText>
          </w:r>
          <w:r>
            <w:fldChar w:fldCharType="separate"/>
          </w:r>
          <w:r>
            <w:t>45</w:t>
          </w:r>
          <w:r>
            <w:fldChar w:fldCharType="end"/>
          </w:r>
          <w:r>
            <w:rPr>
              <w:bCs/>
            </w:rPr>
            <w:fldChar w:fldCharType="end"/>
          </w:r>
        </w:p>
        <w:p>
          <w:pPr>
            <w:pStyle w:val="7"/>
            <w:tabs>
              <w:tab w:val="right" w:leader="dot" w:pos="9026"/>
            </w:tabs>
          </w:pPr>
          <w:r>
            <w:rPr>
              <w:bCs/>
            </w:rPr>
            <w:fldChar w:fldCharType="begin"/>
          </w:r>
          <w:r>
            <w:rPr>
              <w:bCs/>
            </w:rPr>
            <w:instrText xml:space="preserve"> HYPERLINK \l _Toc15546 </w:instrText>
          </w:r>
          <w:r>
            <w:rPr>
              <w:bCs/>
            </w:rPr>
            <w:fldChar w:fldCharType="separate"/>
          </w:r>
          <w:r>
            <w:t>3.7.2</w:t>
          </w:r>
          <w:r>
            <w:rPr>
              <w:rFonts w:hint="eastAsia"/>
              <w:lang w:val="en-US" w:eastAsia="zh-CN"/>
            </w:rPr>
            <w:t xml:space="preserve">   </w:t>
          </w:r>
          <w:r>
            <w:t>Strategies to Enhance Trustworthiness and Rigor</w:t>
          </w:r>
          <w:r>
            <w:tab/>
          </w:r>
          <w:r>
            <w:fldChar w:fldCharType="begin"/>
          </w:r>
          <w:r>
            <w:instrText xml:space="preserve"> PAGEREF _Toc15546 \h </w:instrText>
          </w:r>
          <w:r>
            <w:fldChar w:fldCharType="separate"/>
          </w:r>
          <w:r>
            <w:t>46</w:t>
          </w:r>
          <w:r>
            <w:fldChar w:fldCharType="end"/>
          </w:r>
          <w:r>
            <w:rPr>
              <w:bCs/>
            </w:rPr>
            <w:fldChar w:fldCharType="end"/>
          </w:r>
        </w:p>
        <w:p>
          <w:pPr>
            <w:pStyle w:val="14"/>
            <w:tabs>
              <w:tab w:val="right" w:leader="dot" w:pos="9026"/>
            </w:tabs>
          </w:pPr>
          <w:r>
            <w:rPr>
              <w:bCs/>
            </w:rPr>
            <w:fldChar w:fldCharType="begin"/>
          </w:r>
          <w:r>
            <w:rPr>
              <w:bCs/>
            </w:rPr>
            <w:instrText xml:space="preserve"> HYPERLINK \l _Toc15464 </w:instrText>
          </w:r>
          <w:r>
            <w:rPr>
              <w:bCs/>
            </w:rPr>
            <w:fldChar w:fldCharType="separate"/>
          </w:r>
          <w:r>
            <w:t>3.8</w:t>
          </w:r>
          <w:r>
            <w:rPr>
              <w:rFonts w:hint="eastAsia"/>
              <w:lang w:val="en-US" w:eastAsia="zh-CN"/>
            </w:rPr>
            <w:t xml:space="preserve">  </w:t>
          </w:r>
          <w:r>
            <w:t>Limitations and Delimitations</w:t>
          </w:r>
          <w:r>
            <w:tab/>
          </w:r>
          <w:r>
            <w:fldChar w:fldCharType="begin"/>
          </w:r>
          <w:r>
            <w:instrText xml:space="preserve"> PAGEREF _Toc15464 \h </w:instrText>
          </w:r>
          <w:r>
            <w:fldChar w:fldCharType="separate"/>
          </w:r>
          <w:r>
            <w:t>46</w:t>
          </w:r>
          <w:r>
            <w:fldChar w:fldCharType="end"/>
          </w:r>
          <w:r>
            <w:rPr>
              <w:bCs/>
            </w:rPr>
            <w:fldChar w:fldCharType="end"/>
          </w:r>
        </w:p>
        <w:p>
          <w:pPr>
            <w:pStyle w:val="7"/>
            <w:tabs>
              <w:tab w:val="right" w:leader="dot" w:pos="9026"/>
            </w:tabs>
          </w:pPr>
          <w:r>
            <w:rPr>
              <w:bCs/>
            </w:rPr>
            <w:fldChar w:fldCharType="begin"/>
          </w:r>
          <w:r>
            <w:rPr>
              <w:bCs/>
            </w:rPr>
            <w:instrText xml:space="preserve"> HYPERLINK \l _Toc29053 </w:instrText>
          </w:r>
          <w:r>
            <w:rPr>
              <w:bCs/>
            </w:rPr>
            <w:fldChar w:fldCharType="separate"/>
          </w:r>
          <w:r>
            <w:t>3.8.1</w:t>
          </w:r>
          <w:r>
            <w:rPr>
              <w:rFonts w:hint="eastAsia"/>
              <w:lang w:val="en-US" w:eastAsia="zh-CN"/>
            </w:rPr>
            <w:t xml:space="preserve">   </w:t>
          </w:r>
          <w:r>
            <w:t>Potential Limitations of the Study</w:t>
          </w:r>
          <w:r>
            <w:tab/>
          </w:r>
          <w:r>
            <w:fldChar w:fldCharType="begin"/>
          </w:r>
          <w:r>
            <w:instrText xml:space="preserve"> PAGEREF _Toc29053 \h </w:instrText>
          </w:r>
          <w:r>
            <w:fldChar w:fldCharType="separate"/>
          </w:r>
          <w:r>
            <w:t>46</w:t>
          </w:r>
          <w:r>
            <w:fldChar w:fldCharType="end"/>
          </w:r>
          <w:r>
            <w:rPr>
              <w:bCs/>
            </w:rPr>
            <w:fldChar w:fldCharType="end"/>
          </w:r>
        </w:p>
        <w:p>
          <w:pPr>
            <w:pStyle w:val="7"/>
            <w:tabs>
              <w:tab w:val="right" w:leader="dot" w:pos="9026"/>
            </w:tabs>
          </w:pPr>
          <w:r>
            <w:rPr>
              <w:bCs/>
            </w:rPr>
            <w:fldChar w:fldCharType="begin"/>
          </w:r>
          <w:r>
            <w:rPr>
              <w:bCs/>
            </w:rPr>
            <w:instrText xml:space="preserve"> HYPERLINK \l _Toc25165 </w:instrText>
          </w:r>
          <w:r>
            <w:rPr>
              <w:bCs/>
            </w:rPr>
            <w:fldChar w:fldCharType="separate"/>
          </w:r>
          <w:r>
            <w:t>3.8.2</w:t>
          </w:r>
          <w:r>
            <w:rPr>
              <w:rFonts w:hint="eastAsia"/>
              <w:lang w:val="en-US" w:eastAsia="zh-CN"/>
            </w:rPr>
            <w:t xml:space="preserve">   </w:t>
          </w:r>
          <w:r>
            <w:t>Scope and Boundaries of the Research</w:t>
          </w:r>
          <w:r>
            <w:tab/>
          </w:r>
          <w:r>
            <w:fldChar w:fldCharType="begin"/>
          </w:r>
          <w:r>
            <w:instrText xml:space="preserve"> PAGEREF _Toc25165 \h </w:instrText>
          </w:r>
          <w:r>
            <w:fldChar w:fldCharType="separate"/>
          </w:r>
          <w:r>
            <w:t>47</w:t>
          </w:r>
          <w:r>
            <w:fldChar w:fldCharType="end"/>
          </w:r>
          <w:r>
            <w:rPr>
              <w:bCs/>
            </w:rPr>
            <w:fldChar w:fldCharType="end"/>
          </w:r>
        </w:p>
        <w:p>
          <w:pPr>
            <w:pStyle w:val="14"/>
            <w:tabs>
              <w:tab w:val="right" w:leader="dot" w:pos="9026"/>
            </w:tabs>
          </w:pPr>
          <w:r>
            <w:rPr>
              <w:bCs/>
            </w:rPr>
            <w:fldChar w:fldCharType="begin"/>
          </w:r>
          <w:r>
            <w:rPr>
              <w:bCs/>
            </w:rPr>
            <w:instrText xml:space="preserve"> HYPERLINK \l _Toc6753 </w:instrText>
          </w:r>
          <w:r>
            <w:rPr>
              <w:bCs/>
            </w:rPr>
            <w:fldChar w:fldCharType="separate"/>
          </w:r>
          <w:r>
            <w:t>3.9</w:t>
          </w:r>
          <w:r>
            <w:rPr>
              <w:rFonts w:hint="eastAsia"/>
              <w:lang w:val="en-US" w:eastAsia="zh-CN"/>
            </w:rPr>
            <w:t xml:space="preserve">  </w:t>
          </w:r>
          <w:r>
            <w:t>Conclusion to Methodology</w:t>
          </w:r>
          <w:r>
            <w:tab/>
          </w:r>
          <w:r>
            <w:fldChar w:fldCharType="begin"/>
          </w:r>
          <w:r>
            <w:instrText xml:space="preserve"> PAGEREF _Toc6753 \h </w:instrText>
          </w:r>
          <w:r>
            <w:fldChar w:fldCharType="separate"/>
          </w:r>
          <w:r>
            <w:t>47</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_Toc25229 </w:instrText>
          </w:r>
          <w:r>
            <w:rPr>
              <w:bCs/>
            </w:rPr>
            <w:fldChar w:fldCharType="separate"/>
          </w:r>
          <w:r>
            <w:t>Chapter 4</w:t>
          </w:r>
          <w:r>
            <w:tab/>
          </w:r>
          <w:r>
            <w:rPr>
              <w:rFonts w:hint="eastAsia" w:eastAsia="宋体"/>
              <w:lang w:val="en-US" w:eastAsia="zh-CN"/>
            </w:rPr>
            <w:t xml:space="preserve">        </w:t>
          </w:r>
          <w:r>
            <w:t>Presentation of the Data</w:t>
          </w:r>
          <w:r>
            <w:tab/>
          </w:r>
          <w:r>
            <w:fldChar w:fldCharType="begin"/>
          </w:r>
          <w:r>
            <w:instrText xml:space="preserve"> PAGEREF _Toc25229 \h </w:instrText>
          </w:r>
          <w:r>
            <w:fldChar w:fldCharType="separate"/>
          </w:r>
          <w:r>
            <w:t>49</w:t>
          </w:r>
          <w:r>
            <w:fldChar w:fldCharType="end"/>
          </w:r>
          <w:r>
            <w:rPr>
              <w:bCs/>
            </w:rPr>
            <w:fldChar w:fldCharType="end"/>
          </w:r>
        </w:p>
        <w:p>
          <w:pPr>
            <w:pStyle w:val="14"/>
            <w:tabs>
              <w:tab w:val="right" w:leader="dot" w:pos="9026"/>
            </w:tabs>
          </w:pPr>
          <w:r>
            <w:rPr>
              <w:bCs/>
            </w:rPr>
            <w:fldChar w:fldCharType="begin"/>
          </w:r>
          <w:r>
            <w:rPr>
              <w:bCs/>
            </w:rPr>
            <w:instrText xml:space="preserve"> HYPERLINK \l _Toc18694 </w:instrText>
          </w:r>
          <w:r>
            <w:rPr>
              <w:bCs/>
            </w:rPr>
            <w:fldChar w:fldCharType="separate"/>
          </w:r>
          <w:r>
            <w:t>4.1</w:t>
          </w:r>
          <w:r>
            <w:rPr>
              <w:rFonts w:hint="eastAsia"/>
              <w:lang w:val="en-US" w:eastAsia="zh-CN"/>
            </w:rPr>
            <w:t xml:space="preserve">  </w:t>
          </w:r>
          <w:r>
            <w:t>Data Collection Overview</w:t>
          </w:r>
          <w:r>
            <w:tab/>
          </w:r>
          <w:r>
            <w:fldChar w:fldCharType="begin"/>
          </w:r>
          <w:r>
            <w:instrText xml:space="preserve"> PAGEREF _Toc18694 \h </w:instrText>
          </w:r>
          <w:r>
            <w:fldChar w:fldCharType="separate"/>
          </w:r>
          <w:r>
            <w:t>49</w:t>
          </w:r>
          <w:r>
            <w:fldChar w:fldCharType="end"/>
          </w:r>
          <w:r>
            <w:rPr>
              <w:bCs/>
            </w:rPr>
            <w:fldChar w:fldCharType="end"/>
          </w:r>
        </w:p>
        <w:p>
          <w:pPr>
            <w:pStyle w:val="14"/>
            <w:tabs>
              <w:tab w:val="right" w:leader="dot" w:pos="9026"/>
            </w:tabs>
          </w:pPr>
          <w:r>
            <w:rPr>
              <w:bCs/>
            </w:rPr>
            <w:fldChar w:fldCharType="begin"/>
          </w:r>
          <w:r>
            <w:rPr>
              <w:bCs/>
            </w:rPr>
            <w:instrText xml:space="preserve"> HYPERLINK \l _Toc26643 </w:instrText>
          </w:r>
          <w:r>
            <w:rPr>
              <w:bCs/>
            </w:rPr>
            <w:fldChar w:fldCharType="separate"/>
          </w:r>
          <w:r>
            <w:t>4.2</w:t>
          </w:r>
          <w:r>
            <w:rPr>
              <w:rFonts w:hint="eastAsia"/>
              <w:lang w:val="en-US" w:eastAsia="zh-CN"/>
            </w:rPr>
            <w:t xml:space="preserve">  </w:t>
          </w:r>
          <w:r>
            <w:t>Data Analysis Methodology</w:t>
          </w:r>
          <w:r>
            <w:tab/>
          </w:r>
          <w:r>
            <w:fldChar w:fldCharType="begin"/>
          </w:r>
          <w:r>
            <w:instrText xml:space="preserve"> PAGEREF _Toc26643 \h </w:instrText>
          </w:r>
          <w:r>
            <w:fldChar w:fldCharType="separate"/>
          </w:r>
          <w:r>
            <w:t>50</w:t>
          </w:r>
          <w:r>
            <w:fldChar w:fldCharType="end"/>
          </w:r>
          <w:r>
            <w:rPr>
              <w:bCs/>
            </w:rPr>
            <w:fldChar w:fldCharType="end"/>
          </w:r>
        </w:p>
        <w:p>
          <w:pPr>
            <w:pStyle w:val="14"/>
            <w:tabs>
              <w:tab w:val="right" w:leader="dot" w:pos="9026"/>
            </w:tabs>
          </w:pPr>
          <w:r>
            <w:rPr>
              <w:bCs/>
            </w:rPr>
            <w:fldChar w:fldCharType="begin"/>
          </w:r>
          <w:r>
            <w:rPr>
              <w:bCs/>
            </w:rPr>
            <w:instrText xml:space="preserve"> HYPERLINK \l _Toc9521 </w:instrText>
          </w:r>
          <w:r>
            <w:rPr>
              <w:bCs/>
            </w:rPr>
            <w:fldChar w:fldCharType="separate"/>
          </w:r>
          <w:r>
            <w:t>4.3</w:t>
          </w:r>
          <w:r>
            <w:rPr>
              <w:rFonts w:hint="eastAsia"/>
              <w:lang w:val="en-US" w:eastAsia="zh-CN"/>
            </w:rPr>
            <w:t xml:space="preserve">  </w:t>
          </w:r>
          <w:r>
            <w:t>Presentation of Themes</w:t>
          </w:r>
          <w:r>
            <w:tab/>
          </w:r>
          <w:r>
            <w:fldChar w:fldCharType="begin"/>
          </w:r>
          <w:r>
            <w:instrText xml:space="preserve"> PAGEREF _Toc9521 \h </w:instrText>
          </w:r>
          <w:r>
            <w:fldChar w:fldCharType="separate"/>
          </w:r>
          <w:r>
            <w:t>50</w:t>
          </w:r>
          <w:r>
            <w:fldChar w:fldCharType="end"/>
          </w:r>
          <w:r>
            <w:rPr>
              <w:bCs/>
            </w:rPr>
            <w:fldChar w:fldCharType="end"/>
          </w:r>
        </w:p>
        <w:p>
          <w:pPr>
            <w:pStyle w:val="7"/>
            <w:tabs>
              <w:tab w:val="right" w:leader="dot" w:pos="9026"/>
            </w:tabs>
          </w:pPr>
          <w:r>
            <w:rPr>
              <w:bCs/>
            </w:rPr>
            <w:fldChar w:fldCharType="begin"/>
          </w:r>
          <w:r>
            <w:rPr>
              <w:bCs/>
            </w:rPr>
            <w:instrText xml:space="preserve"> HYPERLINK \l _Toc10742 </w:instrText>
          </w:r>
          <w:r>
            <w:rPr>
              <w:bCs/>
            </w:rPr>
            <w:fldChar w:fldCharType="separate"/>
          </w:r>
          <w:r>
            <w:t>4.3.1</w:t>
          </w:r>
          <w:r>
            <w:rPr>
              <w:rFonts w:hint="eastAsia"/>
              <w:lang w:val="en-US" w:eastAsia="zh-CN"/>
            </w:rPr>
            <w:t xml:space="preserve">   </w:t>
          </w:r>
          <w:r>
            <w:t>Theme 1: Motivations for Participation</w:t>
          </w:r>
          <w:r>
            <w:tab/>
          </w:r>
          <w:r>
            <w:fldChar w:fldCharType="begin"/>
          </w:r>
          <w:r>
            <w:instrText xml:space="preserve"> PAGEREF _Toc10742 \h </w:instrText>
          </w:r>
          <w:r>
            <w:fldChar w:fldCharType="separate"/>
          </w:r>
          <w:r>
            <w:t>50</w:t>
          </w:r>
          <w:r>
            <w:fldChar w:fldCharType="end"/>
          </w:r>
          <w:r>
            <w:rPr>
              <w:bCs/>
            </w:rPr>
            <w:fldChar w:fldCharType="end"/>
          </w:r>
        </w:p>
        <w:p>
          <w:pPr>
            <w:pStyle w:val="7"/>
            <w:tabs>
              <w:tab w:val="right" w:leader="dot" w:pos="9026"/>
            </w:tabs>
          </w:pPr>
          <w:r>
            <w:rPr>
              <w:bCs/>
            </w:rPr>
            <w:fldChar w:fldCharType="begin"/>
          </w:r>
          <w:r>
            <w:rPr>
              <w:bCs/>
            </w:rPr>
            <w:instrText xml:space="preserve"> HYPERLINK \l _Toc1659 </w:instrText>
          </w:r>
          <w:r>
            <w:rPr>
              <w:bCs/>
            </w:rPr>
            <w:fldChar w:fldCharType="separate"/>
          </w:r>
          <w:r>
            <w:t>4.3.2</w:t>
          </w:r>
          <w:r>
            <w:rPr>
              <w:rFonts w:hint="eastAsia"/>
              <w:lang w:val="en-US" w:eastAsia="zh-CN"/>
            </w:rPr>
            <w:t xml:space="preserve">   </w:t>
          </w:r>
          <w:r>
            <w:t xml:space="preserve">Theme 2: </w:t>
          </w:r>
          <w:r>
            <w:rPr>
              <w:rFonts w:hint="eastAsia"/>
            </w:rPr>
            <w:t>E</w:t>
          </w:r>
          <w:r>
            <w:t>xpectations of Content, Delivery, and Outcomes</w:t>
          </w:r>
          <w:r>
            <w:tab/>
          </w:r>
          <w:r>
            <w:fldChar w:fldCharType="begin"/>
          </w:r>
          <w:r>
            <w:instrText xml:space="preserve"> PAGEREF _Toc1659 \h </w:instrText>
          </w:r>
          <w:r>
            <w:fldChar w:fldCharType="separate"/>
          </w:r>
          <w:r>
            <w:t>52</w:t>
          </w:r>
          <w:r>
            <w:fldChar w:fldCharType="end"/>
          </w:r>
          <w:r>
            <w:rPr>
              <w:bCs/>
            </w:rPr>
            <w:fldChar w:fldCharType="end"/>
          </w:r>
        </w:p>
        <w:p>
          <w:pPr>
            <w:pStyle w:val="7"/>
            <w:tabs>
              <w:tab w:val="right" w:leader="dot" w:pos="9026"/>
            </w:tabs>
          </w:pPr>
          <w:r>
            <w:rPr>
              <w:bCs/>
            </w:rPr>
            <w:fldChar w:fldCharType="begin"/>
          </w:r>
          <w:r>
            <w:rPr>
              <w:bCs/>
            </w:rPr>
            <w:instrText xml:space="preserve"> HYPERLINK \l _Toc4827 </w:instrText>
          </w:r>
          <w:r>
            <w:rPr>
              <w:bCs/>
            </w:rPr>
            <w:fldChar w:fldCharType="separate"/>
          </w:r>
          <w:r>
            <w:t>4.3.3</w:t>
          </w:r>
          <w:r>
            <w:rPr>
              <w:rFonts w:hint="eastAsia"/>
              <w:lang w:val="en-US" w:eastAsia="zh-CN"/>
            </w:rPr>
            <w:t xml:space="preserve">   </w:t>
          </w:r>
          <w:r>
            <w:t>Theme 3: Approaches of Private Training Companies</w:t>
          </w:r>
          <w:r>
            <w:tab/>
          </w:r>
          <w:r>
            <w:fldChar w:fldCharType="begin"/>
          </w:r>
          <w:r>
            <w:instrText xml:space="preserve"> PAGEREF _Toc4827 \h </w:instrText>
          </w:r>
          <w:r>
            <w:fldChar w:fldCharType="separate"/>
          </w:r>
          <w:r>
            <w:t>54</w:t>
          </w:r>
          <w:r>
            <w:fldChar w:fldCharType="end"/>
          </w:r>
          <w:r>
            <w:rPr>
              <w:bCs/>
            </w:rPr>
            <w:fldChar w:fldCharType="end"/>
          </w:r>
        </w:p>
        <w:p>
          <w:pPr>
            <w:pStyle w:val="7"/>
            <w:tabs>
              <w:tab w:val="right" w:leader="dot" w:pos="9026"/>
            </w:tabs>
          </w:pPr>
          <w:r>
            <w:rPr>
              <w:bCs/>
            </w:rPr>
            <w:fldChar w:fldCharType="begin"/>
          </w:r>
          <w:r>
            <w:rPr>
              <w:bCs/>
            </w:rPr>
            <w:instrText xml:space="preserve"> HYPERLINK \l _Toc8353 </w:instrText>
          </w:r>
          <w:r>
            <w:rPr>
              <w:bCs/>
            </w:rPr>
            <w:fldChar w:fldCharType="separate"/>
          </w:r>
          <w:r>
            <w:t>4.3.4</w:t>
          </w:r>
          <w:r>
            <w:rPr>
              <w:rFonts w:hint="eastAsia"/>
              <w:lang w:val="en-US" w:eastAsia="zh-CN"/>
            </w:rPr>
            <w:t xml:space="preserve">   </w:t>
          </w:r>
          <w:r>
            <w:t>Theme 4: Perceived Benefits and Challenges</w:t>
          </w:r>
          <w:r>
            <w:tab/>
          </w:r>
          <w:r>
            <w:fldChar w:fldCharType="begin"/>
          </w:r>
          <w:r>
            <w:instrText xml:space="preserve"> PAGEREF _Toc8353 \h </w:instrText>
          </w:r>
          <w:r>
            <w:fldChar w:fldCharType="separate"/>
          </w:r>
          <w:r>
            <w:t>55</w:t>
          </w:r>
          <w:r>
            <w:fldChar w:fldCharType="end"/>
          </w:r>
          <w:r>
            <w:rPr>
              <w:bCs/>
            </w:rPr>
            <w:fldChar w:fldCharType="end"/>
          </w:r>
        </w:p>
        <w:p>
          <w:pPr>
            <w:pStyle w:val="14"/>
            <w:tabs>
              <w:tab w:val="right" w:leader="dot" w:pos="9026"/>
            </w:tabs>
          </w:pPr>
          <w:r>
            <w:rPr>
              <w:bCs/>
            </w:rPr>
            <w:fldChar w:fldCharType="begin"/>
          </w:r>
          <w:r>
            <w:rPr>
              <w:bCs/>
            </w:rPr>
            <w:instrText xml:space="preserve"> HYPERLINK \l _Toc21649 </w:instrText>
          </w:r>
          <w:r>
            <w:rPr>
              <w:bCs/>
            </w:rPr>
            <w:fldChar w:fldCharType="separate"/>
          </w:r>
          <w:r>
            <w:t>4.4</w:t>
          </w:r>
          <w:r>
            <w:rPr>
              <w:rFonts w:hint="eastAsia"/>
              <w:lang w:val="en-US" w:eastAsia="zh-CN"/>
            </w:rPr>
            <w:t xml:space="preserve">  </w:t>
          </w:r>
          <w:r>
            <w:t>Summary of Key Findings</w:t>
          </w:r>
          <w:r>
            <w:tab/>
          </w:r>
          <w:r>
            <w:fldChar w:fldCharType="begin"/>
          </w:r>
          <w:r>
            <w:instrText xml:space="preserve"> PAGEREF _Toc21649 \h </w:instrText>
          </w:r>
          <w:r>
            <w:fldChar w:fldCharType="separate"/>
          </w:r>
          <w:r>
            <w:t>57</w:t>
          </w:r>
          <w:r>
            <w:fldChar w:fldCharType="end"/>
          </w:r>
          <w:r>
            <w:rPr>
              <w:bCs/>
            </w:rPr>
            <w:fldChar w:fldCharType="end"/>
          </w:r>
        </w:p>
        <w:p>
          <w:pPr>
            <w:pStyle w:val="14"/>
            <w:tabs>
              <w:tab w:val="right" w:leader="dot" w:pos="9026"/>
            </w:tabs>
          </w:pPr>
          <w:r>
            <w:rPr>
              <w:bCs/>
            </w:rPr>
            <w:fldChar w:fldCharType="begin"/>
          </w:r>
          <w:r>
            <w:rPr>
              <w:bCs/>
            </w:rPr>
            <w:instrText xml:space="preserve"> HYPERLINK \l _Toc32555 </w:instrText>
          </w:r>
          <w:r>
            <w:rPr>
              <w:bCs/>
            </w:rPr>
            <w:fldChar w:fldCharType="separate"/>
          </w:r>
          <w:r>
            <w:t>4.5</w:t>
          </w:r>
          <w:r>
            <w:rPr>
              <w:rFonts w:hint="eastAsia"/>
              <w:lang w:val="en-US" w:eastAsia="zh-CN"/>
            </w:rPr>
            <w:t xml:space="preserve">  </w:t>
          </w:r>
          <w:r>
            <w:t>Conclusion</w:t>
          </w:r>
          <w:r>
            <w:tab/>
          </w:r>
          <w:r>
            <w:fldChar w:fldCharType="begin"/>
          </w:r>
          <w:r>
            <w:instrText xml:space="preserve"> PAGEREF _Toc32555 \h </w:instrText>
          </w:r>
          <w:r>
            <w:fldChar w:fldCharType="separate"/>
          </w:r>
          <w:r>
            <w:t>59</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_Toc20876 </w:instrText>
          </w:r>
          <w:r>
            <w:rPr>
              <w:bCs/>
            </w:rPr>
            <w:fldChar w:fldCharType="separate"/>
          </w:r>
          <w:r>
            <w:t>Chapter 5</w:t>
          </w:r>
          <w:r>
            <w:tab/>
          </w:r>
          <w:r>
            <w:rPr>
              <w:rFonts w:hint="eastAsia" w:eastAsia="宋体"/>
              <w:lang w:val="en-US" w:eastAsia="zh-CN"/>
            </w:rPr>
            <w:t xml:space="preserve">        </w:t>
          </w:r>
          <w:r>
            <w:t>Discussion and Interpretation of the Data</w:t>
          </w:r>
          <w:r>
            <w:tab/>
          </w:r>
          <w:r>
            <w:fldChar w:fldCharType="begin"/>
          </w:r>
          <w:r>
            <w:instrText xml:space="preserve"> PAGEREF _Toc20876 \h </w:instrText>
          </w:r>
          <w:r>
            <w:fldChar w:fldCharType="separate"/>
          </w:r>
          <w:r>
            <w:t>60</w:t>
          </w:r>
          <w:r>
            <w:fldChar w:fldCharType="end"/>
          </w:r>
          <w:r>
            <w:rPr>
              <w:bCs/>
            </w:rPr>
            <w:fldChar w:fldCharType="end"/>
          </w:r>
        </w:p>
        <w:p>
          <w:pPr>
            <w:pStyle w:val="14"/>
            <w:tabs>
              <w:tab w:val="right" w:leader="dot" w:pos="9026"/>
            </w:tabs>
          </w:pPr>
          <w:r>
            <w:rPr>
              <w:bCs/>
            </w:rPr>
            <w:fldChar w:fldCharType="begin"/>
          </w:r>
          <w:r>
            <w:rPr>
              <w:bCs/>
            </w:rPr>
            <w:instrText xml:space="preserve"> HYPERLINK \l _Toc13194 </w:instrText>
          </w:r>
          <w:r>
            <w:rPr>
              <w:bCs/>
            </w:rPr>
            <w:fldChar w:fldCharType="separate"/>
          </w:r>
          <w:r>
            <w:t>5.1</w:t>
          </w:r>
          <w:r>
            <w:rPr>
              <w:rFonts w:hint="eastAsia"/>
              <w:lang w:val="en-US" w:eastAsia="zh-CN"/>
            </w:rPr>
            <w:t xml:space="preserve">  </w:t>
          </w:r>
          <w:r>
            <w:t>Interpretation of Findings</w:t>
          </w:r>
          <w:r>
            <w:tab/>
          </w:r>
          <w:r>
            <w:fldChar w:fldCharType="begin"/>
          </w:r>
          <w:r>
            <w:instrText xml:space="preserve"> PAGEREF _Toc13194 \h </w:instrText>
          </w:r>
          <w:r>
            <w:fldChar w:fldCharType="separate"/>
          </w:r>
          <w:r>
            <w:t>60</w:t>
          </w:r>
          <w:r>
            <w:fldChar w:fldCharType="end"/>
          </w:r>
          <w:r>
            <w:rPr>
              <w:bCs/>
            </w:rPr>
            <w:fldChar w:fldCharType="end"/>
          </w:r>
        </w:p>
        <w:p>
          <w:pPr>
            <w:pStyle w:val="7"/>
            <w:tabs>
              <w:tab w:val="right" w:leader="dot" w:pos="9026"/>
            </w:tabs>
          </w:pPr>
          <w:r>
            <w:rPr>
              <w:bCs/>
            </w:rPr>
            <w:fldChar w:fldCharType="begin"/>
          </w:r>
          <w:r>
            <w:rPr>
              <w:bCs/>
            </w:rPr>
            <w:instrText xml:space="preserve"> HYPERLINK \l _Toc21281 </w:instrText>
          </w:r>
          <w:r>
            <w:rPr>
              <w:bCs/>
            </w:rPr>
            <w:fldChar w:fldCharType="separate"/>
          </w:r>
          <w:r>
            <w:t>5.1.1</w:t>
          </w:r>
          <w:r>
            <w:rPr>
              <w:rFonts w:hint="eastAsia"/>
              <w:lang w:val="en-US" w:eastAsia="zh-CN"/>
            </w:rPr>
            <w:t xml:space="preserve">   </w:t>
          </w:r>
          <w:r>
            <w:t>Patterns and Emergent Themes</w:t>
          </w:r>
          <w:r>
            <w:tab/>
          </w:r>
          <w:r>
            <w:fldChar w:fldCharType="begin"/>
          </w:r>
          <w:r>
            <w:instrText xml:space="preserve"> PAGEREF _Toc21281 \h </w:instrText>
          </w:r>
          <w:r>
            <w:fldChar w:fldCharType="separate"/>
          </w:r>
          <w:r>
            <w:t>60</w:t>
          </w:r>
          <w:r>
            <w:fldChar w:fldCharType="end"/>
          </w:r>
          <w:r>
            <w:rPr>
              <w:bCs/>
            </w:rPr>
            <w:fldChar w:fldCharType="end"/>
          </w:r>
        </w:p>
        <w:p>
          <w:pPr>
            <w:pStyle w:val="7"/>
            <w:tabs>
              <w:tab w:val="right" w:leader="dot" w:pos="9026"/>
            </w:tabs>
          </w:pPr>
          <w:r>
            <w:rPr>
              <w:bCs/>
            </w:rPr>
            <w:fldChar w:fldCharType="begin"/>
          </w:r>
          <w:r>
            <w:rPr>
              <w:bCs/>
            </w:rPr>
            <w:instrText xml:space="preserve"> HYPERLINK \l _Toc28888 </w:instrText>
          </w:r>
          <w:r>
            <w:rPr>
              <w:bCs/>
            </w:rPr>
            <w:fldChar w:fldCharType="separate"/>
          </w:r>
          <w:r>
            <w:t>5.1.2</w:t>
          </w:r>
          <w:r>
            <w:rPr>
              <w:rFonts w:hint="eastAsia"/>
              <w:lang w:val="en-US" w:eastAsia="zh-CN"/>
            </w:rPr>
            <w:t xml:space="preserve">   </w:t>
          </w:r>
          <w:r>
            <w:t>Comparison with Existing Literature</w:t>
          </w:r>
          <w:r>
            <w:tab/>
          </w:r>
          <w:r>
            <w:fldChar w:fldCharType="begin"/>
          </w:r>
          <w:r>
            <w:instrText xml:space="preserve"> PAGEREF _Toc28888 \h </w:instrText>
          </w:r>
          <w:r>
            <w:fldChar w:fldCharType="separate"/>
          </w:r>
          <w:r>
            <w:t>61</w:t>
          </w:r>
          <w:r>
            <w:fldChar w:fldCharType="end"/>
          </w:r>
          <w:r>
            <w:rPr>
              <w:bCs/>
            </w:rPr>
            <w:fldChar w:fldCharType="end"/>
          </w:r>
        </w:p>
        <w:p>
          <w:pPr>
            <w:pStyle w:val="14"/>
            <w:tabs>
              <w:tab w:val="right" w:leader="dot" w:pos="9026"/>
            </w:tabs>
          </w:pPr>
          <w:r>
            <w:rPr>
              <w:bCs/>
            </w:rPr>
            <w:fldChar w:fldCharType="begin"/>
          </w:r>
          <w:r>
            <w:rPr>
              <w:bCs/>
            </w:rPr>
            <w:instrText xml:space="preserve"> HYPERLINK \l _Toc31409 </w:instrText>
          </w:r>
          <w:r>
            <w:rPr>
              <w:bCs/>
            </w:rPr>
            <w:fldChar w:fldCharType="separate"/>
          </w:r>
          <w:r>
            <w:t>5.2</w:t>
          </w:r>
          <w:r>
            <w:rPr>
              <w:rFonts w:hint="eastAsia"/>
              <w:lang w:val="en-US" w:eastAsia="zh-CN"/>
            </w:rPr>
            <w:t xml:space="preserve">  </w:t>
          </w:r>
          <w:r>
            <w:t>Implications of the Findings</w:t>
          </w:r>
          <w:r>
            <w:tab/>
          </w:r>
          <w:r>
            <w:fldChar w:fldCharType="begin"/>
          </w:r>
          <w:r>
            <w:instrText xml:space="preserve"> PAGEREF _Toc31409 \h </w:instrText>
          </w:r>
          <w:r>
            <w:fldChar w:fldCharType="separate"/>
          </w:r>
          <w:r>
            <w:t>62</w:t>
          </w:r>
          <w:r>
            <w:fldChar w:fldCharType="end"/>
          </w:r>
          <w:r>
            <w:rPr>
              <w:bCs/>
            </w:rPr>
            <w:fldChar w:fldCharType="end"/>
          </w:r>
        </w:p>
        <w:p>
          <w:pPr>
            <w:pStyle w:val="14"/>
            <w:tabs>
              <w:tab w:val="right" w:leader="dot" w:pos="9026"/>
            </w:tabs>
          </w:pPr>
          <w:r>
            <w:rPr>
              <w:bCs/>
            </w:rPr>
            <w:fldChar w:fldCharType="begin"/>
          </w:r>
          <w:r>
            <w:rPr>
              <w:bCs/>
            </w:rPr>
            <w:instrText xml:space="preserve"> HYPERLINK \l _Toc27356 </w:instrText>
          </w:r>
          <w:r>
            <w:rPr>
              <w:bCs/>
            </w:rPr>
            <w:fldChar w:fldCharType="separate"/>
          </w:r>
          <w:r>
            <w:t>5.3</w:t>
          </w:r>
          <w:r>
            <w:rPr>
              <w:rFonts w:hint="eastAsia"/>
              <w:lang w:val="en-US" w:eastAsia="zh-CN"/>
            </w:rPr>
            <w:t xml:space="preserve">  </w:t>
          </w:r>
          <w:r>
            <w:rPr>
              <w:rFonts w:hint="eastAsia"/>
            </w:rPr>
            <w:t>Li</w:t>
          </w:r>
          <w:r>
            <w:t>mitations and Considerations</w:t>
          </w:r>
          <w:r>
            <w:tab/>
          </w:r>
          <w:r>
            <w:fldChar w:fldCharType="begin"/>
          </w:r>
          <w:r>
            <w:instrText xml:space="preserve"> PAGEREF _Toc27356 \h </w:instrText>
          </w:r>
          <w:r>
            <w:fldChar w:fldCharType="separate"/>
          </w:r>
          <w:r>
            <w:t>64</w:t>
          </w:r>
          <w:r>
            <w:fldChar w:fldCharType="end"/>
          </w:r>
          <w:r>
            <w:rPr>
              <w:bCs/>
            </w:rPr>
            <w:fldChar w:fldCharType="end"/>
          </w:r>
        </w:p>
        <w:p>
          <w:pPr>
            <w:pStyle w:val="14"/>
            <w:tabs>
              <w:tab w:val="right" w:leader="dot" w:pos="9026"/>
            </w:tabs>
          </w:pPr>
          <w:r>
            <w:rPr>
              <w:bCs/>
            </w:rPr>
            <w:fldChar w:fldCharType="begin"/>
          </w:r>
          <w:r>
            <w:rPr>
              <w:bCs/>
            </w:rPr>
            <w:instrText xml:space="preserve"> HYPERLINK \l _Toc3368 </w:instrText>
          </w:r>
          <w:r>
            <w:rPr>
              <w:bCs/>
            </w:rPr>
            <w:fldChar w:fldCharType="separate"/>
          </w:r>
          <w:r>
            <w:t>5.4</w:t>
          </w:r>
          <w:r>
            <w:rPr>
              <w:rFonts w:hint="eastAsia"/>
              <w:lang w:val="en-US" w:eastAsia="zh-CN"/>
            </w:rPr>
            <w:t xml:space="preserve">  </w:t>
          </w:r>
          <w:r>
            <w:t>Conclusion</w:t>
          </w:r>
          <w:r>
            <w:tab/>
          </w:r>
          <w:r>
            <w:fldChar w:fldCharType="begin"/>
          </w:r>
          <w:r>
            <w:instrText xml:space="preserve"> PAGEREF _Toc3368 \h </w:instrText>
          </w:r>
          <w:r>
            <w:fldChar w:fldCharType="separate"/>
          </w:r>
          <w:r>
            <w:t>66</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_Toc14858 </w:instrText>
          </w:r>
          <w:r>
            <w:rPr>
              <w:bCs/>
            </w:rPr>
            <w:fldChar w:fldCharType="separate"/>
          </w:r>
          <w:r>
            <w:t>Chapter 6</w:t>
          </w:r>
          <w:r>
            <w:tab/>
          </w:r>
          <w:r>
            <w:rPr>
              <w:rFonts w:hint="eastAsia" w:eastAsia="宋体"/>
              <w:lang w:val="en-US" w:eastAsia="zh-CN"/>
            </w:rPr>
            <w:t xml:space="preserve">        </w:t>
          </w:r>
          <w:r>
            <w:t>Conclusions and Recommendations</w:t>
          </w:r>
          <w:r>
            <w:tab/>
          </w:r>
          <w:r>
            <w:fldChar w:fldCharType="begin"/>
          </w:r>
          <w:r>
            <w:instrText xml:space="preserve"> PAGEREF _Toc14858 \h </w:instrText>
          </w:r>
          <w:r>
            <w:fldChar w:fldCharType="separate"/>
          </w:r>
          <w:r>
            <w:t>68</w:t>
          </w:r>
          <w:r>
            <w:fldChar w:fldCharType="end"/>
          </w:r>
          <w:r>
            <w:rPr>
              <w:bCs/>
            </w:rPr>
            <w:fldChar w:fldCharType="end"/>
          </w:r>
        </w:p>
        <w:p>
          <w:pPr>
            <w:pStyle w:val="14"/>
            <w:tabs>
              <w:tab w:val="right" w:leader="dot" w:pos="9026"/>
            </w:tabs>
          </w:pPr>
          <w:r>
            <w:rPr>
              <w:bCs/>
            </w:rPr>
            <w:fldChar w:fldCharType="begin"/>
          </w:r>
          <w:r>
            <w:rPr>
              <w:bCs/>
            </w:rPr>
            <w:instrText xml:space="preserve"> HYPERLINK \l _Toc29564 </w:instrText>
          </w:r>
          <w:r>
            <w:rPr>
              <w:bCs/>
            </w:rPr>
            <w:fldChar w:fldCharType="separate"/>
          </w:r>
          <w:r>
            <w:t>6.1</w:t>
          </w:r>
          <w:r>
            <w:rPr>
              <w:rFonts w:hint="eastAsia"/>
              <w:lang w:val="en-US" w:eastAsia="zh-CN"/>
            </w:rPr>
            <w:t xml:space="preserve">  </w:t>
          </w:r>
          <w:r>
            <w:t>Summary of Main Findings</w:t>
          </w:r>
          <w:r>
            <w:tab/>
          </w:r>
          <w:r>
            <w:fldChar w:fldCharType="begin"/>
          </w:r>
          <w:r>
            <w:instrText xml:space="preserve"> PAGEREF _Toc29564 \h </w:instrText>
          </w:r>
          <w:r>
            <w:fldChar w:fldCharType="separate"/>
          </w:r>
          <w:r>
            <w:t>68</w:t>
          </w:r>
          <w:r>
            <w:fldChar w:fldCharType="end"/>
          </w:r>
          <w:r>
            <w:rPr>
              <w:bCs/>
            </w:rPr>
            <w:fldChar w:fldCharType="end"/>
          </w:r>
        </w:p>
        <w:p>
          <w:pPr>
            <w:pStyle w:val="7"/>
            <w:tabs>
              <w:tab w:val="right" w:leader="dot" w:pos="9026"/>
            </w:tabs>
          </w:pPr>
          <w:r>
            <w:rPr>
              <w:bCs/>
            </w:rPr>
            <w:fldChar w:fldCharType="begin"/>
          </w:r>
          <w:r>
            <w:rPr>
              <w:bCs/>
            </w:rPr>
            <w:instrText xml:space="preserve"> HYPERLINK \l _Toc21648 </w:instrText>
          </w:r>
          <w:r>
            <w:rPr>
              <w:bCs/>
            </w:rPr>
            <w:fldChar w:fldCharType="separate"/>
          </w:r>
          <w:r>
            <w:t>6.1.1</w:t>
          </w:r>
          <w:r>
            <w:rPr>
              <w:rFonts w:hint="eastAsia"/>
              <w:lang w:val="en-US" w:eastAsia="zh-CN"/>
            </w:rPr>
            <w:t xml:space="preserve">   </w:t>
          </w:r>
          <w:r>
            <w:t>Motivations for Participation</w:t>
          </w:r>
          <w:r>
            <w:tab/>
          </w:r>
          <w:r>
            <w:fldChar w:fldCharType="begin"/>
          </w:r>
          <w:r>
            <w:instrText xml:space="preserve"> PAGEREF _Toc21648 \h </w:instrText>
          </w:r>
          <w:r>
            <w:fldChar w:fldCharType="separate"/>
          </w:r>
          <w:r>
            <w:t>68</w:t>
          </w:r>
          <w:r>
            <w:fldChar w:fldCharType="end"/>
          </w:r>
          <w:r>
            <w:rPr>
              <w:bCs/>
            </w:rPr>
            <w:fldChar w:fldCharType="end"/>
          </w:r>
        </w:p>
        <w:p>
          <w:pPr>
            <w:pStyle w:val="7"/>
            <w:tabs>
              <w:tab w:val="right" w:leader="dot" w:pos="9026"/>
            </w:tabs>
          </w:pPr>
          <w:r>
            <w:rPr>
              <w:bCs/>
            </w:rPr>
            <w:fldChar w:fldCharType="begin"/>
          </w:r>
          <w:r>
            <w:rPr>
              <w:bCs/>
            </w:rPr>
            <w:instrText xml:space="preserve"> HYPERLINK \l _Toc24587 </w:instrText>
          </w:r>
          <w:r>
            <w:rPr>
              <w:bCs/>
            </w:rPr>
            <w:fldChar w:fldCharType="separate"/>
          </w:r>
          <w:r>
            <w:t>6.1.2</w:t>
          </w:r>
          <w:r>
            <w:rPr>
              <w:rFonts w:hint="eastAsia"/>
              <w:lang w:val="en-US" w:eastAsia="zh-CN"/>
            </w:rPr>
            <w:t xml:space="preserve">   </w:t>
          </w:r>
          <w:r>
            <w:t>Expectations from the Programs</w:t>
          </w:r>
          <w:r>
            <w:tab/>
          </w:r>
          <w:r>
            <w:fldChar w:fldCharType="begin"/>
          </w:r>
          <w:r>
            <w:instrText xml:space="preserve"> PAGEREF _Toc24587 \h </w:instrText>
          </w:r>
          <w:r>
            <w:fldChar w:fldCharType="separate"/>
          </w:r>
          <w:r>
            <w:t>69</w:t>
          </w:r>
          <w:r>
            <w:fldChar w:fldCharType="end"/>
          </w:r>
          <w:r>
            <w:rPr>
              <w:bCs/>
            </w:rPr>
            <w:fldChar w:fldCharType="end"/>
          </w:r>
        </w:p>
        <w:p>
          <w:pPr>
            <w:pStyle w:val="7"/>
            <w:tabs>
              <w:tab w:val="right" w:leader="dot" w:pos="9026"/>
            </w:tabs>
          </w:pPr>
          <w:r>
            <w:rPr>
              <w:bCs/>
            </w:rPr>
            <w:fldChar w:fldCharType="begin"/>
          </w:r>
          <w:r>
            <w:rPr>
              <w:bCs/>
            </w:rPr>
            <w:instrText xml:space="preserve"> HYPERLINK \l _Toc27817 </w:instrText>
          </w:r>
          <w:r>
            <w:rPr>
              <w:bCs/>
            </w:rPr>
            <w:fldChar w:fldCharType="separate"/>
          </w:r>
          <w:r>
            <w:t>6.1.3</w:t>
          </w:r>
          <w:r>
            <w:rPr>
              <w:rFonts w:hint="eastAsia"/>
              <w:lang w:val="en-US" w:eastAsia="zh-CN"/>
            </w:rPr>
            <w:t xml:space="preserve">   </w:t>
          </w:r>
          <w:r>
            <w:t>Data Collection and Analysis</w:t>
          </w:r>
          <w:r>
            <w:tab/>
          </w:r>
          <w:r>
            <w:fldChar w:fldCharType="begin"/>
          </w:r>
          <w:r>
            <w:instrText xml:space="preserve"> PAGEREF _Toc27817 \h </w:instrText>
          </w:r>
          <w:r>
            <w:fldChar w:fldCharType="separate"/>
          </w:r>
          <w:r>
            <w:t>69</w:t>
          </w:r>
          <w:r>
            <w:fldChar w:fldCharType="end"/>
          </w:r>
          <w:r>
            <w:rPr>
              <w:bCs/>
            </w:rPr>
            <w:fldChar w:fldCharType="end"/>
          </w:r>
        </w:p>
        <w:p>
          <w:pPr>
            <w:pStyle w:val="14"/>
            <w:tabs>
              <w:tab w:val="right" w:leader="dot" w:pos="9026"/>
            </w:tabs>
          </w:pPr>
          <w:r>
            <w:rPr>
              <w:bCs/>
            </w:rPr>
            <w:fldChar w:fldCharType="begin"/>
          </w:r>
          <w:r>
            <w:rPr>
              <w:bCs/>
            </w:rPr>
            <w:instrText xml:space="preserve"> HYPERLINK \l _Toc18443 </w:instrText>
          </w:r>
          <w:r>
            <w:rPr>
              <w:bCs/>
            </w:rPr>
            <w:fldChar w:fldCharType="separate"/>
          </w:r>
          <w:r>
            <w:t>6.2</w:t>
          </w:r>
          <w:r>
            <w:rPr>
              <w:rFonts w:hint="eastAsia"/>
              <w:lang w:val="en-US" w:eastAsia="zh-CN"/>
            </w:rPr>
            <w:t xml:space="preserve">  </w:t>
          </w:r>
          <w:r>
            <w:t>Conclusions and Directions for Further Research</w:t>
          </w:r>
          <w:r>
            <w:tab/>
          </w:r>
          <w:r>
            <w:fldChar w:fldCharType="begin"/>
          </w:r>
          <w:r>
            <w:instrText xml:space="preserve"> PAGEREF _Toc18443 \h </w:instrText>
          </w:r>
          <w:r>
            <w:fldChar w:fldCharType="separate"/>
          </w:r>
          <w:r>
            <w:t>70</w:t>
          </w:r>
          <w:r>
            <w:fldChar w:fldCharType="end"/>
          </w:r>
          <w:r>
            <w:rPr>
              <w:bCs/>
            </w:rPr>
            <w:fldChar w:fldCharType="end"/>
          </w:r>
        </w:p>
        <w:p>
          <w:pPr>
            <w:pStyle w:val="14"/>
            <w:tabs>
              <w:tab w:val="right" w:leader="dot" w:pos="9026"/>
            </w:tabs>
          </w:pPr>
          <w:r>
            <w:rPr>
              <w:bCs/>
            </w:rPr>
            <w:fldChar w:fldCharType="begin"/>
          </w:r>
          <w:r>
            <w:rPr>
              <w:bCs/>
            </w:rPr>
            <w:instrText xml:space="preserve"> HYPERLINK \l _Toc18141 </w:instrText>
          </w:r>
          <w:r>
            <w:rPr>
              <w:bCs/>
            </w:rPr>
            <w:fldChar w:fldCharType="separate"/>
          </w:r>
          <w:r>
            <w:t>6.3</w:t>
          </w:r>
          <w:r>
            <w:rPr>
              <w:rFonts w:hint="eastAsia"/>
              <w:lang w:val="en-US" w:eastAsia="zh-CN"/>
            </w:rPr>
            <w:t xml:space="preserve">  </w:t>
          </w:r>
          <w:r>
            <w:t>Recommendations</w:t>
          </w:r>
          <w:r>
            <w:tab/>
          </w:r>
          <w:r>
            <w:fldChar w:fldCharType="begin"/>
          </w:r>
          <w:r>
            <w:instrText xml:space="preserve"> PAGEREF _Toc18141 \h </w:instrText>
          </w:r>
          <w:r>
            <w:fldChar w:fldCharType="separate"/>
          </w:r>
          <w:r>
            <w:t>71</w:t>
          </w:r>
          <w:r>
            <w:fldChar w:fldCharType="end"/>
          </w:r>
          <w:r>
            <w:rPr>
              <w:bCs/>
            </w:rPr>
            <w:fldChar w:fldCharType="end"/>
          </w:r>
        </w:p>
        <w:p>
          <w:pPr>
            <w:pStyle w:val="11"/>
            <w:tabs>
              <w:tab w:val="right" w:leader="dot" w:pos="9026"/>
            </w:tabs>
          </w:pPr>
          <w:r>
            <w:rPr>
              <w:bCs/>
            </w:rPr>
            <w:fldChar w:fldCharType="begin"/>
          </w:r>
          <w:r>
            <w:rPr>
              <w:bCs/>
            </w:rPr>
            <w:instrText xml:space="preserve"> HYPERLINK \l _Toc6513 </w:instrText>
          </w:r>
          <w:r>
            <w:rPr>
              <w:bCs/>
            </w:rPr>
            <w:fldChar w:fldCharType="separate"/>
          </w:r>
          <w:r>
            <w:t>References</w:t>
          </w:r>
          <w:r>
            <w:tab/>
          </w:r>
          <w:r>
            <w:fldChar w:fldCharType="begin"/>
          </w:r>
          <w:r>
            <w:instrText xml:space="preserve"> PAGEREF _Toc6513 \h </w:instrText>
          </w:r>
          <w:r>
            <w:fldChar w:fldCharType="separate"/>
          </w:r>
          <w:r>
            <w:t>73</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_Toc28363 </w:instrText>
          </w:r>
          <w:r>
            <w:rPr>
              <w:bCs/>
            </w:rPr>
            <w:fldChar w:fldCharType="separate"/>
          </w:r>
          <w:r>
            <w:t>Appendices 1</w:t>
          </w:r>
          <w:r>
            <w:tab/>
          </w:r>
          <w:r>
            <w:t xml:space="preserve">  Consent Form</w:t>
          </w:r>
          <w:r>
            <w:tab/>
          </w:r>
          <w:r>
            <w:fldChar w:fldCharType="begin"/>
          </w:r>
          <w:r>
            <w:instrText xml:space="preserve"> PAGEREF _Toc28363 \h </w:instrText>
          </w:r>
          <w:r>
            <w:fldChar w:fldCharType="separate"/>
          </w:r>
          <w:r>
            <w:t>82</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_Toc6379 </w:instrText>
          </w:r>
          <w:r>
            <w:rPr>
              <w:bCs/>
            </w:rPr>
            <w:fldChar w:fldCharType="separate"/>
          </w:r>
          <w:r>
            <w:t>Appendices 2</w:t>
          </w:r>
          <w:r>
            <w:tab/>
          </w:r>
          <w:r>
            <w:t xml:space="preserve">      </w:t>
          </w:r>
          <w:r>
            <w:rPr>
              <w:rFonts w:hint="eastAsia"/>
              <w:lang w:eastAsia="zh-CN"/>
            </w:rPr>
            <w:t>In</w:t>
          </w:r>
          <w:r>
            <w:rPr>
              <w:lang w:eastAsia="zh-CN"/>
            </w:rPr>
            <w:t>terview Schedule</w:t>
          </w:r>
          <w:r>
            <w:tab/>
          </w:r>
          <w:r>
            <w:fldChar w:fldCharType="begin"/>
          </w:r>
          <w:r>
            <w:instrText xml:space="preserve"> PAGEREF _Toc6379 \h </w:instrText>
          </w:r>
          <w:r>
            <w:fldChar w:fldCharType="separate"/>
          </w:r>
          <w:r>
            <w:t>84</w:t>
          </w:r>
          <w:r>
            <w:fldChar w:fldCharType="end"/>
          </w:r>
          <w:r>
            <w:rPr>
              <w:bCs/>
            </w:rPr>
            <w:fldChar w:fldCharType="end"/>
          </w:r>
        </w:p>
        <w:p>
          <w:pPr>
            <w:pStyle w:val="11"/>
            <w:tabs>
              <w:tab w:val="right" w:pos="3200"/>
              <w:tab w:val="right" w:leader="dot" w:pos="9026"/>
            </w:tabs>
          </w:pPr>
          <w:r>
            <w:rPr>
              <w:bCs/>
            </w:rPr>
            <w:fldChar w:fldCharType="begin"/>
          </w:r>
          <w:r>
            <w:rPr>
              <w:bCs/>
            </w:rPr>
            <w:instrText xml:space="preserve"> HYPERLINK \l _Toc10159 </w:instrText>
          </w:r>
          <w:r>
            <w:rPr>
              <w:bCs/>
            </w:rPr>
            <w:fldChar w:fldCharType="separate"/>
          </w:r>
          <w:r>
            <w:t>Appendices 3</w:t>
          </w:r>
          <w:r>
            <w:tab/>
          </w:r>
          <w:r>
            <w:t xml:space="preserve">      Focus Group Discussion Outline</w:t>
          </w:r>
          <w:r>
            <w:tab/>
          </w:r>
          <w:r>
            <w:fldChar w:fldCharType="begin"/>
          </w:r>
          <w:r>
            <w:instrText xml:space="preserve"> PAGEREF _Toc10159 \h </w:instrText>
          </w:r>
          <w:r>
            <w:fldChar w:fldCharType="separate"/>
          </w:r>
          <w:r>
            <w:t>86</w:t>
          </w:r>
          <w:r>
            <w:fldChar w:fldCharType="end"/>
          </w:r>
          <w:r>
            <w:rPr>
              <w:bCs/>
            </w:rPr>
            <w:fldChar w:fldCharType="end"/>
          </w:r>
        </w:p>
        <w:p>
          <w:r>
            <w:rPr>
              <w:bCs/>
            </w:rPr>
            <w:fldChar w:fldCharType="end"/>
          </w:r>
        </w:p>
      </w:sdtContent>
    </w:sdt>
    <w:p>
      <w:pPr>
        <w:rPr>
          <w:rFonts w:ascii="Times New Roman Bold" w:hAnsi="Times New Roman Bold" w:eastAsia="Times New Roman Bold"/>
          <w:b/>
          <w:bCs/>
          <w:sz w:val="32"/>
          <w:lang w:val="en-US" w:eastAsia="en-US"/>
        </w:rPr>
      </w:pPr>
      <w:r>
        <w:br w:type="page"/>
      </w:r>
    </w:p>
    <w:p>
      <w:pPr>
        <w:pStyle w:val="2"/>
        <w:spacing w:before="240" w:after="240"/>
      </w:pPr>
      <w:bookmarkStart w:id="6" w:name="_Toc26060"/>
      <w:r>
        <w:t>Chapter 1</w:t>
      </w:r>
      <w:r>
        <w:rPr>
          <w:rFonts w:hint="eastAsia" w:eastAsia="宋体"/>
          <w:lang w:val="en-US" w:eastAsia="zh-CN"/>
        </w:rPr>
        <w:t xml:space="preserve">        </w:t>
      </w:r>
      <w:r>
        <w:t>Introduction</w:t>
      </w:r>
      <w:bookmarkEnd w:id="0"/>
      <w:bookmarkEnd w:id="1"/>
      <w:bookmarkEnd w:id="6"/>
    </w:p>
    <w:p>
      <w:pPr>
        <w:pStyle w:val="3"/>
        <w:spacing w:before="240" w:after="240"/>
      </w:pPr>
      <w:bookmarkStart w:id="7" w:name="_Toc134793949"/>
      <w:bookmarkStart w:id="8" w:name="_Toc147660144"/>
      <w:bookmarkStart w:id="9" w:name="_Toc4614"/>
      <w:r>
        <w:t>1.1</w:t>
      </w:r>
      <w:r>
        <w:rPr>
          <w:rFonts w:hint="eastAsia"/>
          <w:lang w:val="en-US" w:eastAsia="zh-CN"/>
        </w:rPr>
        <w:t xml:space="preserve">  </w:t>
      </w:r>
      <w:r>
        <w:t>Background and Context</w:t>
      </w:r>
      <w:bookmarkEnd w:id="7"/>
      <w:bookmarkEnd w:id="8"/>
      <w:bookmarkEnd w:id="9"/>
    </w:p>
    <w:p>
      <w:pPr>
        <w:pStyle w:val="4"/>
        <w:rPr>
          <w:lang w:val="en-US"/>
        </w:rPr>
      </w:pPr>
      <w:bookmarkStart w:id="10" w:name="_Toc20694"/>
      <w:r>
        <w:rPr>
          <w:lang w:val="en-US"/>
        </w:rPr>
        <w:t>1.1.1</w:t>
      </w:r>
      <w:r>
        <w:rPr>
          <w:rFonts w:hint="eastAsia"/>
          <w:lang w:val="en-US" w:eastAsia="zh-CN"/>
        </w:rPr>
        <w:t xml:space="preserve">   </w:t>
      </w:r>
      <w:r>
        <w:rPr>
          <w:lang w:val="en-US"/>
        </w:rPr>
        <w:t>The Historical Evolution of Continuing Healthcare Education</w:t>
      </w:r>
      <w:bookmarkEnd w:id="10"/>
    </w:p>
    <w:p>
      <w:pPr>
        <w:spacing w:line="480" w:lineRule="auto"/>
        <w:rPr>
          <w:rFonts w:ascii="Times New Roman" w:hAnsi="Times New Roman" w:cs="Times New Roman"/>
        </w:rPr>
      </w:pPr>
      <w:r>
        <w:rPr>
          <w:rFonts w:ascii="Times New Roman" w:hAnsi="Times New Roman" w:cs="Times New Roman"/>
        </w:rPr>
        <w:t xml:space="preserve">The rapid evolution of healthcare, punctuated by breakthroughs in medical science, technology, and constant shifts in policies and regulations, places an unprecedented emphasis on continuing education for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&lt;EndNote&gt;&lt;Cite&gt;&lt;Author&gt;Forsetlund&lt;/Author&gt;&lt;Year&gt;2021&lt;/Year&gt;&lt;RecNum&gt;1216&lt;/RecNum&gt;&lt;DisplayText&gt;(Forsetlund&lt;style face="italic"&gt; et al.&lt;/style&gt;, 2021)&lt;/DisplayText&gt;&lt;record&gt;&lt;rec-number&gt;1216&lt;/rec-number&gt;&lt;foreign-keys&gt;&lt;key app="EN" db-id="r2rswvs2oexszme9tvjx5vx252ep2r22dx9d" timestamp="1701341984"&gt;1216&lt;/key&gt;&lt;/foreign-keys&gt;&lt;ref-type name="Journal Article"&gt;17&lt;/ref-type&gt;&lt;contributors&gt;&lt;authors&gt;&lt;author&gt;Forsetlund, Louise&lt;/author&gt;&lt;author&gt;O&amp;apos;Brien, Mary Ann&lt;/author&gt;&lt;author&gt;Forsen, Lisa&lt;/author&gt;&lt;author&gt;Mwai, Leah&lt;/author&gt;&lt;author&gt;Reinar, Liv Merete&lt;/author&gt;&lt;author&gt;Okwen, Mbah P&lt;/author&gt;&lt;author&gt;Horsley, Tanya&lt;/author&gt;&lt;author&gt;Rose, Christopher J&lt;/author&gt;&lt;/authors&gt;&lt;/contributors&gt;&lt;titles&gt;&lt;title&gt;Continuing education meetings and workshops: Effects on professional practice and healthcare outcomes&lt;/title&gt;&lt;secondary-title&gt;Cochrane Database of Systematic Reviews&lt;/secondary-title&gt;&lt;/titles&gt;&lt;periodical&gt;&lt;full-title&gt;Cochrane Database of Systematic Reviews&lt;/full-title&gt;&lt;/periodical&gt;&lt;pages&gt;CD003030&lt;/pages&gt;&lt;number&gt;9&lt;/number&gt;&lt;dates&gt;&lt;year&gt;2021&lt;/year&gt;&lt;/dates&gt;&lt;isbn&gt;1465-1858&lt;/isbn&gt;&lt;urls&gt;&lt;/urls&gt;&lt;electronic-resource-num&gt;10.1002/14651858.CD003030.pub3&lt;/electronic-resource-num&gt;&lt;/record&gt;&lt;/Cite&gt;&lt;/EndNote&gt;</w:instrText>
      </w:r>
      <w:r>
        <w:rPr>
          <w:rFonts w:ascii="Times New Roman" w:hAnsi="Times New Roman" w:cs="Times New Roman"/>
        </w:rPr>
        <w:fldChar w:fldCharType="separate"/>
      </w:r>
      <w:r>
        <w:rPr>
          <w:rFonts w:ascii="Times New Roman" w:hAnsi="Times New Roman" w:cs="Times New Roman"/>
        </w:rPr>
        <w:t>(Forsetlund</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 xml:space="preserve">. This evolution is not only a product of the past few decades but can be traced back to the early stages of modern medicine. Historically, the inception of continuing education in healthcare was a response to the ever-evolving nature of diseases, medical techniques, and the tools available to treat patients </w:t>
      </w:r>
      <w:r>
        <w:rPr>
          <w:rFonts w:ascii="Times New Roman" w:hAnsi="Times New Roman" w:cs="Times New Roman"/>
        </w:rPr>
        <w:fldChar w:fldCharType="begin"/>
      </w:r>
      <w:r>
        <w:rPr>
          <w:rFonts w:ascii="Times New Roman" w:hAnsi="Times New Roman" w:cs="Times New Roman"/>
        </w:rPr>
        <w:instrText xml:space="preserve"> ADDIN EN.CITE &lt;EndNote&gt;&lt;Cite&gt;&lt;Author&gt;Jamal&lt;/Author&gt;&lt;Year&gt;2023&lt;/Year&gt;&lt;RecNum&gt;1217&lt;/RecNum&gt;&lt;DisplayText&gt;(Jamal, 2023)&lt;/DisplayText&gt;&lt;record&gt;&lt;rec-number&gt;1217&lt;/rec-number&gt;&lt;foreign-keys&gt;&lt;key app="EN" db-id="r2rswvs2oexszme9tvjx5vx252ep2r22dx9d" timestamp="1701341984"&gt;1217&lt;/key&gt;&lt;/foreign-keys&gt;&lt;ref-type name="Journal Article"&gt;17&lt;/ref-type&gt;&lt;contributors&gt;&lt;authors&gt;&lt;author&gt;Jamal, Ahmad&lt;/author&gt;&lt;/authors&gt;&lt;/contributors&gt;&lt;titles&gt;&lt;title&gt;Embracing nature&amp;apos;s therapeutic potential: Herbal medicine&lt;/title&gt;&lt;secondary-title&gt;International Journal of Multidisciplinary Sciences and Arts&lt;/secondary-title&gt;&lt;/titles&gt;&lt;periodical&gt;&lt;full-title&gt;International Journal of Multidisciplinary Sciences and Arts&lt;/full-title&gt;&lt;/periodical&gt;&lt;pages&gt;117-126&lt;/pages&gt;&lt;volume&gt;2&lt;/volume&gt;&lt;number&gt;1&lt;/number&gt;&lt;dates&gt;&lt;year&gt;2023&lt;/year&gt;&lt;/dates&gt;&lt;isbn&gt;2962-1658&lt;/isbn&gt;&lt;urls&gt;&lt;/urls&gt;&lt;electronic-resource-num&gt;10.47709/ijmdsa.v2i1.2620&lt;/electronic-resource-num&gt;&lt;/record&gt;&lt;/Cite&gt;&lt;/EndNote&gt;</w:instrText>
      </w:r>
      <w:r>
        <w:rPr>
          <w:rFonts w:ascii="Times New Roman" w:hAnsi="Times New Roman" w:cs="Times New Roman"/>
        </w:rPr>
        <w:fldChar w:fldCharType="separate"/>
      </w:r>
      <w:r>
        <w:rPr>
          <w:rFonts w:ascii="Times New Roman" w:hAnsi="Times New Roman" w:cs="Times New Roman"/>
        </w:rPr>
        <w:t>(Jamal, 2023)</w:t>
      </w:r>
      <w:r>
        <w:rPr>
          <w:rFonts w:ascii="Times New Roman" w:hAnsi="Times New Roman" w:cs="Times New Roman"/>
        </w:rPr>
        <w:fldChar w:fldCharType="end"/>
      </w:r>
      <w:r>
        <w:rPr>
          <w:rFonts w:ascii="Times New Roman" w:hAnsi="Times New Roman" w:cs="Times New Roman"/>
        </w:rPr>
        <w:t>. Over the years, as the complexities of healthcare increased, so did the need for continuous learning.</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Healthcare, by its very nature, encompasses a diverse group of professionals: from surgeons performing intricate procedures to nurses offering personalized care, and paramedics providing crucial pre-hospital treatments </w:t>
      </w:r>
      <w:r>
        <w:rPr>
          <w:rFonts w:ascii="Times New Roman" w:hAnsi="Times New Roman" w:cs="Times New Roman"/>
        </w:rPr>
        <w:fldChar w:fldCharType="begin"/>
      </w:r>
      <w:r>
        <w:rPr>
          <w:rFonts w:ascii="Times New Roman" w:hAnsi="Times New Roman" w:cs="Times New Roman"/>
        </w:rPr>
        <w:instrText xml:space="preserve"> ADDIN EN.CITE &lt;EndNote&gt;&lt;Cite&gt;&lt;Author&gt;Sun&lt;/Author&gt;&lt;Year&gt;2023&lt;/Year&gt;&lt;RecNum&gt;1218&lt;/RecNum&gt;&lt;DisplayText&gt;(Sun, 2023)&lt;/DisplayText&gt;&lt;record&gt;&lt;rec-number&gt;1218&lt;/rec-number&gt;&lt;foreign-keys&gt;&lt;key app="EN" db-id="r2rswvs2oexszme9tvjx5vx252ep2r22dx9d" timestamp="1701341984"&gt;1218&lt;/key&gt;&lt;/foreign-keys&gt;&lt;ref-type name="Book Section"&gt;5&lt;/ref-type&gt;&lt;contributors&gt;&lt;authors&gt;&lt;author&gt;Sun, Pengfei&lt;/author&gt;&lt;/authors&gt;&lt;secondary-authors&gt;&lt;author&gt;P Sun&lt;/author&gt;&lt;/secondary-authors&gt;&lt;/contributors&gt;&lt;titles&gt;&lt;title&gt;5G+ smart healthcare&lt;/title&gt;&lt;secondary-title&gt;A guidebook for 5GtoB and 6G vision for deep convergence&lt;/secondary-title&gt;&lt;/titles&gt;&lt;pages&gt;217-246&lt;/pages&gt;&lt;dates&gt;&lt;year&gt;2023&lt;/year&gt;&lt;/dates&gt;&lt;pub-location&gt;Cham&lt;/pub-location&gt;&lt;publisher&gt;Springer&lt;/publisher&gt;&lt;urls&gt;&lt;/urls&gt;&lt;/record&gt;&lt;/Cite&gt;&lt;/EndNote&gt;</w:instrText>
      </w:r>
      <w:r>
        <w:rPr>
          <w:rFonts w:ascii="Times New Roman" w:hAnsi="Times New Roman" w:cs="Times New Roman"/>
        </w:rPr>
        <w:fldChar w:fldCharType="separate"/>
      </w:r>
      <w:r>
        <w:rPr>
          <w:rFonts w:ascii="Times New Roman" w:hAnsi="Times New Roman" w:cs="Times New Roman"/>
        </w:rPr>
        <w:t>(Sun, 2023)</w:t>
      </w:r>
      <w:r>
        <w:rPr>
          <w:rFonts w:ascii="Times New Roman" w:hAnsi="Times New Roman" w:cs="Times New Roman"/>
        </w:rPr>
        <w:fldChar w:fldCharType="end"/>
      </w:r>
      <w:r>
        <w:rPr>
          <w:rFonts w:ascii="Times New Roman" w:hAnsi="Times New Roman" w:cs="Times New Roman"/>
        </w:rPr>
        <w:t>. Each category within this vast profession possesses unique learning needs and challenges. For instance, a general practitioner may need updates on a broad range of topics, while a specialized surgeon might seek advancements specifically in their area of expertise. This diversity emphasizes the importance of tailored educational experiences to cater to the distinct requirements of different professionals.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21st century has brought about additional challenges and changes, most notably the global health crises like pandemics and the rising healthcare needs of an aging population </w:t>
      </w:r>
      <w:r>
        <w:rPr>
          <w:rFonts w:ascii="Times New Roman" w:hAnsi="Times New Roman" w:cs="Times New Roman"/>
        </w:rPr>
        <w:fldChar w:fldCharType="begin"/>
      </w:r>
      <w:r>
        <w:rPr>
          <w:rFonts w:ascii="Times New Roman" w:hAnsi="Times New Roman" w:cs="Times New Roman"/>
        </w:rPr>
        <w:instrText xml:space="preserve"> ADDIN EN.CITE &lt;EndNote&gt;&lt;Cite&gt;&lt;Author&gt;Grinin&lt;/Author&gt;&lt;Year&gt;2023&lt;/Year&gt;&lt;RecNum&gt;1219&lt;/RecNum&gt;&lt;DisplayText&gt;(Grinin, Grinin and Korotayev, 2023)&lt;/DisplayText&gt;&lt;record&gt;&lt;rec-number&gt;1219&lt;/rec-number&gt;&lt;foreign-keys&gt;&lt;key app="EN" db-id="r2rswvs2oexszme9tvjx5vx252ep2r22dx9d" timestamp="1701341984"&gt;1219&lt;/key&gt;&lt;/foreign-keys&gt;&lt;ref-type name="Book Section"&gt;5&lt;/ref-type&gt;&lt;contributors&gt;&lt;authors&gt;&lt;author&gt;Grinin, Leonid&lt;/author&gt;&lt;author&gt;Grinin, Anton&lt;/author&gt;&lt;author&gt;Korotayev, Andrey&lt;/author&gt;&lt;/authors&gt;&lt;secondary-authors&gt;&lt;author&gt;Viktor Sadovnichy&lt;/author&gt;&lt;author&gt;Askar Akaev&lt;/author&gt;&lt;author&gt;Ilya Ilyin&lt;/author&gt;&lt;author&gt;Sergey Malkov&lt;/author&gt;&lt;author&gt;Leonid Grinin&lt;/author&gt;&lt;author&gt;Andrey Korotayev&lt;/author&gt;&lt;/secondary-authors&gt;&lt;/contributors&gt;&lt;titles&gt;&lt;title&gt;Global aging: An integral problem of the future. How to turn a problem into a development driver?&lt;/title&gt;&lt;secondary-title&gt;Reconsidering the limits to growth: A report to the russian association of the club of rome&lt;/secondary-title&gt;&lt;/titles&gt;&lt;pages&gt;117-135&lt;/pages&gt;&lt;dates&gt;&lt;year&gt;2023&lt;/year&gt;&lt;/dates&gt;&lt;pub-location&gt;Cham&lt;/pub-location&gt;&lt;publisher&gt;Springer&lt;/publisher&gt;&lt;urls&gt;&lt;/urls&gt;&lt;/record&gt;&lt;/Cite&gt;&lt;/EndNote&gt;</w:instrText>
      </w:r>
      <w:r>
        <w:rPr>
          <w:rFonts w:ascii="Times New Roman" w:hAnsi="Times New Roman" w:cs="Times New Roman"/>
        </w:rPr>
        <w:fldChar w:fldCharType="separate"/>
      </w:r>
      <w:r>
        <w:rPr>
          <w:rFonts w:ascii="Times New Roman" w:hAnsi="Times New Roman" w:cs="Times New Roman"/>
        </w:rPr>
        <w:t>(Grinin, Grinin and Korotayev, 2023)</w:t>
      </w:r>
      <w:r>
        <w:rPr>
          <w:rFonts w:ascii="Times New Roman" w:hAnsi="Times New Roman" w:cs="Times New Roman"/>
        </w:rPr>
        <w:fldChar w:fldCharType="end"/>
      </w:r>
      <w:r>
        <w:rPr>
          <w:rFonts w:ascii="Times New Roman" w:hAnsi="Times New Roman" w:cs="Times New Roman"/>
        </w:rPr>
        <w:t xml:space="preserve">. These global shifts necessitate not just a medical response but an educational one, ensuring that healthcare professionals are equipped with the latest knowledge and skills to address contemporary issues.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In light of the significance of professional continuing education, the study intends to shed light on the motivations and expectations of medical professionals in the context of a Chinese private medical training company. In the following the landscape of the research context will be introduced. </w:t>
      </w:r>
    </w:p>
    <w:p>
      <w:pPr>
        <w:spacing w:line="480" w:lineRule="auto"/>
        <w:rPr>
          <w:rFonts w:ascii="Times New Roman" w:hAnsi="Times New Roman" w:cs="Times New Roman"/>
        </w:rPr>
      </w:pPr>
    </w:p>
    <w:p>
      <w:pPr>
        <w:pStyle w:val="4"/>
      </w:pPr>
      <w:bookmarkStart w:id="11" w:name="_Toc27551"/>
      <w:r>
        <w:t>1.1.2</w:t>
      </w:r>
      <w:r>
        <w:rPr>
          <w:rFonts w:hint="eastAsia"/>
          <w:lang w:val="en-US" w:eastAsia="zh-CN"/>
        </w:rPr>
        <w:t xml:space="preserve">   </w:t>
      </w:r>
      <w:r>
        <w:t>Introduction to the Healthcare Landscape in China</w:t>
      </w:r>
      <w:bookmarkEnd w:id="11"/>
    </w:p>
    <w:p>
      <w:pPr>
        <w:spacing w:line="480" w:lineRule="auto"/>
        <w:rPr>
          <w:rFonts w:ascii="Times New Roman" w:hAnsi="Times New Roman" w:cs="Times New Roman"/>
        </w:rPr>
      </w:pPr>
      <w:r>
        <w:rPr>
          <w:rFonts w:ascii="Times New Roman" w:hAnsi="Times New Roman" w:cs="Times New Roman"/>
        </w:rPr>
        <w:t xml:space="preserve">The healthcare system in China has undergone significant transformation over the past few decades, evolving from a rudimentary system to a more sophisticated and comprehensive one </w:t>
      </w:r>
      <w:r>
        <w:rPr>
          <w:rFonts w:ascii="Times New Roman" w:hAnsi="Times New Roman" w:cs="Times New Roman"/>
        </w:rPr>
        <w:fldChar w:fldCharType="begin"/>
      </w:r>
      <w:r>
        <w:rPr>
          <w:rFonts w:ascii="Times New Roman" w:hAnsi="Times New Roman" w:cs="Times New Roman"/>
        </w:rPr>
        <w:instrText xml:space="preserve"> ADDIN EN.CITE &lt;EndNote&gt;&lt;Cite&gt;&lt;Author&gt;Yuan&lt;/Author&gt;&lt;Year&gt;2020&lt;/Year&gt;&lt;RecNum&gt;1220&lt;/RecNum&gt;&lt;DisplayText&gt;(Yuan&lt;style face="italic"&gt; et al.&lt;/style&gt;, 2020)&lt;/DisplayText&gt;&lt;record&gt;&lt;rec-number&gt;1220&lt;/rec-number&gt;&lt;foreign-keys&gt;&lt;key app="EN" db-id="r2rswvs2oexszme9tvjx5vx252ep2r22dx9d" timestamp="1701341984"&gt;1220&lt;/key&gt;&lt;/foreign-keys&gt;&lt;ref-type name="Journal Article"&gt;17&lt;/ref-type&gt;&lt;contributors&gt;&lt;authors&gt;&lt;author&gt;Yuan, Beibei&lt;/author&gt;&lt;author&gt;Jian, Weiyan&lt;/author&gt;&lt;author&gt;Martinez-Alvarez, Melisa&lt;/author&gt;&lt;author&gt;McKee, Martin&lt;/author&gt;&lt;author&gt;Balabanova, Dina&lt;/author&gt;&lt;/authors&gt;&lt;/contributors&gt;&lt;titles&gt;&lt;title&gt;Health system reforms in China a half century apart: Continuity but adaptation&lt;/title&gt;&lt;secondary-title&gt;Social Science &amp;amp; Medicine&lt;/secondary-title&gt;&lt;/titles&gt;&lt;periodical&gt;&lt;full-title&gt;Social Science &amp;amp; Medicine&lt;/full-title&gt;&lt;/periodical&gt;&lt;pages&gt;113421&lt;/pages&gt;&lt;volume&gt;265&lt;/volume&gt;&lt;dates&gt;&lt;year&gt;2020&lt;/year&gt;&lt;/dates&gt;&lt;isbn&gt;0277-9536&lt;/isbn&gt;&lt;urls&gt;&lt;/urls&gt;&lt;electronic-resource-num&gt;10.1016/j.socscimed.2020.113421&lt;/electronic-resource-num&gt;&lt;/record&gt;&lt;/Cite&gt;&lt;/EndNote&gt;</w:instrText>
      </w:r>
      <w:r>
        <w:rPr>
          <w:rFonts w:ascii="Times New Roman" w:hAnsi="Times New Roman" w:cs="Times New Roman"/>
        </w:rPr>
        <w:fldChar w:fldCharType="separate"/>
      </w:r>
      <w:r>
        <w:rPr>
          <w:rFonts w:ascii="Times New Roman" w:hAnsi="Times New Roman" w:cs="Times New Roman"/>
        </w:rPr>
        <w:t>(Yuan</w:t>
      </w:r>
      <w:r>
        <w:rPr>
          <w:rFonts w:ascii="Times New Roman" w:hAnsi="Times New Roman" w:cs="Times New Roman"/>
          <w:i/>
        </w:rPr>
        <w:t xml:space="preserve"> et al.</w:t>
      </w:r>
      <w:r>
        <w:rPr>
          <w:rFonts w:ascii="Times New Roman" w:hAnsi="Times New Roman" w:cs="Times New Roman"/>
        </w:rPr>
        <w:t>, 2020)</w:t>
      </w:r>
      <w:r>
        <w:rPr>
          <w:rFonts w:ascii="Times New Roman" w:hAnsi="Times New Roman" w:cs="Times New Roman"/>
        </w:rPr>
        <w:fldChar w:fldCharType="end"/>
      </w:r>
      <w:r>
        <w:rPr>
          <w:rFonts w:ascii="Times New Roman" w:hAnsi="Times New Roman" w:cs="Times New Roman"/>
        </w:rPr>
        <w:t xml:space="preserve">. This transformation has been influenced by a myriad of factors including rapid economic growth, technological advancements, and government reforms aimed at improving healthcare accessibility and quality </w:t>
      </w:r>
      <w:r>
        <w:rPr>
          <w:rFonts w:ascii="Times New Roman" w:hAnsi="Times New Roman" w:cs="Times New Roman"/>
        </w:rPr>
        <w:fldChar w:fldCharType="begin"/>
      </w:r>
      <w:r>
        <w:rPr>
          <w:rFonts w:ascii="Times New Roman" w:hAnsi="Times New Roman" w:cs="Times New Roman"/>
        </w:rPr>
        <w:instrText xml:space="preserve"> ADDIN EN.CITE &lt;EndNote&gt;&lt;Cite&gt;&lt;Author&gt;Yip&lt;/Author&gt;&lt;Year&gt;2019&lt;/Year&gt;&lt;RecNum&gt;1221&lt;/RecNum&gt;&lt;DisplayText&gt;(Yip&lt;style face="italic"&gt; et al.&lt;/style&gt;, 2019)&lt;/DisplayText&gt;&lt;record&gt;&lt;rec-number&gt;1221&lt;/rec-number&gt;&lt;foreign-keys&gt;&lt;key app="EN" db-id="r2rswvs2oexszme9tvjx5vx252ep2r22dx9d" timestamp="1701341984"&gt;1221&lt;/key&gt;&lt;/foreign-keys&gt;&lt;ref-type name="Journal Article"&gt;17&lt;/ref-type&gt;&lt;contributors&gt;&lt;authors&gt;&lt;author&gt;Yip, Winnie&lt;/author&gt;&lt;author&gt;Fu, Hongqiao&lt;/author&gt;&lt;author&gt;Chen, Angela T&lt;/author&gt;&lt;author&gt;Zhai, Tiemin&lt;/author&gt;&lt;author&gt;Jian, Weiyan&lt;/author&gt;&lt;author&gt;Xu, Roman&lt;/author&gt;&lt;author&gt;Pan, Jay&lt;/author&gt;&lt;author&gt;Hu, Min&lt;/author&gt;&lt;author&gt;Zhou, Zhongliang&lt;/author&gt;&lt;author&gt;Chen, Qiulin&lt;/author&gt;&lt;/authors&gt;&lt;/contributors&gt;&lt;titles&gt;&lt;title&gt;10 years of health-care reform in China: Progress and gaps in universal health coverage&lt;/title&gt;&lt;secondary-title&gt;The Lancet&lt;/secondary-title&gt;&lt;/titles&gt;&lt;periodical&gt;&lt;full-title&gt;The Lancet&lt;/full-title&gt;&lt;/periodical&gt;&lt;pages&gt;1192-1204&lt;/pages&gt;&lt;volume&gt;394&lt;/volume&gt;&lt;number&gt;10204&lt;/number&gt;&lt;dates&gt;&lt;year&gt;2019&lt;/year&gt;&lt;/dates&gt;&lt;isbn&gt;0140-6736&lt;/isbn&gt;&lt;urls&gt;&lt;/urls&gt;&lt;electronic-resource-num&gt;10.1016/S0140-6736(19)32136-1&lt;/electronic-resource-num&gt;&lt;/record&gt;&lt;/Cite&gt;&lt;/EndNote&gt;</w:instrText>
      </w:r>
      <w:r>
        <w:rPr>
          <w:rFonts w:ascii="Times New Roman" w:hAnsi="Times New Roman" w:cs="Times New Roman"/>
        </w:rPr>
        <w:fldChar w:fldCharType="separate"/>
      </w:r>
      <w:r>
        <w:rPr>
          <w:rFonts w:ascii="Times New Roman" w:hAnsi="Times New Roman" w:cs="Times New Roman"/>
        </w:rPr>
        <w:t>(Yip</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In the early years of the People's Republic of China, healthcare was primarily driven by the "barefoot doctor" system, a community-based approach that provided basic medical care to rural populations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&lt;EndNote&gt;&lt;Cite&gt;&lt;Author&gt;Wang&lt;/Author&gt;&lt;Year&gt;2022&lt;/Year&gt;&lt;RecNum&gt;1222&lt;/RecNum&gt;&lt;DisplayText&gt;(Wang, 2022)&lt;/DisplayText&gt;&lt;record&gt;&lt;rec-number&gt;1222&lt;/rec-number&gt;&lt;foreign-keys&gt;&lt;key app="EN" db-id="r2rswvs2oexszme9tvjx5vx252ep2r22dx9d" timestamp="1701341984"&gt;1222&lt;/key&gt;&lt;/foreign-keys&gt;&lt;ref-type name="Book"&gt;6&lt;/ref-type&gt;&lt;contributors&gt;&lt;authors&gt;&lt;author&gt;Wang, Qingwei&lt;/author&gt;&lt;/authors&gt;&lt;/contributors&gt;&lt;titles&gt;&lt;title&gt;The evolution of primary care in China: Its past, present, and prospects for the future&lt;/title&gt;&lt;/titles&gt;&lt;dates&gt;&lt;year&gt;2022&lt;/year&gt;&lt;/dates&gt;&lt;pub-location&gt;Madison&lt;/pub-location&gt;&lt;publisher&gt;The University of Wisconsin-Madison&lt;/publisher&gt;&lt;isbn&gt;9798438797999&lt;/isbn&gt;&lt;urls&gt;&lt;/urls&gt;&lt;/record&gt;&lt;/Cite&gt;&lt;/EndNote&gt;</w:instrText>
      </w:r>
      <w:r>
        <w:rPr>
          <w:rFonts w:ascii="Times New Roman" w:hAnsi="Times New Roman" w:cs="Times New Roman"/>
        </w:rPr>
        <w:fldChar w:fldCharType="separate"/>
      </w:r>
      <w:r>
        <w:rPr>
          <w:rFonts w:ascii="Times New Roman" w:hAnsi="Times New Roman" w:cs="Times New Roman"/>
        </w:rPr>
        <w:t>(Wang, 2022)</w:t>
      </w:r>
      <w:r>
        <w:rPr>
          <w:rFonts w:ascii="Times New Roman" w:hAnsi="Times New Roman" w:cs="Times New Roman"/>
        </w:rPr>
        <w:fldChar w:fldCharType="end"/>
      </w:r>
      <w:r>
        <w:rPr>
          <w:rFonts w:ascii="Times New Roman" w:hAnsi="Times New Roman" w:cs="Times New Roman"/>
        </w:rPr>
        <w:t xml:space="preserve">. However, with economic reforms and urbanization, the focus shifted towards developing a modern healthcare infrastructure. This shift was crucial as China grappled with the dual burden of infectious diseases and a rising incidence of chronic, non-communicable diseases </w:t>
      </w:r>
      <w:r>
        <w:rPr>
          <w:rFonts w:ascii="Times New Roman" w:hAnsi="Times New Roman" w:cs="Times New Roman"/>
        </w:rPr>
        <w:fldChar w:fldCharType="begin"/>
      </w:r>
      <w:r>
        <w:rPr>
          <w:rFonts w:ascii="Times New Roman" w:hAnsi="Times New Roman" w:cs="Times New Roman"/>
        </w:rPr>
        <w:instrText xml:space="preserve"> ADDIN EN.CITE &lt;EndNote&gt;&lt;Cite&gt;&lt;Author&gt;Chen&lt;/Author&gt;&lt;Year&gt;2019&lt;/Year&gt;&lt;RecNum&gt;1223&lt;/RecNum&gt;&lt;DisplayText&gt;(Chen&lt;style face="italic"&gt; et al.&lt;/style&gt;, 2019)&lt;/DisplayText&gt;&lt;record&gt;&lt;rec-number&gt;1223&lt;/rec-number&gt;&lt;foreign-keys&gt;&lt;key app="EN" db-id="r2rswvs2oexszme9tvjx5vx252ep2r22dx9d" timestamp="1701341984"&gt;1223&lt;/key&gt;&lt;/foreign-keys&gt;&lt;ref-type name="Journal Article"&gt;17&lt;/ref-type&gt;&lt;contributors&gt;&lt;authors&gt;&lt;author&gt;Chen, Shu&lt;/author&gt;&lt;author&gt;Guo, Lei&lt;/author&gt;&lt;author&gt;Wang, Zhan&lt;/author&gt;&lt;author&gt;Mao, Wenhui&lt;/author&gt;&lt;author&gt;Ge, Yanfeng&lt;/author&gt;&lt;author&gt;Ying, Xiaohua&lt;/author&gt;&lt;author&gt;Fang, Jing&lt;/author&gt;&lt;author&gt;Long, Qian&lt;/author&gt;&lt;author&gt;Liu, Qin&lt;/author&gt;&lt;author&gt;Xiang, Hao&lt;/author&gt;&lt;/authors&gt;&lt;/contributors&gt;&lt;titles&gt;&lt;title&gt;Current situation and progress toward the 2030 health-related sustainable development goals in China: A systematic analysis&lt;/title&gt;&lt;secondary-title&gt;PLoS Medicine&lt;/secondary-title&gt;&lt;/titles&gt;&lt;periodical&gt;&lt;full-title&gt;PLoS medicine&lt;/full-title&gt;&lt;/periodical&gt;&lt;pages&gt;e1002975&lt;/pages&gt;&lt;volume&gt;16&lt;/volume&gt;&lt;number&gt;11&lt;/number&gt;&lt;dates&gt;&lt;year&gt;2019&lt;/year&gt;&lt;/dates&gt;&lt;isbn&gt;1549-1277&lt;/isbn&gt;&lt;urls&gt;&lt;/urls&gt;&lt;electronic-resource-num&gt;10.1371/journal.pmed.1002975&lt;/electronic-resource-num&gt;&lt;/record&gt;&lt;/Cite&gt;&lt;/EndNote&gt;</w:instrText>
      </w:r>
      <w:r>
        <w:rPr>
          <w:rFonts w:ascii="Times New Roman" w:hAnsi="Times New Roman" w:cs="Times New Roman"/>
        </w:rPr>
        <w:fldChar w:fldCharType="separate"/>
      </w:r>
      <w:r>
        <w:rPr>
          <w:rFonts w:ascii="Times New Roman" w:hAnsi="Times New Roman" w:cs="Times New Roman"/>
        </w:rPr>
        <w:t>(Chen</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Today, China's healthcare system is characterized by a mix of public and private healthcare providers, with the government playing a significant role in regulating and financing the system </w:t>
      </w:r>
      <w:r>
        <w:rPr>
          <w:rFonts w:ascii="Times New Roman" w:hAnsi="Times New Roman" w:cs="Times New Roman"/>
        </w:rPr>
        <w:fldChar w:fldCharType="begin"/>
      </w:r>
      <w:r>
        <w:rPr>
          <w:rFonts w:ascii="Times New Roman" w:hAnsi="Times New Roman" w:cs="Times New Roman"/>
        </w:rPr>
        <w:instrText xml:space="preserve"> ADDIN EN.CITE &lt;EndNote&gt;&lt;Cite&gt;&lt;Author&gt;Yip&lt;/Author&gt;&lt;Year&gt;2008&lt;/Year&gt;&lt;RecNum&gt;1224&lt;/RecNum&gt;&lt;DisplayText&gt;(Yip and Hsiao, 2008)&lt;/DisplayText&gt;&lt;record&gt;&lt;rec-number&gt;1224&lt;/rec-number&gt;&lt;foreign-keys&gt;&lt;key app="EN" db-id="r2rswvs2oexszme9tvjx5vx252ep2r22dx9d" timestamp="1701341984"&gt;1224&lt;/key&gt;&lt;/foreign-keys&gt;&lt;ref-type name="Journal Article"&gt;17&lt;/ref-type&gt;&lt;contributors&gt;&lt;authors&gt;&lt;author&gt;Yip, Winnie&lt;/author&gt;&lt;author&gt;Hsiao, William C&lt;/author&gt;&lt;/authors&gt;&lt;/contributors&gt;&lt;titles&gt;&lt;title&gt;The Chinese health system at a crossroads&lt;/title&gt;&lt;secondary-title&gt;Health Affairs&lt;/secondary-title&gt;&lt;/titles&gt;&lt;periodical&gt;&lt;full-title&gt;Health affairs&lt;/full-title&gt;&lt;/periodical&gt;&lt;pages&gt;460-468&lt;/pages&gt;&lt;volume&gt;27&lt;/volume&gt;&lt;number&gt;2&lt;/number&gt;&lt;dates&gt;&lt;year&gt;2008&lt;/year&gt;&lt;/dates&gt;&lt;isbn&gt;0278-2715&lt;/isbn&gt;&lt;urls&gt;&lt;/urls&gt;&lt;electronic-resource-num&gt;10.1377/hlthaff.27.2.460&lt;/electronic-resource-num&gt;&lt;/record&gt;&lt;/Cite&gt;&lt;/EndNote&gt;</w:instrText>
      </w:r>
      <w:r>
        <w:rPr>
          <w:rFonts w:ascii="Times New Roman" w:hAnsi="Times New Roman" w:cs="Times New Roman"/>
        </w:rPr>
        <w:fldChar w:fldCharType="separate"/>
      </w:r>
      <w:r>
        <w:rPr>
          <w:rFonts w:ascii="Times New Roman" w:hAnsi="Times New Roman" w:cs="Times New Roman"/>
        </w:rPr>
        <w:t>(Yip and Hsiao, 2008)</w:t>
      </w:r>
      <w:r>
        <w:rPr>
          <w:rFonts w:ascii="Times New Roman" w:hAnsi="Times New Roman" w:cs="Times New Roman"/>
        </w:rPr>
        <w:fldChar w:fldCharType="end"/>
      </w:r>
      <w:r>
        <w:rPr>
          <w:rFonts w:ascii="Times New Roman" w:hAnsi="Times New Roman" w:cs="Times New Roman"/>
        </w:rPr>
        <w:t xml:space="preserve">. Despite these advancements, there are still challenges such as unequal distribution of healthcare resources, disparities in healthcare access between urban and rural areas, and an increasing demand for high-quality medical services </w:t>
      </w:r>
      <w:r>
        <w:rPr>
          <w:rFonts w:ascii="Times New Roman" w:hAnsi="Times New Roman" w:cs="Times New Roman"/>
        </w:rPr>
        <w:fldChar w:fldCharType="begin"/>
      </w:r>
      <w:r>
        <w:rPr>
          <w:rFonts w:ascii="Times New Roman" w:hAnsi="Times New Roman" w:cs="Times New Roman"/>
        </w:rPr>
        <w:instrText xml:space="preserve"> ADDIN EN.CITE &lt;EndNote&gt;&lt;Cite&gt;&lt;Author&gt;Yu&lt;/Author&gt;&lt;Year&gt;2019&lt;/Year&gt;&lt;RecNum&gt;1225&lt;/RecNum&gt;&lt;DisplayText&gt;(Yu&lt;style face="italic"&gt; et al.&lt;/style&gt;, 2019)&lt;/DisplayText&gt;&lt;record&gt;&lt;rec-number&gt;1225&lt;/rec-number&gt;&lt;foreign-keys&gt;&lt;key app="EN" db-id="r2rswvs2oexszme9tvjx5vx252ep2r22dx9d" timestamp="1701341984"&gt;1225&lt;/key&gt;&lt;/foreign-keys&gt;&lt;ref-type name="Journal Article"&gt;17&lt;/ref-type&gt;&lt;contributors&gt;&lt;authors&gt;&lt;author&gt;Yu, Meng&lt;/author&gt;&lt;author&gt;He, Shenjing&lt;/author&gt;&lt;author&gt;Wu, Dunxu&lt;/author&gt;&lt;author&gt;Zhu, Hengpeng&lt;/author&gt;&lt;author&gt;Webster, Chris&lt;/author&gt;&lt;/authors&gt;&lt;/contributors&gt;&lt;titles&gt;&lt;title&gt;Examining the multi-scalar unevenness of high-quality healthcare resources distribution in China&lt;/title&gt;&lt;secondary-title&gt;International Journal of Environmental Research and Public Health&lt;/secondary-title&gt;&lt;/titles&gt;&lt;periodical&gt;&lt;full-title&gt;International journal of environmental research and public health&lt;/full-title&gt;&lt;/periodical&gt;&lt;pages&gt;2813&lt;/pages&gt;&lt;volume&gt;16&lt;/volume&gt;&lt;number&gt;16&lt;/number&gt;&lt;dates&gt;&lt;year&gt;2019&lt;/year&gt;&lt;/dates&gt;&lt;isbn&gt;1660-4601&lt;/isbn&gt;&lt;urls&gt;&lt;/urls&gt;&lt;electronic-resource-num&gt;10.3390/ijerph16162813&lt;/electronic-resource-num&gt;&lt;/record&gt;&lt;/Cite&gt;&lt;/EndNote&gt;</w:instrText>
      </w:r>
      <w:r>
        <w:rPr>
          <w:rFonts w:ascii="Times New Roman" w:hAnsi="Times New Roman" w:cs="Times New Roman"/>
        </w:rPr>
        <w:fldChar w:fldCharType="separate"/>
      </w:r>
      <w:r>
        <w:rPr>
          <w:rFonts w:ascii="Times New Roman" w:hAnsi="Times New Roman" w:cs="Times New Roman"/>
        </w:rPr>
        <w:t>(Yu</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China's response to recent global health crises, notably the COVID-19 pandemic, has further highlighted the need for a robust and adaptable healthcare system. The pandemic underscored the importance of continuous professional development for healthcare workers, as they had to quickly adapt to new protocols and treatments in a rapidly changing situation. Moreover, the demographic shift towards an aging population in China presents additional challenges. As of 2020, approximately 12.7% of the Chinese population was aged 65 or older, a proportion expected to rise significantly in the coming decades </w:t>
      </w:r>
      <w:r>
        <w:rPr>
          <w:rFonts w:ascii="Times New Roman" w:hAnsi="Times New Roman" w:cs="Times New Roman"/>
        </w:rPr>
        <w:fldChar w:fldCharType="begin"/>
      </w:r>
      <w:r>
        <w:rPr>
          <w:rFonts w:ascii="Times New Roman" w:hAnsi="Times New Roman" w:cs="Times New Roman"/>
        </w:rPr>
        <w:instrText xml:space="preserve"> ADDIN EN.CITE &lt;EndNote&gt;&lt;Cite&gt;&lt;Author&gt;Han&lt;/Author&gt;&lt;Year&gt;2020&lt;/Year&gt;&lt;RecNum&gt;1226&lt;/RecNum&gt;&lt;DisplayText&gt;(Han&lt;style face="italic"&gt; et al.&lt;/style&gt;, 2020)&lt;/DisplayText&gt;&lt;record&gt;&lt;rec-number&gt;1226&lt;/rec-number&gt;&lt;foreign-keys&gt;&lt;key app="EN" db-id="r2rswvs2oexszme9tvjx5vx252ep2r22dx9d" timestamp="1701341984"&gt;1226&lt;/key&gt;&lt;/foreign-keys&gt;&lt;ref-type name="Journal Article"&gt;17&lt;/ref-type&gt;&lt;contributors&gt;&lt;authors&gt;&lt;author&gt;Han, Yuting&lt;/author&gt;&lt;author&gt;He, Yao&lt;/author&gt;&lt;author&gt;Lyu, Jun&lt;/author&gt;&lt;author&gt;Yu, Canqing&lt;/author&gt;&lt;author&gt;Bian, Mingze&lt;/author&gt;&lt;author&gt;Lee, Liming&lt;/author&gt;&lt;/authors&gt;&lt;/contributors&gt;&lt;titles&gt;&lt;title&gt;Aging in China: Perspectives on public health&lt;/title&gt;&lt;secondary-title&gt;Global Health Journal&lt;/secondary-title&gt;&lt;/titles&gt;&lt;periodical&gt;&lt;full-title&gt;Global Health Journal&lt;/full-title&gt;&lt;/periodical&gt;&lt;pages&gt;11-17&lt;/pages&gt;&lt;volume&gt;4&lt;/volume&gt;&lt;number&gt;1&lt;/number&gt;&lt;dates&gt;&lt;year&gt;2020&lt;/year&gt;&lt;/dates&gt;&lt;publisher&gt;Elsevier&lt;/publisher&gt;&lt;isbn&gt;2414-6447&lt;/isbn&gt;&lt;urls&gt;&lt;/urls&gt;&lt;electronic-resource-num&gt;10.1016/j.glohj.2020.01.002&lt;/electronic-resource-num&gt;&lt;/record&gt;&lt;/Cite&gt;&lt;/EndNote&gt;</w:instrText>
      </w:r>
      <w:r>
        <w:rPr>
          <w:rFonts w:ascii="Times New Roman" w:hAnsi="Times New Roman" w:cs="Times New Roman"/>
        </w:rPr>
        <w:fldChar w:fldCharType="separate"/>
      </w:r>
      <w:r>
        <w:rPr>
          <w:rFonts w:ascii="Times New Roman" w:hAnsi="Times New Roman" w:cs="Times New Roman"/>
        </w:rPr>
        <w:t>(Han</w:t>
      </w:r>
      <w:r>
        <w:rPr>
          <w:rFonts w:ascii="Times New Roman" w:hAnsi="Times New Roman" w:cs="Times New Roman"/>
          <w:i/>
        </w:rPr>
        <w:t xml:space="preserve"> et al.</w:t>
      </w:r>
      <w:r>
        <w:rPr>
          <w:rFonts w:ascii="Times New Roman" w:hAnsi="Times New Roman" w:cs="Times New Roman"/>
        </w:rPr>
        <w:t>, 2020)</w:t>
      </w:r>
      <w:r>
        <w:rPr>
          <w:rFonts w:ascii="Times New Roman" w:hAnsi="Times New Roman" w:cs="Times New Roman"/>
        </w:rPr>
        <w:fldChar w:fldCharType="end"/>
      </w:r>
      <w:r>
        <w:rPr>
          <w:rFonts w:ascii="Times New Roman" w:hAnsi="Times New Roman" w:cs="Times New Roman"/>
        </w:rPr>
        <w:t xml:space="preserve">. This demographic change is leading to an increased demand for healthcare services, particularly in managing chronic diseases and geriatric care, further emphasizing the importance of continuing education for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&lt;EndNote&gt;&lt;Cite&gt;&lt;Author&gt;Duan&lt;/Author&gt;&lt;Year&gt;2022&lt;/Year&gt;&lt;RecNum&gt;1227&lt;/RecNum&gt;&lt;DisplayText&gt;(Duan&lt;style face="italic"&gt; et al.&lt;/style&gt;, 2022)&lt;/DisplayText&gt;&lt;record&gt;&lt;rec-number&gt;1227&lt;/rec-number&gt;&lt;foreign-keys&gt;&lt;key app="EN" db-id="r2rswvs2oexszme9tvjx5vx252ep2r22dx9d" timestamp="1701341984"&gt;1227&lt;/key&gt;&lt;/foreign-keys&gt;&lt;ref-type name="Journal Article"&gt;17&lt;/ref-type&gt;&lt;contributors&gt;&lt;authors&gt;&lt;author&gt;Duan, Lingyun&lt;/author&gt;&lt;author&gt;Liu, Ziyuan&lt;/author&gt;&lt;author&gt;Yu, Wen&lt;/author&gt;&lt;author&gt;Chen, Wei&lt;/author&gt;&lt;author&gt;Jin, Dongyan&lt;/author&gt;&lt;author&gt;Feng, Yao&lt;/author&gt;&lt;author&gt;Wang, Yu&lt;/author&gt;&lt;author&gt;Liu, Jiajia&lt;/author&gt;&lt;author&gt;Zhou, Han&lt;/author&gt;&lt;author&gt;Sun, Suhua&lt;/author&gt;&lt;/authors&gt;&lt;/contributors&gt;&lt;titles&gt;&lt;title&gt;The provincial trend of population aging in China–based on population expansion forecast formula&lt;/title&gt;&lt;secondary-title&gt;Journal of Computational Methods in Sciences and Engineering&lt;/secondary-title&gt;&lt;/titles&gt;&lt;periodical&gt;&lt;full-title&gt;Journal of Computational Methods in Sciences and Engineering&lt;/full-title&gt;&lt;/periodical&gt;&lt;pages&gt;349-359&lt;/pages&gt;&lt;volume&gt;22&lt;/volume&gt;&lt;number&gt;1&lt;/number&gt;&lt;dates&gt;&lt;year&gt;2022&lt;/year&gt;&lt;/dates&gt;&lt;isbn&gt;1472-7978&lt;/isbn&gt;&lt;urls&gt;&lt;/urls&gt;&lt;electronic-resource-num&gt;10.3233/JCM-215630&lt;/electronic-resource-num&gt;&lt;/record&gt;&lt;/Cite&gt;&lt;/EndNote&gt;</w:instrText>
      </w:r>
      <w:r>
        <w:rPr>
          <w:rFonts w:ascii="Times New Roman" w:hAnsi="Times New Roman" w:cs="Times New Roman"/>
        </w:rPr>
        <w:fldChar w:fldCharType="separate"/>
      </w:r>
      <w:r>
        <w:rPr>
          <w:rFonts w:ascii="Times New Roman" w:hAnsi="Times New Roman" w:cs="Times New Roman"/>
        </w:rPr>
        <w:t>(Duan</w:t>
      </w:r>
      <w:r>
        <w:rPr>
          <w:rFonts w:ascii="Times New Roman" w:hAnsi="Times New Roman" w:cs="Times New Roman"/>
          <w:i/>
        </w:rPr>
        <w:t xml:space="preserve"> et al.</w:t>
      </w:r>
      <w:r>
        <w:rPr>
          <w:rFonts w:ascii="Times New Roman" w:hAnsi="Times New Roman" w:cs="Times New Roman"/>
        </w:rPr>
        <w:t>,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the evolution of the healthcare landscape in China reflects a dynamic interplay between traditional practices and modern medical advancements, influenced by socio-economic changes and government policies. As the system continues to evolve, there is a growing recognition of the need for ongoing education and training among healthcare professionals, to ensure they are equipped to meet the changing healthcare needs of the population.</w:t>
      </w:r>
    </w:p>
    <w:p>
      <w:pPr>
        <w:spacing w:line="480" w:lineRule="auto"/>
        <w:rPr>
          <w:rFonts w:ascii="Times New Roman" w:hAnsi="Times New Roman" w:cs="Times New Roman"/>
        </w:rPr>
      </w:pPr>
    </w:p>
    <w:p>
      <w:pPr>
        <w:pStyle w:val="4"/>
      </w:pPr>
      <w:bookmarkStart w:id="12" w:name="_Toc28805"/>
      <w:r>
        <w:t>1.1.3</w:t>
      </w:r>
      <w:r>
        <w:rPr>
          <w:rFonts w:hint="eastAsia"/>
          <w:lang w:val="en-US" w:eastAsia="zh-CN"/>
        </w:rPr>
        <w:t xml:space="preserve">   </w:t>
      </w:r>
      <w:r>
        <w:rPr>
          <w:rFonts w:hint="eastAsia"/>
        </w:rPr>
        <w:t>Di</w:t>
      </w:r>
      <w:r>
        <w:t>versity of Healthcare Professionals in China</w:t>
      </w:r>
      <w:bookmarkEnd w:id="12"/>
    </w:p>
    <w:p>
      <w:pPr>
        <w:spacing w:line="480" w:lineRule="auto"/>
        <w:rPr>
          <w:rFonts w:ascii="Times New Roman" w:hAnsi="Times New Roman" w:cs="Times New Roman"/>
        </w:rPr>
      </w:pPr>
      <w:r>
        <w:rPr>
          <w:rFonts w:ascii="Times New Roman" w:hAnsi="Times New Roman" w:cs="Times New Roman"/>
        </w:rPr>
        <w:t xml:space="preserve">The landscape of healthcare professionals in China is a testament to the country's vast and varied healthcare needs. With a population exceeding 1.4 billion, the diversity in healthcare provision is inevitable, mirroring the complexities of its societal and geographical makeup </w:t>
      </w:r>
      <w:r>
        <w:rPr>
          <w:rFonts w:ascii="Times New Roman" w:hAnsi="Times New Roman" w:cs="Times New Roman"/>
        </w:rPr>
        <w:fldChar w:fldCharType="begin"/>
      </w:r>
      <w:r>
        <w:rPr>
          <w:rFonts w:ascii="Times New Roman" w:hAnsi="Times New Roman" w:cs="Times New Roman"/>
        </w:rPr>
        <w:instrText xml:space="preserve"> ADDIN EN.CITE &lt;EndNote&gt;&lt;Cite&gt;&lt;Author&gt;Jia&lt;/Author&gt;&lt;Year&gt;2022&lt;/Year&gt;&lt;RecNum&gt;1228&lt;/RecNum&gt;&lt;DisplayText&gt;(Jia&lt;style face="italic"&gt; et al.&lt;/style&gt;, 2022)&lt;/DisplayText&gt;&lt;record&gt;&lt;rec-number&gt;1228&lt;/rec-number&gt;&lt;foreign-keys&gt;&lt;key app="EN" db-id="r2rswvs2oexszme9tvjx5vx252ep2r22dx9d" timestamp="1701341984"&gt;1228&lt;/key&gt;&lt;/foreign-keys&gt;&lt;ref-type name="Journal Article"&gt;17&lt;/ref-type&gt;&lt;contributors&gt;&lt;authors&gt;&lt;author&gt;Jia, Peng&lt;/author&gt;&lt;author&gt;Wang, Youfa&lt;/author&gt;&lt;author&gt;Yang, Min&lt;/author&gt;&lt;author&gt;Wang, Limin&lt;/author&gt;&lt;author&gt;Yang, Xuchao&lt;/author&gt;&lt;author&gt;Shi, Xinyu&lt;/author&gt;&lt;author&gt;Yang, Lijian&lt;/author&gt;&lt;author&gt;Wen, Jin&lt;/author&gt;&lt;author&gt;Liu, Yi&lt;/author&gt;&lt;author&gt;Yang, Maokang&lt;/author&gt;&lt;/authors&gt;&lt;/contributors&gt;&lt;titles&gt;&lt;title&gt;Inequalities of spatial primary healthcare accessibility in China&lt;/title&gt;&lt;secondary-title&gt;Social Science &amp;amp; Medicine&lt;/secondary-title&gt;&lt;/titles&gt;&lt;periodical&gt;&lt;full-title&gt;Social Science &amp;amp; Medicine&lt;/full-title&gt;&lt;/periodical&gt;&lt;pages&gt;115458&lt;/pages&gt;&lt;volume&gt;314&lt;/volume&gt;&lt;dates&gt;&lt;year&gt;2022&lt;/year&gt;&lt;/dates&gt;&lt;isbn&gt;0277-9536&lt;/isbn&gt;&lt;urls&gt;&lt;/urls&gt;&lt;electronic-resource-num&gt;10.1016/j.socscimed.2022.115458&lt;/electronic-resource-num&gt;&lt;/record&gt;&lt;/Cite&gt;&lt;/EndNote&gt;</w:instrText>
      </w:r>
      <w:r>
        <w:rPr>
          <w:rFonts w:ascii="Times New Roman" w:hAnsi="Times New Roman" w:cs="Times New Roman"/>
        </w:rPr>
        <w:fldChar w:fldCharType="separate"/>
      </w:r>
      <w:r>
        <w:rPr>
          <w:rFonts w:ascii="Times New Roman" w:hAnsi="Times New Roman" w:cs="Times New Roman"/>
        </w:rPr>
        <w:t>(Jia</w:t>
      </w:r>
      <w:r>
        <w:rPr>
          <w:rFonts w:ascii="Times New Roman" w:hAnsi="Times New Roman" w:cs="Times New Roman"/>
          <w:i/>
        </w:rPr>
        <w:t xml:space="preserve"> et al.</w:t>
      </w:r>
      <w:r>
        <w:rPr>
          <w:rFonts w:ascii="Times New Roman" w:hAnsi="Times New Roman" w:cs="Times New Roman"/>
        </w:rPr>
        <w:t>, 2022)</w:t>
      </w:r>
      <w:r>
        <w:rPr>
          <w:rFonts w:ascii="Times New Roman" w:hAnsi="Times New Roman" w:cs="Times New Roman"/>
        </w:rPr>
        <w:fldChar w:fldCharType="end"/>
      </w:r>
      <w:r>
        <w:rPr>
          <w:rFonts w:ascii="Times New Roman" w:hAnsi="Times New Roman" w:cs="Times New Roman"/>
        </w:rPr>
        <w:t xml:space="preserve">. In urban centers, there is a high concentration of specialists and advanced medical facilities, whereas rural areas often grapple with limited resources and access to specialized care </w:t>
      </w:r>
      <w:r>
        <w:rPr>
          <w:rFonts w:ascii="Times New Roman" w:hAnsi="Times New Roman" w:cs="Times New Roman"/>
        </w:rPr>
        <w:fldChar w:fldCharType="begin"/>
      </w:r>
      <w:r>
        <w:rPr>
          <w:rFonts w:ascii="Times New Roman" w:hAnsi="Times New Roman" w:cs="Times New Roman"/>
        </w:rPr>
        <w:instrText xml:space="preserve"> ADDIN EN.CITE &lt;EndNote&gt;&lt;Cite&gt;&lt;Author&gt;Zhang&lt;/Author&gt;&lt;Year&gt;2021&lt;/Year&gt;&lt;RecNum&gt;1229&lt;/RecNum&gt;&lt;DisplayText&gt;(Zhang&lt;style face="italic"&gt; et al.&lt;/style&gt;, 2021)&lt;/DisplayText&gt;&lt;record&gt;&lt;rec-number&gt;1229&lt;/rec-number&gt;&lt;foreign-keys&gt;&lt;key app="EN" db-id="r2rswvs2oexszme9tvjx5vx252ep2r22dx9d" timestamp="1701341984"&gt;1229&lt;/key&gt;&lt;/foreign-keys&gt;&lt;ref-type name="Journal Article"&gt;17&lt;/ref-type&gt;&lt;contributors&gt;&lt;authors&gt;&lt;author&gt;Zhang, Yaoguang&lt;/author&gt;&lt;author&gt;Dong, Di&lt;/author&gt;&lt;author&gt;Xu, Ling&lt;/author&gt;&lt;author&gt;Miao, Zhiwen&lt;/author&gt;&lt;author&gt;Mao, Wenhui&lt;/author&gt;&lt;author&gt;Sloan, Frank&lt;/author&gt;&lt;author&gt;Tang, Shenglan&lt;/author&gt;&lt;/authors&gt;&lt;/contributors&gt;&lt;titles&gt;&lt;title&gt;Ten-year impacts of China’s rural health scheme: Lessons for universal health coverage&lt;/title&gt;&lt;secondary-title&gt;BMJ Global Health&lt;/secondary-title&gt;&lt;/titles&gt;&lt;periodical&gt;&lt;full-title&gt;BMJ global health&lt;/full-title&gt;&lt;/periodical&gt;&lt;pages&gt;e003714&lt;/pages&gt;&lt;volume&gt;6&lt;/volume&gt;&lt;number&gt;4&lt;/number&gt;&lt;dates&gt;&lt;year&gt;2021&lt;/year&gt;&lt;/dates&gt;&lt;isbn&gt;2059-7908&lt;/isbn&gt;&lt;urls&gt;&lt;/urls&gt;&lt;electronic-resource-num&gt;10.1136/bmjgh-2020-003714&lt;/electronic-resource-num&gt;&lt;/record&gt;&lt;/Cite&gt;&lt;/EndNote&gt;</w:instrText>
      </w:r>
      <w:r>
        <w:rPr>
          <w:rFonts w:ascii="Times New Roman" w:hAnsi="Times New Roman" w:cs="Times New Roman"/>
        </w:rPr>
        <w:fldChar w:fldCharType="separate"/>
      </w:r>
      <w:r>
        <w:rPr>
          <w:rFonts w:ascii="Times New Roman" w:hAnsi="Times New Roman" w:cs="Times New Roman"/>
        </w:rPr>
        <w:t>(Zhang</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China's healthcare workforce is segmented into various tiers. At the top are highly trained specialists mostly located in urban hospitals. These professionals are often educated in leading medical universities and have access to cutting-edge research and technology. In contrast, the rural healthcare system is staffed largely by general practitioners and 'barefoot doctors', a legacy of China's healthcare history, who provide primary and preventive healthcare services to rural populations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&lt;EndNote&gt;&lt;Cite&gt;&lt;Author&gt;Chen&lt;/Author&gt;&lt;Year&gt;2022&lt;/Year&gt;&lt;RecNum&gt;1230&lt;/RecNum&gt;&lt;DisplayText&gt;(Chen and Bunge, 2022)&lt;/DisplayText&gt;&lt;record&gt;&lt;rec-number&gt;1230&lt;/rec-number&gt;&lt;foreign-keys&gt;&lt;key app="EN" db-id="r2rswvs2oexszme9tvjx5vx252ep2r22dx9d" timestamp="1701341984"&gt;1230&lt;/key&gt;&lt;/foreign-keys&gt;&lt;ref-type name="Book"&gt;6&lt;/ref-type&gt;&lt;contributors&gt;&lt;authors&gt;&lt;author&gt;Chen, Chau-Chyun&lt;/author&gt;&lt;author&gt;Bunge, Frederica&lt;/author&gt;&lt;/authors&gt;&lt;/contributors&gt;&lt;titles&gt;&lt;title&gt;Medicine in rural China: A personal account&lt;/title&gt;&lt;/titles&gt;&lt;dates&gt;&lt;year&gt;2022&lt;/year&gt;&lt;/dates&gt;&lt;pub-location&gt;Berkeley&lt;/pub-location&gt;&lt;publisher&gt;University of California Press&lt;/publisher&gt;&lt;isbn&gt;0520329538&lt;/isbn&gt;&lt;urls&gt;&lt;/urls&gt;&lt;/record&gt;&lt;/Cite&gt;&lt;/EndNote&gt;</w:instrText>
      </w:r>
      <w:r>
        <w:rPr>
          <w:rFonts w:ascii="Times New Roman" w:hAnsi="Times New Roman" w:cs="Times New Roman"/>
        </w:rPr>
        <w:fldChar w:fldCharType="separate"/>
      </w:r>
      <w:r>
        <w:rPr>
          <w:rFonts w:ascii="Times New Roman" w:hAnsi="Times New Roman" w:cs="Times New Roman"/>
        </w:rPr>
        <w:t>(Chen and Bunge,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The disparities in healthcare provision are further accentuated by the uneven distribution of healthcare workers. It is reported tha</w:t>
      </w:r>
      <w:r>
        <w:rPr>
          <w:rFonts w:hint="eastAsia" w:ascii="Times New Roman" w:hAnsi="Times New Roman" w:cs="Times New Roman"/>
          <w:lang w:val="en-US" w:eastAsia="zh-CN"/>
        </w:rPr>
        <w:t>t</w:t>
      </w:r>
      <w:r>
        <w:rPr>
          <w:rFonts w:ascii="Times New Roman" w:hAnsi="Times New Roman" w:cs="Times New Roman"/>
        </w:rPr>
        <w:t xml:space="preserve"> China had 1.8 physicians per 1,000 population in 2018, but these were unevenly distributed, with urban areas enjoying better ratios compared to their rural counterparts </w:t>
      </w:r>
      <w:r>
        <w:rPr>
          <w:rFonts w:ascii="Times New Roman" w:hAnsi="Times New Roman" w:cs="Times New Roman"/>
        </w:rPr>
        <w:fldChar w:fldCharType="begin"/>
      </w:r>
      <w:r>
        <w:rPr>
          <w:rFonts w:ascii="Times New Roman" w:hAnsi="Times New Roman" w:cs="Times New Roman"/>
        </w:rPr>
        <w:instrText xml:space="preserve"> ADDIN EN.CITE &lt;EndNote&gt;&lt;Cite&gt;&lt;Author&gt;Yin&lt;/Author&gt;&lt;Year&gt;2021&lt;/Year&gt;&lt;RecNum&gt;1231&lt;/RecNum&gt;&lt;DisplayText&gt;(Yin&lt;style face="italic"&gt; et al.&lt;/style&gt;, 2021)&lt;/DisplayText&gt;&lt;record&gt;&lt;rec-number&gt;1231&lt;/rec-number&gt;&lt;foreign-keys&gt;&lt;key app="EN" db-id="r2rswvs2oexszme9tvjx5vx252ep2r22dx9d" timestamp="1701341984"&gt;1231&lt;/key&gt;&lt;/foreign-keys&gt;&lt;ref-type name="Journal Article"&gt;17&lt;/ref-type&gt;&lt;contributors&gt;&lt;authors&gt;&lt;author&gt;Yin, Gaofeng&lt;/author&gt;&lt;author&gt;Song, Hanning&lt;/author&gt;&lt;author&gt;Wang, Jian&lt;/author&gt;&lt;author&gt;Nicholas, Stephen&lt;/author&gt;&lt;author&gt;Maitland, Elizabeth&lt;/author&gt;&lt;/authors&gt;&lt;/contributors&gt;&lt;titles&gt;&lt;title&gt;The COVID-19 run on medical resources in Wuhan China: Causes, consequences and lessons&lt;/title&gt;&lt;secondary-title&gt;Healthcare&lt;/secondary-title&gt;&lt;/titles&gt;&lt;pages&gt;1362&lt;/pages&gt;&lt;volume&gt;9&lt;/volume&gt;&lt;number&gt;10&lt;/number&gt;&lt;dates&gt;&lt;year&gt;2021&lt;/year&gt;&lt;/dates&gt;&lt;publisher&gt;MDPI&lt;/publisher&gt;&lt;isbn&gt;2227-9032&lt;/isbn&gt;&lt;urls&gt;&lt;/urls&gt;&lt;electronic-resource-num&gt;10.3390/healthcare9101362 &lt;/electronic-resource-num&gt;&lt;/record&gt;&lt;/Cite&gt;&lt;/EndNote&gt;</w:instrText>
      </w:r>
      <w:r>
        <w:rPr>
          <w:rFonts w:ascii="Times New Roman" w:hAnsi="Times New Roman" w:cs="Times New Roman"/>
        </w:rPr>
        <w:fldChar w:fldCharType="separate"/>
      </w:r>
      <w:r>
        <w:rPr>
          <w:rFonts w:ascii="Times New Roman" w:hAnsi="Times New Roman" w:cs="Times New Roman"/>
        </w:rPr>
        <w:t>(Yin</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 This maldistribution presents challenges in delivering uniform healthcare quality across the country.</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Further, the Chinese healthcare workforce encompasses a wide range of non-physician roles that are crucial to the system's functionality. Nurses, pharmacists, traditional Chinese medicine practitioners, and community health workers form an integral part of this ecosystem. However, the distribution and recognition of these roles also vary, with some areas facing acute shortages, particularly of nursing staff </w:t>
      </w:r>
      <w:r>
        <w:rPr>
          <w:rFonts w:ascii="Times New Roman" w:hAnsi="Times New Roman" w:cs="Times New Roman"/>
        </w:rPr>
        <w:fldChar w:fldCharType="begin"/>
      </w:r>
      <w:r>
        <w:rPr>
          <w:rFonts w:ascii="Times New Roman" w:hAnsi="Times New Roman" w:cs="Times New Roman"/>
        </w:rPr>
        <w:instrText xml:space="preserve"> ADDIN EN.CITE &lt;EndNote&gt;&lt;Cite&gt;&lt;Author&gt;Xia&lt;/Author&gt;&lt;Year&gt;2021&lt;/Year&gt;&lt;RecNum&gt;1232&lt;/RecNum&gt;&lt;DisplayText&gt;(Xia&lt;style face="italic"&gt; et al.&lt;/style&gt;, 2021)&lt;/DisplayText&gt;&lt;record&gt;&lt;rec-number&gt;1232&lt;/rec-number&gt;&lt;foreign-keys&gt;&lt;key app="EN" db-id="r2rswvs2oexszme9tvjx5vx252ep2r22dx9d" timestamp="1701341984"&gt;1232&lt;/key&gt;&lt;/foreign-keys&gt;&lt;ref-type name="Journal Article"&gt;17&lt;/ref-type&gt;&lt;contributors&gt;&lt;authors&gt;&lt;author&gt;Xia, Lei&lt;/author&gt;&lt;author&gt;Jiang, Feng&lt;/author&gt;&lt;author&gt;Rakofsky, Jeffrey&lt;/author&gt;&lt;author&gt;Zhang, Yulong&lt;/author&gt;&lt;author&gt;Shi, Yudong&lt;/author&gt;&lt;author&gt;Zhang, Kai&lt;/author&gt;&lt;author&gt;Liu, Tingfang&lt;/author&gt;&lt;author&gt;Liu, Yuanli&lt;/author&gt;&lt;author&gt;Liu, Huanzhong&lt;/author&gt;&lt;author&gt;Tang, Yi-lang&lt;/author&gt;&lt;/authors&gt;&lt;/contributors&gt;&lt;titles&gt;&lt;title&gt;Resources and workforce in top-tier psychiatric hospitals in China: A nationwide survey&lt;/title&gt;&lt;secondary-title&gt;Frontiers in Psychiatry&lt;/secondary-title&gt;&lt;/titles&gt;&lt;periodical&gt;&lt;full-title&gt;Frontiers in psychiatry&lt;/full-title&gt;&lt;/periodical&gt;&lt;pages&gt;573333&lt;/pages&gt;&lt;volume&gt;12&lt;/volume&gt;&lt;dates&gt;&lt;year&gt;2021&lt;/year&gt;&lt;/dates&gt;&lt;isbn&gt;1664-0640&lt;/isbn&gt;&lt;urls&gt;&lt;/urls&gt;&lt;electronic-resource-num&gt;10.3389/fpsyt.2021.573333&lt;/electronic-resource-num&gt;&lt;/record&gt;&lt;/Cite&gt;&lt;/EndNote&gt;</w:instrText>
      </w:r>
      <w:r>
        <w:rPr>
          <w:rFonts w:ascii="Times New Roman" w:hAnsi="Times New Roman" w:cs="Times New Roman"/>
        </w:rPr>
        <w:fldChar w:fldCharType="separate"/>
      </w:r>
      <w:r>
        <w:rPr>
          <w:rFonts w:ascii="Times New Roman" w:hAnsi="Times New Roman" w:cs="Times New Roman"/>
        </w:rPr>
        <w:t>(Xia</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ongoing reforms in China's healthcare system aim to address these disparities. Initiatives to enhance rural healthcare services, such as the 'Rural Revitalization Strategy', have been introduced, which include training and deploying more healthcare professionals in underserved areas </w:t>
      </w:r>
      <w:r>
        <w:rPr>
          <w:rFonts w:ascii="Times New Roman" w:hAnsi="Times New Roman" w:cs="Times New Roman"/>
        </w:rPr>
        <w:fldChar w:fldCharType="begin"/>
      </w:r>
      <w:r>
        <w:rPr>
          <w:rFonts w:ascii="Times New Roman" w:hAnsi="Times New Roman" w:cs="Times New Roman"/>
        </w:rPr>
        <w:instrText xml:space="preserve"> ADDIN EN.CITE &lt;EndNote&gt;&lt;Cite&gt;&lt;Author&gt;Liu&lt;/Author&gt;&lt;Year&gt;2020&lt;/Year&gt;&lt;RecNum&gt;1233&lt;/RecNum&gt;&lt;DisplayText&gt;(Liu, Zang and Yang, 2020)&lt;/DisplayText&gt;&lt;record&gt;&lt;rec-number&gt;1233&lt;/rec-number&gt;&lt;foreign-keys&gt;&lt;key app="EN" db-id="r2rswvs2oexszme9tvjx5vx252ep2r22dx9d" timestamp="1701341984"&gt;1233&lt;/key&gt;&lt;/foreign-keys&gt;&lt;ref-type name="Journal Article"&gt;17&lt;/ref-type&gt;&lt;contributors&gt;&lt;authors&gt;&lt;author&gt;Liu, Yansui&lt;/author&gt;&lt;author&gt;Zang, Yuzhu&lt;/author&gt;&lt;author&gt;Yang, Yuanyuan&lt;/author&gt;&lt;/authors&gt;&lt;/contributors&gt;&lt;titles&gt;&lt;title&gt;China’s rural revitalization and development: Theory, technology and management&lt;/title&gt;&lt;secondary-title&gt;Journal of Geographical Sciences&lt;/secondary-title&gt;&lt;/titles&gt;&lt;periodical&gt;&lt;full-title&gt;Journal of Geographical Sciences&lt;/full-title&gt;&lt;/periodical&gt;&lt;pages&gt;1923-1942&lt;/pages&gt;&lt;volume&gt;30&lt;/volume&gt;&lt;dates&gt;&lt;year&gt;2020&lt;/year&gt;&lt;/dates&gt;&lt;isbn&gt;1009-637X&lt;/isbn&gt;&lt;urls&gt;&lt;/urls&gt;&lt;electronic-resource-num&gt;10.1007/s11442-020-1819-3&lt;/electronic-resource-num&gt;&lt;/record&gt;&lt;/Cite&gt;&lt;/EndNote&gt;</w:instrText>
      </w:r>
      <w:r>
        <w:rPr>
          <w:rFonts w:ascii="Times New Roman" w:hAnsi="Times New Roman" w:cs="Times New Roman"/>
        </w:rPr>
        <w:fldChar w:fldCharType="separate"/>
      </w:r>
      <w:r>
        <w:rPr>
          <w:rFonts w:ascii="Times New Roman" w:hAnsi="Times New Roman" w:cs="Times New Roman"/>
        </w:rPr>
        <w:t>(Liu, Zang and Yang, 2020)</w:t>
      </w:r>
      <w:r>
        <w:rPr>
          <w:rFonts w:ascii="Times New Roman" w:hAnsi="Times New Roman" w:cs="Times New Roman"/>
        </w:rPr>
        <w:fldChar w:fldCharType="end"/>
      </w:r>
      <w:r>
        <w:rPr>
          <w:rFonts w:ascii="Times New Roman" w:hAnsi="Times New Roman" w:cs="Times New Roman"/>
        </w:rPr>
        <w:t xml:space="preserve">. Additionally, the increasing role of digital health technologies, like telemedicine, is beginning to bridge the gap in healthcare access between urban and rural areas </w:t>
      </w:r>
      <w:r>
        <w:rPr>
          <w:rFonts w:ascii="Times New Roman" w:hAnsi="Times New Roman" w:cs="Times New Roman"/>
        </w:rPr>
        <w:fldChar w:fldCharType="begin"/>
      </w:r>
      <w:r>
        <w:rPr>
          <w:rFonts w:ascii="Times New Roman" w:hAnsi="Times New Roman" w:cs="Times New Roman"/>
        </w:rPr>
        <w:instrText xml:space="preserve"> ADDIN EN.CITE &lt;EndNote&gt;&lt;Cite&gt;&lt;Author&gt;Yang&lt;/Author&gt;&lt;Year&gt;2021&lt;/Year&gt;&lt;RecNum&gt;1234&lt;/RecNum&gt;&lt;DisplayText&gt;(Yang and Kovarik, 2021)&lt;/DisplayText&gt;&lt;record&gt;&lt;rec-number&gt;1234&lt;/rec-number&gt;&lt;foreign-keys&gt;&lt;key app="EN" db-id="r2rswvs2oexszme9tvjx5vx252ep2r22dx9d" timestamp="1701341984"&gt;1234&lt;/key&gt;&lt;/foreign-keys&gt;&lt;ref-type name="Journal Article"&gt;17&lt;/ref-type&gt;&lt;contributors&gt;&lt;authors&gt;&lt;author&gt;Yang, Xiaoshi&lt;/author&gt;&lt;author&gt;Kovarik, Carrie L&lt;/author&gt;&lt;/authors&gt;&lt;/contributors&gt;&lt;titles&gt;&lt;title&gt;A systematic review of mobile health interventions in China: Identifying gaps in care&lt;/title&gt;&lt;secondary-title&gt;Journal of Telemedicine and Telecare&lt;/secondary-title&gt;&lt;/titles&gt;&lt;periodical&gt;&lt;full-title&gt;Journal of telemedicine and telecare&lt;/full-title&gt;&lt;/periodical&gt;&lt;pages&gt;3-22&lt;/pages&gt;&lt;volume&gt;27&lt;/volume&gt;&lt;number&gt;1&lt;/number&gt;&lt;dates&gt;&lt;year&gt;2021&lt;/year&gt;&lt;/dates&gt;&lt;isbn&gt;1357-633X&lt;/isbn&gt;&lt;urls&gt;&lt;/urls&gt;&lt;electronic-resource-num&gt;10.1177/1357633X19856746&lt;/electronic-resource-num&gt;&lt;/record&gt;&lt;/Cite&gt;&lt;/EndNote&gt;</w:instrText>
      </w:r>
      <w:r>
        <w:rPr>
          <w:rFonts w:ascii="Times New Roman" w:hAnsi="Times New Roman" w:cs="Times New Roman"/>
        </w:rPr>
        <w:fldChar w:fldCharType="separate"/>
      </w:r>
      <w:r>
        <w:rPr>
          <w:rFonts w:ascii="Times New Roman" w:hAnsi="Times New Roman" w:cs="Times New Roman"/>
        </w:rPr>
        <w:t>(Yang and Kovarik, 2021)</w:t>
      </w:r>
      <w:r>
        <w:rPr>
          <w:rFonts w:ascii="Times New Roman" w:hAnsi="Times New Roman" w:cs="Times New Roman"/>
        </w:rPr>
        <w:fldChar w:fldCharType="end"/>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summary, the diversity of healthcare professionals in China reflects the nation's broad spectrum of healthcare needs and challenges. While urban areas benefit from a concentration of specialists and advanced facilities, rural regions continue to face resource constraints and healthcare workforce shortages. Efforts to redistribute resources and leverage technology are underway to mitigate these disparities and improve healthcare accessibility and quality for all.</w:t>
      </w:r>
    </w:p>
    <w:p>
      <w:pPr>
        <w:spacing w:line="480" w:lineRule="auto"/>
        <w:rPr>
          <w:rFonts w:ascii="Times New Roman" w:hAnsi="Times New Roman" w:cs="Times New Roman"/>
        </w:rPr>
      </w:pPr>
    </w:p>
    <w:p>
      <w:pPr>
        <w:pStyle w:val="4"/>
      </w:pPr>
      <w:bookmarkStart w:id="13" w:name="_Toc4414"/>
      <w:r>
        <w:t>1.1.4</w:t>
      </w:r>
      <w:r>
        <w:rPr>
          <w:rFonts w:hint="eastAsia"/>
          <w:lang w:val="en-US" w:eastAsia="zh-CN"/>
        </w:rPr>
        <w:t xml:space="preserve">   </w:t>
      </w:r>
      <w:r>
        <w:rPr>
          <w:rFonts w:hint="eastAsia"/>
        </w:rPr>
        <w:t>Con</w:t>
      </w:r>
      <w:r>
        <w:t>temporary Challenges in Chinese Healthcare</w:t>
      </w:r>
      <w:bookmarkEnd w:id="13"/>
    </w:p>
    <w:p>
      <w:pPr>
        <w:spacing w:line="480" w:lineRule="auto"/>
        <w:rPr>
          <w:rFonts w:ascii="Times New Roman" w:hAnsi="Times New Roman" w:cs="Times New Roman"/>
        </w:rPr>
      </w:pPr>
      <w:r>
        <w:rPr>
          <w:rFonts w:ascii="Times New Roman" w:hAnsi="Times New Roman" w:cs="Times New Roman"/>
        </w:rPr>
        <w:t>The Chinese healthcare system faces a myriad of contemporary challenges, shaped by demographic shifts, economic development, and public health demands. These challenges necessitate an adaptable and responsive healthcare workforce, underlining the importance of ongoing education and training.</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u w:val="single"/>
        </w:rPr>
        <w:t>Aging Population and Chronic Diseases</w:t>
      </w:r>
      <w:r>
        <w:rPr>
          <w:rFonts w:ascii="Times New Roman" w:hAnsi="Times New Roman" w:cs="Times New Roman"/>
        </w:rPr>
        <w:t xml:space="preserve">: One of the most significant challenges is the rapidly aging population. As of 2020, about 12.7% of China's population was over 65 years old, a figure projected to rise substantially in the coming decades </w:t>
      </w:r>
      <w:r>
        <w:rPr>
          <w:rFonts w:ascii="Times New Roman" w:hAnsi="Times New Roman" w:cs="Times New Roman"/>
        </w:rPr>
        <w:fldChar w:fldCharType="begin"/>
      </w:r>
      <w:r>
        <w:rPr>
          <w:rFonts w:ascii="Times New Roman" w:hAnsi="Times New Roman" w:cs="Times New Roman"/>
        </w:rPr>
        <w:instrText xml:space="preserve"> ADDIN EN.CITE &lt;EndNote&gt;&lt;Cite&gt;&lt;Author&gt;Gu&lt;/Author&gt;&lt;Year&gt;2021&lt;/Year&gt;&lt;RecNum&gt;1235&lt;/RecNum&gt;&lt;DisplayText&gt;(Gu, Andreev and Dupre, 2021)&lt;/DisplayText&gt;&lt;record&gt;&lt;rec-number&gt;1235&lt;/rec-number&gt;&lt;foreign-keys&gt;&lt;key app="EN" db-id="r2rswvs2oexszme9tvjx5vx252ep2r22dx9d" timestamp="1701341984"&gt;1235&lt;/key&gt;&lt;/foreign-keys&gt;&lt;ref-type name="Journal Article"&gt;17&lt;/ref-type&gt;&lt;contributors&gt;&lt;authors&gt;&lt;author&gt;Gu, Danan&lt;/author&gt;&lt;author&gt;Andreev, Kirill&lt;/author&gt;&lt;author&gt;Dupre, Matthew E&lt;/author&gt;&lt;/authors&gt;&lt;/contributors&gt;&lt;titles&gt;&lt;title&gt;Major trends in population growth around the world&lt;/title&gt;&lt;secondary-title&gt;China CDC Weekly&lt;/secondary-title&gt;&lt;/titles&gt;&lt;periodical&gt;&lt;full-title&gt;China CDC weekly&lt;/full-title&gt;&lt;/periodical&gt;&lt;pages&gt;604-613&lt;/pages&gt;&lt;volume&gt;3&lt;/volume&gt;&lt;number&gt;28&lt;/number&gt;&lt;dates&gt;&lt;year&gt;2021&lt;/year&gt;&lt;/dates&gt;&lt;urls&gt;&lt;/urls&gt;&lt;electronic-resource-num&gt;10.46234/ccdcw2021.160&lt;/electronic-resource-num&gt;&lt;/record&gt;&lt;/Cite&gt;&lt;/EndNote&gt;</w:instrText>
      </w:r>
      <w:r>
        <w:rPr>
          <w:rFonts w:ascii="Times New Roman" w:hAnsi="Times New Roman" w:cs="Times New Roman"/>
        </w:rPr>
        <w:fldChar w:fldCharType="separate"/>
      </w:r>
      <w:r>
        <w:rPr>
          <w:rFonts w:ascii="Times New Roman" w:hAnsi="Times New Roman" w:cs="Times New Roman"/>
        </w:rPr>
        <w:t>(Gu, Andreev and Dupre, 2021)</w:t>
      </w:r>
      <w:r>
        <w:rPr>
          <w:rFonts w:ascii="Times New Roman" w:hAnsi="Times New Roman" w:cs="Times New Roman"/>
        </w:rPr>
        <w:fldChar w:fldCharType="end"/>
      </w:r>
      <w:r>
        <w:rPr>
          <w:rFonts w:ascii="Times New Roman" w:hAnsi="Times New Roman" w:cs="Times New Roman"/>
        </w:rPr>
        <w:t xml:space="preserve">. This demographic shift has led to an increased prevalence of chronic diseases, which now account for over 70% of the total disease burden in China </w:t>
      </w:r>
      <w:r>
        <w:rPr>
          <w:rFonts w:ascii="Times New Roman" w:hAnsi="Times New Roman" w:cs="Times New Roman"/>
        </w:rPr>
        <w:fldChar w:fldCharType="begin"/>
      </w:r>
      <w:r>
        <w:rPr>
          <w:rFonts w:ascii="Times New Roman" w:hAnsi="Times New Roman" w:cs="Times New Roman"/>
        </w:rPr>
        <w:instrText xml:space="preserve"> ADDIN EN.CITE &lt;EndNote&gt;&lt;Cite&gt;&lt;Author&gt;Wang&lt;/Author&gt;&lt;Year&gt;2005&lt;/Year&gt;&lt;RecNum&gt;1236&lt;/RecNum&gt;&lt;DisplayText&gt;(Wang&lt;style face="italic"&gt; et al.&lt;/style&gt;, 2005)&lt;/DisplayText&gt;&lt;record&gt;&lt;rec-number&gt;1236&lt;/rec-number&gt;&lt;foreign-keys&gt;&lt;key app="EN" db-id="r2rswvs2oexszme9tvjx5vx252ep2r22dx9d" timestamp="1701341984"&gt;1236&lt;/key&gt;&lt;/foreign-keys&gt;&lt;ref-type name="Journal Article"&gt;17&lt;/ref-type&gt;&lt;contributors&gt;&lt;authors&gt;&lt;author&gt;Wang, Longde&lt;/author&gt;&lt;author&gt;Kong, Lingzhi&lt;/author&gt;&lt;author&gt;Wu, Fan&lt;/author&gt;&lt;author&gt;Bai, Yamin&lt;/author&gt;&lt;author&gt;Burton, Robert&lt;/author&gt;&lt;/authors&gt;&lt;/contributors&gt;&lt;titles&gt;&lt;title&gt;Preventing chronic diseases in China&lt;/title&gt;&lt;secondary-title&gt;The Lancet&lt;/secondary-title&gt;&lt;/titles&gt;&lt;periodical&gt;&lt;full-title&gt;The Lancet&lt;/full-title&gt;&lt;/periodical&gt;&lt;pages&gt;1821-1824&lt;/pages&gt;&lt;volume&gt;366&lt;/volume&gt;&lt;number&gt;9499&lt;/number&gt;&lt;dates&gt;&lt;year&gt;2005&lt;/year&gt;&lt;/dates&gt;&lt;isbn&gt;0140-6736&lt;/isbn&gt;&lt;urls&gt;&lt;/urls&gt;&lt;electronic-resource-num&gt;10.1016/S0140-6736(05)67344-8&lt;/electronic-resource-num&gt;&lt;/record&gt;&lt;/Cite&gt;&lt;/EndNote&gt;</w:instrText>
      </w:r>
      <w:r>
        <w:rPr>
          <w:rFonts w:ascii="Times New Roman" w:hAnsi="Times New Roman" w:cs="Times New Roman"/>
        </w:rPr>
        <w:fldChar w:fldCharType="separate"/>
      </w:r>
      <w:r>
        <w:rPr>
          <w:rFonts w:ascii="Times New Roman" w:hAnsi="Times New Roman" w:cs="Times New Roman"/>
        </w:rPr>
        <w:t>(Wang</w:t>
      </w:r>
      <w:r>
        <w:rPr>
          <w:rFonts w:ascii="Times New Roman" w:hAnsi="Times New Roman" w:cs="Times New Roman"/>
          <w:i/>
        </w:rPr>
        <w:t xml:space="preserve"> et al.</w:t>
      </w:r>
      <w:r>
        <w:rPr>
          <w:rFonts w:ascii="Times New Roman" w:hAnsi="Times New Roman" w:cs="Times New Roman"/>
        </w:rPr>
        <w:t>, 2005)</w:t>
      </w:r>
      <w:r>
        <w:rPr>
          <w:rFonts w:ascii="Times New Roman" w:hAnsi="Times New Roman" w:cs="Times New Roman"/>
        </w:rPr>
        <w:fldChar w:fldCharType="end"/>
      </w:r>
      <w:r>
        <w:rPr>
          <w:rFonts w:ascii="Times New Roman" w:hAnsi="Times New Roman" w:cs="Times New Roman"/>
        </w:rPr>
        <w:t>. The growing burden of chronic diseases poses a significant challenge to healthcare providers, requiring not only specialized medical care but also a shift towards long-term disease management and patient education.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u w:val="single"/>
        </w:rPr>
        <w:t>Healthcare Access Disparities</w:t>
      </w:r>
      <w:r>
        <w:rPr>
          <w:rFonts w:ascii="Times New Roman" w:hAnsi="Times New Roman" w:cs="Times New Roman"/>
        </w:rPr>
        <w:t xml:space="preserve">: Despite substantial improvements in healthcare infrastructure, disparities in access to healthcare services persist between urban and rural areas. Rural areas, home to about 40% of the population, often face shortages of medical resources and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&lt;EndNote&gt;&lt;Cite&gt;&lt;Author&gt;Weinhold&lt;/Author&gt;&lt;Year&gt;2014&lt;/Year&gt;&lt;RecNum&gt;1237&lt;/RecNum&gt;&lt;DisplayText&gt;(Weinhold and Gurtner, 2014)&lt;/DisplayText&gt;&lt;record&gt;&lt;rec-number&gt;1237&lt;/rec-number&gt;&lt;foreign-keys&gt;&lt;key app="EN" db-id="r2rswvs2oexszme9tvjx5vx252ep2r22dx9d" timestamp="1701341984"&gt;1237&lt;/key&gt;&lt;/foreign-keys&gt;&lt;ref-type name="Journal Article"&gt;17&lt;/ref-type&gt;&lt;contributors&gt;&lt;authors&gt;&lt;author&gt;Weinhold, Ines&lt;/author&gt;&lt;author&gt;Gurtner, Sebastian&lt;/author&gt;&lt;/authors&gt;&lt;/contributors&gt;&lt;titles&gt;&lt;title&gt;Understanding shortages of sufficient health care in rural areas&lt;/title&gt;&lt;secondary-title&gt;Health Policy&lt;/secondary-title&gt;&lt;/titles&gt;&lt;periodical&gt;&lt;full-title&gt;Health Policy&lt;/full-title&gt;&lt;/periodical&gt;&lt;pages&gt;201-214&lt;/pages&gt;&lt;volume&gt;118&lt;/volume&gt;&lt;number&gt;2&lt;/number&gt;&lt;dates&gt;&lt;year&gt;2014&lt;/year&gt;&lt;/dates&gt;&lt;isbn&gt;0168-8510&lt;/isbn&gt;&lt;urls&gt;&lt;/urls&gt;&lt;electronic-resource-num&gt;10.1016/j.healthpol.2014.07.018&lt;/electronic-resource-num&gt;&lt;/record&gt;&lt;/Cite&gt;&lt;/EndNote&gt;</w:instrText>
      </w:r>
      <w:r>
        <w:rPr>
          <w:rFonts w:ascii="Times New Roman" w:hAnsi="Times New Roman" w:cs="Times New Roman"/>
        </w:rPr>
        <w:fldChar w:fldCharType="separate"/>
      </w:r>
      <w:r>
        <w:rPr>
          <w:rFonts w:ascii="Times New Roman" w:hAnsi="Times New Roman" w:cs="Times New Roman"/>
        </w:rPr>
        <w:t>(Weinhold and Gurtner, 2014)</w:t>
      </w:r>
      <w:r>
        <w:rPr>
          <w:rFonts w:ascii="Times New Roman" w:hAnsi="Times New Roman" w:cs="Times New Roman"/>
        </w:rPr>
        <w:fldChar w:fldCharType="end"/>
      </w:r>
      <w:r>
        <w:rPr>
          <w:rFonts w:ascii="Times New Roman" w:hAnsi="Times New Roman" w:cs="Times New Roman"/>
        </w:rPr>
        <w:t xml:space="preserve">. This urban-rural divide is further exacerbated by the hukou (household registration) system, which impacts the accessibility of healthcare services for rural residents in urban settings </w:t>
      </w:r>
      <w:r>
        <w:rPr>
          <w:rFonts w:ascii="Times New Roman" w:hAnsi="Times New Roman" w:cs="Times New Roman"/>
        </w:rPr>
        <w:fldChar w:fldCharType="begin"/>
      </w:r>
      <w:r>
        <w:rPr>
          <w:rFonts w:ascii="Times New Roman" w:hAnsi="Times New Roman" w:cs="Times New Roman"/>
        </w:rPr>
        <w:instrText xml:space="preserve"> ADDIN EN.CITE &lt;EndNote&gt;&lt;Cite&gt;&lt;Author&gt;Song&lt;/Author&gt;&lt;Year&gt;2019&lt;/Year&gt;&lt;RecNum&gt;1238&lt;/RecNum&gt;&lt;DisplayText&gt;(Song and Smith, 2019)&lt;/DisplayText&gt;&lt;record&gt;&lt;rec-number&gt;1238&lt;/rec-number&gt;&lt;foreign-keys&gt;&lt;key app="EN" db-id="r2rswvs2oexszme9tvjx5vx252ep2r22dx9d" timestamp="1701341984"&gt;1238&lt;/key&gt;&lt;/foreign-keys&gt;&lt;ref-type name="Journal Article"&gt;17&lt;/ref-type&gt;&lt;contributors&gt;&lt;authors&gt;&lt;author&gt;Song, Qian&lt;/author&gt;&lt;author&gt;Smith, James P&lt;/author&gt;&lt;/authors&gt;&lt;/contributors&gt;&lt;titles&gt;&lt;title&gt;Hukou system, mechanisms, and health stratification across the life course in rural and urban China&lt;/title&gt;&lt;secondary-title&gt;Health &amp;amp; Place&lt;/secondary-title&gt;&lt;/titles&gt;&lt;periodical&gt;&lt;full-title&gt;Health &amp;amp; place&lt;/full-title&gt;&lt;/periodical&gt;&lt;pages&gt;102150&lt;/pages&gt;&lt;volume&gt;58&lt;/volume&gt;&lt;dates&gt;&lt;year&gt;2019&lt;/year&gt;&lt;/dates&gt;&lt;isbn&gt;1353-8292&lt;/isbn&gt;&lt;urls&gt;&lt;/urls&gt;&lt;electronic-resource-num&gt;10.1016/j.healthplace.2019.102150&lt;/electronic-resource-num&gt;&lt;/record&gt;&lt;/Cite&gt;&lt;/EndNote&gt;</w:instrText>
      </w:r>
      <w:r>
        <w:rPr>
          <w:rFonts w:ascii="Times New Roman" w:hAnsi="Times New Roman" w:cs="Times New Roman"/>
        </w:rPr>
        <w:fldChar w:fldCharType="separate"/>
      </w:r>
      <w:r>
        <w:rPr>
          <w:rFonts w:ascii="Times New Roman" w:hAnsi="Times New Roman" w:cs="Times New Roman"/>
        </w:rPr>
        <w:t>(Song and Smith,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Public Health Crises Response</w:t>
      </w:r>
      <w:r>
        <w:rPr>
          <w:rFonts w:ascii="Times New Roman" w:hAnsi="Times New Roman" w:cs="Times New Roman"/>
        </w:rPr>
        <w:t xml:space="preserve">: The COVID-19 pandemic highlighted the challenges in responding to public health crises. China's initial response and subsequent control of the pandemic demonstrated the importance of a well-coordinated public health system. However, it also underscored the need for a healthcare workforce that is agile and can quickly adapt to emerging health threats </w:t>
      </w:r>
      <w:r>
        <w:rPr>
          <w:rFonts w:ascii="Times New Roman" w:hAnsi="Times New Roman" w:cs="Times New Roman"/>
        </w:rPr>
        <w:fldChar w:fldCharType="begin"/>
      </w:r>
      <w:r>
        <w:rPr>
          <w:rFonts w:ascii="Times New Roman" w:hAnsi="Times New Roman" w:cs="Times New Roman"/>
        </w:rPr>
        <w:instrText xml:space="preserve"> ADDIN EN.CITE &lt;EndNote&gt;&lt;Cite&gt;&lt;Author&gt;Chen&lt;/Author&gt;&lt;Year&gt;2021&lt;/Year&gt;&lt;RecNum&gt;1239&lt;/RecNum&gt;&lt;DisplayText&gt;(Chen and Assefa, 2021)&lt;/DisplayText&gt;&lt;record&gt;&lt;rec-number&gt;1239&lt;/rec-number&gt;&lt;foreign-keys&gt;&lt;key app="EN" db-id="r2rswvs2oexszme9tvjx5vx252ep2r22dx9d" timestamp="1701341984"&gt;1239&lt;/key&gt;&lt;/foreign-keys&gt;&lt;ref-type name="Journal Article"&gt;17&lt;/ref-type&gt;&lt;contributors&gt;&lt;authors&gt;&lt;author&gt;Chen, Yi Ying&lt;/author&gt;&lt;author&gt;Assefa, Yibeltal&lt;/author&gt;&lt;/authors&gt;&lt;/contributors&gt;&lt;titles&gt;&lt;title&gt;The heterogeneity of the COVID-19 pandemic and national responses: An explanatory mixed-methods study&lt;/title&gt;&lt;secondary-title&gt;BMC Public Health&lt;/secondary-title&gt;&lt;/titles&gt;&lt;periodical&gt;&lt;full-title&gt;BMC Public Health&lt;/full-title&gt;&lt;/periodical&gt;&lt;pages&gt;835&lt;/pages&gt;&lt;volume&gt;21&lt;/volume&gt;&lt;number&gt;1&lt;/number&gt;&lt;dates&gt;&lt;year&gt;2021&lt;/year&gt;&lt;/dates&gt;&lt;isbn&gt;1471-2458&lt;/isbn&gt;&lt;urls&gt;&lt;/urls&gt;&lt;electronic-resource-num&gt;10.1186/s12889-021-10885-8&lt;/electronic-resource-num&gt;&lt;/record&gt;&lt;/Cite&gt;&lt;/EndNote&gt;</w:instrText>
      </w:r>
      <w:r>
        <w:rPr>
          <w:rFonts w:ascii="Times New Roman" w:hAnsi="Times New Roman" w:cs="Times New Roman"/>
        </w:rPr>
        <w:fldChar w:fldCharType="separate"/>
      </w:r>
      <w:r>
        <w:rPr>
          <w:rFonts w:ascii="Times New Roman" w:hAnsi="Times New Roman" w:cs="Times New Roman"/>
        </w:rPr>
        <w:t>(Chen and Assefa, 2021)</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Healthcare Workforce Shortage</w:t>
      </w:r>
      <w:r>
        <w:rPr>
          <w:rFonts w:ascii="Times New Roman" w:hAnsi="Times New Roman" w:cs="Times New Roman"/>
        </w:rPr>
        <w:t xml:space="preserve">: Despite having one of the largest healthcare workforces in the world, China faces a shortage of healthcare professionals, particularly in rural areas and certain specialties. As of 2019, there were only about 2.9 healthcare workers per 1,000 population, below the OECD average </w:t>
      </w:r>
      <w:r>
        <w:rPr>
          <w:rFonts w:ascii="Times New Roman" w:hAnsi="Times New Roman" w:cs="Times New Roman"/>
        </w:rPr>
        <w:fldChar w:fldCharType="begin"/>
      </w:r>
      <w:r>
        <w:rPr>
          <w:rFonts w:ascii="Times New Roman" w:hAnsi="Times New Roman" w:cs="Times New Roman"/>
        </w:rPr>
        <w:instrText xml:space="preserve"> ADDIN EN.CITE &lt;EndNote&gt;&lt;Cite&gt;&lt;Author&gt;Socha-Dietrich&lt;/Author&gt;&lt;Year&gt;2021&lt;/Year&gt;&lt;RecNum&gt;1240&lt;/RecNum&gt;&lt;DisplayText&gt;(Socha-Dietrich and Dumont, 2021)&lt;/DisplayText&gt;&lt;record&gt;&lt;rec-number&gt;1240&lt;/rec-number&gt;&lt;foreign-keys&gt;&lt;key app="EN" db-id="r2rswvs2oexszme9tvjx5vx252ep2r22dx9d" timestamp="1701341984"&gt;1240&lt;/key&gt;&lt;/foreign-keys&gt;&lt;ref-type name="Book"&gt;6&lt;/ref-type&gt;&lt;contributors&gt;&lt;authors&gt;&lt;author&gt;Socha-Dietrich, Karolina&lt;/author&gt;&lt;author&gt;Dumont, Jean-Christophe&lt;/author&gt;&lt;/authors&gt;&lt;/contributors&gt;&lt;titles&gt;&lt;title&gt;International migration and movement of doctors to and within OECD countries-2000 to 2018: Developments in countries of destination and impact on countries of origin&lt;/title&gt;&lt;/titles&gt;&lt;dates&gt;&lt;year&gt;2021&lt;/year&gt;&lt;/dates&gt;&lt;pub-location&gt;Paris&lt;/pub-location&gt;&lt;publisher&gt;OECD&lt;/publisher&gt;&lt;urls&gt;&lt;/urls&gt;&lt;/record&gt;&lt;/Cite&gt;&lt;/EndNote&gt;</w:instrText>
      </w:r>
      <w:r>
        <w:rPr>
          <w:rFonts w:ascii="Times New Roman" w:hAnsi="Times New Roman" w:cs="Times New Roman"/>
        </w:rPr>
        <w:fldChar w:fldCharType="separate"/>
      </w:r>
      <w:r>
        <w:rPr>
          <w:rFonts w:ascii="Times New Roman" w:hAnsi="Times New Roman" w:cs="Times New Roman"/>
        </w:rPr>
        <w:t>(Socha-Dietrich and Dumont, 2021)</w:t>
      </w:r>
      <w:r>
        <w:rPr>
          <w:rFonts w:ascii="Times New Roman" w:hAnsi="Times New Roman" w:cs="Times New Roman"/>
        </w:rPr>
        <w:fldChar w:fldCharType="end"/>
      </w:r>
      <w:r>
        <w:rPr>
          <w:rFonts w:ascii="Times New Roman" w:hAnsi="Times New Roman" w:cs="Times New Roman"/>
        </w:rPr>
        <w:t>. This shortage is compounded by the uneven distribution of healthcare workers, with a concentration in urban areas and tertiary hospitals.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Quality of Care and Patient Expectations</w:t>
      </w:r>
      <w:r>
        <w:rPr>
          <w:rFonts w:ascii="Times New Roman" w:hAnsi="Times New Roman" w:cs="Times New Roman"/>
        </w:rPr>
        <w:t xml:space="preserve">: With rising incomes and health awareness, Chinese patients increasingly demand higher quality care and better healthcare experiences. This has led to a growing emphasis on patient-centered care and the need for healthcare professionals to develop skills beyond clinical expertise, such as communication and empathy </w:t>
      </w:r>
      <w:r>
        <w:rPr>
          <w:rFonts w:ascii="Times New Roman" w:hAnsi="Times New Roman" w:cs="Times New Roman"/>
        </w:rPr>
        <w:fldChar w:fldCharType="begin"/>
      </w:r>
      <w:r>
        <w:rPr>
          <w:rFonts w:ascii="Times New Roman" w:hAnsi="Times New Roman" w:cs="Times New Roman"/>
        </w:rPr>
        <w:instrText xml:space="preserve"> ADDIN EN.CITE &lt;EndNote&gt;&lt;Cite&gt;&lt;Author&gt;Han&lt;/Author&gt;&lt;Year&gt;2022&lt;/Year&gt;&lt;RecNum&gt;1241&lt;/RecNum&gt;&lt;DisplayText&gt;(Han&lt;style face="italic"&gt; et al.&lt;/style&gt;, 2022)&lt;/DisplayText&gt;&lt;record&gt;&lt;rec-number&gt;1241&lt;/rec-number&gt;&lt;foreign-keys&gt;&lt;key app="EN" db-id="r2rswvs2oexszme9tvjx5vx252ep2r22dx9d" timestamp="1701341984"&gt;1241&lt;/key&gt;&lt;/foreign-keys&gt;&lt;ref-type name="Journal Article"&gt;17&lt;/ref-type&gt;&lt;contributors&gt;&lt;authors&gt;&lt;author&gt;Han, Tao&lt;/author&gt;&lt;author&gt;Li, Sisi&lt;/author&gt;&lt;author&gt;Li, Xueyuan&lt;/author&gt;&lt;author&gt;Yu, Chenhao&lt;/author&gt;&lt;author&gt;Li, Jiahui&lt;/author&gt;&lt;author&gt;Jing, Tiantian&lt;/author&gt;&lt;author&gt;Bai, Mayangzong&lt;/author&gt;&lt;author&gt;Fang, Yue&lt;/author&gt;&lt;author&gt;Qian, Kun&lt;/author&gt;&lt;author&gt;Li, Xiaoyan&lt;/author&gt;&lt;/authors&gt;&lt;/contributors&gt;&lt;titles&gt;&lt;title&gt;Patient-centered care and patient satisfaction: Validating the patient-professional interaction questionnaire in China&lt;/title&gt;&lt;secondary-title&gt;Frontiers in Public Health&lt;/secondary-title&gt;&lt;/titles&gt;&lt;periodical&gt;&lt;full-title&gt;Frontiers in Public Health&lt;/full-title&gt;&lt;/periodical&gt;&lt;pages&gt;990620&lt;/pages&gt;&lt;volume&gt;10&lt;/volume&gt;&lt;dates&gt;&lt;year&gt;2022&lt;/year&gt;&lt;/dates&gt;&lt;isbn&gt;2296-2565&lt;/isbn&gt;&lt;urls&gt;&lt;/urls&gt;&lt;electronic-resource-num&gt;10.3389/fpubh.2022.990620&lt;/electronic-resource-num&gt;&lt;/record&gt;&lt;/Cite&gt;&lt;/EndNote&gt;</w:instrText>
      </w:r>
      <w:r>
        <w:rPr>
          <w:rFonts w:ascii="Times New Roman" w:hAnsi="Times New Roman" w:cs="Times New Roman"/>
        </w:rPr>
        <w:fldChar w:fldCharType="separate"/>
      </w:r>
      <w:r>
        <w:rPr>
          <w:rFonts w:ascii="Times New Roman" w:hAnsi="Times New Roman" w:cs="Times New Roman"/>
        </w:rPr>
        <w:t>(Han</w:t>
      </w:r>
      <w:r>
        <w:rPr>
          <w:rFonts w:ascii="Times New Roman" w:hAnsi="Times New Roman" w:cs="Times New Roman"/>
          <w:i/>
        </w:rPr>
        <w:t xml:space="preserve"> et al.</w:t>
      </w:r>
      <w:r>
        <w:rPr>
          <w:rFonts w:ascii="Times New Roman" w:hAnsi="Times New Roman" w:cs="Times New Roman"/>
        </w:rPr>
        <w:t>,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Healthcare Reforms and Policy Shifts</w:t>
      </w:r>
      <w:r>
        <w:rPr>
          <w:rFonts w:ascii="Times New Roman" w:hAnsi="Times New Roman" w:cs="Times New Roman"/>
        </w:rPr>
        <w:t xml:space="preserve">: The Chinese government has initiated several reforms aimed at addressing these challenges, including the Healthy China 2030 initiative. These reforms focus on improving healthcare accessibility, enhancing the quality of care, and promoting preventive health measures. However, implementing these reforms requires a healthcare workforce that is knowledgeable about new policies and adaptable to changing healthcare landscapes </w:t>
      </w:r>
      <w:r>
        <w:rPr>
          <w:rFonts w:ascii="Times New Roman" w:hAnsi="Times New Roman" w:cs="Times New Roman"/>
        </w:rPr>
        <w:fldChar w:fldCharType="begin"/>
      </w:r>
      <w:r>
        <w:rPr>
          <w:rFonts w:ascii="Times New Roman" w:hAnsi="Times New Roman" w:cs="Times New Roman"/>
        </w:rPr>
        <w:instrText xml:space="preserve"> ADDIN EN.CITE &lt;EndNote&gt;&lt;Cite&gt;&lt;Author&gt;Wang&lt;/Author&gt;&lt;Year&gt;2019&lt;/Year&gt;&lt;RecNum&gt;1242&lt;/RecNum&gt;&lt;DisplayText&gt;(Wang&lt;style face="italic"&gt; et al.&lt;/style&gt;, 2019)&lt;/DisplayText&gt;&lt;record&gt;&lt;rec-number&gt;1242&lt;/rec-number&gt;&lt;foreign-keys&gt;&lt;key app="EN" db-id="r2rswvs2oexszme9tvjx5vx252ep2r22dx9d" timestamp="1701341984"&gt;1242&lt;/key&gt;&lt;/foreign-keys&gt;&lt;ref-type name="Journal Article"&gt;17&lt;/ref-type&gt;&lt;contributors&gt;&lt;authors&gt;&lt;author&gt;Wang, Li&lt;/author&gt;&lt;author&gt;Wang, Zhihao&lt;/author&gt;&lt;author&gt;Ma, Qinglian&lt;/author&gt;&lt;author&gt;Fang, Guixia&lt;/author&gt;&lt;author&gt;Yang, Jinxia&lt;/author&gt;&lt;/authors&gt;&lt;/contributors&gt;&lt;titles&gt;&lt;title&gt;The development and reform of public health in China from 1949 to 2019&lt;/title&gt;&lt;secondary-title&gt;Globalization and Health&lt;/secondary-title&gt;&lt;/titles&gt;&lt;periodical&gt;&lt;full-title&gt;Globalization and health&lt;/full-title&gt;&lt;/periodical&gt;&lt;pages&gt;45&lt;/pages&gt;&lt;volume&gt;15&lt;/volume&gt;&lt;number&gt;1&lt;/number&gt;&lt;dates&gt;&lt;year&gt;2019&lt;/year&gt;&lt;/dates&gt;&lt;isbn&gt;1744-8603&lt;/isbn&gt;&lt;urls&gt;&lt;/urls&gt;&lt;electronic-resource-num&gt;10.1186/s12992-019-0486-6&lt;/electronic-resource-num&gt;&lt;/record&gt;&lt;/Cite&gt;&lt;/EndNote&gt;</w:instrText>
      </w:r>
      <w:r>
        <w:rPr>
          <w:rFonts w:ascii="Times New Roman" w:hAnsi="Times New Roman" w:cs="Times New Roman"/>
        </w:rPr>
        <w:fldChar w:fldCharType="separate"/>
      </w:r>
      <w:r>
        <w:rPr>
          <w:rFonts w:ascii="Times New Roman" w:hAnsi="Times New Roman" w:cs="Times New Roman"/>
        </w:rPr>
        <w:t>(Wang</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the contemporary challenges facing Chinese healthcare are multifaceted, ranging from demographic shifts to the evolving expectations of healthcare quality. Addressing these challenges necessitates a healthcare workforce that is not only well-trained in clinical skills but also equipped with knowledge in geriatric care, chronic disease management, public health, and healthcare policies.</w:t>
      </w:r>
    </w:p>
    <w:p>
      <w:pPr>
        <w:spacing w:line="480" w:lineRule="auto"/>
        <w:rPr>
          <w:rFonts w:ascii="Times New Roman" w:hAnsi="Times New Roman" w:cs="Times New Roman"/>
        </w:rPr>
      </w:pPr>
    </w:p>
    <w:p>
      <w:pPr>
        <w:pStyle w:val="4"/>
      </w:pPr>
      <w:bookmarkStart w:id="14" w:name="_Toc21318"/>
      <w:r>
        <w:t>1.1.5</w:t>
      </w:r>
      <w:r>
        <w:rPr>
          <w:rFonts w:hint="eastAsia"/>
          <w:lang w:val="en-US" w:eastAsia="zh-CN"/>
        </w:rPr>
        <w:t xml:space="preserve">   </w:t>
      </w:r>
      <w:r>
        <w:t>Role of Private Training Companies in China</w:t>
      </w:r>
      <w:bookmarkEnd w:id="14"/>
    </w:p>
    <w:p>
      <w:pPr>
        <w:spacing w:line="480" w:lineRule="auto"/>
        <w:rPr>
          <w:rFonts w:ascii="Times New Roman" w:hAnsi="Times New Roman" w:cs="Times New Roman"/>
        </w:rPr>
      </w:pPr>
      <w:r>
        <w:rPr>
          <w:rFonts w:ascii="Times New Roman" w:hAnsi="Times New Roman" w:cs="Times New Roman"/>
        </w:rPr>
        <w:t>In recent years, private training companies have emerged as significant players in China's healthcare education landscape, supplementing the traditional state-run medical education system. These companies have gained prominence due to their agility in responding to the rapidly evolving needs of healthcare professionals and the healthcare system at large.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Rise of Private Training Companies</w:t>
      </w:r>
      <w:r>
        <w:rPr>
          <w:rFonts w:ascii="Times New Roman" w:hAnsi="Times New Roman" w:cs="Times New Roman"/>
        </w:rPr>
        <w:t xml:space="preserve">: The rise of private training entities in China can be attributed to several factors. One key driver is the increasing demand for specialized medical training, which often exceeds the capacity of traditional educational institutions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&lt;EndNote&gt;&lt;Cite&gt;&lt;Author&gt;Frenk&lt;/Author&gt;&lt;Year&gt;2010&lt;/Year&gt;&lt;RecNum&gt;1243&lt;/RecNum&gt;&lt;DisplayText&gt;(Frenk&lt;style face="italic"&gt; et al.&lt;/style&gt;, 2010)&lt;/DisplayText&gt;&lt;record&gt;&lt;rec-number&gt;1243&lt;/rec-number&gt;&lt;foreign-keys&gt;&lt;key app="EN" db-id="r2rswvs2oexszme9tvjx5vx252ep2r22dx9d" timestamp="1701341984"&gt;1243&lt;/key&gt;&lt;/foreign-keys&gt;&lt;ref-type name="Journal Article"&gt;17&lt;/ref-type&gt;&lt;contributors&gt;&lt;authors&gt;&lt;author&gt;Frenk, Julio&lt;/author&gt;&lt;author&gt;Chen, Lincoln&lt;/author&gt;&lt;author&gt;Bhutta, Zulfiqar A&lt;/author&gt;&lt;author&gt;Cohen, Jordan&lt;/author&gt;&lt;author&gt;Crisp, Nigel&lt;/author&gt;&lt;author&gt;Evans, Timothy&lt;/author&gt;&lt;author&gt;Fineberg, Harvey&lt;/author&gt;&lt;author&gt;Garcia, Patricia&lt;/author&gt;&lt;author&gt;Ke, Yang&lt;/author&gt;&lt;author&gt;Kelley, Patrick&lt;/author&gt;&lt;/authors&gt;&lt;/contributors&gt;&lt;titles&gt;&lt;title&gt;Health professionals for a new century: Transforming education to strengthen health systems in an interdependent world&lt;/title&gt;&lt;secondary-title&gt;The Lancet&lt;/secondary-title&gt;&lt;/titles&gt;&lt;periodical&gt;&lt;full-title&gt;The Lancet&lt;/full-title&gt;&lt;/periodical&gt;&lt;pages&gt;1923-1958&lt;/pages&gt;&lt;volume&gt;376&lt;/volume&gt;&lt;number&gt;9756&lt;/number&gt;&lt;dates&gt;&lt;year&gt;2010&lt;/year&gt;&lt;/dates&gt;&lt;isbn&gt;0140-6736&lt;/isbn&gt;&lt;urls&gt;&lt;/urls&gt;&lt;electronic-resource-num&gt;10.1016/S0140-6736(10)61854-5&lt;/electronic-resource-num&gt;&lt;/record&gt;&lt;/Cite&gt;&lt;/EndNote&gt;</w:instrText>
      </w:r>
      <w:r>
        <w:rPr>
          <w:rFonts w:ascii="Times New Roman" w:hAnsi="Times New Roman" w:cs="Times New Roman"/>
        </w:rPr>
        <w:fldChar w:fldCharType="separate"/>
      </w:r>
      <w:r>
        <w:rPr>
          <w:rFonts w:ascii="Times New Roman" w:hAnsi="Times New Roman" w:cs="Times New Roman"/>
        </w:rPr>
        <w:t>(Frenk</w:t>
      </w:r>
      <w:r>
        <w:rPr>
          <w:rFonts w:ascii="Times New Roman" w:hAnsi="Times New Roman" w:cs="Times New Roman"/>
          <w:i/>
        </w:rPr>
        <w:t xml:space="preserve"> et al.</w:t>
      </w:r>
      <w:r>
        <w:rPr>
          <w:rFonts w:ascii="Times New Roman" w:hAnsi="Times New Roman" w:cs="Times New Roman"/>
        </w:rPr>
        <w:t>, 2010)</w:t>
      </w:r>
      <w:r>
        <w:rPr>
          <w:rFonts w:ascii="Times New Roman" w:hAnsi="Times New Roman" w:cs="Times New Roman"/>
        </w:rPr>
        <w:fldChar w:fldCharType="end"/>
      </w:r>
      <w:r>
        <w:rPr>
          <w:rFonts w:ascii="Times New Roman" w:hAnsi="Times New Roman" w:cs="Times New Roman"/>
        </w:rPr>
        <w:t>. These companies have filled this gap by offering targeted, flexible training programs that cater to specific needs, ranging from clinical skills enhancement to management and leadership in healthcare settings.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Flexibility and Specialization</w:t>
      </w:r>
      <w:r>
        <w:rPr>
          <w:rFonts w:ascii="Times New Roman" w:hAnsi="Times New Roman" w:cs="Times New Roman"/>
        </w:rPr>
        <w:t xml:space="preserve">: Unlike traditional educational models, private training companies in China are known for their flexibility and ability to provide specialized programs. They offer courses that are tailored to the latest trends and advancements in medicine, addressing areas that are often not covered in conventional medical education </w:t>
      </w:r>
      <w:r>
        <w:rPr>
          <w:rFonts w:ascii="Times New Roman" w:hAnsi="Times New Roman" w:cs="Times New Roman"/>
        </w:rPr>
        <w:fldChar w:fldCharType="begin"/>
      </w:r>
      <w:r>
        <w:rPr>
          <w:rFonts w:ascii="Times New Roman" w:hAnsi="Times New Roman" w:cs="Times New Roman"/>
        </w:rPr>
        <w:instrText xml:space="preserve"> ADDIN EN.CITE &lt;EndNote&gt;&lt;Cite&gt;&lt;Author&gt;An&lt;/Author&gt;&lt;Year&gt;2022&lt;/Year&gt;&lt;RecNum&gt;1244&lt;/RecNum&gt;&lt;DisplayText&gt;(An&lt;style face="italic"&gt; et al.&lt;/style&gt;, 2022)&lt;/DisplayText&gt;&lt;record&gt;&lt;rec-number&gt;1244&lt;/rec-number&gt;&lt;foreign-keys&gt;&lt;key app="EN" db-id="r2rswvs2oexszme9tvjx5vx252ep2r22dx9d" timestamp="1701341984"&gt;1244&lt;/key&gt;&lt;/foreign-keys&gt;&lt;ref-type name="Journal Article"&gt;17&lt;/ref-type&gt;&lt;contributors&gt;&lt;authors&gt;&lt;author&gt;An, Kang&lt;/author&gt;&lt;author&gt;Zhang, Lin&lt;/author&gt;&lt;author&gt;Qiao, Runjuan&lt;/author&gt;&lt;author&gt;Li, Caizheng&lt;/author&gt;&lt;author&gt;Zhong, Qian&lt;/author&gt;&lt;author&gt;Ma, Yiru&lt;/author&gt;&lt;author&gt;Rao, Xin&lt;/author&gt;&lt;author&gt;Mao, Tingrui&lt;/author&gt;&lt;author&gt;Liu, Feng&lt;/author&gt;&lt;author&gt;Zhuo, Qiang&lt;/author&gt;&lt;author&gt;She, Yi&lt;/author&gt;&lt;author&gt;Li, Shuangqing&lt;/author&gt;&lt;author&gt;Su, Qiaoli&lt;/author&gt;&lt;/authors&gt;&lt;/contributors&gt;&lt;titles&gt;&lt;title&gt;Training needs and curriculum of continuing medical education among general practitioners in Tibet, China: A cross-sectional survey&lt;/title&gt;&lt;secondary-title&gt;Frontiers in Public Health&lt;/secondary-title&gt;&lt;/titles&gt;&lt;periodical&gt;&lt;full-title&gt;Frontiers in Public Health&lt;/full-title&gt;&lt;/periodical&gt;&lt;pages&gt;914847&lt;/pages&gt;&lt;volume&gt;10&lt;/volume&gt;&lt;keywords&gt;&lt;keyword&gt;China&lt;/keyword&gt;&lt;keyword&gt;continuing medical education&lt;/keyword&gt;&lt;keyword&gt;Cross-Sectional Studies&lt;/keyword&gt;&lt;keyword&gt;Curriculum&lt;/keyword&gt;&lt;keyword&gt;curriculum development&lt;/keyword&gt;&lt;keyword&gt;Education, Medical, Continuing&lt;/keyword&gt;&lt;keyword&gt;Female&lt;/keyword&gt;&lt;keyword&gt;general practice&lt;/keyword&gt;&lt;keyword&gt;General Practitioners - education&lt;/keyword&gt;&lt;keyword&gt;Humans&lt;/keyword&gt;&lt;keyword&gt;Male&lt;/keyword&gt;&lt;keyword&gt;primary care&lt;/keyword&gt;&lt;keyword&gt;Public Health&lt;/keyword&gt;&lt;keyword&gt;Tibet&lt;/keyword&gt;&lt;keyword&gt;training needs&lt;/keyword&gt;&lt;/keywords&gt;&lt;dates&gt;&lt;year&gt;2022&lt;/year&gt;&lt;/dates&gt;&lt;pub-location&gt;Switzerland&lt;/pub-location&gt;&lt;publisher&gt;Frontiers Media S.A&lt;/publisher&gt;&lt;isbn&gt;2296-2565&lt;/isbn&gt;&lt;urls&gt;&lt;/urls&gt;&lt;electronic-resource-num&gt;10.3389/fpubh.2022.914847&lt;/electronic-resource-num&gt;&lt;/record&gt;&lt;/Cite&gt;&lt;/EndNote&gt;</w:instrText>
      </w:r>
      <w:r>
        <w:rPr>
          <w:rFonts w:ascii="Times New Roman" w:hAnsi="Times New Roman" w:cs="Times New Roman"/>
        </w:rPr>
        <w:fldChar w:fldCharType="separate"/>
      </w:r>
      <w:r>
        <w:rPr>
          <w:rFonts w:ascii="Times New Roman" w:hAnsi="Times New Roman" w:cs="Times New Roman"/>
        </w:rPr>
        <w:t>(An</w:t>
      </w:r>
      <w:r>
        <w:rPr>
          <w:rFonts w:ascii="Times New Roman" w:hAnsi="Times New Roman" w:cs="Times New Roman"/>
          <w:i/>
        </w:rPr>
        <w:t xml:space="preserve"> et al.</w:t>
      </w:r>
      <w:r>
        <w:rPr>
          <w:rFonts w:ascii="Times New Roman" w:hAnsi="Times New Roman" w:cs="Times New Roman"/>
        </w:rPr>
        <w:t>, 2022)</w:t>
      </w:r>
      <w:r>
        <w:rPr>
          <w:rFonts w:ascii="Times New Roman" w:hAnsi="Times New Roman" w:cs="Times New Roman"/>
        </w:rPr>
        <w:fldChar w:fldCharType="end"/>
      </w:r>
      <w:r>
        <w:rPr>
          <w:rFonts w:ascii="Times New Roman" w:hAnsi="Times New Roman" w:cs="Times New Roman"/>
        </w:rPr>
        <w:t>. This includes training in emerging fields such as digital health, personalized medicine, and advanced surgical techniques.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Technology Integration in Training</w:t>
      </w:r>
      <w:r>
        <w:rPr>
          <w:rFonts w:ascii="Times New Roman" w:hAnsi="Times New Roman" w:cs="Times New Roman"/>
        </w:rPr>
        <w:t xml:space="preserve">: Another notable aspect of these companies is their integration of technology in training. Many have adopted e-learning platforms and virtual simulation tools to provide an immersive learning experience. This approach not only makes training more accessible, especially for professionals in remote areas, but also ensures that the content is current and relevant </w:t>
      </w:r>
      <w:r>
        <w:rPr>
          <w:rFonts w:ascii="Times New Roman" w:hAnsi="Times New Roman" w:cs="Times New Roman"/>
        </w:rPr>
        <w:fldChar w:fldCharType="begin"/>
      </w:r>
      <w:r>
        <w:rPr>
          <w:rFonts w:ascii="Times New Roman" w:hAnsi="Times New Roman" w:cs="Times New Roman"/>
        </w:rPr>
        <w:instrText xml:space="preserve"> ADDIN EN.CITE &lt;EndNote&gt;&lt;Cite&gt;&lt;Author&gt;Fu&lt;/Author&gt;&lt;Year&gt;2018&lt;/Year&gt;&lt;RecNum&gt;1245&lt;/RecNum&gt;&lt;DisplayText&gt;(Fu, Liu and Dai, 2018)&lt;/DisplayText&gt;&lt;record&gt;&lt;rec-number&gt;1245&lt;/rec-number&gt;&lt;foreign-keys&gt;&lt;key app="EN" db-id="r2rswvs2oexszme9tvjx5vx252ep2r22dx9d" timestamp="1701341984"&gt;1245&lt;/key&gt;&lt;/foreign-keys&gt;&lt;ref-type name="Conference Proceedings"&gt;10&lt;/ref-type&gt;&lt;contributors&gt;&lt;authors&gt;&lt;author&gt;Fu, Weina&lt;/author&gt;&lt;author&gt;Liu, Shuai&lt;/author&gt;&lt;author&gt;Dai, Jianhua&lt;/author&gt;&lt;/authors&gt;&lt;/contributors&gt;&lt;titles&gt;&lt;title&gt;E-learning, e-education, and online training&lt;/title&gt;&lt;secondary-title&gt;7th EAI International Conference, eLEOT 2021&lt;/secondary-title&gt;&lt;/titles&gt;&lt;dates&gt;&lt;year&gt;2018&lt;/year&gt;&lt;/dates&gt;&lt;pub-location&gt;Xinxiang&lt;/pub-location&gt;&lt;publisher&gt;Springer&lt;/publisher&gt;&lt;urls&gt;&lt;/urls&gt;&lt;custom1&gt;Cham&lt;/custom1&gt;&lt;/record&gt;&lt;/Cite&gt;&lt;/EndNote&gt;</w:instrText>
      </w:r>
      <w:r>
        <w:rPr>
          <w:rFonts w:ascii="Times New Roman" w:hAnsi="Times New Roman" w:cs="Times New Roman"/>
        </w:rPr>
        <w:fldChar w:fldCharType="separate"/>
      </w:r>
      <w:r>
        <w:rPr>
          <w:rFonts w:ascii="Times New Roman" w:hAnsi="Times New Roman" w:cs="Times New Roman"/>
        </w:rPr>
        <w:t>(Fu, Liu and Dai, 2018)</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Collaborations and International Partnerships</w:t>
      </w:r>
      <w:r>
        <w:rPr>
          <w:rFonts w:ascii="Times New Roman" w:hAnsi="Times New Roman" w:cs="Times New Roman"/>
        </w:rPr>
        <w:t xml:space="preserve">: Private training companies in China have also been engaging in international collaborations to bring global perspectives and expertise to their programs. Partnerships with foreign universities and medical institutions have enabled them to offer joint programs and certifications, enhancing the global competence of Chinese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&lt;EndNote&gt;&lt;Cite&gt;&lt;Author&gt;Lewis&lt;/Author&gt;&lt;Year&gt;2015&lt;/Year&gt;&lt;RecNum&gt;1246&lt;/RecNum&gt;&lt;DisplayText&gt;(Lewis&lt;style face="italic"&gt; et al.&lt;/style&gt;, 2015)&lt;/DisplayText&gt;&lt;record&gt;&lt;rec-number&gt;1246&lt;/rec-number&gt;&lt;foreign-keys&gt;&lt;key app="EN" db-id="r2rswvs2oexszme9tvjx5vx252ep2r22dx9d" timestamp="1701341984"&gt;1246&lt;/key&gt;&lt;/foreign-keys&gt;&lt;ref-type name="Book"&gt;6&lt;/ref-type&gt;&lt;contributors&gt;&lt;authors&gt;&lt;author&gt;Lewis, Vivian&lt;/author&gt;&lt;author&gt;Spiro, Lisa&lt;/author&gt;&lt;author&gt;Wang, Xuemao&lt;/author&gt;&lt;author&gt;Cawthorne, Jon E&lt;/author&gt;&lt;/authors&gt;&lt;/contributors&gt;&lt;titles&gt;&lt;title&gt;Building expertise to support digital scholarship: A global perspective&lt;/title&gt;&lt;/titles&gt;&lt;dates&gt;&lt;year&gt;2015&lt;/year&gt;&lt;/dates&gt;&lt;pub-location&gt;&lt;style face="normal" font="default" size="100%"&gt;Washington&lt;/style&gt;&lt;style face="normal" font="default" charset="134" size="100%"&gt; &lt;/style&gt;&lt;style face="normal" font="default" size="100%"&gt;DC&lt;/style&gt;&lt;/pub-location&gt;&lt;publisher&gt;Council on Library and Information Resources&lt;/publisher&gt;&lt;isbn&gt;1932326510&lt;/isbn&gt;&lt;urls&gt;&lt;/urls&gt;&lt;/record&gt;&lt;/Cite&gt;&lt;/EndNote&gt;</w:instrText>
      </w:r>
      <w:r>
        <w:rPr>
          <w:rFonts w:ascii="Times New Roman" w:hAnsi="Times New Roman" w:cs="Times New Roman"/>
        </w:rPr>
        <w:fldChar w:fldCharType="separate"/>
      </w:r>
      <w:r>
        <w:rPr>
          <w:rFonts w:ascii="Times New Roman" w:hAnsi="Times New Roman" w:cs="Times New Roman"/>
        </w:rPr>
        <w:t>(Lewis</w:t>
      </w:r>
      <w:r>
        <w:rPr>
          <w:rFonts w:ascii="Times New Roman" w:hAnsi="Times New Roman" w:cs="Times New Roman"/>
          <w:i/>
        </w:rPr>
        <w:t xml:space="preserve"> et al.</w:t>
      </w:r>
      <w:r>
        <w:rPr>
          <w:rFonts w:ascii="Times New Roman" w:hAnsi="Times New Roman" w:cs="Times New Roman"/>
        </w:rPr>
        <w:t>, 2015)</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Impact on Continuing Education</w:t>
      </w:r>
      <w:r>
        <w:rPr>
          <w:rFonts w:ascii="Times New Roman" w:hAnsi="Times New Roman" w:cs="Times New Roman"/>
        </w:rPr>
        <w:t xml:space="preserve">: The impact of private training companies on continuing education in healthcare in China has been significant. They have contributed to a more diverse and dynamic educational environment, offering healthcare professionals opportunities for lifelong learning and professional development. These companies have played a pivotal role in upskilling the healthcare workforce, which is critical in meeting the contemporary challenges of the Chinese healthcare system </w:t>
      </w:r>
      <w:r>
        <w:rPr>
          <w:rFonts w:ascii="Times New Roman" w:hAnsi="Times New Roman" w:cs="Times New Roman"/>
        </w:rPr>
        <w:fldChar w:fldCharType="begin"/>
      </w:r>
      <w:r>
        <w:rPr>
          <w:rFonts w:ascii="Times New Roman" w:hAnsi="Times New Roman" w:cs="Times New Roman"/>
        </w:rPr>
        <w:instrText xml:space="preserve"> ADDIN EN.CITE &lt;EndNote&gt;&lt;Cite&gt;&lt;Author&gt;Li&lt;/Author&gt;&lt;Year&gt;2022&lt;/Year&gt;&lt;RecNum&gt;1247&lt;/RecNum&gt;&lt;DisplayText&gt;(Li, 2022)&lt;/DisplayText&gt;&lt;record&gt;&lt;rec-number&gt;1247&lt;/rec-number&gt;&lt;foreign-keys&gt;&lt;key app="EN" db-id="r2rswvs2oexszme9tvjx5vx252ep2r22dx9d" timestamp="1701341984"&gt;1247&lt;/key&gt;&lt;/foreign-keys&gt;&lt;ref-type name="Journal Article"&gt;17&lt;/ref-type&gt;&lt;contributors&gt;&lt;authors&gt;&lt;author&gt;Li, Ling&lt;/author&gt;&lt;/authors&gt;&lt;/contributors&gt;&lt;titles&gt;&lt;title&gt;Reskilling and upskilling the future-ready workforce for industry 4.0 and beyond&lt;/title&gt;&lt;secondary-title&gt;Information Systems Frontiers&lt;/secondary-title&gt;&lt;/titles&gt;&lt;periodical&gt;&lt;full-title&gt;Information Systems Frontiers&lt;/full-title&gt;&lt;/periodical&gt;&lt;pages&gt;1-16&lt;/pages&gt;&lt;volume&gt;24&lt;/volume&gt;&lt;dates&gt;&lt;year&gt;2022&lt;/year&gt;&lt;/dates&gt;&lt;isbn&gt;1387-3326&lt;/isbn&gt;&lt;urls&gt;&lt;/urls&gt;&lt;electronic-resource-num&gt;10.1007/s10796-022-10308-y&lt;/electronic-resource-num&gt;&lt;/record&gt;&lt;/Cite&gt;&lt;/EndNote&gt;</w:instrText>
      </w:r>
      <w:r>
        <w:rPr>
          <w:rFonts w:ascii="Times New Roman" w:hAnsi="Times New Roman" w:cs="Times New Roman"/>
        </w:rPr>
        <w:fldChar w:fldCharType="separate"/>
      </w:r>
      <w:r>
        <w:rPr>
          <w:rFonts w:ascii="Times New Roman" w:hAnsi="Times New Roman" w:cs="Times New Roman"/>
        </w:rPr>
        <w:t>(Li,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summary, private training companies in China have become integral to the continuing education ecosystem, providing specialized, flexible, and technologically advanced training solutions. Their role in enhancing the skills and knowledge of healthcare professionals is vital in ensuring that China's healthcare workforce can effectively respond to the evolving healthcare needs of the population.</w:t>
      </w:r>
    </w:p>
    <w:p>
      <w:pPr>
        <w:spacing w:line="480" w:lineRule="auto"/>
        <w:rPr>
          <w:rFonts w:ascii="Times New Roman" w:hAnsi="Times New Roman" w:cs="Times New Roman"/>
        </w:rPr>
      </w:pPr>
    </w:p>
    <w:p>
      <w:pPr>
        <w:pStyle w:val="4"/>
      </w:pPr>
      <w:bookmarkStart w:id="15" w:name="_Toc18758"/>
      <w:r>
        <w:t>1.1.6</w:t>
      </w:r>
      <w:r>
        <w:rPr>
          <w:rFonts w:hint="eastAsia"/>
          <w:lang w:val="en-US" w:eastAsia="zh-CN"/>
        </w:rPr>
        <w:t xml:space="preserve">   T</w:t>
      </w:r>
      <w:r>
        <w:t>he Company Information of the Study</w:t>
      </w:r>
      <w:bookmarkEnd w:id="15"/>
    </w:p>
    <w:p>
      <w:pPr>
        <w:spacing w:line="480" w:lineRule="auto"/>
        <w:rPr>
          <w:rFonts w:ascii="Times New Roman" w:hAnsi="Times New Roman" w:cs="Times New Roman"/>
        </w:rPr>
      </w:pPr>
      <w:r>
        <w:rPr>
          <w:rFonts w:ascii="Times New Roman" w:hAnsi="Times New Roman" w:cs="Times New Roman"/>
        </w:rPr>
        <w:t>The Shenzhen Health and Wellness Capacity Building and Continuing Education Center, located in the vibrant city of Shenzhen, represents a cornerstone in the field of medical education and health services. This center plays a pivotal role in advancing medical knowledge and health care standards through its multifaceted programs and services.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Primary Responsibilities and Activities</w:t>
      </w:r>
      <w:r>
        <w:rPr>
          <w:rFonts w:ascii="Times New Roman" w:hAnsi="Times New Roman" w:cs="Times New Roman"/>
        </w:rPr>
        <w:t xml:space="preserve"> The Center's core responsibilities encompass a broad spectrum of activities integral to the health sector. These include:</w:t>
      </w:r>
    </w:p>
    <w:p>
      <w:pPr>
        <w:numPr>
          <w:ilvl w:val="0"/>
          <w:numId w:val="1"/>
        </w:numPr>
        <w:spacing w:line="480" w:lineRule="auto"/>
        <w:rPr>
          <w:rFonts w:ascii="Times New Roman" w:hAnsi="Times New Roman" w:cs="Times New Roman"/>
        </w:rPr>
      </w:pPr>
      <w:r>
        <w:rPr>
          <w:rFonts w:ascii="Times New Roman" w:hAnsi="Times New Roman" w:cs="Times New Roman"/>
        </w:rPr>
        <w:t>Conducting continuing medical education,</w:t>
      </w:r>
    </w:p>
    <w:p>
      <w:pPr>
        <w:numPr>
          <w:ilvl w:val="0"/>
          <w:numId w:val="1"/>
        </w:numPr>
        <w:spacing w:line="480" w:lineRule="auto"/>
        <w:rPr>
          <w:rFonts w:ascii="Times New Roman" w:hAnsi="Times New Roman" w:cs="Times New Roman"/>
        </w:rPr>
      </w:pPr>
      <w:r>
        <w:rPr>
          <w:rFonts w:ascii="Times New Roman" w:hAnsi="Times New Roman" w:cs="Times New Roman"/>
        </w:rPr>
        <w:t>Facilitating health personnel exchange services,</w:t>
      </w:r>
    </w:p>
    <w:p>
      <w:pPr>
        <w:numPr>
          <w:ilvl w:val="0"/>
          <w:numId w:val="1"/>
        </w:numPr>
        <w:spacing w:line="480" w:lineRule="auto"/>
        <w:rPr>
          <w:rFonts w:ascii="Times New Roman" w:hAnsi="Times New Roman" w:cs="Times New Roman"/>
        </w:rPr>
      </w:pPr>
      <w:r>
        <w:rPr>
          <w:rFonts w:ascii="Times New Roman" w:hAnsi="Times New Roman" w:cs="Times New Roman"/>
        </w:rPr>
        <w:t>Offering comprehensive training in general practice medicine,</w:t>
      </w:r>
    </w:p>
    <w:p>
      <w:pPr>
        <w:numPr>
          <w:ilvl w:val="0"/>
          <w:numId w:val="1"/>
        </w:numPr>
        <w:spacing w:line="480" w:lineRule="auto"/>
        <w:rPr>
          <w:rFonts w:ascii="Times New Roman" w:hAnsi="Times New Roman" w:cs="Times New Roman"/>
        </w:rPr>
      </w:pPr>
      <w:r>
        <w:rPr>
          <w:rFonts w:ascii="Times New Roman" w:hAnsi="Times New Roman" w:cs="Times New Roman"/>
        </w:rPr>
        <w:t>Implementing standardized training for resident doctors,</w:t>
      </w:r>
    </w:p>
    <w:p>
      <w:pPr>
        <w:numPr>
          <w:ilvl w:val="0"/>
          <w:numId w:val="1"/>
        </w:numPr>
        <w:spacing w:line="480" w:lineRule="auto"/>
        <w:rPr>
          <w:rFonts w:ascii="Times New Roman" w:hAnsi="Times New Roman" w:cs="Times New Roman"/>
        </w:rPr>
      </w:pPr>
      <w:r>
        <w:rPr>
          <w:rFonts w:ascii="Times New Roman" w:hAnsi="Times New Roman" w:cs="Times New Roman"/>
        </w:rPr>
        <w:t>Providing medical simulation training,</w:t>
      </w:r>
    </w:p>
    <w:p>
      <w:pPr>
        <w:numPr>
          <w:ilvl w:val="0"/>
          <w:numId w:val="1"/>
        </w:numPr>
        <w:spacing w:line="480" w:lineRule="auto"/>
        <w:rPr>
          <w:rFonts w:ascii="Times New Roman" w:hAnsi="Times New Roman" w:cs="Times New Roman"/>
        </w:rPr>
      </w:pPr>
      <w:r>
        <w:rPr>
          <w:rFonts w:ascii="Times New Roman" w:hAnsi="Times New Roman" w:cs="Times New Roman"/>
        </w:rPr>
        <w:t>Engaging in academic education,</w:t>
      </w:r>
    </w:p>
    <w:p>
      <w:pPr>
        <w:numPr>
          <w:ilvl w:val="0"/>
          <w:numId w:val="1"/>
        </w:numPr>
        <w:spacing w:line="480" w:lineRule="auto"/>
        <w:rPr>
          <w:rFonts w:ascii="Times New Roman" w:hAnsi="Times New Roman" w:cs="Times New Roman"/>
        </w:rPr>
      </w:pPr>
      <w:r>
        <w:rPr>
          <w:rFonts w:ascii="Times New Roman" w:hAnsi="Times New Roman" w:cs="Times New Roman"/>
        </w:rPr>
        <w:t>Fostering international cooperation and exchange services,</w:t>
      </w:r>
    </w:p>
    <w:p>
      <w:pPr>
        <w:numPr>
          <w:ilvl w:val="0"/>
          <w:numId w:val="1"/>
        </w:numPr>
        <w:spacing w:line="480" w:lineRule="auto"/>
        <w:rPr>
          <w:rFonts w:ascii="Times New Roman" w:hAnsi="Times New Roman" w:cs="Times New Roman"/>
        </w:rPr>
      </w:pPr>
      <w:r>
        <w:rPr>
          <w:rFonts w:ascii="Times New Roman" w:hAnsi="Times New Roman" w:cs="Times New Roman"/>
        </w:rPr>
        <w:t>Delivering social service training programs.</w:t>
      </w:r>
    </w:p>
    <w:p>
      <w:pPr>
        <w:spacing w:line="480" w:lineRule="auto"/>
        <w:rPr>
          <w:rFonts w:ascii="Times New Roman" w:hAnsi="Times New Roman" w:cs="Times New Roman"/>
        </w:rPr>
      </w:pPr>
      <w:r>
        <w:rPr>
          <w:rFonts w:ascii="Times New Roman" w:hAnsi="Times New Roman" w:cs="Times New Roman"/>
        </w:rPr>
        <w:t>Significantly, the Center has established a robust health and wellness capacity-building service platform that synergistically combines continuing medical education, postgraduate medical education, and in-service academic education.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Teaching Methodologies</w:t>
      </w:r>
      <w:r>
        <w:rPr>
          <w:rFonts w:ascii="Times New Roman" w:hAnsi="Times New Roman" w:cs="Times New Roman"/>
        </w:rPr>
        <w:t xml:space="preserve"> </w:t>
      </w:r>
    </w:p>
    <w:p>
      <w:pPr>
        <w:spacing w:line="480" w:lineRule="auto"/>
        <w:rPr>
          <w:rFonts w:ascii="Times New Roman" w:hAnsi="Times New Roman" w:cs="Times New Roman"/>
        </w:rPr>
      </w:pPr>
      <w:r>
        <w:rPr>
          <w:rFonts w:ascii="Times New Roman" w:hAnsi="Times New Roman" w:cs="Times New Roman"/>
        </w:rPr>
        <w:t>In terms of pedagogical approach, the Center adopts a blended learning model. This model integrates online distance learning through a digital platform with traditional classroom-based instruction, effectively leveraging both digital and physical educational spaces.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Target Audience</w:t>
      </w:r>
      <w:r>
        <w:rPr>
          <w:rFonts w:ascii="Times New Roman" w:hAnsi="Times New Roman" w:cs="Times New Roman"/>
        </w:rPr>
        <w:t xml:space="preserve"> </w:t>
      </w:r>
    </w:p>
    <w:p>
      <w:pPr>
        <w:spacing w:line="480" w:lineRule="auto"/>
        <w:rPr>
          <w:rFonts w:ascii="Times New Roman" w:hAnsi="Times New Roman" w:cs="Times New Roman"/>
        </w:rPr>
      </w:pPr>
      <w:r>
        <w:rPr>
          <w:rFonts w:ascii="Times New Roman" w:hAnsi="Times New Roman" w:cs="Times New Roman"/>
        </w:rPr>
        <w:t>The training programs cater to a diverse range of professionals, including medical staff from hospitals across Shenzhen and personnel from various healthcare institutions.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Curriculum Design</w:t>
      </w:r>
      <w:r>
        <w:rPr>
          <w:rFonts w:ascii="Times New Roman" w:hAnsi="Times New Roman" w:cs="Times New Roman"/>
        </w:rPr>
        <w:t xml:space="preserve"> </w:t>
      </w:r>
    </w:p>
    <w:p>
      <w:pPr>
        <w:spacing w:line="480" w:lineRule="auto"/>
        <w:rPr>
          <w:rFonts w:ascii="Times New Roman" w:hAnsi="Times New Roman" w:cs="Times New Roman"/>
        </w:rPr>
      </w:pPr>
      <w:r>
        <w:rPr>
          <w:rFonts w:ascii="Times New Roman" w:hAnsi="Times New Roman" w:cs="Times New Roman"/>
        </w:rPr>
        <w:t>The curriculum is thoughtfully designed to address the needs of primary care physicians and nursing staff. It encompasses a range of topics from specialized medical knowledge to grassroots service capability building, interpretation of health and wellness policy documents, and career development planning.</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Organizational Structure</w:t>
      </w:r>
      <w:r>
        <w:rPr>
          <w:rFonts w:ascii="Times New Roman" w:hAnsi="Times New Roman" w:cs="Times New Roman"/>
        </w:rPr>
        <w:t xml:space="preserve"> </w:t>
      </w:r>
    </w:p>
    <w:p>
      <w:pPr>
        <w:spacing w:line="480" w:lineRule="auto"/>
        <w:rPr>
          <w:rFonts w:ascii="Times New Roman" w:hAnsi="Times New Roman" w:cs="Times New Roman"/>
        </w:rPr>
      </w:pPr>
      <w:r>
        <w:rPr>
          <w:rFonts w:ascii="Times New Roman" w:hAnsi="Times New Roman" w:cs="Times New Roman"/>
        </w:rPr>
        <w:t>The Center boasts a robust organizational structure with approximately 160 staff members and 14 internal departments. These include two functional departments: the Administrative Office and the Finance Department, and twelve business departments: Continuing Education, Health Personnel Exchange Services, General Practice Medicine Training, Standardized Training for Resident Doctors, Medical Simulation Training and Research, Academic Education, International Cooperation and Exchange Services, Social Services, Online Education, Project Supervision, Business Development, and Logistics Support.</w:t>
      </w:r>
    </w:p>
    <w:p>
      <w:pPr>
        <w:spacing w:line="480" w:lineRule="auto"/>
        <w:rPr>
          <w:rFonts w:ascii="Times New Roman" w:hAnsi="Times New Roman" w:cs="Times New Roman"/>
        </w:rPr>
      </w:pPr>
    </w:p>
    <w:p>
      <w:pPr>
        <w:pStyle w:val="3"/>
        <w:spacing w:before="240" w:after="240"/>
      </w:pPr>
      <w:bookmarkStart w:id="16" w:name="_Toc134793950"/>
      <w:bookmarkStart w:id="17" w:name="_Toc147660145"/>
      <w:bookmarkStart w:id="18" w:name="_Toc30957"/>
      <w:r>
        <w:t>1.2</w:t>
      </w:r>
      <w:r>
        <w:rPr>
          <w:rFonts w:hint="eastAsia"/>
          <w:lang w:val="en-US" w:eastAsia="zh-CN"/>
        </w:rPr>
        <w:t xml:space="preserve">  </w:t>
      </w:r>
      <w:r>
        <w:t>Research Aim and Objectives</w:t>
      </w:r>
      <w:bookmarkEnd w:id="16"/>
      <w:bookmarkEnd w:id="17"/>
      <w:bookmarkEnd w:id="18"/>
    </w:p>
    <w:p>
      <w:pPr>
        <w:spacing w:line="480" w:lineRule="auto"/>
        <w:rPr>
          <w:rFonts w:ascii="Times New Roman" w:hAnsi="Times New Roman" w:cs="Times New Roman"/>
          <w:b/>
          <w:bCs/>
          <w:i/>
          <w:iCs/>
        </w:rPr>
      </w:pPr>
      <w:r>
        <w:rPr>
          <w:rFonts w:hint="eastAsia" w:ascii="Times New Roman" w:hAnsi="Times New Roman" w:cs="Times New Roman"/>
          <w:b/>
          <w:bCs/>
          <w:i/>
          <w:iCs/>
        </w:rPr>
        <w:t>Aim</w:t>
      </w:r>
      <w:r>
        <w:rPr>
          <w:rFonts w:ascii="Times New Roman" w:hAnsi="Times New Roman" w:cs="Times New Roman"/>
          <w:b/>
          <w:bCs/>
          <w:i/>
          <w:iCs/>
        </w:rPr>
        <w:t xml:space="preserve"> of the Research</w:t>
      </w:r>
    </w:p>
    <w:p>
      <w:pPr>
        <w:spacing w:line="480" w:lineRule="auto"/>
        <w:rPr>
          <w:rFonts w:ascii="Times New Roman" w:hAnsi="Times New Roman" w:cs="Times New Roman"/>
        </w:rPr>
      </w:pPr>
      <w:r>
        <w:rPr>
          <w:rFonts w:ascii="Times New Roman" w:hAnsi="Times New Roman" w:cs="Times New Roman"/>
        </w:rPr>
        <w:t>The overarching intent of this research is to discern the intricate factors that shape the motivations and expectations of healthcare professionals as they engage in continuing education programs facilitated by private training companies.</w:t>
      </w:r>
    </w:p>
    <w:p>
      <w:pPr>
        <w:spacing w:line="480" w:lineRule="auto"/>
        <w:rPr>
          <w:rFonts w:ascii="Times New Roman" w:hAnsi="Times New Roman" w:cs="Times New Roman"/>
        </w:rPr>
      </w:pPr>
    </w:p>
    <w:p>
      <w:pPr>
        <w:spacing w:line="480" w:lineRule="auto"/>
        <w:rPr>
          <w:rFonts w:ascii="Times New Roman" w:hAnsi="Times New Roman" w:cs="Times New Roman"/>
          <w:b/>
          <w:bCs/>
          <w:i/>
          <w:iCs/>
        </w:rPr>
      </w:pPr>
      <w:r>
        <w:rPr>
          <w:rFonts w:ascii="Times New Roman" w:hAnsi="Times New Roman" w:cs="Times New Roman"/>
          <w:b/>
          <w:bCs/>
          <w:i/>
          <w:iCs/>
        </w:rPr>
        <w:t>Research Objectives</w:t>
      </w:r>
    </w:p>
    <w:p>
      <w:pPr>
        <w:spacing w:line="480" w:lineRule="auto"/>
        <w:rPr>
          <w:rFonts w:ascii="Times New Roman" w:hAnsi="Times New Roman" w:cs="Times New Roman"/>
        </w:rPr>
      </w:pPr>
      <w:r>
        <w:rPr>
          <w:rFonts w:ascii="Times New Roman" w:hAnsi="Times New Roman" w:cs="Times New Roman"/>
        </w:rPr>
        <w:t>In pursuit of the aforementioned aim, the following research objectives are systematically delineated:</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a. Analyzing Motivational Factors: To meticulously examine the multifaceted factors that impel healthcare professionals towards private training companies for their continuing education. This includes, but is not limited to, intrinsic aspirations for personal and professional growth, extrinsic pressures like regulatory mandates, and the overarching goal of enhancing patient care.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b. Exploration of Professional Expectations: To undertake a rigorous investigation into the anticipations of healthcare professionals regarding the content, pedagogical strategies, and tangible outcomes of the continuing education programs. This incorporates understanding the desired relevance and applicability of content, the pedagogical quality of instruction, and the anticipated impact on clinical and administrative practice.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c. Evaluating Training Companies' Efficacy: To assess, with precision, the extent to which private training companies satiate the educational needs and meet the established expectations of healthcare professionals. Central to this objective is an emphasis on participant satisfaction, tangible skills and knowledge acquisition, and transformative changes in both clinical and administrative practices.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d. Identification of Best Practices: To collate and analyze instances of particularly efficacious continuing education programs, aiming to distill strategies and practices that could be regarded as benchmarks for the industry. The objective here is to understand the anatomy of successful programs and translate these findings into actionable insights for both existing and emergent private training companies.</w:t>
      </w:r>
    </w:p>
    <w:p>
      <w:pPr>
        <w:spacing w:line="480" w:lineRule="auto"/>
        <w:rPr>
          <w:rFonts w:ascii="Times New Roman" w:hAnsi="Times New Roman" w:cs="Times New Roman"/>
        </w:rPr>
      </w:pPr>
    </w:p>
    <w:p>
      <w:pPr>
        <w:pStyle w:val="3"/>
        <w:spacing w:before="240" w:after="240"/>
      </w:pPr>
      <w:bookmarkStart w:id="19" w:name="_Toc134793951"/>
      <w:bookmarkStart w:id="20" w:name="_Toc147660146"/>
      <w:bookmarkStart w:id="21" w:name="_Toc9015"/>
      <w:bookmarkStart w:id="22" w:name="OLE_LINK15"/>
      <w:r>
        <w:t>1.3</w:t>
      </w:r>
      <w:r>
        <w:rPr>
          <w:rFonts w:hint="eastAsia"/>
          <w:lang w:val="en-US" w:eastAsia="zh-CN"/>
        </w:rPr>
        <w:t xml:space="preserve">  </w:t>
      </w:r>
      <w:r>
        <w:t xml:space="preserve">Research </w:t>
      </w:r>
      <w:bookmarkEnd w:id="19"/>
      <w:r>
        <w:t>Questions</w:t>
      </w:r>
      <w:bookmarkEnd w:id="20"/>
      <w:bookmarkEnd w:id="21"/>
    </w:p>
    <w:p>
      <w:pPr>
        <w:spacing w:line="480" w:lineRule="auto"/>
        <w:rPr>
          <w:rFonts w:ascii="Times New Roman" w:hAnsi="Times New Roman" w:cs="Times New Roman"/>
          <w:bCs/>
        </w:rPr>
      </w:pPr>
      <w:bookmarkStart w:id="23" w:name="OLE_LINK7"/>
      <w:r>
        <w:rPr>
          <w:rFonts w:ascii="Times New Roman" w:hAnsi="Times New Roman" w:cs="Times New Roman"/>
          <w:bCs/>
        </w:rPr>
        <w:t>In congruence with the articulated research objectives, this study proposes the following pivotal research questions designed to scaffold our inquiry:</w:t>
      </w:r>
    </w:p>
    <w:p>
      <w:pPr>
        <w:spacing w:line="480" w:lineRule="auto"/>
        <w:rPr>
          <w:rFonts w:ascii="Times New Roman" w:hAnsi="Times New Roman" w:cs="Times New Roman"/>
          <w:bCs/>
        </w:rPr>
      </w:pPr>
    </w:p>
    <w:bookmarkEnd w:id="22"/>
    <w:bookmarkEnd w:id="23"/>
    <w:p>
      <w:pPr>
        <w:spacing w:line="480" w:lineRule="auto"/>
        <w:rPr>
          <w:rFonts w:ascii="Times New Roman" w:hAnsi="Times New Roman" w:cs="Times New Roman"/>
          <w:bCs/>
        </w:rPr>
      </w:pPr>
      <w:r>
        <w:rPr>
          <w:rFonts w:ascii="Times New Roman" w:hAnsi="Times New Roman" w:cs="Times New Roman"/>
          <w:bCs/>
        </w:rPr>
        <w:t xml:space="preserve">a. </w:t>
      </w:r>
      <w:r>
        <w:rPr>
          <w:rFonts w:ascii="Times New Roman" w:hAnsi="Times New Roman" w:cs="Times New Roman"/>
          <w:b/>
        </w:rPr>
        <w:t>Factors Driving Participation</w:t>
      </w:r>
      <w:r>
        <w:rPr>
          <w:rFonts w:ascii="Times New Roman" w:hAnsi="Times New Roman" w:cs="Times New Roman"/>
          <w:bCs/>
        </w:rPr>
        <w:t>: What multifarious factors serve as catalysts, prompting healthcare professionals to elect participation in continuing education programs offered by private training companies?</w:t>
      </w:r>
    </w:p>
    <w:p>
      <w:pPr>
        <w:spacing w:line="480" w:lineRule="auto"/>
        <w:rPr>
          <w:rFonts w:ascii="Times New Roman" w:hAnsi="Times New Roman" w:cs="Times New Roman"/>
          <w:bCs/>
        </w:rPr>
      </w:pPr>
      <w:r>
        <w:rPr>
          <w:rFonts w:ascii="Times New Roman" w:hAnsi="Times New Roman" w:cs="Times New Roman"/>
          <w:bCs/>
        </w:rPr>
        <w:t xml:space="preserve">b. </w:t>
      </w:r>
      <w:r>
        <w:rPr>
          <w:rFonts w:ascii="Times New Roman" w:hAnsi="Times New Roman" w:cs="Times New Roman"/>
          <w:b/>
        </w:rPr>
        <w:t>Perceived Pros and Cons</w:t>
      </w:r>
      <w:r>
        <w:rPr>
          <w:rFonts w:ascii="Times New Roman" w:hAnsi="Times New Roman" w:cs="Times New Roman"/>
          <w:bCs/>
        </w:rPr>
        <w:t>: How do healthcare professionals perceive the benefits derived from, and challenges inherent in, engaging with continuing education programs offered by private training companies?</w:t>
      </w:r>
    </w:p>
    <w:p>
      <w:pPr>
        <w:spacing w:line="480" w:lineRule="auto"/>
        <w:rPr>
          <w:rFonts w:ascii="Times New Roman" w:hAnsi="Times New Roman" w:cs="Times New Roman"/>
          <w:bCs/>
        </w:rPr>
      </w:pPr>
    </w:p>
    <w:p>
      <w:pPr>
        <w:spacing w:line="480" w:lineRule="auto"/>
        <w:rPr>
          <w:rFonts w:ascii="Times New Roman" w:hAnsi="Times New Roman" w:cs="Times New Roman"/>
          <w:bCs/>
        </w:rPr>
      </w:pPr>
      <w:r>
        <w:rPr>
          <w:rFonts w:ascii="Times New Roman" w:hAnsi="Times New Roman" w:cs="Times New Roman"/>
          <w:bCs/>
        </w:rPr>
        <w:t>These questions aim to excavate a profound understanding of the nexus between healthcare professionals' motivations, their educational choices, and their experiences vis-à-vis private training entities.</w:t>
      </w:r>
    </w:p>
    <w:p>
      <w:pPr>
        <w:spacing w:line="480" w:lineRule="auto"/>
        <w:rPr>
          <w:rFonts w:ascii="Times New Roman" w:hAnsi="Times New Roman" w:cs="Times New Roman"/>
        </w:rPr>
      </w:pPr>
    </w:p>
    <w:p>
      <w:pPr>
        <w:pStyle w:val="3"/>
        <w:spacing w:before="240" w:after="240"/>
      </w:pPr>
      <w:bookmarkStart w:id="24" w:name="_Toc134793952"/>
      <w:bookmarkStart w:id="25" w:name="_Toc147660147"/>
      <w:bookmarkStart w:id="26" w:name="_Toc28171"/>
      <w:bookmarkStart w:id="27" w:name="OLE_LINK12"/>
      <w:r>
        <w:t>1.4</w:t>
      </w:r>
      <w:r>
        <w:rPr>
          <w:rFonts w:hint="eastAsia"/>
          <w:lang w:val="en-US" w:eastAsia="zh-CN"/>
        </w:rPr>
        <w:t xml:space="preserve">  </w:t>
      </w:r>
      <w:r>
        <w:t>Significance of the Study</w:t>
      </w:r>
      <w:bookmarkEnd w:id="24"/>
      <w:bookmarkEnd w:id="25"/>
      <w:bookmarkEnd w:id="26"/>
    </w:p>
    <w:p>
      <w:pPr>
        <w:spacing w:line="480" w:lineRule="auto"/>
        <w:rPr>
          <w:rFonts w:ascii="Times New Roman" w:hAnsi="Times New Roman" w:cs="Times New Roman"/>
          <w:b/>
          <w:bCs/>
          <w:i/>
          <w:iCs/>
        </w:rPr>
      </w:pPr>
      <w:r>
        <w:rPr>
          <w:rFonts w:ascii="Times New Roman" w:hAnsi="Times New Roman" w:cs="Times New Roman"/>
          <w:b/>
          <w:bCs/>
          <w:i/>
          <w:iCs/>
        </w:rPr>
        <w:t>Theoretical Contributions</w:t>
      </w:r>
    </w:p>
    <w:p>
      <w:pPr>
        <w:spacing w:line="480" w:lineRule="auto"/>
        <w:rPr>
          <w:rFonts w:ascii="Times New Roman" w:hAnsi="Times New Roman" w:cs="Times New Roman"/>
        </w:rPr>
      </w:pPr>
      <w:r>
        <w:rPr>
          <w:rFonts w:ascii="Times New Roman" w:hAnsi="Times New Roman" w:cs="Times New Roman"/>
        </w:rPr>
        <w:t>This study endeavours to make pivotal contributions to the academic discourse, particularly within the realms of educational studies and continuing professional development. By delving into the motivations and expectations of healthcare professionals as they navigate continuing education programs offered by private training companies, the research aims to enhance the corpus of knowledge related to adult learning theory and expectancy-value theory. Specifically, it seeks to interrogate the applicability of these prevailing theories in discerning healthcare professionals' educational choices in the milieu of continuing education.</w:t>
      </w:r>
    </w:p>
    <w:p>
      <w:pPr>
        <w:spacing w:line="480" w:lineRule="auto"/>
        <w:rPr>
          <w:rFonts w:ascii="Times New Roman" w:hAnsi="Times New Roman" w:cs="Times New Roman"/>
        </w:rPr>
      </w:pPr>
    </w:p>
    <w:p>
      <w:pPr>
        <w:spacing w:line="480" w:lineRule="auto"/>
        <w:rPr>
          <w:rFonts w:ascii="Times New Roman" w:hAnsi="Times New Roman" w:cs="Times New Roman"/>
          <w:b/>
          <w:bCs/>
          <w:i/>
          <w:iCs/>
        </w:rPr>
      </w:pPr>
      <w:r>
        <w:rPr>
          <w:rFonts w:ascii="Times New Roman" w:hAnsi="Times New Roman" w:cs="Times New Roman"/>
          <w:b/>
          <w:bCs/>
          <w:i/>
          <w:iCs/>
        </w:rPr>
        <w:t>Practical Implications</w:t>
      </w:r>
    </w:p>
    <w:p>
      <w:pPr>
        <w:spacing w:line="480" w:lineRule="auto"/>
        <w:rPr>
          <w:rFonts w:ascii="Times New Roman" w:hAnsi="Times New Roman" w:cs="Times New Roman"/>
        </w:rPr>
      </w:pPr>
      <w:r>
        <w:rPr>
          <w:rFonts w:ascii="Times New Roman" w:hAnsi="Times New Roman" w:cs="Times New Roman"/>
        </w:rPr>
        <w:t xml:space="preserve">From a pragmatic vantage point, the insights derived from this study bear significant implications for a variety of stakeholders, primarily private training companies and healthcare professionals. </w:t>
      </w:r>
    </w:p>
    <w:p>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For Private Training Companies</w:t>
      </w:r>
      <w:r>
        <w:rPr>
          <w:rFonts w:ascii="Times New Roman" w:hAnsi="Times New Roman" w:cs="Times New Roman"/>
        </w:rPr>
        <w:t>: Gaining a nuanced understanding of the factors that motivate and guide the educational decisions of healthcare professionals can empower these companies to architect more bespoke and effective training programs. Such tailored programs stand to engender enhanced learning experiences, leading to discernibly improved outcomes for professionals in their day-to-day practice.</w:t>
      </w:r>
    </w:p>
    <w:p>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For Healthcare Professionals</w:t>
      </w:r>
      <w:r>
        <w:rPr>
          <w:rFonts w:ascii="Times New Roman" w:hAnsi="Times New Roman" w:cs="Times New Roman"/>
        </w:rPr>
        <w:t>: The culmination of the research offers potential guidelines and benchmarks for what might constitute a robust continuing education program. Healthcare professionals could harness these insights to make more informed decisions about their continuing education pursuits, ensuring they align with their professional goals and requirements.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Moreover, these findings can act as a fulcrum for the formulation of guidelines and actionable recommendations tailored to the design and execution of effectual continuing education programs. Such recommendations stand to benefit both private training entities and the wider community of healthcare professionals, fostering an environment of continued excellence in patient care and overall healthcare efficacy.</w:t>
      </w:r>
    </w:p>
    <w:bookmarkEnd w:id="27"/>
    <w:p>
      <w:pPr>
        <w:spacing w:line="480" w:lineRule="auto"/>
        <w:rPr>
          <w:rFonts w:ascii="Times New Roman" w:hAnsi="Times New Roman" w:cs="Times New Roman"/>
        </w:rPr>
      </w:pPr>
    </w:p>
    <w:p>
      <w:pPr>
        <w:pStyle w:val="3"/>
        <w:spacing w:before="240" w:after="240"/>
      </w:pPr>
      <w:bookmarkStart w:id="28" w:name="_Toc147660148"/>
      <w:bookmarkStart w:id="29" w:name="_Toc134793953"/>
      <w:bookmarkStart w:id="30" w:name="_Toc4130"/>
      <w:r>
        <w:t>1.5</w:t>
      </w:r>
      <w:r>
        <w:rPr>
          <w:rFonts w:hint="eastAsia"/>
          <w:lang w:val="en-US" w:eastAsia="zh-CN"/>
        </w:rPr>
        <w:t xml:space="preserve">  </w:t>
      </w:r>
      <w:r>
        <w:t>Structure of the Dissertation</w:t>
      </w:r>
      <w:bookmarkEnd w:id="28"/>
      <w:bookmarkEnd w:id="29"/>
      <w:bookmarkEnd w:id="30"/>
    </w:p>
    <w:p>
      <w:pPr>
        <w:spacing w:line="480" w:lineRule="auto"/>
        <w:rPr>
          <w:rFonts w:ascii="Times New Roman" w:hAnsi="Times New Roman" w:cs="Times New Roman"/>
        </w:rPr>
      </w:pPr>
      <w:r>
        <w:rPr>
          <w:rFonts w:ascii="Times New Roman" w:hAnsi="Times New Roman" w:cs="Times New Roman"/>
        </w:rPr>
        <w:t xml:space="preserve">The dissertation is structured into six chapters, each addressing a different aspect of the research.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Introduction chapter provides the background, context, research aim, objectives, and questions, along with the study's significance.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Literature Review critically examines existing research on relevant topics, including continuing professional development, adult learning theory, and expectancy-value theory, to provide a theoretical foundation for the study.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Methodology chapter outlines the research design, sampling strategy, data collection methods, data analysis techniques, and ethical considerations.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Results chapter presents the study's findings, organized according to the research questions, while the Discussion chapter interprets the findings in the context of the existing literature.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Finally, the Conclusion chapter summarizes the study's findings, discusses the implications for practice and policy, and suggests avenues for future research.</w:t>
      </w:r>
    </w:p>
    <w:p>
      <w:r>
        <w:rPr>
          <w:rFonts w:ascii="Arial" w:hAnsi="Arial" w:cs="Arial"/>
          <w:b/>
          <w:bCs/>
          <w:sz w:val="28"/>
          <w:szCs w:val="28"/>
        </w:rPr>
        <w:br w:type="page"/>
      </w:r>
      <w:bookmarkStart w:id="31" w:name="_Toc147660149"/>
    </w:p>
    <w:p>
      <w:pPr>
        <w:pStyle w:val="2"/>
        <w:spacing w:before="240" w:after="240"/>
      </w:pPr>
      <w:bookmarkStart w:id="32" w:name="_Toc17171"/>
      <w:r>
        <w:t>Chapter 2</w:t>
      </w:r>
      <w:r>
        <w:tab/>
      </w:r>
      <w:r>
        <w:rPr>
          <w:rFonts w:hint="eastAsia" w:eastAsia="宋体"/>
          <w:lang w:val="en-US" w:eastAsia="zh-CN"/>
        </w:rPr>
        <w:t xml:space="preserve">        </w:t>
      </w:r>
      <w:r>
        <w:t>Literature Review</w:t>
      </w:r>
      <w:bookmarkEnd w:id="31"/>
      <w:bookmarkEnd w:id="32"/>
    </w:p>
    <w:p>
      <w:pPr>
        <w:spacing w:line="480" w:lineRule="auto"/>
        <w:rPr>
          <w:rFonts w:ascii="Times New Roman" w:hAnsi="Times New Roman" w:cs="Times New Roman"/>
        </w:rPr>
      </w:pPr>
      <w:r>
        <w:rPr>
          <w:rFonts w:ascii="Times New Roman" w:hAnsi="Times New Roman" w:cs="Times New Roman"/>
        </w:rPr>
        <w:t>This literature review explores the key factors that influence healthcare professionals' motivations and expectations in continuing education programs, particularly those provided by private training companies. The review is structured around three main themes: the role of Continuing Professional Development (CPD) in healthcare, the application of Adult Learning Theory and Expectancy-Value Theory to understand healthcare professionals' engagement in CPD, and the role of private training companies in delivering CPD programs. This literature review serves as a foundation for the proposed study, which seeks to explore the motivations and expectations of healthcare professionals in the context of private training companies.</w:t>
      </w:r>
    </w:p>
    <w:p>
      <w:pPr>
        <w:spacing w:line="480" w:lineRule="auto"/>
        <w:rPr>
          <w:rFonts w:ascii="Times New Roman" w:hAnsi="Times New Roman" w:cs="Times New Roman"/>
        </w:rPr>
      </w:pPr>
    </w:p>
    <w:p>
      <w:pPr>
        <w:pStyle w:val="3"/>
        <w:spacing w:before="240" w:after="240"/>
      </w:pPr>
      <w:bookmarkStart w:id="33" w:name="_Toc147660150"/>
      <w:bookmarkStart w:id="34" w:name="_Toc134793955"/>
      <w:bookmarkStart w:id="35" w:name="OLE_LINK8"/>
      <w:bookmarkStart w:id="36" w:name="_Toc15312"/>
      <w:r>
        <w:t>2.1</w:t>
      </w:r>
      <w:r>
        <w:rPr>
          <w:rFonts w:hint="eastAsia"/>
          <w:lang w:val="en-US" w:eastAsia="zh-CN"/>
        </w:rPr>
        <w:t xml:space="preserve">  </w:t>
      </w:r>
      <w:r>
        <w:t>Continuing Professional Development in Healthcare</w:t>
      </w:r>
      <w:bookmarkEnd w:id="33"/>
      <w:bookmarkEnd w:id="34"/>
      <w:bookmarkEnd w:id="35"/>
      <w:bookmarkEnd w:id="36"/>
    </w:p>
    <w:p>
      <w:pPr>
        <w:pStyle w:val="4"/>
      </w:pPr>
      <w:bookmarkStart w:id="37" w:name="_Toc147660151"/>
      <w:bookmarkStart w:id="38" w:name="_Toc134793956"/>
      <w:bookmarkStart w:id="39" w:name="_Toc17757"/>
      <w:r>
        <w:t>2.1.1</w:t>
      </w:r>
      <w:r>
        <w:rPr>
          <w:rFonts w:hint="eastAsia"/>
          <w:lang w:val="en-US" w:eastAsia="zh-CN"/>
        </w:rPr>
        <w:t xml:space="preserve">   </w:t>
      </w:r>
      <w:r>
        <w:t>Definition and Importance of Continuing Professional Development</w:t>
      </w:r>
      <w:bookmarkEnd w:id="37"/>
      <w:bookmarkEnd w:id="38"/>
      <w:bookmarkEnd w:id="39"/>
    </w:p>
    <w:p>
      <w:pPr>
        <w:spacing w:line="480" w:lineRule="auto"/>
        <w:rPr>
          <w:rFonts w:ascii="Times New Roman" w:hAnsi="Times New Roman" w:cs="Times New Roman"/>
        </w:rPr>
      </w:pPr>
      <w:bookmarkStart w:id="40" w:name="OLE_LINK16"/>
      <w:r>
        <w:rPr>
          <w:rFonts w:ascii="Times New Roman" w:hAnsi="Times New Roman" w:cs="Times New Roman"/>
        </w:rPr>
        <w:t xml:space="preserve">Continuing Professional Development (CPD) is a vital aspect of lifelong learning and growth for healthcare professionals. CPD encompasses a range of learning activities, from formal courses to informal learning on the job, all aimed at ensuring healthcare professionals stay abreast of new developments and continue to deliver high-quality care </w:t>
      </w:r>
      <w:r>
        <w:rPr>
          <w:rFonts w:ascii="Times New Roman" w:hAnsi="Times New Roman" w:cs="Times New Roman"/>
        </w:rPr>
        <w:fldChar w:fldCharType="begin"/>
      </w:r>
      <w:r>
        <w:rPr>
          <w:rFonts w:ascii="Times New Roman" w:hAnsi="Times New Roman" w:cs="Times New Roman"/>
        </w:rPr>
        <w:instrText xml:space="preserve"> ADDIN EN.CITE &lt;EndNote&gt;&lt;Cite&gt;&lt;Author&gt;Filipe&lt;/Author&gt;&lt;Year&gt;2014&lt;/Year&gt;&lt;RecNum&gt;1248&lt;/RecNum&gt;&lt;DisplayText&gt;(Filipe&lt;style face="italic"&gt; et al.&lt;/style&gt;, 2014)&lt;/DisplayText&gt;&lt;record&gt;&lt;rec-number&gt;1248&lt;/rec-number&gt;&lt;foreign-keys&gt;&lt;key app="EN" db-id="r2rswvs2oexszme9tvjx5vx252ep2r22dx9d" timestamp="1701341984"&gt;1248&lt;/key&gt;&lt;/foreign-keys&gt;&lt;ref-type name="Journal Article"&gt;17&lt;/ref-type&gt;&lt;contributors&gt;&lt;authors&gt;&lt;author&gt;Filipe, Helena P&lt;/author&gt;&lt;author&gt;Silva, Eduardo D&lt;/author&gt;&lt;author&gt;Stulting, Andries A&lt;/author&gt;&lt;author&gt;Golnik, Karl C&lt;/author&gt;&lt;/authors&gt;&lt;/contributors&gt;&lt;titles&gt;&lt;title&gt;Continuing professional development: Best practices&lt;/title&gt;&lt;secondary-title&gt;Middle East African Journal of Ophthalmology&lt;/secondary-title&gt;&lt;/titles&gt;&lt;periodical&gt;&lt;full-title&gt;Middle East African journal of ophthalmology&lt;/full-title&gt;&lt;/periodical&gt;&lt;pages&gt;134-141&lt;/pages&gt;&lt;volume&gt;21&lt;/volume&gt;&lt;number&gt;2&lt;/number&gt;&lt;dates&gt;&lt;year&gt;2014&lt;/year&gt;&lt;/dates&gt;&lt;urls&gt;&lt;/urls&gt;&lt;electronic-resource-num&gt;10.4103/0974-9233.129760&lt;/electronic-resource-num&gt;&lt;/record&gt;&lt;/Cite&gt;&lt;/EndNote&gt;</w:instrText>
      </w:r>
      <w:r>
        <w:rPr>
          <w:rFonts w:ascii="Times New Roman" w:hAnsi="Times New Roman" w:cs="Times New Roman"/>
        </w:rPr>
        <w:fldChar w:fldCharType="separate"/>
      </w:r>
      <w:r>
        <w:rPr>
          <w:rFonts w:ascii="Times New Roman" w:hAnsi="Times New Roman" w:cs="Times New Roman"/>
        </w:rPr>
        <w:t>(Filipe</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 xml:space="preserve">. It is defined as the systematic process of maintaining, enhancing, and updating one's knowledge, skills, and competence throughout their professional career </w:t>
      </w:r>
      <w:r>
        <w:rPr>
          <w:rFonts w:ascii="Times New Roman" w:hAnsi="Times New Roman" w:cs="Times New Roman"/>
        </w:rPr>
        <w:fldChar w:fldCharType="begin"/>
      </w:r>
      <w:r>
        <w:rPr>
          <w:rFonts w:ascii="Times New Roman" w:hAnsi="Times New Roman" w:cs="Times New Roman"/>
        </w:rPr>
        <w:instrText xml:space="preserve"> ADDIN EN.CITE &lt;EndNote&gt;&lt;Cite&gt;&lt;Author&gt;Filipe&lt;/Author&gt;&lt;Year&gt;2014&lt;/Year&gt;&lt;RecNum&gt;1248&lt;/RecNum&gt;&lt;DisplayText&gt;(Filipe&lt;style face="italic"&gt; et al.&lt;/style&gt;, 2014)&lt;/DisplayText&gt;&lt;record&gt;&lt;rec-number&gt;1248&lt;/rec-number&gt;&lt;foreign-keys&gt;&lt;key app="EN" db-id="r2rswvs2oexszme9tvjx5vx252ep2r22dx9d" timestamp="1701341984"&gt;1248&lt;/key&gt;&lt;/foreign-keys&gt;&lt;ref-type name="Journal Article"&gt;17&lt;/ref-type&gt;&lt;contributors&gt;&lt;authors&gt;&lt;author&gt;Filipe, Helena P&lt;/author&gt;&lt;author&gt;Silva, Eduardo D&lt;/author&gt;&lt;author&gt;Stulting, Andries A&lt;/author&gt;&lt;author&gt;Golnik, Karl C&lt;/author&gt;&lt;/authors&gt;&lt;/contributors&gt;&lt;titles&gt;&lt;title&gt;Continuing professional development: Best practices&lt;/title&gt;&lt;secondary-title&gt;Middle East African Journal of Ophthalmology&lt;/secondary-title&gt;&lt;/titles&gt;&lt;periodical&gt;&lt;full-title&gt;Middle East African journal of ophthalmology&lt;/full-title&gt;&lt;/periodical&gt;&lt;pages&gt;134-141&lt;/pages&gt;&lt;volume&gt;21&lt;/volume&gt;&lt;number&gt;2&lt;/number&gt;&lt;dates&gt;&lt;year&gt;2014&lt;/year&gt;&lt;/dates&gt;&lt;urls&gt;&lt;/urls&gt;&lt;electronic-resource-num&gt;10.4103/0974-9233.129760&lt;/electronic-resource-num&gt;&lt;/record&gt;&lt;/Cite&gt;&lt;/EndNote&gt;</w:instrText>
      </w:r>
      <w:r>
        <w:rPr>
          <w:rFonts w:ascii="Times New Roman" w:hAnsi="Times New Roman" w:cs="Times New Roman"/>
        </w:rPr>
        <w:fldChar w:fldCharType="separate"/>
      </w:r>
      <w:r>
        <w:rPr>
          <w:rFonts w:ascii="Times New Roman" w:hAnsi="Times New Roman" w:cs="Times New Roman"/>
        </w:rPr>
        <w:t>(Filipe</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 xml:space="preserve">. The importance of CPD in healthcare is indisputable, as it enables healthcare professionals to stay current with evolving healthcare practices, technologies, and regulatory requirements, ultimately leading to improved patient care and outcomes </w:t>
      </w:r>
      <w:r>
        <w:rPr>
          <w:rFonts w:ascii="Times New Roman" w:hAnsi="Times New Roman" w:cs="Times New Roman"/>
        </w:rPr>
        <w:fldChar w:fldCharType="begin"/>
      </w:r>
      <w:r>
        <w:rPr>
          <w:rFonts w:ascii="Times New Roman" w:hAnsi="Times New Roman" w:cs="Times New Roman"/>
        </w:rPr>
        <w:instrText xml:space="preserve"> ADDIN EN.CITE &lt;EndNote&gt;&lt;Cite&gt;&lt;Author&gt;Swanwick&lt;/Author&gt;&lt;Year&gt;2018&lt;/Year&gt;&lt;RecNum&gt;1249&lt;/RecNum&gt;&lt;DisplayText&gt;(Swanwick, 2018)&lt;/DisplayText&gt;&lt;record&gt;&lt;rec-number&gt;1249&lt;/rec-number&gt;&lt;foreign-keys&gt;&lt;key app="EN" db-id="r2rswvs2oexszme9tvjx5vx252ep2r22dx9d" timestamp="1701341984"&gt;1249&lt;/key&gt;&lt;/foreign-keys&gt;&lt;ref-type name="Book Section"&gt;5&lt;/ref-type&gt;&lt;contributors&gt;&lt;authors&gt;&lt;author&gt;Swanwick, Tim&lt;/author&gt;&lt;/authors&gt;&lt;secondary-authors&gt;&lt;author&gt;Tim Swanwick&lt;/author&gt;&lt;author&gt;Kirsty Forrest&lt;/author&gt;&lt;author&gt;Bridget C. O&amp;apos;Brien&lt;/author&gt;&lt;/secondary-authors&gt;&lt;/contributors&gt;&lt;titles&gt;&lt;title&gt;Understanding medical education&lt;/title&gt;&lt;secondary-title&gt;Understanding Medical Education: Evidence, Theory, and Practice&lt;/secondary-title&gt;&lt;/titles&gt;&lt;periodical&gt;&lt;full-title&gt;Understanding Medical Education: Evidence, Theory, and Practice&lt;/full-title&gt;&lt;/periodical&gt;&lt;pages&gt;1-6&lt;/pages&gt;&lt;dates&gt;&lt;year&gt;2018&lt;/year&gt;&lt;/dates&gt;&lt;pub-location&gt;London&lt;/pub-location&gt;&lt;publisher&gt;Sage&lt;/publisher&gt;&lt;urls&gt;&lt;/urls&gt;&lt;electronic-resource-num&gt;10.1002/9781119373780.ch1&lt;/electronic-resource-num&gt;&lt;/record&gt;&lt;/Cite&gt;&lt;/EndNote&gt;</w:instrText>
      </w:r>
      <w:r>
        <w:rPr>
          <w:rFonts w:ascii="Times New Roman" w:hAnsi="Times New Roman" w:cs="Times New Roman"/>
        </w:rPr>
        <w:fldChar w:fldCharType="separate"/>
      </w:r>
      <w:r>
        <w:rPr>
          <w:rFonts w:ascii="Times New Roman" w:hAnsi="Times New Roman" w:cs="Times New Roman"/>
        </w:rPr>
        <w:t>(Swanwick, 2018)</w:t>
      </w:r>
      <w:r>
        <w:rPr>
          <w:rFonts w:ascii="Times New Roman" w:hAnsi="Times New Roman" w:cs="Times New Roman"/>
        </w:rPr>
        <w:fldChar w:fldCharType="end"/>
      </w:r>
      <w:r>
        <w:rPr>
          <w:rFonts w:ascii="Times New Roman" w:hAnsi="Times New Roman" w:cs="Times New Roman"/>
        </w:rPr>
        <w:t>.</w:t>
      </w:r>
    </w:p>
    <w:bookmarkEnd w:id="40"/>
    <w:p>
      <w:pPr>
        <w:spacing w:line="480" w:lineRule="auto"/>
        <w:rPr>
          <w:rFonts w:ascii="Times New Roman" w:hAnsi="Times New Roman" w:cs="Times New Roman"/>
        </w:rPr>
      </w:pPr>
    </w:p>
    <w:p>
      <w:pPr>
        <w:pStyle w:val="4"/>
      </w:pPr>
      <w:bookmarkStart w:id="41" w:name="_Toc147660152"/>
      <w:bookmarkStart w:id="42" w:name="_Toc134793957"/>
      <w:bookmarkStart w:id="43" w:name="_Toc5152"/>
      <w:bookmarkStart w:id="44" w:name="OLE_LINK17"/>
      <w:r>
        <w:t>2.1.2</w:t>
      </w:r>
      <w:r>
        <w:rPr>
          <w:rFonts w:hint="eastAsia"/>
          <w:lang w:val="en-US" w:eastAsia="zh-CN"/>
        </w:rPr>
        <w:t xml:space="preserve">   </w:t>
      </w:r>
      <w:r>
        <w:t>Current Trends and Challenges in Healthcare Continuing Education</w:t>
      </w:r>
      <w:bookmarkEnd w:id="41"/>
      <w:bookmarkEnd w:id="42"/>
      <w:bookmarkEnd w:id="43"/>
    </w:p>
    <w:p>
      <w:pPr>
        <w:spacing w:line="480" w:lineRule="auto"/>
        <w:rPr>
          <w:rFonts w:ascii="Times New Roman" w:hAnsi="Times New Roman" w:cs="Times New Roman"/>
        </w:rPr>
      </w:pPr>
      <w:r>
        <w:rPr>
          <w:rFonts w:ascii="Times New Roman" w:hAnsi="Times New Roman" w:cs="Times New Roman"/>
        </w:rPr>
        <w:t xml:space="preserve">Several trends and challenges characterize healthcare continuing education. Factors such as the rapid advancement of medical knowledge, an aging population, and increasing specialization in various fields contribute to the growing demand for CPD </w:t>
      </w:r>
      <w:r>
        <w:rPr>
          <w:rFonts w:ascii="Times New Roman" w:hAnsi="Times New Roman" w:cs="Times New Roman"/>
        </w:rPr>
        <w:fldChar w:fldCharType="begin"/>
      </w:r>
      <w:r>
        <w:rPr>
          <w:rFonts w:ascii="Times New Roman" w:hAnsi="Times New Roman" w:cs="Times New Roman"/>
        </w:rPr>
        <w:instrText xml:space="preserve"> ADDIN EN.CITE &lt;EndNote&gt;&lt;Cite&gt;&lt;Author&gt;Frenk&lt;/Author&gt;&lt;Year&gt;2010&lt;/Year&gt;&lt;RecNum&gt;1243&lt;/RecNum&gt;&lt;DisplayText&gt;(Frenk&lt;style face="italic"&gt; et al.&lt;/style&gt;, 2010)&lt;/DisplayText&gt;&lt;record&gt;&lt;rec-number&gt;1243&lt;/rec-number&gt;&lt;foreign-keys&gt;&lt;key app="EN" db-id="r2rswvs2oexszme9tvjx5vx252ep2r22dx9d" timestamp="1701341984"&gt;1243&lt;/key&gt;&lt;/foreign-keys&gt;&lt;ref-type name="Journal Article"&gt;17&lt;/ref-type&gt;&lt;contributors&gt;&lt;authors&gt;&lt;author&gt;Frenk, Julio&lt;/author&gt;&lt;author&gt;Chen, Lincoln&lt;/author&gt;&lt;author&gt;Bhutta, Zulfiqar A&lt;/author&gt;&lt;author&gt;Cohen, Jordan&lt;/author&gt;&lt;author&gt;Crisp, Nigel&lt;/author&gt;&lt;author&gt;Evans, Timothy&lt;/author&gt;&lt;author&gt;Fineberg, Harvey&lt;/author&gt;&lt;author&gt;Garcia, Patricia&lt;/author&gt;&lt;author&gt;Ke, Yang&lt;/author&gt;&lt;author&gt;Kelley, Patrick&lt;/author&gt;&lt;/authors&gt;&lt;/contributors&gt;&lt;titles&gt;&lt;title&gt;Health professionals for a new century: Transforming education to strengthen health systems in an interdependent world&lt;/title&gt;&lt;secondary-title&gt;The Lancet&lt;/secondary-title&gt;&lt;/titles&gt;&lt;periodical&gt;&lt;full-title&gt;The Lancet&lt;/full-title&gt;&lt;/periodical&gt;&lt;pages&gt;1923-1958&lt;/pages&gt;&lt;volume&gt;376&lt;/volume&gt;&lt;number&gt;9756&lt;/number&gt;&lt;dates&gt;&lt;year&gt;2010&lt;/year&gt;&lt;/dates&gt;&lt;isbn&gt;0140-6736&lt;/isbn&gt;&lt;urls&gt;&lt;/urls&gt;&lt;electronic-resource-num&gt;10.1016/S0140-6736(10)61854-5&lt;/electronic-resource-num&gt;&lt;/record&gt;&lt;/Cite&gt;&lt;/EndNote&gt;</w:instrText>
      </w:r>
      <w:r>
        <w:rPr>
          <w:rFonts w:ascii="Times New Roman" w:hAnsi="Times New Roman" w:cs="Times New Roman"/>
        </w:rPr>
        <w:fldChar w:fldCharType="separate"/>
      </w:r>
      <w:r>
        <w:rPr>
          <w:rFonts w:ascii="Times New Roman" w:hAnsi="Times New Roman" w:cs="Times New Roman"/>
        </w:rPr>
        <w:t>(Frenk</w:t>
      </w:r>
      <w:r>
        <w:rPr>
          <w:rFonts w:ascii="Times New Roman" w:hAnsi="Times New Roman" w:cs="Times New Roman"/>
          <w:i/>
        </w:rPr>
        <w:t xml:space="preserve"> et al.</w:t>
      </w:r>
      <w:r>
        <w:rPr>
          <w:rFonts w:ascii="Times New Roman" w:hAnsi="Times New Roman" w:cs="Times New Roman"/>
        </w:rPr>
        <w:t>, 2010)</w:t>
      </w:r>
      <w:r>
        <w:rPr>
          <w:rFonts w:ascii="Times New Roman" w:hAnsi="Times New Roman" w:cs="Times New Roman"/>
        </w:rPr>
        <w:fldChar w:fldCharType="end"/>
      </w:r>
      <w:r>
        <w:rPr>
          <w:rFonts w:ascii="Times New Roman" w:hAnsi="Times New Roman" w:cs="Times New Roman"/>
        </w:rPr>
        <w:t xml:space="preserve">. The integration of technology into healthcare education, including online learning platforms and simulation-based training, has also transformed the way CPD is delivered, making it more accessible and diverse </w:t>
      </w:r>
      <w:r>
        <w:rPr>
          <w:rFonts w:ascii="Times New Roman" w:hAnsi="Times New Roman" w:cs="Times New Roman"/>
        </w:rPr>
        <w:fldChar w:fldCharType="begin"/>
      </w:r>
      <w:r>
        <w:rPr>
          <w:rFonts w:ascii="Times New Roman" w:hAnsi="Times New Roman" w:cs="Times New Roman"/>
        </w:rPr>
        <w:instrText xml:space="preserve"> ADDIN EN.CITE &lt;EndNote&gt;&lt;Cite&gt;&lt;Author&gt;Gormley&lt;/Author&gt;&lt;Year&gt;2009&lt;/Year&gt;&lt;RecNum&gt;1250&lt;/RecNum&gt;&lt;DisplayText&gt;(Gormley&lt;style face="italic"&gt; et al.&lt;/style&gt;, 2009)&lt;/DisplayText&gt;&lt;record&gt;&lt;rec-number&gt;1250&lt;/rec-number&gt;&lt;foreign-keys&gt;&lt;key app="EN" db-id="r2rswvs2oexszme9tvjx5vx252ep2r22dx9d" timestamp="1701341984"&gt;1250&lt;/key&gt;&lt;/foreign-keys&gt;&lt;ref-type name="Journal Article"&gt;17&lt;/ref-type&gt;&lt;contributors&gt;&lt;authors&gt;&lt;author&gt;Gormley, Gerry J&lt;/author&gt;&lt;author&gt;Collins, Kate&lt;/author&gt;&lt;author&gt;Boohan, Mairead&lt;/author&gt;&lt;author&gt;Bickle, Ian C&lt;/author&gt;&lt;author&gt;Stevenson, Michael&lt;/author&gt;&lt;/authors&gt;&lt;/contributors&gt;&lt;titles&gt;&lt;title&gt;Is there a place for e-learning in clinical skills? A survey of undergraduate medical students’ experiences and attitudes&lt;/title&gt;&lt;secondary-title&gt;Medical Teacher&lt;/secondary-title&gt;&lt;/titles&gt;&lt;periodical&gt;&lt;full-title&gt;Medical teacher&lt;/full-title&gt;&lt;/periodical&gt;&lt;pages&gt;e6-e12&lt;/pages&gt;&lt;volume&gt;31&lt;/volume&gt;&lt;number&gt;1&lt;/number&gt;&lt;dates&gt;&lt;year&gt;2009&lt;/year&gt;&lt;/dates&gt;&lt;isbn&gt;0142-159X&lt;/isbn&gt;&lt;urls&gt;&lt;/urls&gt;&lt;electronic-resource-num&gt;10.1080/01421590802334317&lt;/electronic-resource-num&gt;&lt;/record&gt;&lt;/Cite&gt;&lt;/EndNote&gt;</w:instrText>
      </w:r>
      <w:r>
        <w:rPr>
          <w:rFonts w:ascii="Times New Roman" w:hAnsi="Times New Roman" w:cs="Times New Roman"/>
        </w:rPr>
        <w:fldChar w:fldCharType="separate"/>
      </w:r>
      <w:r>
        <w:rPr>
          <w:rFonts w:ascii="Times New Roman" w:hAnsi="Times New Roman" w:cs="Times New Roman"/>
        </w:rPr>
        <w:t>(Gormley</w:t>
      </w:r>
      <w:r>
        <w:rPr>
          <w:rFonts w:ascii="Times New Roman" w:hAnsi="Times New Roman" w:cs="Times New Roman"/>
          <w:i/>
        </w:rPr>
        <w:t xml:space="preserve"> et al.</w:t>
      </w:r>
      <w:r>
        <w:rPr>
          <w:rFonts w:ascii="Times New Roman" w:hAnsi="Times New Roman" w:cs="Times New Roman"/>
        </w:rPr>
        <w:t>, 2009)</w:t>
      </w:r>
      <w:r>
        <w:rPr>
          <w:rFonts w:ascii="Times New Roman" w:hAnsi="Times New Roman" w:cs="Times New Roman"/>
        </w:rPr>
        <w:fldChar w:fldCharType="end"/>
      </w:r>
      <w:r>
        <w:rPr>
          <w:rFonts w:ascii="Times New Roman" w:hAnsi="Times New Roman" w:cs="Times New Roman"/>
        </w:rPr>
        <w:t xml:space="preserve">. However, some challenges persist, including time constraints, financial barriers, and a lack of standardized evaluation methods for CPD programs </w:t>
      </w:r>
      <w:r>
        <w:rPr>
          <w:rFonts w:ascii="Times New Roman" w:hAnsi="Times New Roman" w:cs="Times New Roman"/>
        </w:rPr>
        <w:fldChar w:fldCharType="begin"/>
      </w:r>
      <w:r>
        <w:rPr>
          <w:rFonts w:ascii="Times New Roman" w:hAnsi="Times New Roman" w:cs="Times New Roman"/>
        </w:rPr>
        <w:instrText xml:space="preserve"> ADDIN EN.CITE &lt;EndNote&gt;&lt;Cite&gt;&lt;Author&gt;Forsetlund&lt;/Author&gt;&lt;Year&gt;2021&lt;/Year&gt;&lt;RecNum&gt;1216&lt;/RecNum&gt;&lt;DisplayText&gt;(Forsetlund&lt;style face="italic"&gt; et al.&lt;/style&gt;, 2021)&lt;/DisplayText&gt;&lt;record&gt;&lt;rec-number&gt;1216&lt;/rec-number&gt;&lt;foreign-keys&gt;&lt;key app="EN" db-id="r2rswvs2oexszme9tvjx5vx252ep2r22dx9d" timestamp="1701341984"&gt;1216&lt;/key&gt;&lt;/foreign-keys&gt;&lt;ref-type name="Journal Article"&gt;17&lt;/ref-type&gt;&lt;contributors&gt;&lt;authors&gt;&lt;author&gt;Forsetlund, Louise&lt;/author&gt;&lt;author&gt;O&amp;apos;Brien, Mary Ann&lt;/author&gt;&lt;author&gt;Forsen, Lisa&lt;/author&gt;&lt;author&gt;Mwai, Leah&lt;/author&gt;&lt;author&gt;Reinar, Liv Merete&lt;/author&gt;&lt;author&gt;Okwen, Mbah P&lt;/author&gt;&lt;author&gt;Horsley, Tanya&lt;/author&gt;&lt;author&gt;Rose, Christopher J&lt;/author&gt;&lt;/authors&gt;&lt;/contributors&gt;&lt;titles&gt;&lt;title&gt;Continuing education meetings and workshops: Effects on professional practice and healthcare outcomes&lt;/title&gt;&lt;secondary-title&gt;Cochrane Database of Systematic Reviews&lt;/secondary-title&gt;&lt;/titles&gt;&lt;periodical&gt;&lt;full-title&gt;Cochrane Database of Systematic Reviews&lt;/full-title&gt;&lt;/periodical&gt;&lt;pages&gt;CD003030&lt;/pages&gt;&lt;number&gt;9&lt;/number&gt;&lt;dates&gt;&lt;year&gt;2021&lt;/year&gt;&lt;/dates&gt;&lt;isbn&gt;1465-1858&lt;/isbn&gt;&lt;urls&gt;&lt;/urls&gt;&lt;electronic-resource-num&gt;10.1002/14651858.CD003030.pub3&lt;/electronic-resource-num&gt;&lt;/record&gt;&lt;/Cite&gt;&lt;/EndNote&gt;</w:instrText>
      </w:r>
      <w:r>
        <w:rPr>
          <w:rFonts w:ascii="Times New Roman" w:hAnsi="Times New Roman" w:cs="Times New Roman"/>
        </w:rPr>
        <w:fldChar w:fldCharType="separate"/>
      </w:r>
      <w:r>
        <w:rPr>
          <w:rFonts w:ascii="Times New Roman" w:hAnsi="Times New Roman" w:cs="Times New Roman"/>
        </w:rPr>
        <w:t>(Forsetlund</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 These issues may hinder healthcare professionals' ability to fully engage in CPD activities and derive the intended benefits.</w:t>
      </w:r>
    </w:p>
    <w:bookmarkEnd w:id="44"/>
    <w:p>
      <w:pPr>
        <w:spacing w:line="480" w:lineRule="auto"/>
        <w:rPr>
          <w:rFonts w:ascii="Times New Roman" w:hAnsi="Times New Roman" w:cs="Times New Roman"/>
        </w:rPr>
      </w:pPr>
    </w:p>
    <w:p>
      <w:pPr>
        <w:pStyle w:val="3"/>
        <w:spacing w:before="240" w:after="240"/>
      </w:pPr>
      <w:bookmarkStart w:id="45" w:name="_Toc134793958"/>
      <w:bookmarkStart w:id="46" w:name="_Toc147660153"/>
      <w:bookmarkStart w:id="47" w:name="OLE_LINK5"/>
      <w:bookmarkStart w:id="48" w:name="_Toc20871"/>
      <w:r>
        <w:t>2.2</w:t>
      </w:r>
      <w:r>
        <w:rPr>
          <w:rFonts w:hint="eastAsia"/>
          <w:lang w:val="en-US" w:eastAsia="zh-CN"/>
        </w:rPr>
        <w:t xml:space="preserve">  </w:t>
      </w:r>
      <w:r>
        <w:t>Adult Learning Theory and Its Relevance to Continuing Education</w:t>
      </w:r>
      <w:bookmarkEnd w:id="45"/>
      <w:bookmarkEnd w:id="46"/>
      <w:bookmarkEnd w:id="47"/>
      <w:bookmarkEnd w:id="48"/>
    </w:p>
    <w:p>
      <w:pPr>
        <w:spacing w:line="480" w:lineRule="auto"/>
        <w:rPr>
          <w:rFonts w:ascii="Times New Roman" w:hAnsi="Times New Roman" w:cs="Times New Roman"/>
        </w:rPr>
      </w:pPr>
      <w:r>
        <w:rPr>
          <w:rFonts w:ascii="Times New Roman" w:hAnsi="Times New Roman" w:cs="Times New Roman"/>
        </w:rPr>
        <w:t xml:space="preserve">Adult Learning Theory is a crucial framework for understanding how adults learn and therefore, how CPD programs should be designed and delivered </w:t>
      </w:r>
      <w:r>
        <w:rPr>
          <w:rFonts w:ascii="Times New Roman" w:hAnsi="Times New Roman" w:cs="Times New Roman"/>
        </w:rPr>
        <w:fldChar w:fldCharType="begin"/>
      </w:r>
      <w:r>
        <w:rPr>
          <w:rFonts w:ascii="Times New Roman" w:hAnsi="Times New Roman" w:cs="Times New Roman"/>
        </w:rPr>
        <w:instrText xml:space="preserve"> ADDIN EN.CITE &lt;EndNote&gt;&lt;Cite&gt;&lt;Author&gt;Knowles&lt;/Author&gt;&lt;Year&gt;2014&lt;/Year&gt;&lt;RecNum&gt;1251&lt;/RecNum&gt;&lt;DisplayText&gt;(Knowles, Holton and Swanson, 2014)&lt;/DisplayText&gt;&lt;record&gt;&lt;rec-number&gt;1251&lt;/rec-number&gt;&lt;foreign-keys&gt;&lt;key app="EN" db-id="r2rswvs2oexszme9tvjx5vx252ep2r22dx9d" timestamp="1701341984"&gt;1251&lt;/key&gt;&lt;/foreign-keys&gt;&lt;ref-type name="Book"&gt;6&lt;/ref-type&gt;&lt;contributors&gt;&lt;authors&gt;&lt;author&gt;Knowles, Malcolm S&lt;/author&gt;&lt;author&gt;Holton, Elwood F&lt;/author&gt;&lt;author&gt;Swanson, Richard A&lt;/author&gt;&lt;/authors&gt;&lt;/contributors&gt;&lt;titles&gt;&lt;title&gt;The adult learner: The definitive classic in adult education and human resource development&lt;/title&gt;&lt;/titles&gt;&lt;dates&gt;&lt;year&gt;2014&lt;/year&gt;&lt;/dates&gt;&lt;pub-location&gt;London&lt;/pub-location&gt;&lt;publisher&gt;Routledge&lt;/publisher&gt;&lt;isbn&gt;1315816954&lt;/isbn&gt;&lt;urls&gt;&lt;/urls&gt;&lt;/record&gt;&lt;/Cite&gt;&lt;/EndNote&gt;</w:instrText>
      </w:r>
      <w:r>
        <w:rPr>
          <w:rFonts w:ascii="Times New Roman" w:hAnsi="Times New Roman" w:cs="Times New Roman"/>
        </w:rPr>
        <w:fldChar w:fldCharType="separate"/>
      </w:r>
      <w:r>
        <w:rPr>
          <w:rFonts w:ascii="Times New Roman" w:hAnsi="Times New Roman" w:cs="Times New Roman"/>
        </w:rPr>
        <w:t>(Knowles, Holton and Swanson, 2014)</w:t>
      </w:r>
      <w:r>
        <w:rPr>
          <w:rFonts w:ascii="Times New Roman" w:hAnsi="Times New Roman" w:cs="Times New Roman"/>
        </w:rPr>
        <w:fldChar w:fldCharType="end"/>
      </w:r>
      <w:r>
        <w:rPr>
          <w:rFonts w:hint="eastAsia" w:ascii="Times New Roman" w:hAnsi="Times New Roman" w:cs="Times New Roman"/>
        </w:rPr>
        <w:t>.</w:t>
      </w:r>
    </w:p>
    <w:p>
      <w:pPr>
        <w:spacing w:line="480" w:lineRule="auto"/>
        <w:rPr>
          <w:rFonts w:ascii="Times New Roman" w:hAnsi="Times New Roman" w:cs="Times New Roman"/>
        </w:rPr>
      </w:pPr>
    </w:p>
    <w:p>
      <w:pPr>
        <w:pStyle w:val="4"/>
      </w:pPr>
      <w:bookmarkStart w:id="49" w:name="_Toc134793959"/>
      <w:bookmarkStart w:id="50" w:name="_Toc147660154"/>
      <w:bookmarkStart w:id="51" w:name="_Toc6253"/>
      <w:r>
        <w:t>2.2.1</w:t>
      </w:r>
      <w:r>
        <w:rPr>
          <w:rFonts w:hint="eastAsia"/>
          <w:lang w:val="en-US" w:eastAsia="zh-CN"/>
        </w:rPr>
        <w:t xml:space="preserve">   </w:t>
      </w:r>
      <w:r>
        <w:t>Key Principles of Adult Learning Theory</w:t>
      </w:r>
      <w:bookmarkEnd w:id="49"/>
      <w:bookmarkEnd w:id="50"/>
      <w:bookmarkEnd w:id="51"/>
    </w:p>
    <w:p>
      <w:pPr>
        <w:spacing w:line="480" w:lineRule="auto"/>
        <w:rPr>
          <w:rFonts w:ascii="Times New Roman" w:hAnsi="Times New Roman" w:cs="Times New Roman"/>
        </w:rPr>
      </w:pPr>
      <w:r>
        <w:rPr>
          <w:rFonts w:ascii="Times New Roman" w:hAnsi="Times New Roman" w:cs="Times New Roman"/>
        </w:rPr>
        <w:t xml:space="preserve">Andragogy, or adult learning theory, as developed by Malcolm Knowles </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ExcludeAuth="1"&gt;&lt;Author&gt;Knowles&lt;/Author&gt;&lt;Year&gt;2014&lt;/Year&gt;&lt;RecNum&gt;1251&lt;/RecNum&gt;&lt;DisplayText&gt;(2014)&lt;/DisplayText&gt;&lt;record&gt;&lt;rec-number&gt;1251&lt;/rec-number&gt;&lt;foreign-keys&gt;&lt;key app="EN" db-id="r2rswvs2oexszme9tvjx5vx252ep2r22dx9d" timestamp="1701341984"&gt;1251&lt;/key&gt;&lt;/foreign-keys&gt;&lt;ref-type name="Book"&gt;6&lt;/ref-type&gt;&lt;contributors&gt;&lt;authors&gt;&lt;author&gt;Knowles, Malcolm S&lt;/author&gt;&lt;author&gt;Holton, Elwood F&lt;/author&gt;&lt;author&gt;Swanson, Richard A&lt;/author&gt;&lt;/authors&gt;&lt;/contributors&gt;&lt;titles&gt;&lt;title&gt;The adult learner: The definitive classic in adult education and human resource development&lt;/title&gt;&lt;/titles&gt;&lt;dates&gt;&lt;year&gt;2014&lt;/year&gt;&lt;/dates&gt;&lt;pub-location&gt;London&lt;/pub-location&gt;&lt;publisher&gt;Routledge&lt;/publisher&gt;&lt;isbn&gt;1315816954&lt;/isbn&gt;&lt;urls&gt;&lt;/urls&gt;&lt;/record&gt;&lt;/Cite&gt;&lt;/EndNote&gt;</w:instrText>
      </w:r>
      <w:r>
        <w:rPr>
          <w:rFonts w:ascii="Times New Roman" w:hAnsi="Times New Roman" w:cs="Times New Roman"/>
        </w:rPr>
        <w:fldChar w:fldCharType="separate"/>
      </w:r>
      <w:r>
        <w:rPr>
          <w:rFonts w:ascii="Times New Roman" w:hAnsi="Times New Roman" w:cs="Times New Roman"/>
        </w:rPr>
        <w:t>(2014)</w:t>
      </w:r>
      <w:r>
        <w:rPr>
          <w:rFonts w:ascii="Times New Roman" w:hAnsi="Times New Roman" w:cs="Times New Roman"/>
        </w:rPr>
        <w:fldChar w:fldCharType="end"/>
      </w:r>
      <w:r>
        <w:rPr>
          <w:rFonts w:ascii="Times New Roman" w:hAnsi="Times New Roman" w:cs="Times New Roman"/>
        </w:rPr>
        <w:t>, presents a set of principles that elucidate the distinct characteristics and learning processes of adult learners. These principles are as follows:</w:t>
      </w:r>
    </w:p>
    <w:p>
      <w:pPr>
        <w:spacing w:line="360" w:lineRule="auto"/>
        <w:ind w:left="720"/>
        <w:rPr>
          <w:rFonts w:ascii="Times New Roman" w:hAnsi="Times New Roman" w:cs="Times New Roman"/>
        </w:rPr>
      </w:pPr>
      <w:r>
        <w:rPr>
          <w:rFonts w:ascii="Times New Roman" w:hAnsi="Times New Roman" w:cs="Times New Roman"/>
          <w:u w:val="single"/>
        </w:rPr>
        <w:t>Self-direction</w:t>
      </w:r>
      <w:r>
        <w:rPr>
          <w:rFonts w:ascii="Times New Roman" w:hAnsi="Times New Roman" w:cs="Times New Roman"/>
        </w:rPr>
        <w:t>: Adult learners are inclined to exercise control over their learning by setting goals and managing learning activities, reflecting their desire for autonomy.</w:t>
      </w:r>
    </w:p>
    <w:p>
      <w:pPr>
        <w:spacing w:line="360" w:lineRule="auto"/>
        <w:ind w:left="720"/>
        <w:rPr>
          <w:rFonts w:ascii="Times New Roman" w:hAnsi="Times New Roman" w:cs="Times New Roman"/>
        </w:rPr>
      </w:pPr>
      <w:r>
        <w:rPr>
          <w:rFonts w:ascii="Times New Roman" w:hAnsi="Times New Roman" w:cs="Times New Roman"/>
          <w:u w:val="single"/>
        </w:rPr>
        <w:t>Prior experience</w:t>
      </w:r>
      <w:r>
        <w:rPr>
          <w:rFonts w:ascii="Times New Roman" w:hAnsi="Times New Roman" w:cs="Times New Roman"/>
        </w:rPr>
        <w:t>: Adults possess a wealth of prior experiences that serve as a vital resource for learning, allowing them to link new information to existing knowledge and facilitating deeper understanding.</w:t>
      </w:r>
    </w:p>
    <w:p>
      <w:pPr>
        <w:spacing w:line="360" w:lineRule="auto"/>
        <w:ind w:left="720"/>
        <w:rPr>
          <w:rFonts w:ascii="Times New Roman" w:hAnsi="Times New Roman" w:cs="Times New Roman"/>
        </w:rPr>
      </w:pPr>
      <w:r>
        <w:rPr>
          <w:rFonts w:ascii="Times New Roman" w:hAnsi="Times New Roman" w:cs="Times New Roman"/>
          <w:u w:val="single"/>
        </w:rPr>
        <w:t>Readiness to learn</w:t>
      </w:r>
      <w:r>
        <w:rPr>
          <w:rFonts w:ascii="Times New Roman" w:hAnsi="Times New Roman" w:cs="Times New Roman"/>
        </w:rPr>
        <w:t>: Adult learners are more inclined to engage in learning activities when they address specific life or work-related challenges, emphasizing the importance of relevance and timeliness in adult learning.</w:t>
      </w:r>
    </w:p>
    <w:p>
      <w:pPr>
        <w:spacing w:line="360" w:lineRule="auto"/>
        <w:ind w:left="720"/>
        <w:rPr>
          <w:rFonts w:ascii="Times New Roman" w:hAnsi="Times New Roman" w:cs="Times New Roman"/>
        </w:rPr>
      </w:pPr>
      <w:r>
        <w:rPr>
          <w:rFonts w:ascii="Times New Roman" w:hAnsi="Times New Roman" w:cs="Times New Roman"/>
          <w:u w:val="single"/>
        </w:rPr>
        <w:t>Goal orientation</w:t>
      </w:r>
      <w:r>
        <w:rPr>
          <w:rFonts w:ascii="Times New Roman" w:hAnsi="Times New Roman" w:cs="Times New Roman"/>
        </w:rPr>
        <w:t>: Adults exhibit goal-oriented behavior, seeking learning activities that correspond with their personal and professional objectives.</w:t>
      </w:r>
    </w:p>
    <w:p>
      <w:pPr>
        <w:spacing w:line="360" w:lineRule="auto"/>
        <w:ind w:left="720"/>
        <w:rPr>
          <w:rFonts w:ascii="Times New Roman" w:hAnsi="Times New Roman" w:cs="Times New Roman"/>
        </w:rPr>
      </w:pPr>
      <w:r>
        <w:rPr>
          <w:rFonts w:ascii="Times New Roman" w:hAnsi="Times New Roman" w:cs="Times New Roman"/>
          <w:u w:val="single"/>
        </w:rPr>
        <w:t>Practicality</w:t>
      </w:r>
      <w:r>
        <w:rPr>
          <w:rFonts w:ascii="Times New Roman" w:hAnsi="Times New Roman" w:cs="Times New Roman"/>
        </w:rPr>
        <w:t>: Adult learners value practical, relevant, and immediately applicable learning experiences, highlighting the need for learning materials that can be easily integrated into their professional practice.</w:t>
      </w:r>
    </w:p>
    <w:p>
      <w:pPr>
        <w:spacing w:line="360" w:lineRule="auto"/>
        <w:ind w:left="720"/>
        <w:rPr>
          <w:rFonts w:ascii="Times New Roman" w:hAnsi="Times New Roman" w:cs="Times New Roman"/>
        </w:rPr>
      </w:pPr>
      <w:r>
        <w:rPr>
          <w:rFonts w:ascii="Times New Roman" w:hAnsi="Times New Roman" w:cs="Times New Roman"/>
          <w:u w:val="single"/>
        </w:rPr>
        <w:t>Intrinsic motivation</w:t>
      </w:r>
      <w:r>
        <w:rPr>
          <w:rFonts w:ascii="Times New Roman" w:hAnsi="Times New Roman" w:cs="Times New Roman"/>
        </w:rPr>
        <w:t>: Adults are often intrinsically motivated to learn, propelled by internal factors such as personal growth, self-fulfillment, and professional development.</w:t>
      </w:r>
    </w:p>
    <w:p>
      <w:pPr>
        <w:spacing w:line="360" w:lineRule="auto"/>
        <w:ind w:left="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EN.CITE &lt;EndNote&gt;&lt;Cite&gt;&lt;Author&gt;Knowles&lt;/Author&gt;&lt;Year&gt;2014&lt;/Year&gt;&lt;RecNum&gt;1251&lt;/RecNum&gt;&lt;DisplayText&gt;(Knowles&lt;style face="italic"&gt; et al.&lt;/style&gt;, 2014)&lt;/DisplayText&gt;&lt;record&gt;&lt;rec-number&gt;1251&lt;/rec-number&gt;&lt;foreign-keys&gt;&lt;key app="EN" db-id="r2rswvs2oexszme9tvjx5vx252ep2r22dx9d" timestamp="1701341984"&gt;1251&lt;/key&gt;&lt;/foreign-keys&gt;&lt;ref-type name="Book"&gt;6&lt;/ref-type&gt;&lt;contributors&gt;&lt;authors&gt;&lt;author&gt;Knowles, Malcolm S&lt;/author&gt;&lt;author&gt;Holton, Elwood F&lt;/author&gt;&lt;author&gt;Swanson, Richard A&lt;/author&gt;&lt;/authors&gt;&lt;/contributors&gt;&lt;titles&gt;&lt;title&gt;The adult learner: The definitive classic in adult education and human resource development&lt;/title&gt;&lt;/titles&gt;&lt;dates&gt;&lt;year&gt;2014&lt;/year&gt;&lt;/dates&gt;&lt;pub-location&gt;London&lt;/pub-location&gt;&lt;publisher&gt;Routledge&lt;/publisher&gt;&lt;isbn&gt;1315816954&lt;/isbn&gt;&lt;urls&gt;&lt;/urls&gt;&lt;/record&gt;&lt;/Cite&gt;&lt;/EndNote&gt;</w:instrText>
      </w:r>
      <w:r>
        <w:rPr>
          <w:rFonts w:ascii="Times New Roman" w:hAnsi="Times New Roman" w:cs="Times New Roman"/>
        </w:rPr>
        <w:fldChar w:fldCharType="separate"/>
      </w:r>
      <w:r>
        <w:rPr>
          <w:rFonts w:ascii="Times New Roman" w:hAnsi="Times New Roman" w:cs="Times New Roman"/>
        </w:rPr>
        <w:t>(Knowles</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p>
    <w:p>
      <w:pPr>
        <w:spacing w:line="480" w:lineRule="auto"/>
        <w:rPr>
          <w:rFonts w:ascii="Times New Roman" w:hAnsi="Times New Roman" w:cs="Times New Roman"/>
        </w:rPr>
      </w:pPr>
    </w:p>
    <w:p>
      <w:pPr>
        <w:pStyle w:val="4"/>
      </w:pPr>
      <w:bookmarkStart w:id="52" w:name="_Toc147660155"/>
      <w:bookmarkStart w:id="53" w:name="_Toc134793960"/>
      <w:bookmarkStart w:id="54" w:name="_Toc4568"/>
      <w:bookmarkStart w:id="55" w:name="OLE_LINK30"/>
      <w:r>
        <w:t>2.2.2</w:t>
      </w:r>
      <w:r>
        <w:rPr>
          <w:rFonts w:hint="eastAsia"/>
          <w:lang w:val="en-US" w:eastAsia="zh-CN"/>
        </w:rPr>
        <w:t xml:space="preserve">    </w:t>
      </w:r>
      <w:r>
        <w:t>Implications for CPD Programmes for Healthcare Professionals</w:t>
      </w:r>
      <w:bookmarkEnd w:id="52"/>
      <w:bookmarkEnd w:id="53"/>
      <w:bookmarkEnd w:id="54"/>
    </w:p>
    <w:bookmarkEnd w:id="55"/>
    <w:p>
      <w:pPr>
        <w:spacing w:line="480" w:lineRule="auto"/>
        <w:rPr>
          <w:rFonts w:ascii="Times New Roman" w:hAnsi="Times New Roman" w:cs="Times New Roman"/>
        </w:rPr>
      </w:pPr>
      <w:bookmarkStart w:id="56" w:name="OLE_LINK13"/>
      <w:r>
        <w:rPr>
          <w:rFonts w:ascii="Times New Roman" w:hAnsi="Times New Roman" w:cs="Times New Roman"/>
        </w:rPr>
        <w:t xml:space="preserve">As demonstrated above, adult learners are characterized by their self-directedness, experience, readiness to learn, problem-centered approach to learning, and internal motivation. Therefore, CPD programs should be designed to cater to these characteristics. When designing continuing education programs, it is essential to encourage self-direction, as adult learners tend to exercise autonomy over their learning by setting goals and managing learning activities </w:t>
      </w:r>
      <w:r>
        <w:rPr>
          <w:rFonts w:ascii="Times New Roman" w:hAnsi="Times New Roman" w:cs="Times New Roman"/>
        </w:rPr>
        <w:fldChar w:fldCharType="begin"/>
      </w:r>
      <w:r>
        <w:rPr>
          <w:rFonts w:ascii="Times New Roman" w:hAnsi="Times New Roman" w:cs="Times New Roman"/>
        </w:rPr>
        <w:instrText xml:space="preserve"> ADDIN EN.CITE &lt;EndNote&gt;&lt;Cite&gt;&lt;Author&gt;O&amp;apos;Toole&lt;/Author&gt;&lt;Year&gt;2012&lt;/Year&gt;&lt;RecNum&gt;1252&lt;/RecNum&gt;&lt;DisplayText&gt;(O&amp;apos;Toole and Essex, 2012)&lt;/DisplayText&gt;&lt;record&gt;&lt;rec-number&gt;1252&lt;/rec-number&gt;&lt;foreign-keys&gt;&lt;key app="EN" db-id="r2rswvs2oexszme9tvjx5vx252ep2r22dx9d" timestamp="1701341984"&gt;1252&lt;/key&gt;&lt;/foreign-keys&gt;&lt;ref-type name="Journal Article"&gt;17&lt;/ref-type&gt;&lt;contributors&gt;&lt;authors&gt;&lt;author&gt;O&amp;apos;Toole, Sean&lt;/author&gt;&lt;author&gt;Essex, Belinda&lt;/author&gt;&lt;/authors&gt;&lt;/contributors&gt;&lt;titles&gt;&lt;title&gt;The adult learner may really be a neglected species&lt;/title&gt;&lt;secondary-title&gt;Australian Journal of Adult Learning&lt;/secondary-title&gt;&lt;/titles&gt;&lt;periodical&gt;&lt;full-title&gt;Australian Journal of Adult Learning&lt;/full-title&gt;&lt;/periodical&gt;&lt;pages&gt;183-191&lt;/pages&gt;&lt;volume&gt;52&lt;/volume&gt;&lt;number&gt;1&lt;/number&gt;&lt;dates&gt;&lt;year&gt;2012&lt;/year&gt;&lt;/dates&gt;&lt;isbn&gt;1443-1394&lt;/isbn&gt;&lt;urls&gt;&lt;/urls&gt;&lt;/record&gt;&lt;/Cite&gt;&lt;/EndNote&gt;</w:instrText>
      </w:r>
      <w:r>
        <w:rPr>
          <w:rFonts w:ascii="Times New Roman" w:hAnsi="Times New Roman" w:cs="Times New Roman"/>
        </w:rPr>
        <w:fldChar w:fldCharType="separate"/>
      </w:r>
      <w:r>
        <w:rPr>
          <w:rFonts w:ascii="Times New Roman" w:hAnsi="Times New Roman" w:cs="Times New Roman"/>
        </w:rPr>
        <w:t>(O'Toole and Essex, 2012)</w:t>
      </w:r>
      <w:r>
        <w:rPr>
          <w:rFonts w:ascii="Times New Roman" w:hAnsi="Times New Roman" w:cs="Times New Roman"/>
        </w:rPr>
        <w:fldChar w:fldCharType="end"/>
      </w:r>
      <w:r>
        <w:rPr>
          <w:rFonts w:ascii="Times New Roman" w:hAnsi="Times New Roman" w:cs="Times New Roman"/>
        </w:rPr>
        <w:t xml:space="preserve">. Providing diverse learning resources and modalities enables learners to exercise autonomy while catering to their individual preferences and needs. Additionally, integrating case studies and real-life examples allows learners to draw on their prior experiences and establish connections between new information and their existing knowledge base </w:t>
      </w:r>
      <w:r>
        <w:rPr>
          <w:rFonts w:ascii="Times New Roman" w:hAnsi="Times New Roman" w:cs="Times New Roman"/>
        </w:rPr>
        <w:fldChar w:fldCharType="begin"/>
      </w:r>
      <w:r>
        <w:rPr>
          <w:rFonts w:ascii="Times New Roman" w:hAnsi="Times New Roman" w:cs="Times New Roman"/>
        </w:rPr>
        <w:instrText xml:space="preserve"> ADDIN EN.CITE &lt;EndNote&gt;&lt;Cite&gt;&lt;Author&gt;Merriam&lt;/Author&gt;&lt;Year&gt;2013&lt;/Year&gt;&lt;RecNum&gt;1253&lt;/RecNum&gt;&lt;DisplayText&gt;(Merriam and Bierema, 2013)&lt;/DisplayText&gt;&lt;record&gt;&lt;rec-number&gt;1253&lt;/rec-number&gt;&lt;foreign-keys&gt;&lt;key app="EN" db-id="r2rswvs2oexszme9tvjx5vx252ep2r22dx9d" timestamp="1701341984"&gt;1253&lt;/key&gt;&lt;/foreign-keys&gt;&lt;ref-type name="Book"&gt;6&lt;/ref-type&gt;&lt;contributors&gt;&lt;authors&gt;&lt;author&gt;Merriam, Sharan B&lt;/author&gt;&lt;author&gt;Bierema, Laura L&lt;/author&gt;&lt;/authors&gt;&lt;/contributors&gt;&lt;titles&gt;&lt;title&gt;Adult learning: Linking theory and practice&lt;/title&gt;&lt;/titles&gt;&lt;dates&gt;&lt;year&gt;2013&lt;/year&gt;&lt;/dates&gt;&lt;pub-location&gt;London&lt;/pub-location&gt;&lt;publisher&gt;John Wiley &amp;amp; Sons&lt;/publisher&gt;&lt;isbn&gt;111813057X&lt;/isbn&gt;&lt;urls&gt;&lt;/urls&gt;&lt;/record&gt;&lt;/Cite&gt;&lt;/EndNote&gt;</w:instrText>
      </w:r>
      <w:r>
        <w:rPr>
          <w:rFonts w:ascii="Times New Roman" w:hAnsi="Times New Roman" w:cs="Times New Roman"/>
        </w:rPr>
        <w:fldChar w:fldCharType="separate"/>
      </w:r>
      <w:r>
        <w:rPr>
          <w:rFonts w:ascii="Times New Roman" w:hAnsi="Times New Roman" w:cs="Times New Roman"/>
        </w:rPr>
        <w:t>(Merriam and Bierema, 2013)</w:t>
      </w:r>
      <w:r>
        <w:rPr>
          <w:rFonts w:ascii="Times New Roman" w:hAnsi="Times New Roman" w:cs="Times New Roman"/>
        </w:rPr>
        <w:fldChar w:fldCharType="end"/>
      </w:r>
      <w:r>
        <w:rPr>
          <w:rFonts w:ascii="Times New Roman" w:hAnsi="Times New Roman" w:cs="Times New Roman"/>
        </w:rPr>
        <w:t>. This approach cultivates a richer learning experience and promotes knowledge retention.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Furthermore, addressing readiness to learn is crucial for maintaining learner engagement. Adult learners are more inclined to participate in learning activities that address specific life or work-related challenges, underscoring the significance of relevance and timeliness in adult learning </w:t>
      </w:r>
      <w:r>
        <w:rPr>
          <w:rFonts w:ascii="Times New Roman" w:hAnsi="Times New Roman" w:cs="Times New Roman"/>
        </w:rPr>
        <w:fldChar w:fldCharType="begin"/>
      </w:r>
      <w:r>
        <w:rPr>
          <w:rFonts w:ascii="Times New Roman" w:hAnsi="Times New Roman" w:cs="Times New Roman"/>
        </w:rPr>
        <w:instrText xml:space="preserve"> ADDIN EN.CITE &lt;EndNote&gt;&lt;Cite&gt;&lt;Author&gt;Baldwin&lt;/Author&gt;&lt;Year&gt;2019&lt;/Year&gt;&lt;RecNum&gt;1254&lt;/RecNum&gt;&lt;DisplayText&gt;(Baldwin, 2019)&lt;/DisplayText&gt;&lt;record&gt;&lt;rec-number&gt;1254&lt;/rec-number&gt;&lt;foreign-keys&gt;&lt;key app="EN" db-id="r2rswvs2oexszme9tvjx5vx252ep2r22dx9d" timestamp="1701341984"&gt;1254&lt;/key&gt;&lt;/foreign-keys&gt;&lt;ref-type name="Journal Article"&gt;17&lt;/ref-type&gt;&lt;contributors&gt;&lt;authors&gt;&lt;author&gt;Baldwin, Cheryl K&lt;/author&gt;&lt;/authors&gt;&lt;/contributors&gt;&lt;titles&gt;&lt;title&gt;Transformative learning and identity: A review and synthesis of Dirkx and Illeris&lt;/title&gt;&lt;secondary-title&gt;Journal of Transformative Education&lt;/secondary-title&gt;&lt;/titles&gt;&lt;periodical&gt;&lt;full-title&gt;Journal of Transformative Education&lt;/full-title&gt;&lt;/periodical&gt;&lt;pages&gt;148-163&lt;/pages&gt;&lt;volume&gt;12&lt;/volume&gt;&lt;number&gt;2&lt;/number&gt;&lt;dates&gt;&lt;year&gt;2019&lt;/year&gt;&lt;/dates&gt;&lt;isbn&gt;2475-7713&lt;/isbn&gt;&lt;urls&gt;&lt;/urls&gt;&lt;electronic-resource-num&gt;10.1177/15413446145484&lt;/electronic-resource-num&gt;&lt;/record&gt;&lt;/Cite&gt;&lt;/EndNote&gt;</w:instrText>
      </w:r>
      <w:r>
        <w:rPr>
          <w:rFonts w:ascii="Times New Roman" w:hAnsi="Times New Roman" w:cs="Times New Roman"/>
        </w:rPr>
        <w:fldChar w:fldCharType="separate"/>
      </w:r>
      <w:r>
        <w:rPr>
          <w:rFonts w:ascii="Times New Roman" w:hAnsi="Times New Roman" w:cs="Times New Roman"/>
        </w:rPr>
        <w:t>(Baldwin, 2019)</w:t>
      </w:r>
      <w:r>
        <w:rPr>
          <w:rFonts w:ascii="Times New Roman" w:hAnsi="Times New Roman" w:cs="Times New Roman"/>
        </w:rPr>
        <w:fldChar w:fldCharType="end"/>
      </w:r>
      <w:r>
        <w:rPr>
          <w:rFonts w:ascii="Times New Roman" w:hAnsi="Times New Roman" w:cs="Times New Roman"/>
        </w:rPr>
        <w:t>. Designing continuing education programs that tackle current challenges faced by healthcare professionals ensures that learning content is both relevant and timely, thus maximizing the program's impact on professional practice.</w:t>
      </w:r>
    </w:p>
    <w:bookmarkEnd w:id="56"/>
    <w:p>
      <w:pPr>
        <w:spacing w:line="480" w:lineRule="auto"/>
        <w:rPr>
          <w:rFonts w:ascii="Times New Roman" w:hAnsi="Times New Roman" w:cs="Times New Roman"/>
        </w:rPr>
      </w:pPr>
    </w:p>
    <w:p>
      <w:pPr>
        <w:spacing w:line="480" w:lineRule="auto"/>
        <w:rPr>
          <w:rFonts w:ascii="Times New Roman" w:hAnsi="Times New Roman" w:cs="Times New Roman"/>
        </w:rPr>
      </w:pPr>
      <w:bookmarkStart w:id="57" w:name="OLE_LINK14"/>
      <w:r>
        <w:rPr>
          <w:rFonts w:ascii="Times New Roman" w:hAnsi="Times New Roman" w:cs="Times New Roman"/>
        </w:rPr>
        <w:t xml:space="preserve">Moreover, aligning learning activities with healthcare professionals' personal and professional goals fosters a sense of purpose and drives learner motivation </w:t>
      </w:r>
      <w:r>
        <w:rPr>
          <w:rFonts w:ascii="Times New Roman" w:hAnsi="Times New Roman" w:cs="Times New Roman"/>
        </w:rPr>
        <w:fldChar w:fldCharType="begin"/>
      </w:r>
      <w:r>
        <w:rPr>
          <w:rFonts w:ascii="Times New Roman" w:hAnsi="Times New Roman" w:cs="Times New Roman"/>
        </w:rPr>
        <w:instrText xml:space="preserve"> ADDIN EN.CITE &lt;EndNote&gt;&lt;Cite&gt;&lt;Author&gt;Wlodkowski&lt;/Author&gt;&lt;Year&gt;2017&lt;/Year&gt;&lt;RecNum&gt;1255&lt;/RecNum&gt;&lt;DisplayText&gt;(Wlodkowski and Ginsberg, 2017)&lt;/DisplayText&gt;&lt;record&gt;&lt;rec-number&gt;1255&lt;/rec-number&gt;&lt;foreign-keys&gt;&lt;key app="EN" db-id="r2rswvs2oexszme9tvjx5vx252ep2r22dx9d" timestamp="1701341984"&gt;1255&lt;/key&gt;&lt;/foreign-keys&gt;&lt;ref-type name="Book"&gt;6&lt;/ref-type&gt;&lt;contributors&gt;&lt;authors&gt;&lt;author&gt;Wlodkowski, Raymond J&lt;/author&gt;&lt;author&gt;Ginsberg, Margery B&lt;/author&gt;&lt;/authors&gt;&lt;/contributors&gt;&lt;titles&gt;&lt;title&gt;Enhancing adult motivation to learn: A comprehensive guide for teaching all adults&lt;/title&gt;&lt;/titles&gt;&lt;dates&gt;&lt;year&gt;2017&lt;/year&gt;&lt;/dates&gt;&lt;pub-location&gt;London&lt;/pub-location&gt;&lt;publisher&gt;John Wiley &amp;amp; Sons&lt;/publisher&gt;&lt;isbn&gt;1119077990&lt;/isbn&gt;&lt;urls&gt;&lt;/urls&gt;&lt;/record&gt;&lt;/Cite&gt;&lt;/EndNote&gt;</w:instrText>
      </w:r>
      <w:r>
        <w:rPr>
          <w:rFonts w:ascii="Times New Roman" w:hAnsi="Times New Roman" w:cs="Times New Roman"/>
        </w:rPr>
        <w:fldChar w:fldCharType="separate"/>
      </w:r>
      <w:r>
        <w:rPr>
          <w:rFonts w:ascii="Times New Roman" w:hAnsi="Times New Roman" w:cs="Times New Roman"/>
        </w:rPr>
        <w:t>(Wlodkowski and Ginsberg, 2017)</w:t>
      </w:r>
      <w:r>
        <w:rPr>
          <w:rFonts w:ascii="Times New Roman" w:hAnsi="Times New Roman" w:cs="Times New Roman"/>
        </w:rPr>
        <w:fldChar w:fldCharType="end"/>
      </w:r>
      <w:r>
        <w:rPr>
          <w:rFonts w:ascii="Times New Roman" w:hAnsi="Times New Roman" w:cs="Times New Roman"/>
        </w:rPr>
        <w:t xml:space="preserve">. Intrinsic motivation, driven by factors such as personal growth, self-fulfillment, and professional development, is a key component of adult learning theory </w:t>
      </w:r>
      <w:r>
        <w:rPr>
          <w:rFonts w:ascii="Times New Roman" w:hAnsi="Times New Roman" w:cs="Times New Roman"/>
        </w:rPr>
        <w:fldChar w:fldCharType="begin"/>
      </w:r>
      <w:r>
        <w:rPr>
          <w:rFonts w:ascii="Times New Roman" w:hAnsi="Times New Roman" w:cs="Times New Roman"/>
        </w:rPr>
        <w:instrText xml:space="preserve"> ADDIN EN.CITE &lt;EndNote&gt;&lt;Cite&gt;&lt;Author&gt;Ryan&lt;/Author&gt;&lt;Year&gt;2000&lt;/Year&gt;&lt;RecNum&gt;1256&lt;/RecNum&gt;&lt;DisplayText&gt;(Ryan and Deci, 2000)&lt;/DisplayText&gt;&lt;record&gt;&lt;rec-number&gt;1256&lt;/rec-number&gt;&lt;foreign-keys&gt;&lt;key app="EN" db-id="r2rswvs2oexszme9tvjx5vx252ep2r22dx9d" timestamp="1701341984"&gt;1256&lt;/key&gt;&lt;/foreign-keys&gt;&lt;ref-type name="Journal Article"&gt;17&lt;/ref-type&gt;&lt;contributors&gt;&lt;authors&gt;&lt;author&gt;Ryan, Richard M&lt;/author&gt;&lt;author&gt;Deci, Edward L&lt;/author&gt;&lt;/authors&gt;&lt;/contributors&gt;&lt;titles&gt;&lt;title&gt;Intrinsic and extrinsic motivations: Classic definitions and new directions&lt;/title&gt;&lt;secondary-title&gt;Contemporary Educational Psychology&lt;/secondary-title&gt;&lt;/titles&gt;&lt;periodical&gt;&lt;full-title&gt;Contemporary educational psychology&lt;/full-title&gt;&lt;/periodical&gt;&lt;pages&gt;54-67&lt;/pages&gt;&lt;volume&gt;25&lt;/volume&gt;&lt;number&gt;1&lt;/number&gt;&lt;dates&gt;&lt;year&gt;2000&lt;/year&gt;&lt;/dates&gt;&lt;isbn&gt;0361-476X&lt;/isbn&gt;&lt;urls&gt;&lt;/urls&gt;&lt;electronic-resource-num&gt;10.1006/ceps.1999.1020&lt;/electronic-resource-num&gt;&lt;/record&gt;&lt;/Cite&gt;&lt;/EndNote&gt;</w:instrText>
      </w:r>
      <w:r>
        <w:rPr>
          <w:rFonts w:ascii="Times New Roman" w:hAnsi="Times New Roman" w:cs="Times New Roman"/>
        </w:rPr>
        <w:fldChar w:fldCharType="separate"/>
      </w:r>
      <w:r>
        <w:rPr>
          <w:rFonts w:ascii="Times New Roman" w:hAnsi="Times New Roman" w:cs="Times New Roman"/>
        </w:rPr>
        <w:t>(Ryan and Deci, 2000)</w:t>
      </w:r>
      <w:r>
        <w:rPr>
          <w:rFonts w:ascii="Times New Roman" w:hAnsi="Times New Roman" w:cs="Times New Roman"/>
        </w:rPr>
        <w:fldChar w:fldCharType="end"/>
      </w:r>
      <w:r>
        <w:rPr>
          <w:rFonts w:ascii="Times New Roman" w:hAnsi="Times New Roman" w:cs="Times New Roman"/>
        </w:rPr>
        <w:t>. Establishing a supportive learning environment that nurtures intrinsic motivation by providing opportunities for personal growth and practice enhancement is critical for successful continuing education programs.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Lastly, emphasizing practicality is of paramount importance. Adult learners appreciate practical, relevant, and immediately applicable learning experiences, highlighting the necessity for learning materials that can be readily integrated into their professional practice </w:t>
      </w:r>
      <w:r>
        <w:rPr>
          <w:rFonts w:ascii="Times New Roman" w:hAnsi="Times New Roman" w:cs="Times New Roman"/>
        </w:rPr>
        <w:fldChar w:fldCharType="begin"/>
      </w:r>
      <w:r>
        <w:rPr>
          <w:rFonts w:ascii="Times New Roman" w:hAnsi="Times New Roman" w:cs="Times New Roman"/>
        </w:rPr>
        <w:instrText xml:space="preserve"> ADDIN EN.CITE &lt;EndNote&gt;&lt;Cite&gt;&lt;Author&gt;Daffron&lt;/Author&gt;&lt;Year&gt;2021&lt;/Year&gt;&lt;RecNum&gt;1257&lt;/RecNum&gt;&lt;DisplayText&gt;(Daffron and Caffarella, 2021)&lt;/DisplayText&gt;&lt;record&gt;&lt;rec-number&gt;1257&lt;/rec-number&gt;&lt;foreign-keys&gt;&lt;key app="EN" db-id="r2rswvs2oexszme9tvjx5vx252ep2r22dx9d" timestamp="1701341984"&gt;1257&lt;/key&gt;&lt;/foreign-keys&gt;&lt;ref-type name="Book"&gt;6&lt;/ref-type&gt;&lt;contributors&gt;&lt;authors&gt;&lt;author&gt;Daffron, Sandra Ratcliff&lt;/author&gt;&lt;author&gt;Caffarella, Rosemary S&lt;/author&gt;&lt;/authors&gt;&lt;/contributors&gt;&lt;titles&gt;&lt;title&gt;Planning programs for adult learners: A practical guide&lt;/title&gt;&lt;/titles&gt;&lt;dates&gt;&lt;year&gt;2021&lt;/year&gt;&lt;/dates&gt;&lt;pub-location&gt;London&lt;/pub-location&gt;&lt;publisher&gt;John Wiley &amp;amp; Sons&lt;/publisher&gt;&lt;isbn&gt;1119577381&lt;/isbn&gt;&lt;urls&gt;&lt;/urls&gt;&lt;/record&gt;&lt;/Cite&gt;&lt;/EndNote&gt;</w:instrText>
      </w:r>
      <w:r>
        <w:rPr>
          <w:rFonts w:ascii="Times New Roman" w:hAnsi="Times New Roman" w:cs="Times New Roman"/>
        </w:rPr>
        <w:fldChar w:fldCharType="separate"/>
      </w:r>
      <w:r>
        <w:rPr>
          <w:rFonts w:ascii="Times New Roman" w:hAnsi="Times New Roman" w:cs="Times New Roman"/>
        </w:rPr>
        <w:t>(Daffron and Caffarella, 2021)</w:t>
      </w:r>
      <w:r>
        <w:rPr>
          <w:rFonts w:ascii="Times New Roman" w:hAnsi="Times New Roman" w:cs="Times New Roman"/>
        </w:rPr>
        <w:fldChar w:fldCharType="end"/>
      </w:r>
      <w:r>
        <w:rPr>
          <w:rFonts w:ascii="Times New Roman" w:hAnsi="Times New Roman" w:cs="Times New Roman"/>
        </w:rPr>
        <w:t>. Focusing on practical, real-world applications of knowledge and skills ensures that learners can apply what they have learned to their professional practice, ultimately leading to improved patient care.</w:t>
      </w:r>
    </w:p>
    <w:bookmarkEnd w:id="57"/>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incorporating the principles of adult learning theory into the design of continuing education programs for healthcare professionals is essential for creating engaging and effective learning experiences. By critically examining these principles and integrating them into the program structure, private training companies can develop educational offerings that resonate with adult learners, leading to meaningful learning outcomes and enhanced professional practice.</w:t>
      </w:r>
    </w:p>
    <w:p>
      <w:pPr>
        <w:spacing w:line="480" w:lineRule="auto"/>
        <w:rPr>
          <w:rFonts w:ascii="Times New Roman" w:hAnsi="Times New Roman" w:cs="Times New Roman"/>
        </w:rPr>
      </w:pPr>
      <w:bookmarkStart w:id="58" w:name="OLE_LINK6"/>
    </w:p>
    <w:p>
      <w:pPr>
        <w:pStyle w:val="3"/>
        <w:spacing w:before="240" w:after="240"/>
      </w:pPr>
      <w:bookmarkStart w:id="59" w:name="_Toc134793961"/>
      <w:bookmarkStart w:id="60" w:name="_Toc147660156"/>
      <w:bookmarkStart w:id="61" w:name="_Toc6388"/>
      <w:r>
        <w:t>2.3</w:t>
      </w:r>
      <w:r>
        <w:rPr>
          <w:rFonts w:hint="eastAsia"/>
          <w:lang w:val="en-US" w:eastAsia="zh-CN"/>
        </w:rPr>
        <w:t xml:space="preserve">  </w:t>
      </w:r>
      <w:r>
        <w:t>Expectancy-Value Theory and Its Relevance to Continuing Education</w:t>
      </w:r>
      <w:bookmarkEnd w:id="59"/>
      <w:bookmarkEnd w:id="60"/>
      <w:bookmarkEnd w:id="61"/>
    </w:p>
    <w:p>
      <w:pPr>
        <w:spacing w:line="480" w:lineRule="auto"/>
        <w:rPr>
          <w:rFonts w:ascii="Times New Roman" w:hAnsi="Times New Roman" w:cs="Times New Roman"/>
        </w:rPr>
      </w:pPr>
      <w:r>
        <w:rPr>
          <w:rFonts w:ascii="Times New Roman" w:hAnsi="Times New Roman" w:cs="Times New Roman"/>
        </w:rPr>
        <w:t xml:space="preserve">The Expectancy-Value Theory (EVT), a concept proposed by Wigfield and Eccles </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ExcludeAuth="1"&gt;&lt;Author&gt;Wigfield&lt;/Author&gt;&lt;Year&gt;2000&lt;/Year&gt;&lt;RecNum&gt;1258&lt;/RecNum&gt;&lt;DisplayText&gt;(2000)&lt;/DisplayText&gt;&lt;record&gt;&lt;rec-number&gt;1258&lt;/rec-number&gt;&lt;foreign-keys&gt;&lt;key app="EN" db-id="r2rswvs2oexszme9tvjx5vx252ep2r22dx9d" timestamp="1701341984"&gt;1258&lt;/key&gt;&lt;/foreign-keys&gt;&lt;ref-type name="Journal Article"&gt;17&lt;/ref-type&gt;&lt;contributors&gt;&lt;authors&gt;&lt;author&gt;Wigfield, Allan&lt;/author&gt;&lt;author&gt;Eccles, Jacquelynne S&lt;/author&gt;&lt;/authors&gt;&lt;/contributors&gt;&lt;titles&gt;&lt;title&gt;Expectancy–value theory of achievement motivation&lt;/title&gt;&lt;secondary-title&gt;Contemporary Educational Psychology&lt;/secondary-title&gt;&lt;/titles&gt;&lt;periodical&gt;&lt;full-title&gt;Contemporary educational psychology&lt;/full-title&gt;&lt;/periodical&gt;&lt;pages&gt;68-81&lt;/pages&gt;&lt;volume&gt;25&lt;/volume&gt;&lt;number&gt;1&lt;/number&gt;&lt;dates&gt;&lt;year&gt;2000&lt;/year&gt;&lt;/dates&gt;&lt;isbn&gt;0361-476X&lt;/isbn&gt;&lt;urls&gt;&lt;/urls&gt;&lt;electronic-resource-num&gt;10.1006/ceps.1999.1015&lt;/electronic-resource-num&gt;&lt;/record&gt;&lt;/Cite&gt;&lt;/EndNote&gt;</w:instrText>
      </w:r>
      <w:r>
        <w:rPr>
          <w:rFonts w:ascii="Times New Roman" w:hAnsi="Times New Roman" w:cs="Times New Roman"/>
        </w:rPr>
        <w:fldChar w:fldCharType="separate"/>
      </w:r>
      <w:r>
        <w:rPr>
          <w:rFonts w:ascii="Times New Roman" w:hAnsi="Times New Roman" w:cs="Times New Roman"/>
        </w:rPr>
        <w:t>(2000)</w:t>
      </w:r>
      <w:r>
        <w:rPr>
          <w:rFonts w:ascii="Times New Roman" w:hAnsi="Times New Roman" w:cs="Times New Roman"/>
        </w:rPr>
        <w:fldChar w:fldCharType="end"/>
      </w:r>
      <w:r>
        <w:rPr>
          <w:rFonts w:ascii="Times New Roman" w:hAnsi="Times New Roman" w:cs="Times New Roman"/>
        </w:rPr>
        <w:t>, provides a potent theoretical framework for understanding motivation in educational contexts. This model, grounded in the idea that people's choices, persistence, and performance can be explained by their beliefs about how well they will perform on an activity and the extent to which they value the activity, has particular relevance for illuminating healthcare professionals' motivation towards continuing education.</w:t>
      </w:r>
    </w:p>
    <w:p>
      <w:pPr>
        <w:spacing w:line="480" w:lineRule="auto"/>
        <w:rPr>
          <w:rFonts w:ascii="Times New Roman" w:hAnsi="Times New Roman" w:cs="Times New Roman"/>
        </w:rPr>
      </w:pPr>
    </w:p>
    <w:p>
      <w:pPr>
        <w:pStyle w:val="4"/>
      </w:pPr>
      <w:bookmarkStart w:id="62" w:name="_Toc147660157"/>
      <w:bookmarkStart w:id="63" w:name="_Toc134793962"/>
      <w:bookmarkStart w:id="64" w:name="_Toc20600"/>
      <w:r>
        <w:t>2.3.1</w:t>
      </w:r>
      <w:r>
        <w:rPr>
          <w:rFonts w:hint="eastAsia"/>
          <w:lang w:val="en-US" w:eastAsia="zh-CN"/>
        </w:rPr>
        <w:t xml:space="preserve">   </w:t>
      </w:r>
      <w:r>
        <w:t>The Role of Expectancy in Healthcare Continuing Education</w:t>
      </w:r>
      <w:bookmarkEnd w:id="62"/>
      <w:bookmarkEnd w:id="63"/>
      <w:bookmarkEnd w:id="64"/>
    </w:p>
    <w:p>
      <w:pPr>
        <w:spacing w:line="480" w:lineRule="auto"/>
        <w:rPr>
          <w:rFonts w:ascii="Times New Roman" w:hAnsi="Times New Roman" w:cs="Times New Roman"/>
        </w:rPr>
      </w:pPr>
      <w:r>
        <w:rPr>
          <w:rFonts w:ascii="Times New Roman" w:hAnsi="Times New Roman" w:cs="Times New Roman"/>
        </w:rPr>
        <w:t xml:space="preserve">The expectancy component of EVT hinges on the individual's self-efficacy belief, or the confidence in their ability to accomplish a specific task </w:t>
      </w:r>
      <w:r>
        <w:rPr>
          <w:rFonts w:ascii="Times New Roman" w:hAnsi="Times New Roman" w:cs="Times New Roman"/>
        </w:rPr>
        <w:fldChar w:fldCharType="begin"/>
      </w:r>
      <w:r>
        <w:rPr>
          <w:rFonts w:ascii="Times New Roman" w:hAnsi="Times New Roman" w:cs="Times New Roman"/>
        </w:rPr>
        <w:instrText xml:space="preserve"> ADDIN EN.CITE &lt;EndNote&gt;&lt;Cite&gt;&lt;Author&gt;Bandura&lt;/Author&gt;&lt;Year&gt;2014&lt;/Year&gt;&lt;RecNum&gt;1259&lt;/RecNum&gt;&lt;DisplayText&gt;(Bandura, 2014)&lt;/DisplayText&gt;&lt;record&gt;&lt;rec-number&gt;1259&lt;/rec-number&gt;&lt;foreign-keys&gt;&lt;key app="EN" db-id="r2rswvs2oexszme9tvjx5vx252ep2r22dx9d" timestamp="1701341984"&gt;1259&lt;/key&gt;&lt;/foreign-keys&gt;&lt;ref-type name="Book Section"&gt;5&lt;/ref-type&gt;&lt;contributors&gt;&lt;authors&gt;&lt;author&gt;Bandura, Albert&lt;/author&gt;&lt;/authors&gt;&lt;secondary-authors&gt;&lt;author&gt;W.M Kurtines&lt;/author&gt;&lt;author&gt;J. Gewirtz&lt;/author&gt;&lt;author&gt;J.L Lamb&lt;/author&gt;&lt;/secondary-authors&gt;&lt;/contributors&gt;&lt;titles&gt;&lt;title&gt;Social cognitive theory of moral thought and action&lt;/title&gt;&lt;secondary-title&gt;Handbook of moral behavior and development&lt;/secondary-title&gt;&lt;/titles&gt;&lt;pages&gt;69-128&lt;/pages&gt;&lt;dates&gt;&lt;year&gt;2014&lt;/year&gt;&lt;/dates&gt;&lt;pub-location&gt;London&lt;/pub-location&gt;&lt;publisher&gt;Psychology Press&lt;/publisher&gt;&lt;urls&gt;&lt;/urls&gt;&lt;/record&gt;&lt;/Cite&gt;&lt;/EndNote&gt;</w:instrText>
      </w:r>
      <w:r>
        <w:rPr>
          <w:rFonts w:ascii="Times New Roman" w:hAnsi="Times New Roman" w:cs="Times New Roman"/>
        </w:rPr>
        <w:fldChar w:fldCharType="separate"/>
      </w:r>
      <w:r>
        <w:rPr>
          <w:rFonts w:ascii="Times New Roman" w:hAnsi="Times New Roman" w:cs="Times New Roman"/>
        </w:rPr>
        <w:t>(Bandura, 2014)</w:t>
      </w:r>
      <w:r>
        <w:rPr>
          <w:rFonts w:ascii="Times New Roman" w:hAnsi="Times New Roman" w:cs="Times New Roman"/>
        </w:rPr>
        <w:fldChar w:fldCharType="end"/>
      </w:r>
      <w:r>
        <w:rPr>
          <w:rFonts w:ascii="Times New Roman" w:hAnsi="Times New Roman" w:cs="Times New Roman"/>
        </w:rPr>
        <w:t xml:space="preserve">. In the milieu of continuing education for healthcare professionals, expectancy for success can be shaped by diverse factors including perceived self-efficacy, past educational experiences, and the perceived complexity of the learning tasks </w:t>
      </w:r>
      <w:r>
        <w:rPr>
          <w:rFonts w:ascii="Times New Roman" w:hAnsi="Times New Roman" w:cs="Times New Roman"/>
        </w:rPr>
        <w:fldChar w:fldCharType="begin"/>
      </w:r>
      <w:r>
        <w:rPr>
          <w:rFonts w:ascii="Times New Roman" w:hAnsi="Times New Roman" w:cs="Times New Roman"/>
        </w:rPr>
        <w:instrText xml:space="preserve"> ADDIN EN.CITE &lt;EndNote&gt;&lt;Cite&gt;&lt;Author&gt;Artino Jr&lt;/Author&gt;&lt;Year&gt;2014&lt;/Year&gt;&lt;RecNum&gt;1260&lt;/RecNum&gt;&lt;DisplayText&gt;(Artino Jr&lt;style face="italic"&gt; et al.&lt;/style&gt;, 2014)&lt;/DisplayText&gt;&lt;record&gt;&lt;rec-number&gt;1260&lt;/rec-number&gt;&lt;foreign-keys&gt;&lt;key app="EN" db-id="r2rswvs2oexszme9tvjx5vx252ep2r22dx9d" timestamp="1701341984"&gt;1260&lt;/key&gt;&lt;/foreign-keys&gt;&lt;ref-type name="Journal Article"&gt;17&lt;/ref-type&gt;&lt;contributors&gt;&lt;authors&gt;&lt;author&gt;Artino Jr, Anthony R&lt;/author&gt;&lt;author&gt;La Rochelle, Jeffrey S&lt;/author&gt;&lt;author&gt;Dezee, Kent J&lt;/author&gt;&lt;author&gt;Gehlbach, Hunter&lt;/author&gt;&lt;/authors&gt;&lt;/contributors&gt;&lt;titles&gt;&lt;title&gt;Developing questionnaires for educational research: AMEE Guide No. 87&lt;/title&gt;&lt;secondary-title&gt;Medical Teacher&lt;/secondary-title&gt;&lt;/titles&gt;&lt;periodical&gt;&lt;full-title&gt;Medical teacher&lt;/full-title&gt;&lt;/periodical&gt;&lt;pages&gt;463-474&lt;/pages&gt;&lt;volume&gt;36&lt;/volume&gt;&lt;number&gt;6&lt;/number&gt;&lt;dates&gt;&lt;year&gt;2014&lt;/year&gt;&lt;/dates&gt;&lt;isbn&gt;0142-159X&lt;/isbn&gt;&lt;urls&gt;&lt;/urls&gt;&lt;electronic-resource-num&gt;10.3109/0142159X.2014.889814&lt;/electronic-resource-num&gt;&lt;/record&gt;&lt;/Cite&gt;&lt;/EndNote&gt;</w:instrText>
      </w:r>
      <w:r>
        <w:rPr>
          <w:rFonts w:ascii="Times New Roman" w:hAnsi="Times New Roman" w:cs="Times New Roman"/>
        </w:rPr>
        <w:fldChar w:fldCharType="separate"/>
      </w:r>
      <w:r>
        <w:rPr>
          <w:rFonts w:ascii="Times New Roman" w:hAnsi="Times New Roman" w:cs="Times New Roman"/>
        </w:rPr>
        <w:t>(Artino Jr</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Healthcare professionals who have high self-efficacy and positive prior learning experiences are likely to possess high expectancy for success. Conversely, those perceiving the learning tasks as overwhelmingly complex may experience a diminished expectancy for success. Consequently, private training companies must consider these components when devising and delivering their programs. They can cultivate a heightened expectancy for success by providing lucid instructions, proffering support and resources to help learners surmount challenges, and creating an environment where learners feel at ease making errors and learning from them </w:t>
      </w:r>
      <w:r>
        <w:rPr>
          <w:rFonts w:ascii="Times New Roman" w:hAnsi="Times New Roman" w:cs="Times New Roman"/>
        </w:rPr>
        <w:fldChar w:fldCharType="begin"/>
      </w:r>
      <w:r>
        <w:rPr>
          <w:rFonts w:ascii="Times New Roman" w:hAnsi="Times New Roman" w:cs="Times New Roman"/>
        </w:rPr>
        <w:instrText xml:space="preserve"> ADDIN EN.CITE &lt;EndNote&gt;&lt;Cite&gt;&lt;Author&gt;Bandura&lt;/Author&gt;&lt;Year&gt;2014&lt;/Year&gt;&lt;RecNum&gt;1259&lt;/RecNum&gt;&lt;DisplayText&gt;(Bandura, 2014)&lt;/DisplayText&gt;&lt;record&gt;&lt;rec-number&gt;1259&lt;/rec-number&gt;&lt;foreign-keys&gt;&lt;key app="EN" db-id="r2rswvs2oexszme9tvjx5vx252ep2r22dx9d" timestamp="1701341984"&gt;1259&lt;/key&gt;&lt;/foreign-keys&gt;&lt;ref-type name="Book Section"&gt;5&lt;/ref-type&gt;&lt;contributors&gt;&lt;authors&gt;&lt;author&gt;Bandura, Albert&lt;/author&gt;&lt;/authors&gt;&lt;secondary-authors&gt;&lt;author&gt;W.M Kurtines&lt;/author&gt;&lt;author&gt;J. Gewirtz&lt;/author&gt;&lt;author&gt;J.L Lamb&lt;/author&gt;&lt;/secondary-authors&gt;&lt;/contributors&gt;&lt;titles&gt;&lt;title&gt;Social cognitive theory of moral thought and action&lt;/title&gt;&lt;secondary-title&gt;Handbook of moral behavior and development&lt;/secondary-title&gt;&lt;/titles&gt;&lt;pages&gt;69-128&lt;/pages&gt;&lt;dates&gt;&lt;year&gt;2014&lt;/year&gt;&lt;/dates&gt;&lt;pub-location&gt;London&lt;/pub-location&gt;&lt;publisher&gt;Psychology Press&lt;/publisher&gt;&lt;urls&gt;&lt;/urls&gt;&lt;/record&gt;&lt;/Cite&gt;&lt;/EndNote&gt;</w:instrText>
      </w:r>
      <w:r>
        <w:rPr>
          <w:rFonts w:ascii="Times New Roman" w:hAnsi="Times New Roman" w:cs="Times New Roman"/>
        </w:rPr>
        <w:fldChar w:fldCharType="separate"/>
      </w:r>
      <w:r>
        <w:rPr>
          <w:rFonts w:ascii="Times New Roman" w:hAnsi="Times New Roman" w:cs="Times New Roman"/>
        </w:rPr>
        <w:t>(Bandura, 2014)</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65" w:name="_Toc147660158"/>
      <w:bookmarkStart w:id="66" w:name="_Toc134793963"/>
      <w:bookmarkStart w:id="67" w:name="_Toc3729"/>
      <w:r>
        <w:t>2.3.2</w:t>
      </w:r>
      <w:r>
        <w:rPr>
          <w:rFonts w:hint="eastAsia"/>
          <w:lang w:val="en-US" w:eastAsia="zh-CN"/>
        </w:rPr>
        <w:t xml:space="preserve">    </w:t>
      </w:r>
      <w:r>
        <w:t>The Importance of Value in Healthcare Continuing Education</w:t>
      </w:r>
      <w:bookmarkEnd w:id="65"/>
      <w:bookmarkEnd w:id="66"/>
      <w:bookmarkEnd w:id="67"/>
    </w:p>
    <w:p>
      <w:pPr>
        <w:spacing w:line="480" w:lineRule="auto"/>
        <w:rPr>
          <w:rFonts w:ascii="Times New Roman" w:hAnsi="Times New Roman" w:cs="Times New Roman"/>
        </w:rPr>
      </w:pPr>
      <w:r>
        <w:rPr>
          <w:rFonts w:ascii="Times New Roman" w:hAnsi="Times New Roman" w:cs="Times New Roman"/>
        </w:rPr>
        <w:t>The value facet of EVT encompasses the perceived importance or worth of a task to an individual. For healthcare continuing education, the perceived value can be influenced by both intrinsic and extrinsic factors.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Intrinsic factors might incorporate a personal interest in the subject matter, deriving pleasure from learning, and the satisfaction of improving one's skills and knowledge </w:t>
      </w:r>
      <w:r>
        <w:rPr>
          <w:rFonts w:ascii="Times New Roman" w:hAnsi="Times New Roman" w:cs="Times New Roman"/>
        </w:rPr>
        <w:fldChar w:fldCharType="begin"/>
      </w:r>
      <w:r>
        <w:rPr>
          <w:rFonts w:ascii="Times New Roman" w:hAnsi="Times New Roman" w:cs="Times New Roman"/>
        </w:rPr>
        <w:instrText xml:space="preserve"> ADDIN EN.CITE &lt;EndNote&gt;&lt;Cite&gt;&lt;Author&gt;Ryan&lt;/Author&gt;&lt;Year&gt;2000&lt;/Year&gt;&lt;RecNum&gt;1256&lt;/RecNum&gt;&lt;DisplayText&gt;(Ryan and Deci, 2000)&lt;/DisplayText&gt;&lt;record&gt;&lt;rec-number&gt;1256&lt;/rec-number&gt;&lt;foreign-keys&gt;&lt;key app="EN" db-id="r2rswvs2oexszme9tvjx5vx252ep2r22dx9d" timestamp="1701341984"&gt;1256&lt;/key&gt;&lt;/foreign-keys&gt;&lt;ref-type name="Journal Article"&gt;17&lt;/ref-type&gt;&lt;contributors&gt;&lt;authors&gt;&lt;author&gt;Ryan, Richard M&lt;/author&gt;&lt;author&gt;Deci, Edward L&lt;/author&gt;&lt;/authors&gt;&lt;/contributors&gt;&lt;titles&gt;&lt;title&gt;Intrinsic and extrinsic motivations: Classic definitions and new directions&lt;/title&gt;&lt;secondary-title&gt;Contemporary Educational Psychology&lt;/secondary-title&gt;&lt;/titles&gt;&lt;periodical&gt;&lt;full-title&gt;Contemporary educational psychology&lt;/full-title&gt;&lt;/periodical&gt;&lt;pages&gt;54-67&lt;/pages&gt;&lt;volume&gt;25&lt;/volume&gt;&lt;number&gt;1&lt;/number&gt;&lt;dates&gt;&lt;year&gt;2000&lt;/year&gt;&lt;/dates&gt;&lt;isbn&gt;0361-476X&lt;/isbn&gt;&lt;urls&gt;&lt;/urls&gt;&lt;electronic-resource-num&gt;10.1006/ceps.1999.1020&lt;/electronic-resource-num&gt;&lt;/record&gt;&lt;/Cite&gt;&lt;/EndNote&gt;</w:instrText>
      </w:r>
      <w:r>
        <w:rPr>
          <w:rFonts w:ascii="Times New Roman" w:hAnsi="Times New Roman" w:cs="Times New Roman"/>
        </w:rPr>
        <w:fldChar w:fldCharType="separate"/>
      </w:r>
      <w:r>
        <w:rPr>
          <w:rFonts w:ascii="Times New Roman" w:hAnsi="Times New Roman" w:cs="Times New Roman"/>
        </w:rPr>
        <w:t>(Ryan and Deci, 2000)</w:t>
      </w:r>
      <w:r>
        <w:rPr>
          <w:rFonts w:ascii="Times New Roman" w:hAnsi="Times New Roman" w:cs="Times New Roman"/>
        </w:rPr>
        <w:fldChar w:fldCharType="end"/>
      </w:r>
      <w:r>
        <w:rPr>
          <w:rFonts w:ascii="Times New Roman" w:hAnsi="Times New Roman" w:cs="Times New Roman"/>
        </w:rPr>
        <w:t xml:space="preserve">. Extrinsic factors might include the potential for professional advancement, recognition from peers or superiors, and the ability to provide enhanced patient care </w:t>
      </w:r>
      <w:r>
        <w:rPr>
          <w:rFonts w:ascii="Times New Roman" w:hAnsi="Times New Roman" w:cs="Times New Roman"/>
        </w:rPr>
        <w:fldChar w:fldCharType="begin"/>
      </w:r>
      <w:r>
        <w:rPr>
          <w:rFonts w:ascii="Times New Roman" w:hAnsi="Times New Roman" w:cs="Times New Roman"/>
        </w:rPr>
        <w:instrText xml:space="preserve"> ADDIN EN.CITE &lt;EndNote&gt;&lt;Cite&gt;&lt;Author&gt;Artino Jr&lt;/Author&gt;&lt;Year&gt;2014&lt;/Year&gt;&lt;RecNum&gt;1260&lt;/RecNum&gt;&lt;DisplayText&gt;(Artino Jr&lt;style face="italic"&gt; et al.&lt;/style&gt;, 2014)&lt;/DisplayText&gt;&lt;record&gt;&lt;rec-number&gt;1260&lt;/rec-number&gt;&lt;foreign-keys&gt;&lt;key app="EN" db-id="r2rswvs2oexszme9tvjx5vx252ep2r22dx9d" timestamp="1701341984"&gt;1260&lt;/key&gt;&lt;/foreign-keys&gt;&lt;ref-type name="Journal Article"&gt;17&lt;/ref-type&gt;&lt;contributors&gt;&lt;authors&gt;&lt;author&gt;Artino Jr, Anthony R&lt;/author&gt;&lt;author&gt;La Rochelle, Jeffrey S&lt;/author&gt;&lt;author&gt;Dezee, Kent J&lt;/author&gt;&lt;author&gt;Gehlbach, Hunter&lt;/author&gt;&lt;/authors&gt;&lt;/contributors&gt;&lt;titles&gt;&lt;title&gt;Developing questionnaires for educational research: AMEE Guide No. 87&lt;/title&gt;&lt;secondary-title&gt;Medical Teacher&lt;/secondary-title&gt;&lt;/titles&gt;&lt;periodical&gt;&lt;full-title&gt;Medical teacher&lt;/full-title&gt;&lt;/periodical&gt;&lt;pages&gt;463-474&lt;/pages&gt;&lt;volume&gt;36&lt;/volume&gt;&lt;number&gt;6&lt;/number&gt;&lt;dates&gt;&lt;year&gt;2014&lt;/year&gt;&lt;/dates&gt;&lt;isbn&gt;0142-159X&lt;/isbn&gt;&lt;urls&gt;&lt;/urls&gt;&lt;electronic-resource-num&gt;10.3109/0142159X.2014.889814&lt;/electronic-resource-num&gt;&lt;/record&gt;&lt;/Cite&gt;&lt;/EndNote&gt;</w:instrText>
      </w:r>
      <w:r>
        <w:rPr>
          <w:rFonts w:ascii="Times New Roman" w:hAnsi="Times New Roman" w:cs="Times New Roman"/>
        </w:rPr>
        <w:fldChar w:fldCharType="separate"/>
      </w:r>
      <w:r>
        <w:rPr>
          <w:rFonts w:ascii="Times New Roman" w:hAnsi="Times New Roman" w:cs="Times New Roman"/>
        </w:rPr>
        <w:t>(Artino Jr</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 xml:space="preserve">. Hence, to augment the perceived value of their programs, private training companies must ensure their offerings are germane, engaging, and aligned with the professional aspirations and personal interests of healthcare professionals. Additionally, they should articulate the potential benefits of their programs, such as career advancement opportunities and improved patient outcomes </w:t>
      </w:r>
      <w:r>
        <w:rPr>
          <w:rFonts w:ascii="Times New Roman" w:hAnsi="Times New Roman" w:cs="Times New Roman"/>
        </w:rPr>
        <w:fldChar w:fldCharType="begin"/>
      </w:r>
      <w:r>
        <w:rPr>
          <w:rFonts w:ascii="Times New Roman" w:hAnsi="Times New Roman" w:cs="Times New Roman"/>
        </w:rPr>
        <w:instrText xml:space="preserve"> ADDIN EN.CITE &lt;EndNote&gt;&lt;Cite&gt;&lt;Author&gt;Wigfield&lt;/Author&gt;&lt;Year&gt;2000&lt;/Year&gt;&lt;RecNum&gt;1258&lt;/RecNum&gt;&lt;DisplayText&gt;(Wigfield and Eccles, 2000)&lt;/DisplayText&gt;&lt;record&gt;&lt;rec-number&gt;1258&lt;/rec-number&gt;&lt;foreign-keys&gt;&lt;key app="EN" db-id="r2rswvs2oexszme9tvjx5vx252ep2r22dx9d" timestamp="1701341984"&gt;1258&lt;/key&gt;&lt;/foreign-keys&gt;&lt;ref-type name="Journal Article"&gt;17&lt;/ref-type&gt;&lt;contributors&gt;&lt;authors&gt;&lt;author&gt;Wigfield, Allan&lt;/author&gt;&lt;author&gt;Eccles, Jacquelynne S&lt;/author&gt;&lt;/authors&gt;&lt;/contributors&gt;&lt;titles&gt;&lt;title&gt;Expectancy–value theory of achievement motivation&lt;/title&gt;&lt;secondary-title&gt;Contemporary Educational Psychology&lt;/secondary-title&gt;&lt;/titles&gt;&lt;periodical&gt;&lt;full-title&gt;Contemporary educational psychology&lt;/full-title&gt;&lt;/periodical&gt;&lt;pages&gt;68-81&lt;/pages&gt;&lt;volume&gt;25&lt;/volume&gt;&lt;number&gt;1&lt;/number&gt;&lt;dates&gt;&lt;year&gt;2000&lt;/year&gt;&lt;/dates&gt;&lt;isbn&gt;0361-476X&lt;/isbn&gt;&lt;urls&gt;&lt;/urls&gt;&lt;electronic-resource-num&gt;10.1006/ceps.1999.1015&lt;/electronic-resource-num&gt;&lt;/record&gt;&lt;/Cite&gt;&lt;/EndNote&gt;</w:instrText>
      </w:r>
      <w:r>
        <w:rPr>
          <w:rFonts w:ascii="Times New Roman" w:hAnsi="Times New Roman" w:cs="Times New Roman"/>
        </w:rPr>
        <w:fldChar w:fldCharType="separate"/>
      </w:r>
      <w:r>
        <w:rPr>
          <w:rFonts w:ascii="Times New Roman" w:hAnsi="Times New Roman" w:cs="Times New Roman"/>
        </w:rPr>
        <w:t>(Wigfield and Eccles, 2000)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68" w:name="_Toc134793964"/>
      <w:bookmarkStart w:id="69" w:name="_Toc147660159"/>
      <w:bookmarkStart w:id="70" w:name="_Toc1222"/>
      <w:r>
        <w:t>2.3.3</w:t>
      </w:r>
      <w:r>
        <w:rPr>
          <w:rFonts w:hint="eastAsia"/>
          <w:lang w:val="en-US" w:eastAsia="zh-CN"/>
        </w:rPr>
        <w:t xml:space="preserve">   </w:t>
      </w:r>
      <w:r>
        <w:t>Expectancy-Value Theory in CPD Programs</w:t>
      </w:r>
      <w:bookmarkEnd w:id="68"/>
      <w:bookmarkEnd w:id="69"/>
      <w:bookmarkEnd w:id="70"/>
    </w:p>
    <w:p>
      <w:pPr>
        <w:spacing w:line="480" w:lineRule="auto"/>
        <w:rPr>
          <w:rFonts w:ascii="Times New Roman" w:hAnsi="Times New Roman" w:cs="Times New Roman"/>
        </w:rPr>
      </w:pPr>
      <w:r>
        <w:rPr>
          <w:rFonts w:ascii="Times New Roman" w:hAnsi="Times New Roman" w:cs="Times New Roman"/>
        </w:rPr>
        <w:t xml:space="preserve">By applying EVT in the design and implementation of CPD programs, private training companies can create a more motivating and meaningful learning experience for healthcare professionals. Addressing the factors influencing expectancy and value can foster enhanced engagement in continuing education, culminating in improved learning outcomes and professional growth </w:t>
      </w:r>
      <w:r>
        <w:rPr>
          <w:rFonts w:ascii="Times New Roman" w:hAnsi="Times New Roman" w:cs="Times New Roman"/>
        </w:rPr>
        <w:fldChar w:fldCharType="begin"/>
      </w:r>
      <w:r>
        <w:rPr>
          <w:rFonts w:ascii="Times New Roman" w:hAnsi="Times New Roman" w:cs="Times New Roman"/>
        </w:rPr>
        <w:instrText xml:space="preserve"> ADDIN EN.CITE &lt;EndNote&gt;&lt;Cite&gt;&lt;Author&gt;Wigfield&lt;/Author&gt;&lt;Year&gt;2000&lt;/Year&gt;&lt;RecNum&gt;1258&lt;/RecNum&gt;&lt;DisplayText&gt;(Wigfield and Eccles, 2000)&lt;/DisplayText&gt;&lt;record&gt;&lt;rec-number&gt;1258&lt;/rec-number&gt;&lt;foreign-keys&gt;&lt;key app="EN" db-id="r2rswvs2oexszme9tvjx5vx252ep2r22dx9d" timestamp="1701341984"&gt;1258&lt;/key&gt;&lt;/foreign-keys&gt;&lt;ref-type name="Journal Article"&gt;17&lt;/ref-type&gt;&lt;contributors&gt;&lt;authors&gt;&lt;author&gt;Wigfield, Allan&lt;/author&gt;&lt;author&gt;Eccles, Jacquelynne S&lt;/author&gt;&lt;/authors&gt;&lt;/contributors&gt;&lt;titles&gt;&lt;title&gt;Expectancy–value theory of achievement motivation&lt;/title&gt;&lt;secondary-title&gt;Contemporary Educational Psychology&lt;/secondary-title&gt;&lt;/titles&gt;&lt;periodical&gt;&lt;full-title&gt;Contemporary educational psychology&lt;/full-title&gt;&lt;/periodical&gt;&lt;pages&gt;68-81&lt;/pages&gt;&lt;volume&gt;25&lt;/volume&gt;&lt;number&gt;1&lt;/number&gt;&lt;dates&gt;&lt;year&gt;2000&lt;/year&gt;&lt;/dates&gt;&lt;isbn&gt;0361-476X&lt;/isbn&gt;&lt;urls&gt;&lt;/urls&gt;&lt;electronic-resource-num&gt;10.1006/ceps.1999.1015&lt;/electronic-resource-num&gt;&lt;/record&gt;&lt;/Cite&gt;&lt;/EndNote&gt;</w:instrText>
      </w:r>
      <w:r>
        <w:rPr>
          <w:rFonts w:ascii="Times New Roman" w:hAnsi="Times New Roman" w:cs="Times New Roman"/>
        </w:rPr>
        <w:fldChar w:fldCharType="separate"/>
      </w:r>
      <w:r>
        <w:rPr>
          <w:rFonts w:ascii="Times New Roman" w:hAnsi="Times New Roman" w:cs="Times New Roman"/>
        </w:rPr>
        <w:t>(Wigfield and Eccles, 2000)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To sum up, the integration of EVT into the planning and delivery of CPD programs can play a pivotal role in fostering healthcare professionals' motivation to participate in continuing education. This, in turn, can contribute to the overall enhancement of healthcare services </w:t>
      </w:r>
      <w:r>
        <w:rPr>
          <w:rFonts w:ascii="Times New Roman" w:hAnsi="Times New Roman" w:cs="Times New Roman"/>
        </w:rPr>
        <w:fldChar w:fldCharType="begin"/>
      </w:r>
      <w:r>
        <w:rPr>
          <w:rFonts w:ascii="Times New Roman" w:hAnsi="Times New Roman" w:cs="Times New Roman"/>
        </w:rPr>
        <w:instrText xml:space="preserve"> ADDIN EN.CITE &lt;EndNote&gt;&lt;Cite&gt;&lt;Author&gt;Forsetlund&lt;/Author&gt;&lt;Year&gt;2021&lt;/Year&gt;&lt;RecNum&gt;1216&lt;/RecNum&gt;&lt;DisplayText&gt;(Forsetlund&lt;style face="italic"&gt; et al.&lt;/style&gt;, 2021)&lt;/DisplayText&gt;&lt;record&gt;&lt;rec-number&gt;1216&lt;/rec-number&gt;&lt;foreign-keys&gt;&lt;key app="EN" db-id="r2rswvs2oexszme9tvjx5vx252ep2r22dx9d" timestamp="1701341984"&gt;1216&lt;/key&gt;&lt;/foreign-keys&gt;&lt;ref-type name="Journal Article"&gt;17&lt;/ref-type&gt;&lt;contributors&gt;&lt;authors&gt;&lt;author&gt;Forsetlund, Louise&lt;/author&gt;&lt;author&gt;O&amp;apos;Brien, Mary Ann&lt;/author&gt;&lt;author&gt;Forsen, Lisa&lt;/author&gt;&lt;author&gt;Mwai, Leah&lt;/author&gt;&lt;author&gt;Reinar, Liv Merete&lt;/author&gt;&lt;author&gt;Okwen, Mbah P&lt;/author&gt;&lt;author&gt;Horsley, Tanya&lt;/author&gt;&lt;author&gt;Rose, Christopher J&lt;/author&gt;&lt;/authors&gt;&lt;/contributors&gt;&lt;titles&gt;&lt;title&gt;Continuing education meetings and workshops: Effects on professional practice and healthcare outcomes&lt;/title&gt;&lt;secondary-title&gt;Cochrane Database of Systematic Reviews&lt;/secondary-title&gt;&lt;/titles&gt;&lt;periodical&gt;&lt;full-title&gt;Cochrane Database of Systematic Reviews&lt;/full-title&gt;&lt;/periodical&gt;&lt;pages&gt;CD003030&lt;/pages&gt;&lt;number&gt;9&lt;/number&gt;&lt;dates&gt;&lt;year&gt;2021&lt;/year&gt;&lt;/dates&gt;&lt;isbn&gt;1465-1858&lt;/isbn&gt;&lt;urls&gt;&lt;/urls&gt;&lt;electronic-resource-num&gt;10.1002/14651858.CD003030.pub3&lt;/electronic-resource-num&gt;&lt;/record&gt;&lt;/Cite&gt;&lt;/EndNote&gt;</w:instrText>
      </w:r>
      <w:r>
        <w:rPr>
          <w:rFonts w:ascii="Times New Roman" w:hAnsi="Times New Roman" w:cs="Times New Roman"/>
        </w:rPr>
        <w:fldChar w:fldCharType="separate"/>
      </w:r>
      <w:r>
        <w:rPr>
          <w:rFonts w:ascii="Times New Roman" w:hAnsi="Times New Roman" w:cs="Times New Roman"/>
        </w:rPr>
        <w:t>(Forsetlund</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3"/>
        <w:spacing w:before="240" w:after="240"/>
      </w:pPr>
      <w:bookmarkStart w:id="71" w:name="_Toc134793965"/>
      <w:bookmarkStart w:id="72" w:name="_Toc147660160"/>
      <w:bookmarkStart w:id="73" w:name="_Toc13651"/>
      <w:r>
        <w:t>2.4</w:t>
      </w:r>
      <w:r>
        <w:rPr>
          <w:rFonts w:hint="eastAsia"/>
          <w:lang w:val="en-US" w:eastAsia="zh-CN"/>
        </w:rPr>
        <w:t xml:space="preserve">  </w:t>
      </w:r>
      <w:r>
        <w:t>Factors Influencing Healthcare Professionals' Motivation and Expectations</w:t>
      </w:r>
      <w:bookmarkEnd w:id="71"/>
      <w:bookmarkEnd w:id="72"/>
      <w:bookmarkEnd w:id="73"/>
    </w:p>
    <w:p>
      <w:pPr>
        <w:pStyle w:val="4"/>
      </w:pPr>
      <w:bookmarkStart w:id="74" w:name="_Toc147660161"/>
      <w:bookmarkStart w:id="75" w:name="_Toc134793966"/>
      <w:bookmarkStart w:id="76" w:name="_Toc15386"/>
      <w:r>
        <w:t>2.4.1</w:t>
      </w:r>
      <w:r>
        <w:rPr>
          <w:rFonts w:hint="eastAsia"/>
          <w:lang w:val="en-US" w:eastAsia="zh-CN"/>
        </w:rPr>
        <w:t xml:space="preserve">   </w:t>
      </w:r>
      <w:r>
        <w:t>Overview of Motivational Theories in the Context of Continuing Education</w:t>
      </w:r>
      <w:bookmarkEnd w:id="74"/>
      <w:bookmarkEnd w:id="75"/>
      <w:bookmarkEnd w:id="76"/>
    </w:p>
    <w:p>
      <w:pPr>
        <w:spacing w:line="480" w:lineRule="auto"/>
        <w:rPr>
          <w:rFonts w:ascii="Times New Roman" w:hAnsi="Times New Roman" w:cs="Times New Roman"/>
        </w:rPr>
      </w:pPr>
      <w:bookmarkStart w:id="77" w:name="OLE_LINK19"/>
      <w:r>
        <w:rPr>
          <w:rFonts w:hint="eastAsia" w:ascii="Times New Roman" w:hAnsi="Times New Roman" w:cs="Times New Roman"/>
        </w:rPr>
        <w:t>As</w:t>
      </w:r>
      <w:r>
        <w:rPr>
          <w:rFonts w:ascii="Times New Roman" w:hAnsi="Times New Roman" w:cs="Times New Roman"/>
        </w:rPr>
        <w:t xml:space="preserve"> demonstrated above, various motivational theories can provide valuable insights into understanding the factors that influence healthcare professionals' engagement in continuing education. By examining these theories, researchers can identify the key elements that contribute to healthcare professionals' motivation and expectations in continuing education settings.</w:t>
      </w:r>
    </w:p>
    <w:bookmarkEnd w:id="77"/>
    <w:p>
      <w:pPr>
        <w:spacing w:line="480" w:lineRule="auto"/>
        <w:rPr>
          <w:rFonts w:ascii="Times New Roman" w:hAnsi="Times New Roman" w:cs="Times New Roman"/>
        </w:rPr>
      </w:pPr>
    </w:p>
    <w:p>
      <w:pPr>
        <w:pStyle w:val="4"/>
      </w:pPr>
      <w:bookmarkStart w:id="78" w:name="_Toc147660162"/>
      <w:bookmarkStart w:id="79" w:name="_Toc134793967"/>
      <w:bookmarkStart w:id="80" w:name="_Toc10416"/>
      <w:bookmarkStart w:id="81" w:name="OLE_LINK21"/>
      <w:r>
        <w:t>2.4.2</w:t>
      </w:r>
      <w:r>
        <w:rPr>
          <w:rFonts w:hint="eastAsia"/>
          <w:lang w:val="en-US" w:eastAsia="zh-CN"/>
        </w:rPr>
        <w:t xml:space="preserve">   </w:t>
      </w:r>
      <w:r>
        <w:t>Factors Affecting Healthcare Professionals' Motivation</w:t>
      </w:r>
      <w:bookmarkEnd w:id="78"/>
      <w:bookmarkEnd w:id="79"/>
      <w:bookmarkEnd w:id="80"/>
      <w:r>
        <w:t xml:space="preserve"> </w:t>
      </w:r>
    </w:p>
    <w:p>
      <w:pPr>
        <w:spacing w:line="480" w:lineRule="auto"/>
        <w:rPr>
          <w:rFonts w:ascii="Times New Roman" w:hAnsi="Times New Roman" w:cs="Times New Roman"/>
        </w:rPr>
      </w:pPr>
      <w:r>
        <w:rPr>
          <w:rFonts w:ascii="Times New Roman" w:hAnsi="Times New Roman" w:cs="Times New Roman"/>
        </w:rPr>
        <w:t xml:space="preserve">Several factors can impact healthcare professionals' motivation to participate in continuing education programs. These factors may include personal characteristics (e.g., age, professional experience), work-related factors (e.g., job demands, workload), organizational factors (e.g., institutional support, workplace culture), and program characteristics (e.g., relevance, quality, flexibility) </w:t>
      </w:r>
      <w:r>
        <w:rPr>
          <w:rFonts w:ascii="Times New Roman" w:hAnsi="Times New Roman" w:cs="Times New Roman"/>
        </w:rPr>
        <w:fldChar w:fldCharType="begin"/>
      </w:r>
      <w:r>
        <w:rPr>
          <w:rFonts w:ascii="Times New Roman" w:hAnsi="Times New Roman" w:cs="Times New Roman"/>
        </w:rPr>
        <w:instrText xml:space="preserve"> ADDIN EN.CITE &lt;EndNote&gt;&lt;Cite&gt;&lt;Author&gt;Grol&lt;/Author&gt;&lt;Year&gt;2003&lt;/Year&gt;&lt;RecNum&gt;1261&lt;/RecNum&gt;&lt;DisplayText&gt;(Grol and Grimshaw, 2003)&lt;/DisplayText&gt;&lt;record&gt;&lt;rec-number&gt;1261&lt;/rec-number&gt;&lt;foreign-keys&gt;&lt;key app="EN" db-id="r2rswvs2oexszme9tvjx5vx252ep2r22dx9d" timestamp="1701341984"&gt;1261&lt;/key&gt;&lt;/foreign-keys&gt;&lt;ref-type name="Journal Article"&gt;17&lt;/ref-type&gt;&lt;contributors&gt;&lt;authors&gt;&lt;author&gt;Grol, Richard&lt;/author&gt;&lt;author&gt;Grimshaw, Jeremy&lt;/author&gt;&lt;/authors&gt;&lt;/contributors&gt;&lt;titles&gt;&lt;title&gt;From best evidence to best practice: Effective implementation of change in patients&amp;apos; care&lt;/title&gt;&lt;secondary-title&gt;The Lancet&lt;/secondary-title&gt;&lt;/titles&gt;&lt;periodical&gt;&lt;full-title&gt;The Lancet&lt;/full-title&gt;&lt;/periodical&gt;&lt;pages&gt;1225-1230&lt;/pages&gt;&lt;volume&gt;362&lt;/volume&gt;&lt;number&gt;9391&lt;/number&gt;&lt;dates&gt;&lt;year&gt;2003&lt;/year&gt;&lt;/dates&gt;&lt;isbn&gt;0140-6736&lt;/isbn&gt;&lt;urls&gt;&lt;/urls&gt;&lt;electronic-resource-num&gt;10.1016/S0140-6736(03)14546-1&lt;/electronic-resource-num&gt;&lt;/record&gt;&lt;/Cite&gt;&lt;/EndNote&gt;</w:instrText>
      </w:r>
      <w:r>
        <w:rPr>
          <w:rFonts w:ascii="Times New Roman" w:hAnsi="Times New Roman" w:cs="Times New Roman"/>
        </w:rPr>
        <w:fldChar w:fldCharType="separate"/>
      </w:r>
      <w:r>
        <w:rPr>
          <w:rFonts w:ascii="Times New Roman" w:hAnsi="Times New Roman" w:cs="Times New Roman"/>
        </w:rPr>
        <w:t>(Grol and Grimshaw, 2003)</w:t>
      </w:r>
      <w:r>
        <w:rPr>
          <w:rFonts w:ascii="Times New Roman" w:hAnsi="Times New Roman" w:cs="Times New Roman"/>
        </w:rPr>
        <w:fldChar w:fldCharType="end"/>
      </w:r>
      <w:r>
        <w:rPr>
          <w:rFonts w:ascii="Times New Roman" w:hAnsi="Times New Roman" w:cs="Times New Roman"/>
        </w:rPr>
        <w:t>. By identifying and addressing these factors, private training companies can design and deliver continuing education programs that better cater to healthcare professionals' needs and preferences, thus enhancing motivation and participation.</w:t>
      </w:r>
    </w:p>
    <w:bookmarkEnd w:id="81"/>
    <w:p>
      <w:pPr>
        <w:spacing w:line="480" w:lineRule="auto"/>
        <w:rPr>
          <w:rFonts w:ascii="Times New Roman" w:hAnsi="Times New Roman" w:cs="Times New Roman"/>
        </w:rPr>
      </w:pPr>
    </w:p>
    <w:p>
      <w:pPr>
        <w:pStyle w:val="4"/>
      </w:pPr>
      <w:bookmarkStart w:id="82" w:name="_Toc147660163"/>
      <w:bookmarkStart w:id="83" w:name="_Toc134793968"/>
      <w:bookmarkStart w:id="84" w:name="_Toc16801"/>
      <w:bookmarkStart w:id="85" w:name="OLE_LINK22"/>
      <w:r>
        <w:t>2.4.3</w:t>
      </w:r>
      <w:r>
        <w:rPr>
          <w:rFonts w:hint="eastAsia"/>
          <w:lang w:val="en-US" w:eastAsia="zh-CN"/>
        </w:rPr>
        <w:t xml:space="preserve">   </w:t>
      </w:r>
      <w:r>
        <w:t>Expectations of Healthcare Professionals Regarding Continuing Education Programs</w:t>
      </w:r>
      <w:bookmarkEnd w:id="82"/>
      <w:bookmarkEnd w:id="83"/>
      <w:bookmarkEnd w:id="84"/>
    </w:p>
    <w:p>
      <w:pPr>
        <w:spacing w:line="480" w:lineRule="auto"/>
        <w:rPr>
          <w:rFonts w:ascii="Times New Roman" w:hAnsi="Times New Roman" w:cs="Times New Roman"/>
        </w:rPr>
      </w:pPr>
      <w:r>
        <w:rPr>
          <w:rFonts w:ascii="Times New Roman" w:hAnsi="Times New Roman" w:cs="Times New Roman"/>
        </w:rPr>
        <w:t xml:space="preserve">Healthcare professionals may have specific expectations regarding the content, delivery, and outcomes of continuing education programs. They typically seek learning experiences that are relevant to their field, evidence-based, and up-to-date, with a focus on practical applications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&lt;EndNote&gt;&lt;Cite&gt;&lt;Author&gt;Mansouri&lt;/Author&gt;&lt;Year&gt;2007&lt;/Year&gt;&lt;RecNum&gt;1262&lt;/RecNum&gt;&lt;DisplayText&gt;(Mansouri and Lockyer, 2007)&lt;/DisplayText&gt;&lt;record&gt;&lt;rec-number&gt;1262&lt;/rec-number&gt;&lt;foreign-keys&gt;&lt;key app="EN" db-id="r2rswvs2oexszme9tvjx5vx252ep2r22dx9</w:instrText>
      </w:r>
      <w:r>
        <w:rPr>
          <w:rFonts w:hint="eastAsia" w:ascii="Times New Roman" w:hAnsi="Times New Roman" w:cs="Times New Roman"/>
        </w:rPr>
        <w:instrText xml:space="preserve">d" timestamp="1701341984"&gt;1262&lt;/key&gt;&lt;/foreign-keys&gt;&lt;ref-type name="Journal Article"&gt;17&lt;/ref-type&gt;&lt;contributors&gt;&lt;authors&gt;&lt;author&gt;Mansouri, Maliheh&lt;/author&gt;&lt;author&gt;Lockyer, Jocelyn&lt;/author&gt;&lt;/authors&gt;&lt;/contributors&gt;&lt;titles&gt;&lt;title&gt;A meta‐analysis of continuin</w:instrText>
      </w:r>
      <w:r>
        <w:rPr>
          <w:rFonts w:ascii="Times New Roman" w:hAnsi="Times New Roman" w:cs="Times New Roman"/>
        </w:rPr>
        <w:instrText xml:space="preserve">g medical education effectiveness&lt;/title&gt;&lt;secondary-title&gt;Journal of Continuing Education in the Health Professions&lt;/secondary-title&gt;&lt;/titles&gt;&lt;periodical&gt;&lt;full-title&gt;Journal of continuing education in the health professions&lt;/full-title&gt;&lt;/periodical&gt;&lt;pages&gt;6-15&lt;/pages&gt;&lt;volume&gt;27&lt;/volume&gt;&lt;number&gt;1&lt;/number&gt;&lt;dates&gt;&lt;year&gt;2007&lt;/year&gt;&lt;/dates&gt;&lt;isbn&gt;0894-1912&lt;/isbn&gt;&lt;urls&gt;&lt;/urls&gt;&lt;electronic-resource-num&gt;10.1002/chp.88&lt;/electronic-resource-num&gt;&lt;/record&gt;&lt;/Cite&gt;&lt;/EndNote&gt;</w:instrText>
      </w:r>
      <w:r>
        <w:rPr>
          <w:rFonts w:ascii="Times New Roman" w:hAnsi="Times New Roman" w:cs="Times New Roman"/>
        </w:rPr>
        <w:fldChar w:fldCharType="separate"/>
      </w:r>
      <w:r>
        <w:rPr>
          <w:rFonts w:ascii="Times New Roman" w:hAnsi="Times New Roman" w:cs="Times New Roman"/>
        </w:rPr>
        <w:t>(Mansouri and Lockyer, 2007)</w:t>
      </w:r>
      <w:r>
        <w:rPr>
          <w:rFonts w:ascii="Times New Roman" w:hAnsi="Times New Roman" w:cs="Times New Roman"/>
        </w:rPr>
        <w:fldChar w:fldCharType="end"/>
      </w:r>
      <w:r>
        <w:rPr>
          <w:rFonts w:ascii="Times New Roman" w:hAnsi="Times New Roman" w:cs="Times New Roman"/>
        </w:rPr>
        <w:t xml:space="preserve">. Furthermore, they may expect flexible and accessible delivery methods, such as online or blended learning options, that accommodate their busy schedules </w:t>
      </w:r>
      <w:r>
        <w:rPr>
          <w:rFonts w:ascii="Times New Roman" w:hAnsi="Times New Roman" w:cs="Times New Roman"/>
        </w:rPr>
        <w:fldChar w:fldCharType="begin"/>
      </w:r>
      <w:r>
        <w:rPr>
          <w:rFonts w:ascii="Times New Roman" w:hAnsi="Times New Roman" w:cs="Times New Roman"/>
        </w:rPr>
        <w:instrText xml:space="preserve"> ADDIN EN.CITE &lt;EndNote&gt;&lt;Cite&gt;&lt;Author&gt;Ruiz&lt;/Author&gt;&lt;Year&gt;2006&lt;/Year&gt;&lt;RecNum&gt;1263&lt;/RecNum&gt;&lt;DisplayText&gt;(Ruiz, Mintzer and Leipzig, 2006)&lt;/DisplayText&gt;&lt;record&gt;&lt;rec-number&gt;1263&lt;/rec-number&gt;&lt;foreign-keys&gt;&lt;key app="EN" db-id="r2rswvs2oexszme9tvjx5vx252ep2r22dx9d" timestamp="1701341984"&gt;1263&lt;/key&gt;&lt;/foreign-keys&gt;&lt;ref-type name="Journal Article"&gt;17&lt;/ref-type&gt;&lt;contributors&gt;&lt;authors&gt;&lt;author&gt;Ruiz, Jorge G&lt;/author&gt;&lt;author&gt;Mintzer, Michael J&lt;/author&gt;&lt;author&gt;Leipzig, Rosanne M&lt;/author&gt;&lt;/authors&gt;&lt;/contributors&gt;&lt;titles&gt;&lt;title&gt;The impact of e-learning in medical education&lt;/title&gt;&lt;secondary-title&gt;Academic Medicine&lt;/secondary-title&gt;&lt;/titles&gt;&lt;periodical&gt;&lt;full-title&gt;Academic medicine&lt;/full-title&gt;&lt;/periodical&gt;&lt;pages&gt;207-212&lt;/pages&gt;&lt;volume&gt;81&lt;/volume&gt;&lt;number&gt;3&lt;/number&gt;&lt;dates&gt;&lt;year&gt;2006&lt;/year&gt;&lt;/dates&gt;&lt;isbn&gt;1040-2446&lt;/isbn&gt;&lt;urls&gt;&lt;/urls&gt;&lt;electronic-resource-num&gt;10.1097/00001888-200603000-00002&lt;/electronic-resource-num&gt;&lt;/record&gt;&lt;/Cite&gt;&lt;/EndNote&gt;</w:instrText>
      </w:r>
      <w:r>
        <w:rPr>
          <w:rFonts w:ascii="Times New Roman" w:hAnsi="Times New Roman" w:cs="Times New Roman"/>
        </w:rPr>
        <w:fldChar w:fldCharType="separate"/>
      </w:r>
      <w:r>
        <w:rPr>
          <w:rFonts w:ascii="Times New Roman" w:hAnsi="Times New Roman" w:cs="Times New Roman"/>
        </w:rPr>
        <w:t>(Ruiz, Mintzer and Leipzig, 2006)</w:t>
      </w:r>
      <w:r>
        <w:rPr>
          <w:rFonts w:ascii="Times New Roman" w:hAnsi="Times New Roman" w:cs="Times New Roman"/>
        </w:rPr>
        <w:fldChar w:fldCharType="end"/>
      </w:r>
      <w:r>
        <w:rPr>
          <w:rFonts w:ascii="Times New Roman" w:hAnsi="Times New Roman" w:cs="Times New Roman"/>
        </w:rPr>
        <w:t xml:space="preserve">. Healthcare professionals may also anticipate positive outcomes from their participation in continuing education programs, including improved knowledge and skills, enhanced professional competence, and better patient care </w:t>
      </w:r>
      <w:r>
        <w:rPr>
          <w:rFonts w:ascii="Times New Roman" w:hAnsi="Times New Roman" w:cs="Times New Roman"/>
        </w:rPr>
        <w:fldChar w:fldCharType="begin"/>
      </w:r>
      <w:r>
        <w:rPr>
          <w:rFonts w:ascii="Times New Roman" w:hAnsi="Times New Roman" w:cs="Times New Roman"/>
        </w:rPr>
        <w:instrText xml:space="preserve"> ADDIN EN.CITE &lt;EndNote&gt;&lt;Cite&gt;&lt;Author&gt;Davis&lt;/Author&gt;&lt;Year&gt;1999&lt;/Year&gt;&lt;RecNum&gt;1264&lt;/RecNum&gt;&lt;DisplayText&gt;(Davis&lt;style face="italic"&gt; et al.&lt;/style&gt;, 1999)&lt;/DisplayText&gt;&lt;record&gt;&lt;rec-number&gt;1264&lt;/rec-number&gt;&lt;foreign-keys&gt;&lt;key app="EN" db-id="r2rswvs2oexszme9tvjx5vx252ep2r22dx9d" timestamp="1701341984"&gt;1264&lt;/key&gt;&lt;/foreign-keys&gt;&lt;ref-type name="Journal Article"&gt;17&lt;/ref-type&gt;&lt;contributors&gt;&lt;authors&gt;&lt;author&gt;Davis, Dave&lt;/author&gt;&lt;author&gt;O&amp;apos;Brien, Mary Ann Thomson&lt;/author&gt;&lt;author&gt;Freemantle, Nick&lt;/author&gt;&lt;author&gt;Wolf, Fredric M&lt;/author&gt;&lt;author&gt;Mazmanian, Paul&lt;/author&gt;&lt;author&gt;Taylor-Vaisey, Anne&lt;/author&gt;&lt;/authors&gt;&lt;/contributors&gt;&lt;titles&gt;&lt;title&gt;Impact of formal continuing medical education: Do conferences, workshops, rounds, and other traditional continuing education activities change physician behavior or health care outcomes?&lt;/title&gt;&lt;secondary-title&gt;JAMA&lt;/secondary-title&gt;&lt;/titles&gt;&lt;periodical&gt;&lt;full-title&gt;Jama&lt;/full-title&gt;&lt;/periodical&gt;&lt;pages&gt;867-874&lt;/pages&gt;&lt;volume&gt;282&lt;/volume&gt;&lt;number&gt;9&lt;/number&gt;&lt;dates&gt;&lt;year&gt;1999&lt;/year&gt;&lt;/dates&gt;&lt;isbn&gt;0098-7484&lt;/isbn&gt;&lt;urls&gt;&lt;/urls&gt;&lt;electronic-resource-num&gt;10.1001/jama.282.9.867&lt;/electronic-resource-num&gt;&lt;/record&gt;&lt;/Cite&gt;&lt;/EndNote&gt;</w:instrText>
      </w:r>
      <w:r>
        <w:rPr>
          <w:rFonts w:ascii="Times New Roman" w:hAnsi="Times New Roman" w:cs="Times New Roman"/>
        </w:rPr>
        <w:fldChar w:fldCharType="separate"/>
      </w:r>
      <w:r>
        <w:rPr>
          <w:rFonts w:ascii="Times New Roman" w:hAnsi="Times New Roman" w:cs="Times New Roman"/>
        </w:rPr>
        <w:t>(Davis</w:t>
      </w:r>
      <w:r>
        <w:rPr>
          <w:rFonts w:ascii="Times New Roman" w:hAnsi="Times New Roman" w:cs="Times New Roman"/>
          <w:i/>
        </w:rPr>
        <w:t xml:space="preserve"> et al.</w:t>
      </w:r>
      <w:r>
        <w:rPr>
          <w:rFonts w:ascii="Times New Roman" w:hAnsi="Times New Roman" w:cs="Times New Roman"/>
        </w:rPr>
        <w:t>, 1999)</w:t>
      </w:r>
      <w:r>
        <w:rPr>
          <w:rFonts w:ascii="Times New Roman" w:hAnsi="Times New Roman" w:cs="Times New Roman"/>
        </w:rPr>
        <w:fldChar w:fldCharType="end"/>
      </w:r>
      <w:r>
        <w:rPr>
          <w:rFonts w:ascii="Times New Roman" w:hAnsi="Times New Roman" w:cs="Times New Roman"/>
        </w:rPr>
        <w:t>. By understanding and addressing these expectations, private training companies can develop and deliver continuing education programs that effectively meet the needs of healthcare professionals and foster their ongoing professional growth.</w:t>
      </w:r>
    </w:p>
    <w:bookmarkEnd w:id="85"/>
    <w:p>
      <w:pPr>
        <w:spacing w:line="480" w:lineRule="auto"/>
        <w:rPr>
          <w:rFonts w:ascii="Times New Roman" w:hAnsi="Times New Roman" w:cs="Times New Roman"/>
        </w:rPr>
      </w:pPr>
    </w:p>
    <w:p>
      <w:pPr>
        <w:pStyle w:val="3"/>
        <w:spacing w:before="240" w:after="240"/>
      </w:pPr>
      <w:bookmarkStart w:id="86" w:name="_Toc134793969"/>
      <w:bookmarkStart w:id="87" w:name="_Toc147660164"/>
      <w:bookmarkStart w:id="88" w:name="_Toc30307"/>
      <w:r>
        <w:t>2.5</w:t>
      </w:r>
      <w:r>
        <w:rPr>
          <w:rFonts w:hint="eastAsia"/>
          <w:lang w:val="en-US" w:eastAsia="zh-CN"/>
        </w:rPr>
        <w:t xml:space="preserve">  </w:t>
      </w:r>
      <w:r>
        <w:t>The Role of Private Training Companies in Providing Continuing Education</w:t>
      </w:r>
      <w:bookmarkEnd w:id="86"/>
      <w:bookmarkEnd w:id="87"/>
      <w:bookmarkEnd w:id="88"/>
    </w:p>
    <w:p>
      <w:pPr>
        <w:spacing w:line="480" w:lineRule="auto"/>
        <w:rPr>
          <w:rFonts w:ascii="Times New Roman" w:hAnsi="Times New Roman" w:cs="Times New Roman"/>
        </w:rPr>
      </w:pPr>
      <w:bookmarkStart w:id="89" w:name="OLE_LINK18"/>
      <w:r>
        <w:rPr>
          <w:rFonts w:ascii="Times New Roman" w:hAnsi="Times New Roman" w:cs="Times New Roman"/>
        </w:rPr>
        <w:t xml:space="preserve">Private training companies play a crucial role in providing continuing education opportunities for healthcare professionals. With a customer-oriented approach, these companies have the flexibility to develop tailored programs that address the specific needs and preferences of their target audience </w:t>
      </w:r>
      <w:r>
        <w:rPr>
          <w:rFonts w:ascii="Times New Roman" w:hAnsi="Times New Roman" w:cs="Times New Roman"/>
        </w:rPr>
        <w:fldChar w:fldCharType="begin"/>
      </w:r>
      <w:r>
        <w:rPr>
          <w:rFonts w:ascii="Times New Roman" w:hAnsi="Times New Roman" w:cs="Times New Roman"/>
        </w:rPr>
        <w:instrText xml:space="preserve"> ADDIN EN.CITE &lt;EndNote&gt;&lt;Cite&gt;&lt;Author&gt;Daffron&lt;/Author&gt;&lt;Year&gt;2021&lt;/Year&gt;&lt;RecNum&gt;1257&lt;/RecNum&gt;&lt;DisplayText&gt;(Daffron and Caffarella, 2021)&lt;/DisplayText&gt;&lt;record&gt;&lt;rec-number&gt;1257&lt;/rec-number&gt;&lt;foreign-keys&gt;&lt;key app="EN" db-id="r2rswvs2oexszme9tvjx5vx252ep2r22dx9d" timestamp="1701341984"&gt;1257&lt;/key&gt;&lt;/foreign-keys&gt;&lt;ref-type name="Book"&gt;6&lt;/ref-type&gt;&lt;contributors&gt;&lt;authors&gt;&lt;author&gt;Daffron, Sandra Ratcliff&lt;/author&gt;&lt;author&gt;Caffarella, Rosemary S&lt;/author&gt;&lt;/authors&gt;&lt;/contributors&gt;&lt;titles&gt;&lt;title&gt;Planning programs for adult learners: A practical guide&lt;/title&gt;&lt;/titles&gt;&lt;dates&gt;&lt;year&gt;2021&lt;/year&gt;&lt;/dates&gt;&lt;pub-location&gt;London&lt;/pub-location&gt;&lt;publisher&gt;John Wiley &amp;amp; Sons&lt;/publisher&gt;&lt;isbn&gt;1119577381&lt;/isbn&gt;&lt;urls&gt;&lt;/urls&gt;&lt;/record&gt;&lt;/Cite&gt;&lt;/EndNote&gt;</w:instrText>
      </w:r>
      <w:r>
        <w:rPr>
          <w:rFonts w:ascii="Times New Roman" w:hAnsi="Times New Roman" w:cs="Times New Roman"/>
        </w:rPr>
        <w:fldChar w:fldCharType="separate"/>
      </w:r>
      <w:r>
        <w:rPr>
          <w:rFonts w:ascii="Times New Roman" w:hAnsi="Times New Roman" w:cs="Times New Roman"/>
        </w:rPr>
        <w:t>(Daffron and Caffarella, 2021)</w:t>
      </w:r>
      <w:r>
        <w:rPr>
          <w:rFonts w:ascii="Times New Roman" w:hAnsi="Times New Roman" w:cs="Times New Roman"/>
        </w:rPr>
        <w:fldChar w:fldCharType="end"/>
      </w:r>
      <w:r>
        <w:rPr>
          <w:rFonts w:ascii="Times New Roman" w:hAnsi="Times New Roman" w:cs="Times New Roman"/>
        </w:rPr>
        <w:t xml:space="preserve">. They can also adopt innovative teaching methods and technologies, often ahead of more traditional educational institutions, to enhance learning experiences and outcomes </w:t>
      </w:r>
      <w:r>
        <w:rPr>
          <w:rFonts w:ascii="Times New Roman" w:hAnsi="Times New Roman" w:cs="Times New Roman"/>
        </w:rPr>
        <w:fldChar w:fldCharType="begin"/>
      </w:r>
      <w:r>
        <w:rPr>
          <w:rFonts w:ascii="Times New Roman" w:hAnsi="Times New Roman" w:cs="Times New Roman"/>
        </w:rPr>
        <w:instrText xml:space="preserve"> ADDIN EN.CITE &lt;EndNote&gt;&lt;Cite&gt;&lt;Author&gt;Ruiz&lt;/Author&gt;&lt;Year&gt;2006&lt;/Year&gt;&lt;RecNum&gt;1263&lt;/RecNum&gt;&lt;DisplayText&gt;(Ruiz&lt;style face="italic"&gt; et al.&lt;/style&gt;, 2006)&lt;/DisplayText&gt;&lt;record&gt;&lt;rec-number&gt;1263&lt;/rec-number&gt;&lt;foreign-keys&gt;&lt;key app="EN" db-id="r2rswvs2oexszme9tvjx5vx252ep2r22dx9d" timestamp="1701341984"&gt;1263&lt;/key&gt;&lt;/foreign-keys&gt;&lt;ref-type name="Journal Article"&gt;17&lt;/ref-type&gt;&lt;contributors&gt;&lt;authors&gt;&lt;author&gt;Ruiz, Jorge G&lt;/author&gt;&lt;author&gt;Mintzer, Michael J&lt;/author&gt;&lt;author&gt;Leipzig, Rosanne M&lt;/author&gt;&lt;/authors&gt;&lt;/contributors&gt;&lt;titles&gt;&lt;title&gt;The impact of e-learning in medical education&lt;/title&gt;&lt;secondary-title&gt;Academic Medicine&lt;/secondary-title&gt;&lt;/titles&gt;&lt;periodical&gt;&lt;full-title&gt;Academic medicine&lt;/full-title&gt;&lt;/periodical&gt;&lt;pages&gt;207-212&lt;/pages&gt;&lt;volume&gt;81&lt;/volume&gt;&lt;number&gt;3&lt;/number&gt;&lt;dates&gt;&lt;year&gt;2006&lt;/year&gt;&lt;/dates&gt;&lt;isbn&gt;1040-2446&lt;/isbn&gt;&lt;urls&gt;&lt;/urls&gt;&lt;electronic-resource-num&gt;10.1097/00001888-200603000-00002&lt;/electronic-resource-num&gt;&lt;/record&gt;&lt;/Cite&gt;&lt;/EndNote&gt;</w:instrText>
      </w:r>
      <w:r>
        <w:rPr>
          <w:rFonts w:ascii="Times New Roman" w:hAnsi="Times New Roman" w:cs="Times New Roman"/>
        </w:rPr>
        <w:fldChar w:fldCharType="separate"/>
      </w:r>
      <w:r>
        <w:rPr>
          <w:rFonts w:ascii="Times New Roman" w:hAnsi="Times New Roman" w:cs="Times New Roman"/>
        </w:rPr>
        <w:t>(Ruiz</w:t>
      </w:r>
      <w:r>
        <w:rPr>
          <w:rFonts w:ascii="Times New Roman" w:hAnsi="Times New Roman" w:cs="Times New Roman"/>
          <w:i/>
        </w:rPr>
        <w:t xml:space="preserve"> et al.</w:t>
      </w:r>
      <w:r>
        <w:rPr>
          <w:rFonts w:ascii="Times New Roman" w:hAnsi="Times New Roman" w:cs="Times New Roman"/>
        </w:rPr>
        <w:t>, 2006)</w:t>
      </w:r>
      <w:r>
        <w:rPr>
          <w:rFonts w:ascii="Times New Roman" w:hAnsi="Times New Roman" w:cs="Times New Roman"/>
        </w:rPr>
        <w:fldChar w:fldCharType="end"/>
      </w:r>
      <w:r>
        <w:rPr>
          <w:rFonts w:ascii="Times New Roman" w:hAnsi="Times New Roman" w:cs="Times New Roman"/>
        </w:rPr>
        <w:t xml:space="preserve">. However, private training companies must ensure that their offerings are of high quality and adhere to professional standards, as this is paramount for fostering trust and credibility among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&lt;EndNote&gt;&lt;Cite&gt;&lt;Author&gt;Moore Jr&lt;/Author&gt;&lt;Year&gt;2009&lt;/Year&gt;&lt;RecNum&gt;1265&lt;/RecNum&gt;&lt;DisplayText&gt;(Moore Jr, Green and Gallis, 2009)&lt;/DisplayText&gt;&lt;record&gt;&lt;rec-number&gt;1265&lt;/rec-number&gt;&lt;foreign-keys&gt;&lt;key app="EN" db-id="r2rswvs2oexszme9tvjx5vx252ep2r22dx9d" timestamp="1701341984"&gt;1265&lt;/key&gt;&lt;/foreign-keys&gt;&lt;ref-type name="Journal Article"&gt;17&lt;/ref-type&gt;&lt;contributors&gt;&lt;authors&gt;&lt;author&gt;Moore Jr, Donald E&lt;/author&gt;&lt;author&gt;Green, Joseph S&lt;/author&gt;&lt;author&gt;Gallis, Harry A&lt;/author&gt;&lt;/authors&gt;&lt;/contributors&gt;&lt;titles&gt;&lt;title&gt;Achieving desired results and improved outcomes: Integrating planning and assessment throughout learning activities&lt;/title&gt;&lt;secondary-title&gt;Journal of Continuing Education in the Health Professions&lt;/secondary-title&gt;&lt;/titles&gt;&lt;periodical&gt;&lt;full-title&gt;Journal of continuing education in the health professions&lt;/full-title&gt;&lt;/periodical&gt;&lt;pages&gt;1-15&lt;/pages&gt;&lt;volume&gt;29&lt;/volume&gt;&lt;number&gt;1&lt;/number&gt;&lt;dates&gt;&lt;year&gt;2009&lt;/year&gt;&lt;/dates&gt;&lt;isbn&gt;0894-1912&lt;/isbn&gt;&lt;urls&gt;&lt;/urls&gt;&lt;electronic-resource-num&gt;10.1002/chp.20001&lt;/electronic-resource-num&gt;&lt;/record&gt;&lt;/Cite&gt;&lt;/EndNote&gt;</w:instrText>
      </w:r>
      <w:r>
        <w:rPr>
          <w:rFonts w:ascii="Times New Roman" w:hAnsi="Times New Roman" w:cs="Times New Roman"/>
        </w:rPr>
        <w:fldChar w:fldCharType="separate"/>
      </w:r>
      <w:r>
        <w:rPr>
          <w:rFonts w:ascii="Times New Roman" w:hAnsi="Times New Roman" w:cs="Times New Roman"/>
        </w:rPr>
        <w:t>(Moore Jr, Green and Gallis, 2009)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90" w:name="_Toc147660165"/>
      <w:bookmarkStart w:id="91" w:name="_Toc134793970"/>
      <w:bookmarkStart w:id="92" w:name="_Toc17994"/>
      <w:bookmarkStart w:id="93" w:name="OLE_LINK23"/>
      <w:r>
        <w:t>2.5.1</w:t>
      </w:r>
      <w:r>
        <w:rPr>
          <w:rFonts w:hint="eastAsia"/>
          <w:lang w:val="en-US" w:eastAsia="zh-CN"/>
        </w:rPr>
        <w:t xml:space="preserve">   </w:t>
      </w:r>
      <w:r>
        <w:t>Strategies and Approaches Used by Private Training Companies</w:t>
      </w:r>
      <w:bookmarkEnd w:id="90"/>
      <w:bookmarkEnd w:id="91"/>
      <w:bookmarkEnd w:id="92"/>
    </w:p>
    <w:p>
      <w:pPr>
        <w:spacing w:line="480" w:lineRule="auto"/>
        <w:rPr>
          <w:rFonts w:ascii="Times New Roman" w:hAnsi="Times New Roman" w:cs="Times New Roman"/>
        </w:rPr>
      </w:pPr>
      <w:r>
        <w:rPr>
          <w:rFonts w:ascii="Times New Roman" w:hAnsi="Times New Roman" w:cs="Times New Roman"/>
        </w:rPr>
        <w:t xml:space="preserve">Private training companies employ various strategies and approaches to address the needs and expectations of healthcare professionals in continuing education programs. These strategies may include conducting thorough needs assessments to identify knowledge and skill gaps, offering a diverse range of learning modalities (e.g., online, blended, face-to-face), and providing flexible and learner-centered programs that cater to individual learning preferences and schedules </w:t>
      </w:r>
      <w:r>
        <w:rPr>
          <w:rFonts w:ascii="Times New Roman" w:hAnsi="Times New Roman" w:cs="Times New Roman"/>
        </w:rPr>
        <w:fldChar w:fldCharType="begin"/>
      </w:r>
      <w:r>
        <w:rPr>
          <w:rFonts w:ascii="Times New Roman" w:hAnsi="Times New Roman" w:cs="Times New Roman"/>
        </w:rPr>
        <w:instrText xml:space="preserve"> ADDIN EN.CITE &lt;EndNote&gt;&lt;Cite&gt;&lt;Author&gt;Cook&lt;/Author&gt;&lt;Year&gt;2010&lt;/Year&gt;&lt;RecNum&gt;1266&lt;/RecNum&gt;&lt;DisplayText&gt;(Cook&lt;style face="italic"&gt; et al.&lt;/style&gt;, 2010)&lt;/DisplayText&gt;&lt;record&gt;&lt;rec-number&gt;1266&lt;/rec-number&gt;&lt;foreign-keys&gt;&lt;key app="EN" db-id="r2rswvs2oexszme9tvjx5vx252ep2r22dx9d" timestamp="1701341984"&gt;1266&lt;/key&gt;&lt;/foreign-keys&gt;&lt;ref-type name="Journal Article"&gt;17&lt;/ref-type&gt;&lt;contributors&gt;&lt;authors&gt;&lt;author&gt;Cook, David A&lt;/author&gt;&lt;author&gt;Levinson, Anthony J&lt;/author&gt;&lt;author&gt;Garside, Sarah&lt;/author&gt;&lt;author&gt;Dupras, Denise M&lt;/author&gt;&lt;author&gt;Erwin, Patricia J&lt;/author&gt;&lt;author&gt;Montori, Victor M&lt;/author&gt;&lt;/authors&gt;&lt;/contributors&gt;&lt;titles&gt;&lt;title&gt;Instructional design variations in internet-based learning for health professions education: A systematic review and meta-analysis&lt;/title&gt;&lt;secondary-title&gt;Academic Medicine&lt;/secondary-title&gt;&lt;/titles&gt;&lt;periodical&gt;&lt;full-title&gt;Academic medicine&lt;/full-title&gt;&lt;/periodical&gt;&lt;pages&gt;909-922&lt;/pages&gt;&lt;volume&gt;85&lt;/volume&gt;&lt;number&gt;5&lt;/number&gt;&lt;dates&gt;&lt;year&gt;2010&lt;/year&gt;&lt;/dates&gt;&lt;isbn&gt;1040-2446&lt;/isbn&gt;&lt;urls&gt;&lt;/urls&gt;&lt;electronic-resource-num&gt;10.1097/ACM.0b013e3181d6c319&lt;/electronic-resource-num&gt;&lt;/record&gt;&lt;/Cite&gt;&lt;/EndNote&gt;</w:instrText>
      </w:r>
      <w:r>
        <w:rPr>
          <w:rFonts w:ascii="Times New Roman" w:hAnsi="Times New Roman" w:cs="Times New Roman"/>
        </w:rPr>
        <w:fldChar w:fldCharType="separate"/>
      </w:r>
      <w:r>
        <w:rPr>
          <w:rFonts w:ascii="Times New Roman" w:hAnsi="Times New Roman" w:cs="Times New Roman"/>
        </w:rPr>
        <w:t>(Cook</w:t>
      </w:r>
      <w:r>
        <w:rPr>
          <w:rFonts w:ascii="Times New Roman" w:hAnsi="Times New Roman" w:cs="Times New Roman"/>
          <w:i/>
        </w:rPr>
        <w:t xml:space="preserve"> et al.</w:t>
      </w:r>
      <w:r>
        <w:rPr>
          <w:rFonts w:ascii="Times New Roman" w:hAnsi="Times New Roman" w:cs="Times New Roman"/>
        </w:rPr>
        <w:t>, 2010)</w:t>
      </w:r>
      <w:r>
        <w:rPr>
          <w:rFonts w:ascii="Times New Roman" w:hAnsi="Times New Roman" w:cs="Times New Roman"/>
        </w:rPr>
        <w:fldChar w:fldCharType="end"/>
      </w:r>
      <w:r>
        <w:rPr>
          <w:rFonts w:ascii="Times New Roman" w:hAnsi="Times New Roman" w:cs="Times New Roman"/>
        </w:rPr>
        <w:t xml:space="preserve">. Additionally, private training companies may collaborate with industry experts and educational institutions to ensure the provision of high-quality, evidence-based content that aligns with current best practices in healthcare </w:t>
      </w:r>
      <w:r>
        <w:rPr>
          <w:rFonts w:ascii="Times New Roman" w:hAnsi="Times New Roman" w:cs="Times New Roman"/>
        </w:rPr>
        <w:fldChar w:fldCharType="begin"/>
      </w:r>
      <w:r>
        <w:rPr>
          <w:rFonts w:ascii="Times New Roman" w:hAnsi="Times New Roman" w:cs="Times New Roman"/>
        </w:rPr>
        <w:instrText xml:space="preserve"> ADDIN EN.CITE &lt;EndNote&gt;&lt;Cite&gt;&lt;Author&gt;Wensing&lt;/Author&gt;&lt;Year&gt;2020&lt;/Year&gt;&lt;RecNum&gt;1267&lt;/RecNum&gt;&lt;DisplayText&gt;(Wensing, Grol and Grimshaw, 2020)&lt;/DisplayText&gt;&lt;record&gt;&lt;rec-number&gt;1267&lt;/rec-number&gt;&lt;foreign-keys&gt;&lt;key app="EN" db-id="r2rswvs2oexszme9tvjx5vx252ep2r22dx9d" timestamp="1701341984"&gt;1267&lt;/key&gt;&lt;/foreign-keys&gt;&lt;ref-type name="Book"&gt;6&lt;/ref-type&gt;&lt;contributors&gt;&lt;authors&gt;&lt;author&gt;Wensing, Michel&lt;/author&gt;&lt;author&gt;Grol, Richard&lt;/author&gt;&lt;author&gt;Grimshaw, Jeremy&lt;/author&gt;&lt;/authors&gt;&lt;/contributors&gt;&lt;titles&gt;&lt;title&gt;Improving patient care: The implementation of change in health care&lt;/title&gt;&lt;/titles&gt;&lt;dates&gt;&lt;year&gt;2020&lt;/year&gt;&lt;/dates&gt;&lt;pub-location&gt;London&lt;/pub-location&gt;&lt;publisher&gt;John Wiley &amp;amp; Sons&lt;/publisher&gt;&lt;isbn&gt;1119488591&lt;/isbn&gt;&lt;urls&gt;&lt;/urls&gt;&lt;/record&gt;&lt;/Cite&gt;&lt;/EndNote&gt;</w:instrText>
      </w:r>
      <w:r>
        <w:rPr>
          <w:rFonts w:ascii="Times New Roman" w:hAnsi="Times New Roman" w:cs="Times New Roman"/>
        </w:rPr>
        <w:fldChar w:fldCharType="separate"/>
      </w:r>
      <w:r>
        <w:rPr>
          <w:rFonts w:ascii="Times New Roman" w:hAnsi="Times New Roman" w:cs="Times New Roman"/>
        </w:rPr>
        <w:t>(Wensing, Grol and Grimshaw, 2020)</w:t>
      </w:r>
      <w:r>
        <w:rPr>
          <w:rFonts w:ascii="Times New Roman" w:hAnsi="Times New Roman" w:cs="Times New Roman"/>
        </w:rPr>
        <w:fldChar w:fldCharType="end"/>
      </w:r>
      <w:r>
        <w:rPr>
          <w:rFonts w:ascii="Times New Roman" w:hAnsi="Times New Roman" w:cs="Times New Roman"/>
        </w:rPr>
        <w:t>.</w:t>
      </w:r>
    </w:p>
    <w:bookmarkEnd w:id="93"/>
    <w:p>
      <w:pPr>
        <w:spacing w:line="480" w:lineRule="auto"/>
        <w:rPr>
          <w:rFonts w:ascii="Times New Roman" w:hAnsi="Times New Roman" w:cs="Times New Roman"/>
        </w:rPr>
      </w:pPr>
    </w:p>
    <w:p>
      <w:pPr>
        <w:pStyle w:val="4"/>
      </w:pPr>
      <w:bookmarkStart w:id="94" w:name="_Toc134793971"/>
      <w:bookmarkStart w:id="95" w:name="_Toc147660166"/>
      <w:bookmarkStart w:id="96" w:name="_Toc1342"/>
      <w:r>
        <w:t>2.5.2</w:t>
      </w:r>
      <w:r>
        <w:rPr>
          <w:rFonts w:hint="eastAsia"/>
          <w:lang w:val="en-US" w:eastAsia="zh-CN"/>
        </w:rPr>
        <w:t xml:space="preserve">   </w:t>
      </w:r>
      <w:r>
        <w:t>Effectiveness in Providing Tailored Continuing Education Programs</w:t>
      </w:r>
      <w:bookmarkEnd w:id="94"/>
      <w:bookmarkEnd w:id="95"/>
      <w:bookmarkEnd w:id="96"/>
    </w:p>
    <w:p>
      <w:pPr>
        <w:spacing w:line="480" w:lineRule="auto"/>
        <w:rPr>
          <w:rFonts w:ascii="Times New Roman" w:hAnsi="Times New Roman" w:cs="Times New Roman"/>
        </w:rPr>
      </w:pPr>
      <w:bookmarkStart w:id="97" w:name="OLE_LINK24"/>
      <w:r>
        <w:rPr>
          <w:rFonts w:ascii="Times New Roman" w:hAnsi="Times New Roman" w:cs="Times New Roman"/>
        </w:rPr>
        <w:t xml:space="preserve">The effectiveness of private training companies in providing tailored continuing education programs hinges on their ability to identify and address the specific needs and expectations of healthcare professionals. Research suggests that when private training companies successfully implement strategies to meet these needs, they can contribute to improved learning outcomes, increased motivation and engagement, and greater satisfaction among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&lt;EndNote&gt;&lt;Cite&gt;&lt;Author&gt;Forsetlund&lt;/Author&gt;&lt;Year&gt;2021&lt;/Year&gt;&lt;RecNum&gt;1216&lt;/RecNum&gt;&lt;DisplayText&gt;(Forsetlund&lt;style face="italic"&gt; et al.&lt;/style&gt;, 2021)&lt;/DisplayText&gt;&lt;record&gt;&lt;rec-number&gt;1216&lt;/rec-number&gt;&lt;foreign-keys&gt;&lt;key app="EN" db-id="r2rswvs2oexszme9tvjx5vx252ep2r22dx9d" timestamp="1701341984"&gt;1216&lt;/key&gt;&lt;/foreign-keys&gt;&lt;ref-type name="Journal Article"&gt;17&lt;/ref-type&gt;&lt;contributors&gt;&lt;authors&gt;&lt;author&gt;Forsetlund, Louise&lt;/author&gt;&lt;author&gt;O&amp;apos;Brien, Mary Ann&lt;/author&gt;&lt;author&gt;Forsen, Lisa&lt;/author&gt;&lt;author&gt;Mwai, Leah&lt;/author&gt;&lt;author&gt;Reinar, Liv Merete&lt;/author&gt;&lt;author&gt;Okwen, Mbah P&lt;/author&gt;&lt;author&gt;Horsley, Tanya&lt;/author&gt;&lt;author&gt;Rose, Christopher J&lt;/author&gt;&lt;/authors&gt;&lt;/contributors&gt;&lt;titles&gt;&lt;title&gt;Continuing education meetings and workshops: Effects on professional practice and healthcare outcomes&lt;/title&gt;&lt;secondary-title&gt;Cochrane Database of Systematic Reviews&lt;/secondary-title&gt;&lt;/titles&gt;&lt;periodical&gt;&lt;full-title&gt;Cochrane Database of Systematic Reviews&lt;/full-title&gt;&lt;/periodical&gt;&lt;pages&gt;CD003030&lt;/pages&gt;&lt;number&gt;9&lt;/number&gt;&lt;dates&gt;&lt;year&gt;2021&lt;/year&gt;&lt;/dates&gt;&lt;isbn&gt;1465-1858&lt;/isbn&gt;&lt;urls&gt;&lt;/urls&gt;&lt;electronic-resource-num&gt;10.1002/14651858.CD003030.pub3&lt;/electronic-resource-num&gt;&lt;/record&gt;&lt;/Cite&gt;&lt;/EndNote&gt;</w:instrText>
      </w:r>
      <w:r>
        <w:rPr>
          <w:rFonts w:ascii="Times New Roman" w:hAnsi="Times New Roman" w:cs="Times New Roman"/>
        </w:rPr>
        <w:fldChar w:fldCharType="separate"/>
      </w:r>
      <w:r>
        <w:rPr>
          <w:rFonts w:ascii="Times New Roman" w:hAnsi="Times New Roman" w:cs="Times New Roman"/>
        </w:rPr>
        <w:t>(Forsetlund</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 xml:space="preserve">. However, the effectiveness of private training companies can be influenced by several factors, such as the quality of the programs offered, the expertise of the instructors, and the support provided to learners throughout the learning process </w:t>
      </w:r>
      <w:r>
        <w:rPr>
          <w:rFonts w:ascii="Times New Roman" w:hAnsi="Times New Roman" w:cs="Times New Roman"/>
        </w:rPr>
        <w:fldChar w:fldCharType="begin"/>
      </w:r>
      <w:r>
        <w:rPr>
          <w:rFonts w:ascii="Times New Roman" w:hAnsi="Times New Roman" w:cs="Times New Roman"/>
        </w:rPr>
        <w:instrText xml:space="preserve"> ADDIN EN.CITE &lt;EndNote&gt;&lt;Cite&gt;&lt;Author&gt;Cervero&lt;/Author&gt;&lt;Year&gt;2015&lt;/Year&gt;&lt;RecNum&gt;1268&lt;/RecNum&gt;&lt;DisplayText&gt;(Cervero and Gaines, 2015)&lt;/DisplayText&gt;&lt;record&gt;&lt;rec-number&gt;1268&lt;/rec-number&gt;&lt;foreign-keys&gt;&lt;key app="EN" db-id="r2rswvs2oexszme9tvjx5vx252ep2r22dx9d" timestamp="1701341984"&gt;1268&lt;/key&gt;&lt;/foreign-keys&gt;&lt;ref-type name="Journal Article"&gt;17&lt;/ref-type&gt;&lt;contributors&gt;&lt;authors&gt;&lt;author&gt;Cervero, Ronald M&lt;/author&gt;&lt;author&gt;Gaines, Julie K&lt;/author&gt;&lt;/authors&gt;&lt;/contributors&gt;&lt;titles&gt;&lt;title&gt;The impact of CME on physician performance and patient health outcomes: An updated synthesis of systematic reviews&lt;/title&gt;&lt;secondary-title&gt;Journal of Continuing Education in the Health Professions&lt;/secondary-title&gt;&lt;/titles&gt;&lt;periodical&gt;&lt;full-title&gt;Journal of continuing education in the health professions&lt;/full-title&gt;&lt;/periodical&gt;&lt;pages&gt;131-138&lt;/pages&gt;&lt;volume&gt;35&lt;/volume&gt;&lt;number&gt;2&lt;/number&gt;&lt;dates&gt;&lt;year&gt;2015&lt;/year&gt;&lt;/dates&gt;&lt;isbn&gt;0894-1912&lt;/isbn&gt;&lt;urls&gt;&lt;/urls&gt;&lt;electronic-resource-num&gt;10.1002/chp.21290&lt;/electronic-resource-num&gt;&lt;/record&gt;&lt;/Cite&gt;&lt;/EndNote&gt;</w:instrText>
      </w:r>
      <w:r>
        <w:rPr>
          <w:rFonts w:ascii="Times New Roman" w:hAnsi="Times New Roman" w:cs="Times New Roman"/>
        </w:rPr>
        <w:fldChar w:fldCharType="separate"/>
      </w:r>
      <w:r>
        <w:rPr>
          <w:rFonts w:ascii="Times New Roman" w:hAnsi="Times New Roman" w:cs="Times New Roman"/>
        </w:rPr>
        <w:t>(Cervero and Gaines, 2015)</w:t>
      </w:r>
      <w:r>
        <w:rPr>
          <w:rFonts w:ascii="Times New Roman" w:hAnsi="Times New Roman" w:cs="Times New Roman"/>
        </w:rPr>
        <w:fldChar w:fldCharType="end"/>
      </w:r>
      <w:r>
        <w:rPr>
          <w:rFonts w:ascii="Times New Roman" w:hAnsi="Times New Roman" w:cs="Times New Roman"/>
        </w:rPr>
        <w:t>.</w:t>
      </w:r>
    </w:p>
    <w:bookmarkEnd w:id="97"/>
    <w:p>
      <w:pPr>
        <w:spacing w:line="480" w:lineRule="auto"/>
        <w:rPr>
          <w:rFonts w:ascii="Times New Roman" w:hAnsi="Times New Roman" w:cs="Times New Roman"/>
        </w:rPr>
      </w:pPr>
    </w:p>
    <w:p>
      <w:pPr>
        <w:pStyle w:val="4"/>
      </w:pPr>
      <w:bookmarkStart w:id="98" w:name="_Toc147660167"/>
      <w:bookmarkStart w:id="99" w:name="_Toc134793972"/>
      <w:bookmarkStart w:id="100" w:name="_Toc4308"/>
      <w:r>
        <w:t>2.5.3</w:t>
      </w:r>
      <w:r>
        <w:rPr>
          <w:rFonts w:hint="eastAsia"/>
          <w:lang w:val="en-US" w:eastAsia="zh-CN"/>
        </w:rPr>
        <w:t xml:space="preserve">  </w:t>
      </w:r>
      <w:r>
        <w:t>Challenges in Meeting the Needs and Expectations of Healthcare Professionals</w:t>
      </w:r>
      <w:bookmarkEnd w:id="98"/>
      <w:bookmarkEnd w:id="99"/>
      <w:bookmarkEnd w:id="100"/>
    </w:p>
    <w:p>
      <w:pPr>
        <w:spacing w:line="480" w:lineRule="auto"/>
        <w:rPr>
          <w:rFonts w:ascii="Times New Roman" w:hAnsi="Times New Roman" w:cs="Times New Roman"/>
        </w:rPr>
      </w:pPr>
      <w:bookmarkStart w:id="101" w:name="OLE_LINK25"/>
      <w:r>
        <w:rPr>
          <w:rFonts w:ascii="Times New Roman" w:hAnsi="Times New Roman" w:cs="Times New Roman"/>
        </w:rPr>
        <w:t xml:space="preserve">Private training companies may face several challenges in meeting the needs and expectations of healthcare professionals. These challenges can include balancing the demands for high-quality, evidence-based content with the need for flexibility and accessibility in program delivery </w:t>
      </w:r>
      <w:r>
        <w:rPr>
          <w:rFonts w:ascii="Times New Roman" w:hAnsi="Times New Roman" w:cs="Times New Roman"/>
        </w:rPr>
        <w:fldChar w:fldCharType="begin"/>
      </w:r>
      <w:r>
        <w:rPr>
          <w:rFonts w:ascii="Times New Roman" w:hAnsi="Times New Roman" w:cs="Times New Roman"/>
        </w:rPr>
        <w:instrText xml:space="preserve"> ADDIN EN.CITE &lt;EndNote&gt;&lt;Cite&gt;&lt;Author&gt;Cantillon&lt;/Author&gt;&lt;Year&gt;1999&lt;/Year&gt;&lt;RecNum&gt;1269&lt;/RecNum&gt;&lt;DisplayText&gt;(Cantillon and Jones, 1999)&lt;/DisplayText&gt;&lt;record&gt;&lt;rec-number&gt;1269&lt;/rec-number&gt;&lt;foreign-keys&gt;&lt;key app="EN" db-id="r2rswvs2oexszme9tvjx5vx252ep2r22dx9d" timestamp="1701341984"&gt;1269&lt;/key&gt;&lt;/foreign-keys&gt;&lt;ref-type name="Journal Article"&gt;17&lt;/ref-type&gt;&lt;contributors&gt;&lt;authors&gt;&lt;author&gt;Cantillon, Peter&lt;/author&gt;&lt;author&gt;Jones, Roger&lt;/author&gt;&lt;/authors&gt;&lt;/contributors&gt;&lt;titles&gt;&lt;title&gt;Does continuing medical education in general practice make a difference?&lt;/title&gt;&lt;secondary-title&gt;BMJ&lt;/secondary-title&gt;&lt;/titles&gt;&lt;periodical&gt;&lt;full-title&gt;Bmj&lt;/full-title&gt;&lt;/periodical&gt;&lt;pages&gt;1276-1279&lt;/pages&gt;&lt;volume&gt;318&lt;/volume&gt;&lt;number&gt;7193&lt;/number&gt;&lt;dates&gt;&lt;year&gt;1999&lt;/year&gt;&lt;/dates&gt;&lt;isbn&gt;0959-8138&lt;/isbn&gt;&lt;urls&gt;&lt;/urls&gt;&lt;electronic-resource-num&gt;10.1136/bmj.318.7193.1276&lt;/electronic-resource-num&gt;&lt;/record&gt;&lt;/Cite&gt;&lt;/EndNote&gt;</w:instrText>
      </w:r>
      <w:r>
        <w:rPr>
          <w:rFonts w:ascii="Times New Roman" w:hAnsi="Times New Roman" w:cs="Times New Roman"/>
        </w:rPr>
        <w:fldChar w:fldCharType="separate"/>
      </w:r>
      <w:r>
        <w:rPr>
          <w:rFonts w:ascii="Times New Roman" w:hAnsi="Times New Roman" w:cs="Times New Roman"/>
        </w:rPr>
        <w:t>(Cantillon and Jones, 1999)</w:t>
      </w:r>
      <w:r>
        <w:rPr>
          <w:rFonts w:ascii="Times New Roman" w:hAnsi="Times New Roman" w:cs="Times New Roman"/>
        </w:rPr>
        <w:fldChar w:fldCharType="end"/>
      </w:r>
      <w:r>
        <w:rPr>
          <w:rFonts w:ascii="Times New Roman" w:hAnsi="Times New Roman" w:cs="Times New Roman"/>
        </w:rPr>
        <w:t xml:space="preserve">. Furthermore, private training companies may struggle to keep pace with the rapidly evolving landscape of healthcare and the constant emergence of new knowledge and practices </w:t>
      </w:r>
      <w:r>
        <w:rPr>
          <w:rFonts w:ascii="Times New Roman" w:hAnsi="Times New Roman" w:cs="Times New Roman"/>
        </w:rPr>
        <w:fldChar w:fldCharType="begin"/>
      </w:r>
      <w:r>
        <w:rPr>
          <w:rFonts w:ascii="Times New Roman" w:hAnsi="Times New Roman" w:cs="Times New Roman"/>
        </w:rPr>
        <w:instrText xml:space="preserve"> ADDIN EN.CITE &lt;EndNote&gt;&lt;Cite&gt;&lt;Author&gt;Swanwick&lt;/Author&gt;&lt;Year&gt;2018&lt;/Year&gt;&lt;RecNum&gt;1249&lt;/RecNum&gt;&lt;DisplayText&gt;(Swanwick, 2018)&lt;/DisplayText&gt;&lt;record&gt;&lt;rec-number&gt;1249&lt;/rec-number&gt;&lt;foreign-keys&gt;&lt;key app="EN" db-id="r2rswvs2oexszme9tvjx5vx252ep2r22dx9d" timestamp="1701341984"&gt;1249&lt;/key&gt;&lt;/foreign-keys&gt;&lt;ref-type name="Book Section"&gt;5&lt;/ref-type&gt;&lt;contributors&gt;&lt;authors&gt;&lt;author&gt;Swanwick, Tim&lt;/author&gt;&lt;/authors&gt;&lt;secondary-authors&gt;&lt;author&gt;Tim Swanwick&lt;/author&gt;&lt;author&gt;Kirsty Forrest&lt;/author&gt;&lt;author&gt;Bridget C. O&amp;apos;Brien&lt;/author&gt;&lt;/secondary-authors&gt;&lt;/contributors&gt;&lt;titles&gt;&lt;title&gt;Understanding medical education&lt;/title&gt;&lt;secondary-title&gt;Understanding Medical Education: Evidence, Theory, and Practice&lt;/secondary-title&gt;&lt;/titles&gt;&lt;periodical&gt;&lt;full-title&gt;Understanding Medical Education: Evidence, Theory, and Practice&lt;/full-title&gt;&lt;/periodical&gt;&lt;pages&gt;1-6&lt;/pages&gt;&lt;dates&gt;&lt;year&gt;2018&lt;/year&gt;&lt;/dates&gt;&lt;pub-location&gt;London&lt;/pub-location&gt;&lt;publisher&gt;Sage&lt;/publisher&gt;&lt;urls&gt;&lt;/urls&gt;&lt;electronic-resource-num&gt;10.1002/9781119373780.ch1&lt;/electronic-resource-num&gt;&lt;/record&gt;&lt;/Cite&gt;&lt;/EndNote&gt;</w:instrText>
      </w:r>
      <w:r>
        <w:rPr>
          <w:rFonts w:ascii="Times New Roman" w:hAnsi="Times New Roman" w:cs="Times New Roman"/>
        </w:rPr>
        <w:fldChar w:fldCharType="separate"/>
      </w:r>
      <w:r>
        <w:rPr>
          <w:rFonts w:ascii="Times New Roman" w:hAnsi="Times New Roman" w:cs="Times New Roman"/>
        </w:rPr>
        <w:t>(Swanwick, 2018)</w:t>
      </w:r>
      <w:r>
        <w:rPr>
          <w:rFonts w:ascii="Times New Roman" w:hAnsi="Times New Roman" w:cs="Times New Roman"/>
        </w:rPr>
        <w:fldChar w:fldCharType="end"/>
      </w:r>
      <w:r>
        <w:rPr>
          <w:rFonts w:ascii="Times New Roman" w:hAnsi="Times New Roman" w:cs="Times New Roman"/>
        </w:rPr>
        <w:t xml:space="preserve">. Maintaining the financial sustainability of continuing education programs while ensuring affordability for learners can also be a significant challenge </w:t>
      </w:r>
      <w:r>
        <w:rPr>
          <w:rFonts w:ascii="Times New Roman" w:hAnsi="Times New Roman" w:cs="Times New Roman"/>
        </w:rPr>
        <w:fldChar w:fldCharType="begin"/>
      </w:r>
      <w:r>
        <w:rPr>
          <w:rFonts w:ascii="Times New Roman" w:hAnsi="Times New Roman" w:cs="Times New Roman"/>
        </w:rPr>
        <w:instrText xml:space="preserve"> ADDIN EN.CITE &lt;EndNote&gt;&lt;Cite&gt;&lt;Author&gt;Grol&lt;/Author&gt;&lt;Year&gt;2003&lt;/Year&gt;&lt;RecNum&gt;1261&lt;/RecNum&gt;&lt;DisplayText&gt;(Grol and Grimshaw, 2003)&lt;/DisplayText&gt;&lt;record&gt;&lt;rec-number&gt;1261&lt;/rec-number&gt;&lt;foreign-keys&gt;&lt;key app="EN" db-id="r2rswvs2oexszme9tvjx5vx252ep2r22dx9d" timestamp="1701341984"&gt;1261&lt;/key&gt;&lt;/foreign-keys&gt;&lt;ref-type name="Journal Article"&gt;17&lt;/ref-type&gt;&lt;contributors&gt;&lt;authors&gt;&lt;author&gt;Grol, Richard&lt;/author&gt;&lt;author&gt;Grimshaw, Jeremy&lt;/author&gt;&lt;/authors&gt;&lt;/contributors&gt;&lt;titles&gt;&lt;title&gt;From best evidence to best practice: Effective implementation of change in patients&amp;apos; care&lt;/title&gt;&lt;secondary-title&gt;The Lancet&lt;/secondary-title&gt;&lt;/titles&gt;&lt;periodical&gt;&lt;full-title&gt;The Lancet&lt;/full-title&gt;&lt;/periodical&gt;&lt;pages&gt;1225-1230&lt;/pages&gt;&lt;volume&gt;362&lt;/volume&gt;&lt;number&gt;9391&lt;/number&gt;&lt;dates&gt;&lt;year&gt;2003&lt;/year&gt;&lt;/dates&gt;&lt;isbn&gt;0140-6736&lt;/isbn&gt;&lt;urls&gt;&lt;/urls&gt;&lt;electronic-resource-num&gt;10.1016/S0140-6736(03)14546-1&lt;/electronic-resource-num&gt;&lt;/record&gt;&lt;/Cite&gt;&lt;/EndNote&gt;</w:instrText>
      </w:r>
      <w:r>
        <w:rPr>
          <w:rFonts w:ascii="Times New Roman" w:hAnsi="Times New Roman" w:cs="Times New Roman"/>
        </w:rPr>
        <w:fldChar w:fldCharType="separate"/>
      </w:r>
      <w:r>
        <w:rPr>
          <w:rFonts w:ascii="Times New Roman" w:hAnsi="Times New Roman" w:cs="Times New Roman"/>
        </w:rPr>
        <w:t>(Grol and Grimshaw, 2003)</w:t>
      </w:r>
      <w:r>
        <w:rPr>
          <w:rFonts w:ascii="Times New Roman" w:hAnsi="Times New Roman" w:cs="Times New Roman"/>
        </w:rPr>
        <w:fldChar w:fldCharType="end"/>
      </w:r>
      <w:r>
        <w:rPr>
          <w:rFonts w:ascii="Times New Roman" w:hAnsi="Times New Roman" w:cs="Times New Roman"/>
        </w:rPr>
        <w:t>. To overcome these challenges, private training companies must continuously adapt and innovate their strategies and approaches to better serve the diverse and dynamic needs of healthcare professionals in continuing education.</w:t>
      </w:r>
    </w:p>
    <w:bookmarkEnd w:id="89"/>
    <w:bookmarkEnd w:id="101"/>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CPD is an essential component of healthcare professionals' ongoing education and growth, with private training companies playing a critical role in delivering continuing education opportunities. To optimize the impact of these programs, it is crucial to address the challenges and trends in healthcare continuing education and ensure that private training companies adhere to adult learning principles and CPD best practices. By critically examining these aspects, private training companies can support healthcare professionals in their pursuit of lifelong learning and, ultimately, enhance patient care and outcomes.</w:t>
      </w:r>
    </w:p>
    <w:bookmarkEnd w:id="58"/>
    <w:p>
      <w:pPr>
        <w:spacing w:line="480" w:lineRule="auto"/>
        <w:rPr>
          <w:rFonts w:ascii="Times New Roman" w:hAnsi="Times New Roman" w:cs="Times New Roman"/>
        </w:rPr>
      </w:pPr>
    </w:p>
    <w:p>
      <w:pPr>
        <w:pStyle w:val="3"/>
        <w:spacing w:before="240" w:after="240"/>
      </w:pPr>
      <w:bookmarkStart w:id="102" w:name="_Toc134793973"/>
      <w:bookmarkStart w:id="103" w:name="_Toc147660168"/>
      <w:bookmarkStart w:id="104" w:name="_Toc22384"/>
      <w:r>
        <w:t>2.6</w:t>
      </w:r>
      <w:r>
        <w:rPr>
          <w:rFonts w:hint="eastAsia"/>
          <w:lang w:val="en-US" w:eastAsia="zh-CN"/>
        </w:rPr>
        <w:t xml:space="preserve">  </w:t>
      </w:r>
      <w:r>
        <w:t>Integrating Theories: Developing a Theoretical Framework</w:t>
      </w:r>
      <w:bookmarkEnd w:id="102"/>
      <w:bookmarkEnd w:id="103"/>
      <w:bookmarkEnd w:id="104"/>
    </w:p>
    <w:p>
      <w:pPr>
        <w:pStyle w:val="4"/>
      </w:pPr>
      <w:bookmarkStart w:id="105" w:name="_Toc147660169"/>
      <w:bookmarkStart w:id="106" w:name="_Toc134793974"/>
      <w:bookmarkStart w:id="107" w:name="_Toc16245"/>
      <w:bookmarkStart w:id="108" w:name="OLE_LINK26"/>
      <w:r>
        <w:t>2.6.1</w:t>
      </w:r>
      <w:r>
        <w:rPr>
          <w:rFonts w:hint="eastAsia"/>
          <w:lang w:val="en-US" w:eastAsia="zh-CN"/>
        </w:rPr>
        <w:t xml:space="preserve">   </w:t>
      </w:r>
      <w:r>
        <w:t>Integrating Continuing Professional Development, Adult Learning Theory, and Expectancy-Value Theory</w:t>
      </w:r>
      <w:bookmarkEnd w:id="105"/>
      <w:bookmarkEnd w:id="106"/>
      <w:bookmarkEnd w:id="107"/>
    </w:p>
    <w:p>
      <w:pPr>
        <w:spacing w:line="480" w:lineRule="auto"/>
        <w:rPr>
          <w:rFonts w:ascii="Times New Roman" w:hAnsi="Times New Roman" w:cs="Times New Roman"/>
        </w:rPr>
      </w:pPr>
      <w:r>
        <w:rPr>
          <w:rFonts w:ascii="Times New Roman" w:hAnsi="Times New Roman" w:cs="Times New Roman"/>
        </w:rPr>
        <w:t xml:space="preserve">The integration of Continuing Professional Development (CPD), Adult Learning Theory, and Expectancy-Value Theory provides a comprehensive and multidimensional perspective for understanding the motivations and expectations of healthcare professionals participating in continuing education programs. CPD highlights the importance of lifelong learning in maintaining and enhancing professional competence, while Adult Learning Theory provides insights into the unique characteristics and learning processes of adult learners </w:t>
      </w:r>
      <w:r>
        <w:rPr>
          <w:rFonts w:ascii="Times New Roman" w:hAnsi="Times New Roman" w:cs="Times New Roman"/>
        </w:rPr>
        <w:fldChar w:fldCharType="begin"/>
      </w:r>
      <w:r>
        <w:rPr>
          <w:rFonts w:ascii="Times New Roman" w:hAnsi="Times New Roman" w:cs="Times New Roman"/>
        </w:rPr>
        <w:instrText xml:space="preserve"> ADDIN EN.CITE &lt;EndNote&gt;&lt;Cite&gt;&lt;Author&gt;Knowles&lt;/Author&gt;&lt;Year&gt;2014&lt;/Year&gt;&lt;RecNum&gt;1251&lt;/RecNum&gt;&lt;DisplayText&gt;(Knowles&lt;style face="italic"&gt; et al.&lt;/style&gt;, 2014)&lt;/DisplayText&gt;&lt;record&gt;&lt;rec-number&gt;1251&lt;/rec-number&gt;&lt;foreign-keys&gt;&lt;key app="EN" db-id="r2rswvs2oexszme9tvjx5vx252ep2r22dx9d" timestamp="1701341984"&gt;1251&lt;/key&gt;&lt;/foreign-keys&gt;&lt;ref-type name="Book"&gt;6&lt;/ref-type&gt;&lt;contributors&gt;&lt;authors&gt;&lt;author&gt;Knowles, Malcolm S&lt;/author&gt;&lt;author&gt;Holton, Elwood F&lt;/author&gt;&lt;author&gt;Swanson, Richard A&lt;/author&gt;&lt;/authors&gt;&lt;/contributors&gt;&lt;titles&gt;&lt;title&gt;The adult learner: The definitive classic in adult education and human resource development&lt;/title&gt;&lt;/titles&gt;&lt;dates&gt;&lt;year&gt;2014&lt;/year&gt;&lt;/dates&gt;&lt;pub-location&gt;London&lt;/pub-location&gt;&lt;publisher&gt;Routledge&lt;/publisher&gt;&lt;isbn&gt;1315816954&lt;/isbn&gt;&lt;urls&gt;&lt;/urls&gt;&lt;/record&gt;&lt;/Cite&gt;&lt;/EndNote&gt;</w:instrText>
      </w:r>
      <w:r>
        <w:rPr>
          <w:rFonts w:ascii="Times New Roman" w:hAnsi="Times New Roman" w:cs="Times New Roman"/>
        </w:rPr>
        <w:fldChar w:fldCharType="separate"/>
      </w:r>
      <w:r>
        <w:rPr>
          <w:rFonts w:ascii="Times New Roman" w:hAnsi="Times New Roman" w:cs="Times New Roman"/>
        </w:rPr>
        <w:t>(Knowles</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 xml:space="preserve">. Expectancy-Value Theory, on the other hand, offers a framework for analyzing the factors that influence individuals' motivation and decision-making processes regarding their engagement in learning activities </w:t>
      </w:r>
      <w:r>
        <w:rPr>
          <w:rFonts w:ascii="Times New Roman" w:hAnsi="Times New Roman" w:cs="Times New Roman"/>
        </w:rPr>
        <w:fldChar w:fldCharType="begin"/>
      </w:r>
      <w:r>
        <w:rPr>
          <w:rFonts w:ascii="Times New Roman" w:hAnsi="Times New Roman" w:cs="Times New Roman"/>
        </w:rPr>
        <w:instrText xml:space="preserve"> ADDIN EN.CITE &lt;EndNote&gt;&lt;Cite&gt;&lt;Author&gt;Wigfield&lt;/Author&gt;&lt;Year&gt;2000&lt;/Year&gt;&lt;RecNum&gt;1258&lt;/RecNum&gt;&lt;DisplayText&gt;(Wigfield and Eccles, 2000)&lt;/DisplayText&gt;&lt;record&gt;&lt;rec-number&gt;1258&lt;/rec-number&gt;&lt;foreign-keys&gt;&lt;key app="EN" db-id="r2rswvs2oexszme9tvjx5vx252ep2r22dx9d" timestamp="1701341984"&gt;1258&lt;/key&gt;&lt;/foreign-keys&gt;&lt;ref-type name="Journal Article"&gt;17&lt;/ref-type&gt;&lt;contributors&gt;&lt;authors&gt;&lt;author&gt;Wigfield, Allan&lt;/author&gt;&lt;author&gt;Eccles, Jacquelynne S&lt;/author&gt;&lt;/authors&gt;&lt;/contributors&gt;&lt;titles&gt;&lt;title&gt;Expectancy–value theory of achievement motivation&lt;/title&gt;&lt;secondary-title&gt;Contemporary Educational Psychology&lt;/secondary-title&gt;&lt;/titles&gt;&lt;periodical&gt;&lt;full-title&gt;Contemporary educational psychology&lt;/full-title&gt;&lt;/periodical&gt;&lt;pages&gt;68-81&lt;/pages&gt;&lt;volume&gt;25&lt;/volume&gt;&lt;number&gt;1&lt;/number&gt;&lt;dates&gt;&lt;year&gt;2000&lt;/year&gt;&lt;/dates&gt;&lt;isbn&gt;0361-476X&lt;/isbn&gt;&lt;urls&gt;&lt;/urls&gt;&lt;electronic-resource-num&gt;10.1006/ceps.1999.1015&lt;/electronic-resource-num&gt;&lt;/record&gt;&lt;/Cite&gt;&lt;/EndNote&gt;</w:instrText>
      </w:r>
      <w:r>
        <w:rPr>
          <w:rFonts w:ascii="Times New Roman" w:hAnsi="Times New Roman" w:cs="Times New Roman"/>
        </w:rPr>
        <w:fldChar w:fldCharType="separate"/>
      </w:r>
      <w:r>
        <w:rPr>
          <w:rFonts w:ascii="Times New Roman" w:hAnsi="Times New Roman" w:cs="Times New Roman"/>
        </w:rPr>
        <w:t>(Wigfield and Eccles, 2000)</w:t>
      </w:r>
      <w:r>
        <w:rPr>
          <w:rFonts w:ascii="Times New Roman" w:hAnsi="Times New Roman" w:cs="Times New Roman"/>
        </w:rPr>
        <w:fldChar w:fldCharType="end"/>
      </w:r>
      <w:r>
        <w:rPr>
          <w:rFonts w:ascii="Times New Roman" w:hAnsi="Times New Roman" w:cs="Times New Roman"/>
        </w:rPr>
        <w:t>. By integrating these theories, the study can explore the complex interplay of factors that shape healthcare professionals' motivations and expectations, informing the design of effective continuing education programs.</w:t>
      </w:r>
    </w:p>
    <w:bookmarkEnd w:id="108"/>
    <w:p>
      <w:pPr>
        <w:spacing w:line="480" w:lineRule="auto"/>
        <w:rPr>
          <w:rFonts w:ascii="Times New Roman" w:hAnsi="Times New Roman" w:cs="Times New Roman"/>
        </w:rPr>
      </w:pPr>
    </w:p>
    <w:p>
      <w:pPr>
        <w:pStyle w:val="4"/>
      </w:pPr>
      <w:bookmarkStart w:id="109" w:name="_Toc147660170"/>
      <w:bookmarkStart w:id="110" w:name="_Toc134793975"/>
      <w:bookmarkStart w:id="111" w:name="_Toc11276"/>
      <w:bookmarkStart w:id="112" w:name="OLE_LINK27"/>
      <w:r>
        <w:t>2.6.2</w:t>
      </w:r>
      <w:r>
        <w:rPr>
          <w:rFonts w:hint="eastAsia"/>
          <w:lang w:val="en-US" w:eastAsia="zh-CN"/>
        </w:rPr>
        <w:t xml:space="preserve">   </w:t>
      </w:r>
      <w:r>
        <w:t>The Proposed Theoretical Framework and Its Relevance to the Research Questions</w:t>
      </w:r>
      <w:bookmarkEnd w:id="109"/>
      <w:bookmarkEnd w:id="110"/>
      <w:bookmarkEnd w:id="111"/>
    </w:p>
    <w:p>
      <w:pPr>
        <w:spacing w:line="480" w:lineRule="auto"/>
        <w:rPr>
          <w:rFonts w:ascii="Times New Roman" w:hAnsi="Times New Roman" w:cs="Times New Roman"/>
        </w:rPr>
      </w:pPr>
      <w:r>
        <w:rPr>
          <w:rFonts w:ascii="Times New Roman" w:hAnsi="Times New Roman" w:cs="Times New Roman"/>
        </w:rPr>
        <w:t xml:space="preserve">The proposed theoretical framework combines the principles of CPD, Adult Learning Theory, and Expectancy-Value Theory to address the research questions related to healthcare professionals' motivations and expectations in continuing education programs. This framework allows for the examination of individual, contextual, and programmatic factors that contribute to healthcare professionals' motivation and expectations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&lt;EndNote&gt;&lt;Cite&gt;&lt;Author&gt;Merriam&lt;/Author&gt;&lt;Year&gt;2013&lt;/Year&gt;&lt;RecNum&gt;1253&lt;/RecNum&gt;&lt;DisplayText&gt;(Merriam and Bierema, 2013)&lt;/DisplayText&gt;&lt;record&gt;&lt;rec-number&gt;1253&lt;/rec-number&gt;&lt;foreign-keys&gt;&lt;key app="EN" db-id="r2rswvs2oexszme9tvjx5vx252ep2r22dx9d" timestamp="1701341984"&gt;1253&lt;/key&gt;&lt;/foreign-keys&gt;&lt;ref-type name="Book"&gt;6&lt;/ref-type&gt;&lt;contributors&gt;&lt;authors&gt;&lt;author&gt;Merriam, Sharan B&lt;/author&gt;&lt;author&gt;Bierema, Laura L&lt;/author&gt;&lt;/authors&gt;&lt;/contributors&gt;&lt;titles&gt;&lt;title&gt;Adult learning: Linking theory and practice&lt;/title&gt;&lt;/titles&gt;&lt;dates&gt;&lt;year&gt;2013&lt;/year&gt;&lt;/dates&gt;&lt;pub-location&gt;London&lt;/pub-location&gt;&lt;publisher&gt;John Wiley &amp;amp; Sons&lt;/publisher&gt;&lt;isbn&gt;111813057X&lt;/isbn&gt;&lt;urls&gt;&lt;/urls&gt;&lt;/record&gt;&lt;/Cite&gt;&lt;/EndNote&gt;</w:instrText>
      </w:r>
      <w:r>
        <w:rPr>
          <w:rFonts w:ascii="Times New Roman" w:hAnsi="Times New Roman" w:cs="Times New Roman"/>
        </w:rPr>
        <w:fldChar w:fldCharType="separate"/>
      </w:r>
      <w:r>
        <w:rPr>
          <w:rFonts w:ascii="Times New Roman" w:hAnsi="Times New Roman" w:cs="Times New Roman"/>
        </w:rPr>
        <w:t>(Merriam and Bierema, 2013)</w:t>
      </w:r>
      <w:r>
        <w:rPr>
          <w:rFonts w:ascii="Times New Roman" w:hAnsi="Times New Roman" w:cs="Times New Roman"/>
        </w:rPr>
        <w:fldChar w:fldCharType="end"/>
      </w:r>
      <w:r>
        <w:rPr>
          <w:rFonts w:ascii="Times New Roman" w:hAnsi="Times New Roman" w:cs="Times New Roman"/>
        </w:rPr>
        <w:t xml:space="preserve">. Moreover, the framework provides a foundation for investigating how private training companies can design and deliver continuing education programs that align with healthcare professionals' needs and preferences, ultimately fostering meaningful learning experiences and enhancing professional competence </w:t>
      </w:r>
      <w:r>
        <w:rPr>
          <w:rFonts w:ascii="Times New Roman" w:hAnsi="Times New Roman" w:cs="Times New Roman"/>
        </w:rPr>
        <w:fldChar w:fldCharType="begin"/>
      </w:r>
      <w:r>
        <w:rPr>
          <w:rFonts w:ascii="Times New Roman" w:hAnsi="Times New Roman" w:cs="Times New Roman"/>
        </w:rPr>
        <w:instrText xml:space="preserve"> ADDIN EN.CITE &lt;EndNote&gt;&lt;Cite&gt;&lt;Author&gt;Cantillon&lt;/Author&gt;&lt;Year&gt;1999&lt;/Year&gt;&lt;RecNum&gt;1269&lt;/RecNum&gt;&lt;DisplayText&gt;(Cantillon and Jones, 1999)&lt;/DisplayText&gt;&lt;record&gt;&lt;rec-number&gt;1269&lt;/rec-number&gt;&lt;foreign-keys&gt;&lt;key app="EN" db-id="r2rswvs2oexszme9tvjx5vx252ep2r22dx9d" timestamp="1701341984"&gt;1269&lt;/key&gt;&lt;/foreign-keys&gt;&lt;ref-type name="Journal Article"&gt;17&lt;/ref-type&gt;&lt;contributors&gt;&lt;authors&gt;&lt;author&gt;Cantillon, Peter&lt;/author&gt;&lt;author&gt;Jones, Roger&lt;/author&gt;&lt;/authors&gt;&lt;/contributors&gt;&lt;titles&gt;&lt;title&gt;Does continuing medical education in general practice make a difference?&lt;/title&gt;&lt;secondary-title&gt;BMJ&lt;/secondary-title&gt;&lt;/titles&gt;&lt;periodical&gt;&lt;full-title&gt;Bmj&lt;/full-title&gt;&lt;/periodical&gt;&lt;pages&gt;1276-1279&lt;/pages&gt;&lt;volume&gt;318&lt;/volume&gt;&lt;number&gt;7193&lt;/number&gt;&lt;dates&gt;&lt;year&gt;1999&lt;/year&gt;&lt;/dates&gt;&lt;isbn&gt;0959-8138&lt;/isbn&gt;&lt;urls&gt;&lt;/urls&gt;&lt;electronic-resource-num&gt;10.1136/bmj.318.7193.1276&lt;/electronic-resource-num&gt;&lt;/record&gt;&lt;/Cite&gt;&lt;/EndNote&gt;</w:instrText>
      </w:r>
      <w:r>
        <w:rPr>
          <w:rFonts w:ascii="Times New Roman" w:hAnsi="Times New Roman" w:cs="Times New Roman"/>
        </w:rPr>
        <w:fldChar w:fldCharType="separate"/>
      </w:r>
      <w:r>
        <w:rPr>
          <w:rFonts w:ascii="Times New Roman" w:hAnsi="Times New Roman" w:cs="Times New Roman"/>
        </w:rPr>
        <w:t>(Cantillon and Jones, 1999)</w:t>
      </w:r>
      <w:r>
        <w:rPr>
          <w:rFonts w:ascii="Times New Roman" w:hAnsi="Times New Roman" w:cs="Times New Roman"/>
        </w:rPr>
        <w:fldChar w:fldCharType="end"/>
      </w:r>
      <w:r>
        <w:rPr>
          <w:rFonts w:ascii="Times New Roman" w:hAnsi="Times New Roman" w:cs="Times New Roman"/>
        </w:rPr>
        <w:t>.</w:t>
      </w:r>
    </w:p>
    <w:bookmarkEnd w:id="112"/>
    <w:p>
      <w:pPr>
        <w:spacing w:line="480" w:lineRule="auto"/>
        <w:rPr>
          <w:rFonts w:ascii="Times New Roman" w:hAnsi="Times New Roman" w:cs="Times New Roman"/>
        </w:rPr>
      </w:pPr>
    </w:p>
    <w:p>
      <w:pPr>
        <w:pStyle w:val="3"/>
        <w:spacing w:before="240" w:after="240"/>
      </w:pPr>
      <w:bookmarkStart w:id="113" w:name="_Toc147660171"/>
      <w:bookmarkStart w:id="114" w:name="_Toc134793976"/>
      <w:bookmarkStart w:id="115" w:name="_Toc12226"/>
      <w:r>
        <w:t>2.7</w:t>
      </w:r>
      <w:r>
        <w:rPr>
          <w:rFonts w:hint="eastAsia"/>
          <w:lang w:val="en-US" w:eastAsia="zh-CN"/>
        </w:rPr>
        <w:t xml:space="preserve">  </w:t>
      </w:r>
      <w:r>
        <w:t>Conclusion</w:t>
      </w:r>
      <w:bookmarkEnd w:id="113"/>
      <w:bookmarkEnd w:id="114"/>
      <w:bookmarkEnd w:id="115"/>
    </w:p>
    <w:p>
      <w:pPr>
        <w:spacing w:line="480" w:lineRule="auto"/>
        <w:rPr>
          <w:rFonts w:ascii="Times New Roman" w:hAnsi="Times New Roman" w:cs="Times New Roman"/>
        </w:rPr>
      </w:pPr>
      <w:bookmarkStart w:id="116" w:name="OLE_LINK28"/>
      <w:r>
        <w:rPr>
          <w:rFonts w:ascii="Times New Roman" w:hAnsi="Times New Roman" w:cs="Times New Roman"/>
        </w:rPr>
        <w:t xml:space="preserve">The literature review has provided a comprehensive understanding of the various factors that influence healthcare professionals' motivations and expectations in continuing education programs, as well as the role of private training companies in addressing these needs. By examining the principles of CPD, Adult Learning Theory, and Expectancy-Value Theory, the review has highlighted the importance of considering the unique characteristics of adult learners and the factors that drive their engagement in continuing education programs </w:t>
      </w:r>
      <w:r>
        <w:rPr>
          <w:rFonts w:ascii="Times New Roman" w:hAnsi="Times New Roman" w:cs="Times New Roman"/>
        </w:rPr>
        <w:fldChar w:fldCharType="begin"/>
      </w:r>
      <w:r>
        <w:rPr>
          <w:rFonts w:ascii="Times New Roman" w:hAnsi="Times New Roman" w:cs="Times New Roman"/>
        </w:rPr>
        <w:instrText xml:space="preserve"> ADDIN EN.CITE &lt;EndNote&gt;&lt;Cite&gt;&lt;Author&gt;Knowles&lt;/Author&gt;&lt;Year&gt;2014&lt;/Year&gt;&lt;RecNum&gt;1251&lt;/RecNum&gt;&lt;DisplayText&gt;(Knowles&lt;style face="italic"&gt; et al.&lt;/style&gt;, 2014)&lt;/DisplayText&gt;&lt;record&gt;&lt;rec-number&gt;1251&lt;/rec-number&gt;&lt;foreign-keys&gt;&lt;key app="EN" db-id="r2rswvs2oexszme9tvjx5vx252ep2r22dx9d" timestamp="1701341984"&gt;1251&lt;/key&gt;&lt;/foreign-keys&gt;&lt;ref-type name="Book"&gt;6&lt;/ref-type&gt;&lt;contributors&gt;&lt;authors&gt;&lt;author&gt;Knowles, Malcolm S&lt;/author&gt;&lt;author&gt;Holton, Elwood F&lt;/author&gt;&lt;author&gt;Swanson, Richard A&lt;/author&gt;&lt;/authors&gt;&lt;/contributors&gt;&lt;titles&gt;&lt;title&gt;The adult learner: The definitive classic in adult education and human resource development&lt;/title&gt;&lt;/titles&gt;&lt;dates&gt;&lt;year&gt;2014&lt;/year&gt;&lt;/dates&gt;&lt;pub-location&gt;London&lt;/pub-location&gt;&lt;publisher&gt;Routledge&lt;/publisher&gt;&lt;isbn&gt;1315816954&lt;/isbn&gt;&lt;urls&gt;&lt;/urls&gt;&lt;/record&gt;&lt;/Cite&gt;&lt;/EndNote&gt;</w:instrText>
      </w:r>
      <w:r>
        <w:rPr>
          <w:rFonts w:ascii="Times New Roman" w:hAnsi="Times New Roman" w:cs="Times New Roman"/>
        </w:rPr>
        <w:fldChar w:fldCharType="separate"/>
      </w:r>
      <w:r>
        <w:rPr>
          <w:rFonts w:ascii="Times New Roman" w:hAnsi="Times New Roman" w:cs="Times New Roman"/>
        </w:rPr>
        <w:t>(Knowles</w:t>
      </w:r>
      <w:r>
        <w:rPr>
          <w:rFonts w:ascii="Times New Roman" w:hAnsi="Times New Roman" w:cs="Times New Roman"/>
          <w:i/>
        </w:rPr>
        <w:t xml:space="preserve"> et al.</w:t>
      </w:r>
      <w:r>
        <w:rPr>
          <w:rFonts w:ascii="Times New Roman" w:hAnsi="Times New Roman" w:cs="Times New Roman"/>
        </w:rPr>
        <w:t>, 2014)</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pPr>
      <w:r>
        <w:rPr>
          <w:rFonts w:ascii="Times New Roman" w:hAnsi="Times New Roman" w:cs="Times New Roman"/>
        </w:rPr>
        <w:t xml:space="preserve">Despite the wealth of literature on continuing education for healthcare professionals, there remains a gap in understanding the specific motivations and expectations of healthcare professionals who participate in programs offered by private training companies. Furthermore, there is limited research on the effectiveness of private training companies in addressing the needs and preferences of healthcare professionals in continuing education programs </w:t>
      </w:r>
      <w:r>
        <w:rPr>
          <w:rFonts w:ascii="Times New Roman" w:hAnsi="Times New Roman" w:cs="Times New Roman"/>
        </w:rPr>
        <w:fldChar w:fldCharType="begin"/>
      </w:r>
      <w:r>
        <w:rPr>
          <w:rFonts w:ascii="Times New Roman" w:hAnsi="Times New Roman" w:cs="Times New Roman"/>
        </w:rPr>
        <w:instrText xml:space="preserve"> ADDIN EN.CITE &lt;EndNote&gt;&lt;Cite&gt;&lt;Author&gt;Cervero&lt;/Author&gt;&lt;Year&gt;2015&lt;/Year&gt;&lt;RecNum&gt;1268&lt;/RecNum&gt;&lt;DisplayText&gt;(Cervero and Gaines, 2015)&lt;/DisplayText&gt;&lt;record&gt;&lt;rec-number&gt;1268&lt;/rec-number&gt;&lt;foreign-keys&gt;&lt;key app="EN" db-id="r2rswvs2oexszme9tvjx5vx252ep2r22dx9d" timestamp="1701341984"&gt;1268&lt;/key&gt;&lt;/foreign-keys&gt;&lt;ref-type name="Journal Article"&gt;17&lt;/ref-type&gt;&lt;contributors&gt;&lt;authors&gt;&lt;author&gt;Cervero, Ronald M&lt;/author&gt;&lt;author&gt;Gaines, Julie K&lt;/author&gt;&lt;/authors&gt;&lt;/contributors&gt;&lt;titles&gt;&lt;title&gt;The impact of CME on physician performance and patient health outcomes: An updated synthesis of systematic reviews&lt;/title&gt;&lt;secondary-title&gt;Journal of Continuing Education in the Health Professions&lt;/secondary-title&gt;&lt;/titles&gt;&lt;periodical&gt;&lt;full-title&gt;Journal of continuing education in the health professions&lt;/full-title&gt;&lt;/periodical&gt;&lt;pages&gt;131-138&lt;/pages&gt;&lt;volume&gt;35&lt;/volume&gt;&lt;number&gt;2&lt;/number&gt;&lt;dates&gt;&lt;year&gt;2015&lt;/year&gt;&lt;/dates&gt;&lt;isbn&gt;0894-1912&lt;/isbn&gt;&lt;urls&gt;&lt;/urls&gt;&lt;electronic-resource-num&gt;10.1002/chp.21290&lt;/electronic-resource-num&gt;&lt;/record&gt;&lt;/Cite&gt;&lt;/EndNote&gt;</w:instrText>
      </w:r>
      <w:r>
        <w:rPr>
          <w:rFonts w:ascii="Times New Roman" w:hAnsi="Times New Roman" w:cs="Times New Roman"/>
        </w:rPr>
        <w:fldChar w:fldCharType="separate"/>
      </w:r>
      <w:r>
        <w:rPr>
          <w:rFonts w:ascii="Times New Roman" w:hAnsi="Times New Roman" w:cs="Times New Roman"/>
        </w:rPr>
        <w:t>(Cervero and Gaines, 2015)</w:t>
      </w:r>
      <w:r>
        <w:rPr>
          <w:rFonts w:ascii="Times New Roman" w:hAnsi="Times New Roman" w:cs="Times New Roman"/>
        </w:rPr>
        <w:fldChar w:fldCharType="end"/>
      </w:r>
      <w:r>
        <w:rPr>
          <w:rFonts w:ascii="Times New Roman" w:hAnsi="Times New Roman" w:cs="Times New Roman"/>
        </w:rPr>
        <w:t>. The current study aims to fill this gap by examining the motivations and expectations of healthcare professionals in the context of private training companies, providing valuable insights for the development of tailored continuing education programs that enhance professional competence and satisfaction.</w:t>
      </w:r>
      <w:bookmarkEnd w:id="116"/>
      <w:r>
        <w:rPr>
          <w:rFonts w:ascii="Times New Roman" w:hAnsi="Times New Roman" w:cs="Times New Roman"/>
        </w:rPr>
        <w:br w:type="page"/>
      </w:r>
      <w:bookmarkStart w:id="117" w:name="_Toc134793977"/>
      <w:bookmarkStart w:id="118" w:name="_Toc147660172"/>
    </w:p>
    <w:p>
      <w:pPr>
        <w:pStyle w:val="2"/>
        <w:spacing w:before="240" w:after="240"/>
      </w:pPr>
      <w:bookmarkStart w:id="119" w:name="_Toc25056"/>
      <w:r>
        <w:t>Chapter 3</w:t>
      </w:r>
      <w:r>
        <w:rPr>
          <w:rFonts w:hint="eastAsia" w:eastAsia="宋体"/>
          <w:lang w:val="en-US" w:eastAsia="zh-CN"/>
        </w:rPr>
        <w:t xml:space="preserve">        </w:t>
      </w:r>
      <w:r>
        <w:t>Methodology</w:t>
      </w:r>
      <w:bookmarkEnd w:id="117"/>
      <w:bookmarkEnd w:id="118"/>
      <w:bookmarkEnd w:id="119"/>
      <w:r>
        <w:t xml:space="preserve"> </w:t>
      </w:r>
    </w:p>
    <w:p>
      <w:pPr>
        <w:spacing w:line="480" w:lineRule="auto"/>
        <w:rPr>
          <w:rFonts w:ascii="Times New Roman" w:hAnsi="Times New Roman" w:cs="Times New Roman"/>
        </w:rPr>
      </w:pPr>
      <w:r>
        <w:rPr>
          <w:rFonts w:ascii="Times New Roman" w:hAnsi="Times New Roman" w:cs="Times New Roman"/>
        </w:rPr>
        <w:t>This section presents the research methodology employed in this study, detailing the research design and the rationale for selecting a qualitative approach. The choice of methodology is critical in ensuring that the research questions are effectively addressed and the study objectives are met.</w:t>
      </w:r>
    </w:p>
    <w:p>
      <w:pPr>
        <w:spacing w:line="480" w:lineRule="auto"/>
        <w:rPr>
          <w:rFonts w:ascii="Times New Roman" w:hAnsi="Times New Roman" w:cs="Times New Roman"/>
        </w:rPr>
      </w:pPr>
    </w:p>
    <w:p>
      <w:pPr>
        <w:pStyle w:val="3"/>
        <w:spacing w:before="240" w:after="240"/>
      </w:pPr>
      <w:bookmarkStart w:id="120" w:name="_Toc147660173"/>
      <w:bookmarkStart w:id="121" w:name="_Toc1718"/>
      <w:r>
        <w:t>3.1</w:t>
      </w:r>
      <w:r>
        <w:rPr>
          <w:rFonts w:hint="eastAsia"/>
          <w:lang w:val="en-US" w:eastAsia="zh-CN"/>
        </w:rPr>
        <w:t xml:space="preserve">  </w:t>
      </w:r>
      <w:r>
        <w:t>Introduction to Methodology</w:t>
      </w:r>
      <w:bookmarkEnd w:id="120"/>
      <w:bookmarkEnd w:id="121"/>
    </w:p>
    <w:p>
      <w:pPr>
        <w:spacing w:line="480" w:lineRule="auto"/>
        <w:rPr>
          <w:rFonts w:ascii="Times New Roman" w:hAnsi="Times New Roman" w:cs="Times New Roman"/>
        </w:rPr>
      </w:pPr>
      <w:r>
        <w:rPr>
          <w:rFonts w:ascii="Times New Roman" w:hAnsi="Times New Roman" w:cs="Times New Roman"/>
        </w:rPr>
        <w:t>The methodology section is not only a procedural roadmap for this research; it is a reflection of the philosophical foundations that underpin the study. Exploring the motivations and expectations of healthcare professionals who engage with private training companies for continuing education requires a methodological approach that is both rigorous and sensitive to the nuances of human experience. This chapter will elucidate the methodological choices made, grounding them in the broader philosophical contexts of epistemology, ontology, and axiology.</w:t>
      </w:r>
    </w:p>
    <w:p>
      <w:pPr>
        <w:spacing w:line="480" w:lineRule="auto"/>
        <w:rPr>
          <w:rFonts w:ascii="Times New Roman" w:hAnsi="Times New Roman" w:cs="Times New Roman"/>
        </w:rPr>
      </w:pPr>
    </w:p>
    <w:p>
      <w:pPr>
        <w:spacing w:line="480" w:lineRule="auto"/>
        <w:rPr>
          <w:rFonts w:ascii="Times New Roman" w:hAnsi="Times New Roman" w:cs="Times New Roman"/>
          <w:b/>
          <w:bCs/>
        </w:rPr>
      </w:pPr>
      <w:r>
        <w:rPr>
          <w:rFonts w:ascii="Times New Roman" w:hAnsi="Times New Roman" w:cs="Times New Roman"/>
          <w:b/>
          <w:bCs/>
          <w:u w:val="single"/>
        </w:rPr>
        <w:t>Epistemology</w:t>
      </w:r>
    </w:p>
    <w:p>
      <w:pPr>
        <w:spacing w:line="480" w:lineRule="auto"/>
        <w:rPr>
          <w:rFonts w:ascii="Times New Roman" w:hAnsi="Times New Roman" w:cs="Times New Roman"/>
        </w:rPr>
      </w:pPr>
      <w:r>
        <w:rPr>
          <w:rFonts w:ascii="Times New Roman" w:hAnsi="Times New Roman" w:cs="Times New Roman"/>
        </w:rPr>
        <w:t xml:space="preserve">Epistemology is regarded as the branch of philosophy concerned with the nature, scope, and sources of knowledge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 Lewis and Thornhill,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 Lewis and Thornhill, 2019)</w:t>
      </w:r>
      <w:r>
        <w:rPr>
          <w:rFonts w:ascii="Times New Roman" w:hAnsi="Times New Roman" w:cs="Times New Roman"/>
        </w:rPr>
        <w:fldChar w:fldCharType="end"/>
      </w:r>
      <w:r>
        <w:rPr>
          <w:rFonts w:ascii="Times New Roman" w:hAnsi="Times New Roman" w:cs="Times New Roman"/>
        </w:rPr>
        <w:t xml:space="preserve">. It investigates the origin, structure, methods, and validity of knowledge and belief systems </w:t>
      </w:r>
      <w:r>
        <w:rPr>
          <w:rFonts w:ascii="Times New Roman" w:hAnsi="Times New Roman" w:cs="Times New Roman"/>
        </w:rPr>
        <w:fldChar w:fldCharType="begin"/>
      </w:r>
      <w:r>
        <w:rPr>
          <w:rFonts w:ascii="Times New Roman" w:hAnsi="Times New Roman" w:cs="Times New Roman"/>
        </w:rPr>
        <w:instrText xml:space="preserve"> ADDIN EN.CITE &lt;EndNote&gt;&lt;Cite&gt;&lt;Author&gt;Cohen&lt;/Author&gt;&lt;Year&gt;2018&lt;/Year&gt;&lt;RecNum&gt;1271&lt;/RecNum&gt;&lt;DisplayText&gt;(Cohen, Manion and Morrison, 2018)&lt;/DisplayText&gt;&lt;record&gt;&lt;rec-number&gt;1271&lt;/rec-number&gt;&lt;foreign-keys&gt;&lt;key app="EN" db-id="r2rswvs2oexszme9tvjx5vx252ep2r22dx9d" timestamp="1701341984"&gt;1271&lt;/key&gt;&lt;/foreign-keys&gt;&lt;ref-type name="Book"&gt;6&lt;/ref-type&gt;&lt;contributors&gt;&lt;authors&gt;&lt;author&gt;Cohen, Louis&lt;/author&gt;&lt;author&gt;Manion, Lawrence&lt;/author&gt;&lt;author&gt;Morrison, Keith&lt;/author&gt;&lt;/authors&gt;&lt;/contributors&gt;&lt;titles&gt;&lt;title&gt;Research methods in education&lt;/title&gt;&lt;/titles&gt;&lt;edition&gt;&lt;style face="normal" font="default" size="100%"&gt;8&lt;/style&gt;&lt;style face="superscript" font="default" size="100%"&gt;th&lt;/style&gt;&lt;/edition&gt;&lt;keywords&gt;&lt;keyword&gt;Education -- Research -- Methodology&lt;/keyword&gt;&lt;keyword&gt;Education -- Research -- Great Britain&lt;/keyword&gt;&lt;/keywords&gt;&lt;dates&gt;&lt;year&gt;2018&lt;/year&gt;&lt;/dates&gt;&lt;pub-location&gt;London&lt;/pub-location&gt;&lt;publisher&gt;Routledge&lt;/publisher&gt;&lt;isbn&gt;9781315456515&lt;/isbn&gt;&lt;urls&gt;&lt;/urls&gt;&lt;/record&gt;&lt;/Cite&gt;&lt;/EndNote&gt;</w:instrText>
      </w:r>
      <w:r>
        <w:rPr>
          <w:rFonts w:ascii="Times New Roman" w:hAnsi="Times New Roman" w:cs="Times New Roman"/>
        </w:rPr>
        <w:fldChar w:fldCharType="separate"/>
      </w:r>
      <w:r>
        <w:rPr>
          <w:rFonts w:ascii="Times New Roman" w:hAnsi="Times New Roman" w:cs="Times New Roman"/>
        </w:rPr>
        <w:t>(Cohen, Manion and Morrison, 2018)</w:t>
      </w:r>
      <w:r>
        <w:rPr>
          <w:rFonts w:ascii="Times New Roman" w:hAnsi="Times New Roman" w:cs="Times New Roman"/>
        </w:rPr>
        <w:fldChar w:fldCharType="end"/>
      </w:r>
      <w:r>
        <w:rPr>
          <w:rFonts w:ascii="Times New Roman" w:hAnsi="Times New Roman" w:cs="Times New Roman"/>
        </w:rPr>
        <w:t xml:space="preserve">. At the heart of this research is the epistemological belief that knowledge is constructed through human experiences and interactions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&lt;EndNote&gt;&lt;Cite&gt;&lt;Author&gt;Newby&lt;/Author&gt;&lt;Year&gt;2014&lt;/Year&gt;&lt;RecNum&gt;1272&lt;/RecNum&gt;&lt;DisplayText&gt;(Newby, 2014)&lt;/DisplayText&gt;&lt;record&gt;&lt;rec-number&gt;1272&lt;/rec-number&gt;&lt;foreign-keys&gt;&lt;key app="EN" db-id="r2rswvs2oexszme9tvjx5vx252ep2r22dx9d" timestamp="1701341984"&gt;1272&lt;/key&gt;&lt;/foreign-keys&gt;&lt;ref-type name="Book"&gt;6&lt;/ref-type&gt;&lt;contributors&gt;&lt;authors&gt;&lt;author&gt;Newby, Peter&lt;/author&gt;&lt;/authors&gt;&lt;/contributors&gt;&lt;titles&gt;&lt;title&gt;Research methods for education&lt;/title&gt;&lt;/titles&gt;&lt;edition&gt;&lt;style face="normal" font="default" size="100%"&gt;2&lt;/style&gt;&lt;style face="superscript" font="default" size="100%"&gt;nd&lt;/style&gt;&lt;/edition&gt;&lt;keywords&gt;&lt;keyword&gt;Education -- Research -- Methodology&lt;/keyword&gt;&lt;/keywords&gt;&lt;dates&gt;&lt;year&gt;2014&lt;/year&gt;&lt;/dates&gt;&lt;pub-location&gt;Harlow&lt;/pub-location&gt;&lt;publisher&gt;Pearson Education&lt;/publisher&gt;&lt;isbn&gt;9781315758763&lt;/isbn&gt;&lt;urls&gt;&lt;/urls&gt;&lt;/record&gt;&lt;/Cite&gt;&lt;/EndNote&gt;</w:instrText>
      </w:r>
      <w:r>
        <w:rPr>
          <w:rFonts w:ascii="Times New Roman" w:hAnsi="Times New Roman" w:cs="Times New Roman"/>
        </w:rPr>
        <w:fldChar w:fldCharType="separate"/>
      </w:r>
      <w:r>
        <w:rPr>
          <w:rFonts w:ascii="Times New Roman" w:hAnsi="Times New Roman" w:cs="Times New Roman"/>
        </w:rPr>
        <w:t>(Newby, 2014)</w:t>
      </w:r>
      <w:r>
        <w:rPr>
          <w:rFonts w:ascii="Times New Roman" w:hAnsi="Times New Roman" w:cs="Times New Roman"/>
        </w:rPr>
        <w:fldChar w:fldCharType="end"/>
      </w:r>
      <w:r>
        <w:rPr>
          <w:rFonts w:ascii="Times New Roman" w:hAnsi="Times New Roman" w:cs="Times New Roman"/>
        </w:rPr>
        <w:t xml:space="preserve">. Given the study's focus on understanding the motivations and expectations of healthcare professionals, a constructivist epistemology has been adopted. This perspective posits that there is not a singular, objective truth but multiple realities constructed by individuals based on their experiences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 xml:space="preserve">Ontology </w:t>
      </w:r>
    </w:p>
    <w:p>
      <w:pPr>
        <w:spacing w:line="480" w:lineRule="auto"/>
        <w:rPr>
          <w:rFonts w:ascii="Times New Roman" w:hAnsi="Times New Roman" w:cs="Times New Roman"/>
        </w:rPr>
      </w:pPr>
      <w:r>
        <w:rPr>
          <w:rFonts w:hint="eastAsia" w:ascii="Times New Roman" w:hAnsi="Times New Roman" w:cs="Times New Roman"/>
        </w:rPr>
        <w:t>Ontology</w:t>
      </w:r>
      <w:r>
        <w:rPr>
          <w:rFonts w:ascii="Times New Roman" w:hAnsi="Times New Roman" w:cs="Times New Roman"/>
        </w:rPr>
        <w:t xml:space="preserve"> refers to the philosophical study of the nature of being, existence, or reality </w:t>
      </w:r>
      <w:r>
        <w:rPr>
          <w:rFonts w:ascii="Times New Roman" w:hAnsi="Times New Roman" w:cs="Times New Roman"/>
        </w:rPr>
        <w:fldChar w:fldCharType="begin"/>
      </w:r>
      <w:r>
        <w:rPr>
          <w:rFonts w:ascii="Times New Roman" w:hAnsi="Times New Roman" w:cs="Times New Roman"/>
        </w:rPr>
        <w:instrText xml:space="preserve"> ADDIN EN.CITE &lt;EndNote&gt;&lt;Cite&gt;&lt;Author&gt;Leavy&lt;/Author&gt;&lt;Year&gt;2020&lt;/Year&gt;&lt;RecNum&gt;1273&lt;/RecNum&gt;&lt;DisplayText&gt;(Leavy, 2020)&lt;/DisplayText&gt;&lt;record&gt;&lt;rec-number&gt;1273&lt;/rec-number&gt;&lt;foreign-keys&gt;&lt;key app="EN" db-id="r2rswvs2oexszme9tvjx5vx252ep2r22dx9d" timestamp="1701341984"&gt;1273&lt;/key&gt;&lt;/foreign-keys&gt;&lt;ref-type name="Book"&gt;6&lt;/ref-type&gt;&lt;contributors&gt;&lt;authors&gt;&lt;author&gt;Leavy, Patricia&lt;/author&gt;&lt;/authors&gt;&lt;/contributors&gt;&lt;titles&gt;&lt;title&gt;The Oxford handbook of qualitative research&lt;/title&gt;&lt;secondary-title&gt;Oxford handbooks online&lt;/secondary-title&gt;&lt;/titles&gt;&lt;pages&gt;1 online resource (1200 pages)&lt;/pages&gt;&lt;edition&gt;&lt;style face="normal" font="default" size="100%"&gt;2&lt;/style&gt;&lt;style face="superscript" font="default" size="100%"&gt;nd&lt;/style&gt;&lt;/edition&gt;&lt;keywords&gt;&lt;keyword&gt;Qualitative research Methodology.&lt;/keyword&gt;&lt;keyword&gt;Social sciences Research.&lt;/keyword&gt;&lt;/keywords&gt;&lt;dates&gt;&lt;year&gt;2020&lt;/year&gt;&lt;pub-dates&gt;&lt;date&gt;August 31, 2020&lt;/date&gt;&lt;/pub-dates&gt;&lt;/dates&gt;&lt;pub-location&gt;New York&lt;/pub-location&gt;&lt;publisher&gt;Oxford University Press&lt;/publisher&gt;&lt;isbn&gt;0-19-084740-9&amp;#xD;0-19-084739-5&amp;#xD;0-19-084741-7&lt;/isbn&gt;&lt;accession-num&gt;9935189760606761&lt;/accession-num&gt;&lt;work-type&gt;still image&lt;/work-type&gt;&lt;urls&gt;&lt;/urls&gt;&lt;/record&gt;&lt;/Cite&gt;&lt;/EndNote&gt;</w:instrText>
      </w:r>
      <w:r>
        <w:rPr>
          <w:rFonts w:ascii="Times New Roman" w:hAnsi="Times New Roman" w:cs="Times New Roman"/>
        </w:rPr>
        <w:fldChar w:fldCharType="separate"/>
      </w:r>
      <w:r>
        <w:rPr>
          <w:rFonts w:ascii="Times New Roman" w:hAnsi="Times New Roman" w:cs="Times New Roman"/>
        </w:rPr>
        <w:t>(Leavy, 2020)</w:t>
      </w:r>
      <w:r>
        <w:rPr>
          <w:rFonts w:ascii="Times New Roman" w:hAnsi="Times New Roman" w:cs="Times New Roman"/>
        </w:rPr>
        <w:fldChar w:fldCharType="end"/>
      </w:r>
      <w:r>
        <w:rPr>
          <w:rFonts w:ascii="Times New Roman" w:hAnsi="Times New Roman" w:cs="Times New Roman"/>
        </w:rPr>
        <w:t xml:space="preserve">. It explores the nature and categories of existence and their relations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&lt;EndNote&gt;&lt;Cite&gt;&lt;Author&gt;Bryman&lt;/Author&gt;&lt;Year&gt;2016&lt;/Year&gt;&lt;RecNum&gt;1274&lt;/RecNum&gt;&lt;DisplayText&gt;(Bryman, 2016)&lt;/DisplayText&gt;&lt;record&gt;&lt;rec-number&gt;1274&lt;/rec-number&gt;&lt;foreign-keys&gt;&lt;key app="EN" db-id="r2rswvs2oexszme9tvjx5vx252ep2r22dx9d" timestamp="1701341984"&gt;1274&lt;/key&gt;&lt;/foreign-keys&gt;&lt;ref-type name="Book"&gt;6&lt;/ref-type&gt;&lt;contributors&gt;&lt;authors&gt;&lt;author&gt;Bryman, Alan&lt;/author&gt;&lt;/authors&gt;&lt;/contributors&gt;&lt;titles&gt;&lt;title&gt;Social research methods&lt;/title&gt;&lt;/titles&gt;&lt;pages&gt;xxxv, 747 pages&lt;/pages&gt;&lt;edition&gt;&lt;style face="normal" font="default" size="100%"&gt;5&lt;/style&gt;&lt;style face="superscript" font="default" size="100%"&gt;th&lt;/style&gt;&lt;/edition&gt;&lt;keywords&gt;&lt;keyword&gt;Social sciences Research.&lt;/keyword&gt;&lt;keyword&gt;Social sciences Methodology.&lt;/keyword&gt;&lt;/keywords&gt;&lt;dates&gt;&lt;year&gt;2016&lt;/year&gt;&lt;/dates&gt;&lt;pub-location&gt;Oxford&lt;/pub-location&gt;&lt;publisher&gt;Oxford University Press&lt;/publisher&gt;&lt;isbn&gt;9780199689453&amp;#xD;0199689458&lt;/isbn&gt;&lt;accession-num&gt;990016595280206881&lt;/accession-num&gt;&lt;call-num&gt;H62&amp;#xD;CHAN H62&amp;#xD;FWIC H62&lt;/call-num&gt;&lt;urls&gt;&lt;/urls&gt;&lt;/record&gt;&lt;/Cite&gt;&lt;/EndNote&gt;</w:instrText>
      </w:r>
      <w:r>
        <w:rPr>
          <w:rFonts w:ascii="Times New Roman" w:hAnsi="Times New Roman" w:cs="Times New Roman"/>
        </w:rPr>
        <w:fldChar w:fldCharType="separate"/>
      </w:r>
      <w:r>
        <w:rPr>
          <w:rFonts w:ascii="Times New Roman" w:hAnsi="Times New Roman" w:cs="Times New Roman"/>
        </w:rPr>
        <w:t>(Bryman, 2016)</w:t>
      </w:r>
      <w:r>
        <w:rPr>
          <w:rFonts w:ascii="Times New Roman" w:hAnsi="Times New Roman" w:cs="Times New Roman"/>
        </w:rPr>
        <w:fldChar w:fldCharType="end"/>
      </w:r>
      <w:r>
        <w:rPr>
          <w:rFonts w:ascii="Times New Roman" w:hAnsi="Times New Roman" w:cs="Times New Roman"/>
        </w:rPr>
        <w:t xml:space="preserve">. The ontological stance of this study aligns with a relativist ontology, recognizing that reality is subjective and varies from one individual to another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In the context of healthcare professionals' motivations and expectations, this means acknowledging that each professional's reality is shaped by their unique experiences, backgrounds, and interactions with private training companies.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Axiology</w:t>
      </w:r>
    </w:p>
    <w:p>
      <w:pPr>
        <w:spacing w:line="480" w:lineRule="auto"/>
        <w:rPr>
          <w:rFonts w:ascii="Times New Roman" w:hAnsi="Times New Roman" w:cs="Times New Roman"/>
        </w:rPr>
      </w:pPr>
      <w:r>
        <w:rPr>
          <w:rFonts w:ascii="Times New Roman" w:hAnsi="Times New Roman" w:cs="Times New Roman"/>
        </w:rPr>
        <w:t xml:space="preserve">In terms of axiology, it means the philosophical study of value, encompassing both ethics and aesthetics </w:t>
      </w:r>
      <w:r>
        <w:rPr>
          <w:rFonts w:ascii="Times New Roman" w:hAnsi="Times New Roman" w:cs="Times New Roman"/>
        </w:rPr>
        <w:fldChar w:fldCharType="begin"/>
      </w:r>
      <w:r>
        <w:rPr>
          <w:rFonts w:ascii="Times New Roman" w:hAnsi="Times New Roman" w:cs="Times New Roman"/>
        </w:rPr>
        <w:instrText xml:space="preserve"> ADDIN EN.CITE &lt;EndNote&gt;&lt;Cite&gt;&lt;Author&gt;Bell&lt;/Author&gt;&lt;Year&gt;2010&lt;/Year&gt;&lt;RecNum&gt;1275&lt;/RecNum&gt;&lt;DisplayText&gt;(Bell, 2010)&lt;/DisplayText&gt;&lt;record&gt;&lt;rec-number&gt;1275&lt;/rec-number&gt;&lt;foreign-keys&gt;&lt;key app="EN" db-id="r2rswvs2oexszme9tvjx5vx252ep2r22dx9d" timestamp="1701341984"&gt;1275&lt;/key&gt;&lt;/foreign-keys&gt;&lt;ref-type name="Book"&gt;6&lt;/ref-type&gt;&lt;contributors&gt;&lt;authors&gt;&lt;author&gt;Bell, Judith&lt;/author&gt;&lt;/authors&gt;&lt;/contributors&gt;&lt;titles&gt;&lt;title&gt;Doing your research project: A guide for first-time researchers in education, health and social science&lt;/title&gt;&lt;/titles&gt;&lt;edition&gt;&lt;style face="normal" font="default" size="100%"&gt;5&lt;/style&gt;&lt;style face="superscript" font="default" size="100%"&gt;th&lt;/style&gt;&lt;/edition&gt;&lt;keywords&gt;&lt;keyword&gt;Education -- Research -- Methodology&lt;/keyword&gt;&lt;keyword&gt;Health -- Research -- Methodology&lt;/keyword&gt;&lt;keyword&gt;Social sciences -- Research -- Methodology&lt;/keyword&gt;&lt;/keywords&gt;&lt;dates&gt;&lt;year&gt;2010&lt;/year&gt;&lt;/dates&gt;&lt;pub-location&gt;Maidenhead&lt;/pub-location&gt;&lt;publisher&gt;McGraw-Hill Open University Press&lt;/publisher&gt;&lt;isbn&gt;9780335235827&lt;/isbn&gt;&lt;urls&gt;&lt;/urls&gt;&lt;/record&gt;&lt;/Cite&gt;&lt;/EndNote&gt;</w:instrText>
      </w:r>
      <w:r>
        <w:rPr>
          <w:rFonts w:ascii="Times New Roman" w:hAnsi="Times New Roman" w:cs="Times New Roman"/>
        </w:rPr>
        <w:fldChar w:fldCharType="separate"/>
      </w:r>
      <w:r>
        <w:rPr>
          <w:rFonts w:ascii="Times New Roman" w:hAnsi="Times New Roman" w:cs="Times New Roman"/>
        </w:rPr>
        <w:t>(Bell, 2010)</w:t>
      </w:r>
      <w:r>
        <w:rPr>
          <w:rFonts w:ascii="Times New Roman" w:hAnsi="Times New Roman" w:cs="Times New Roman"/>
        </w:rPr>
        <w:fldChar w:fldCharType="end"/>
      </w:r>
      <w:r>
        <w:rPr>
          <w:rFonts w:ascii="Times New Roman" w:hAnsi="Times New Roman" w:cs="Times New Roman"/>
        </w:rPr>
        <w:t xml:space="preserve">. It examines the nature of values, evaluating what is worth pursuing and what is not, and seeks to understand the nature of value judgments </w:t>
      </w:r>
      <w:r>
        <w:rPr>
          <w:rFonts w:ascii="Times New Roman" w:hAnsi="Times New Roman" w:cs="Times New Roman"/>
        </w:rPr>
        <w:fldChar w:fldCharType="begin"/>
      </w:r>
      <w:r>
        <w:rPr>
          <w:rFonts w:ascii="Times New Roman" w:hAnsi="Times New Roman" w:cs="Times New Roman"/>
        </w:rPr>
        <w:instrText xml:space="preserve"> ADDIN EN.CITE &lt;EndNote&gt;&lt;Cite&gt;&lt;Author&gt;Cohen&lt;/Author&gt;&lt;Year&gt;2018&lt;/Year&gt;&lt;RecNum&gt;1271&lt;/RecNum&gt;&lt;DisplayText&gt;(Cohen&lt;style face="italic"&gt; et al.&lt;/style&gt;, 2018)&lt;/DisplayText&gt;&lt;record&gt;&lt;rec-number&gt;1271&lt;/rec-number&gt;&lt;foreign-keys&gt;&lt;key app="EN" db-id="r2rswvs2oexszme9tvjx5vx252ep2r22dx9d" timestamp="1701341984"&gt;1271&lt;/key&gt;&lt;/foreign-keys&gt;&lt;ref-type name="Book"&gt;6&lt;/ref-type&gt;&lt;contributors&gt;&lt;authors&gt;&lt;author&gt;Cohen, Louis&lt;/author&gt;&lt;author&gt;Manion, Lawrence&lt;/author&gt;&lt;author&gt;Morrison, Keith&lt;/author&gt;&lt;/authors&gt;&lt;/contributors&gt;&lt;titles&gt;&lt;title&gt;Research methods in education&lt;/title&gt;&lt;/titles&gt;&lt;edition&gt;&lt;style face="normal" font="default" size="100%"&gt;8&lt;/style&gt;&lt;style face="superscript" font="default" size="100%"&gt;th&lt;/style&gt;&lt;/edition&gt;&lt;keywords&gt;&lt;keyword&gt;Education -- Research -- Methodology&lt;/keyword&gt;&lt;keyword&gt;Education -- Research -- Great Britain&lt;/keyword&gt;&lt;/keywords&gt;&lt;dates&gt;&lt;year&gt;2018&lt;/year&gt;&lt;/dates&gt;&lt;pub-location&gt;London&lt;/pub-location&gt;&lt;publisher&gt;Routledge&lt;/publisher&gt;&lt;isbn&gt;9781315456515&lt;/isbn&gt;&lt;urls&gt;&lt;/urls&gt;&lt;/record&gt;&lt;/Cite&gt;&lt;/EndNote&gt;</w:instrText>
      </w:r>
      <w:r>
        <w:rPr>
          <w:rFonts w:ascii="Times New Roman" w:hAnsi="Times New Roman" w:cs="Times New Roman"/>
        </w:rPr>
        <w:fldChar w:fldCharType="separate"/>
      </w:r>
      <w:r>
        <w:rPr>
          <w:rFonts w:ascii="Times New Roman" w:hAnsi="Times New Roman" w:cs="Times New Roman"/>
        </w:rPr>
        <w:t>(Cohen</w:t>
      </w:r>
      <w:r>
        <w:rPr>
          <w:rFonts w:ascii="Times New Roman" w:hAnsi="Times New Roman" w:cs="Times New Roman"/>
          <w:i/>
        </w:rPr>
        <w:t xml:space="preserve"> et al.</w:t>
      </w:r>
      <w:r>
        <w:rPr>
          <w:rFonts w:ascii="Times New Roman" w:hAnsi="Times New Roman" w:cs="Times New Roman"/>
        </w:rPr>
        <w:t>, 2018)</w:t>
      </w:r>
      <w:r>
        <w:rPr>
          <w:rFonts w:ascii="Times New Roman" w:hAnsi="Times New Roman" w:cs="Times New Roman"/>
        </w:rPr>
        <w:fldChar w:fldCharType="end"/>
      </w:r>
      <w:r>
        <w:rPr>
          <w:rFonts w:ascii="Times New Roman" w:hAnsi="Times New Roman" w:cs="Times New Roman"/>
        </w:rPr>
        <w:t>. Axiologically, this research recognizes the value-laden nature of human inquiry. The motivations and expectations of healthcare professionals are deeply intertwined with their values, beliefs, and aspirations. As a researcher, there is an acknowledgment of my own values influencing the research process, from the framing of questions to the interpretation of data. This axiological awareness ensures a reflexive approach throughout the study, constantly checking and balancing personal biases and values against the data.</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The subsequent sections of this chapter will delve deeper into the specific methodologies employed, detailing the qualitative approach chosen and its alignment with the research questions. The intricacies of participant selection, data collection, and analysis will be explored, all grounded in the philosophical foundations outlined above. By the end of this section, it will present a holistic understanding of both the practical and philosophical underpinnings that guide this research.</w:t>
      </w:r>
    </w:p>
    <w:p>
      <w:pPr>
        <w:spacing w:line="480" w:lineRule="auto"/>
        <w:rPr>
          <w:rFonts w:ascii="Times New Roman" w:hAnsi="Times New Roman" w:cs="Times New Roman"/>
        </w:rPr>
      </w:pPr>
    </w:p>
    <w:p>
      <w:pPr>
        <w:pStyle w:val="3"/>
        <w:spacing w:before="240" w:after="240"/>
      </w:pPr>
      <w:bookmarkStart w:id="122" w:name="_Toc134793978"/>
      <w:bookmarkStart w:id="123" w:name="_Toc147660174"/>
      <w:bookmarkStart w:id="124" w:name="_Toc19924"/>
      <w:r>
        <w:t>3.2</w:t>
      </w:r>
      <w:r>
        <w:rPr>
          <w:rFonts w:hint="eastAsia"/>
          <w:lang w:val="en-US" w:eastAsia="zh-CN"/>
        </w:rPr>
        <w:t xml:space="preserve">  </w:t>
      </w:r>
      <w:r>
        <w:t>Research Design</w:t>
      </w:r>
      <w:bookmarkEnd w:id="122"/>
      <w:bookmarkEnd w:id="123"/>
      <w:bookmarkEnd w:id="124"/>
    </w:p>
    <w:p>
      <w:pPr>
        <w:pStyle w:val="4"/>
      </w:pPr>
      <w:bookmarkStart w:id="125" w:name="_Toc147660175"/>
      <w:bookmarkStart w:id="126" w:name="_Toc134793979"/>
      <w:bookmarkStart w:id="127" w:name="_Toc25097"/>
      <w:r>
        <w:t>3.2.1</w:t>
      </w:r>
      <w:r>
        <w:rPr>
          <w:rFonts w:hint="eastAsia"/>
          <w:lang w:val="en-US" w:eastAsia="zh-CN"/>
        </w:rPr>
        <w:t xml:space="preserve">   </w:t>
      </w:r>
      <w:r>
        <w:t>Qualitative Research Approach</w:t>
      </w:r>
      <w:bookmarkEnd w:id="125"/>
      <w:bookmarkEnd w:id="126"/>
      <w:bookmarkEnd w:id="127"/>
    </w:p>
    <w:p>
      <w:pPr>
        <w:spacing w:line="480" w:lineRule="auto"/>
        <w:rPr>
          <w:rFonts w:ascii="Times New Roman" w:hAnsi="Times New Roman" w:cs="Times New Roman"/>
        </w:rPr>
      </w:pPr>
      <w:r>
        <w:rPr>
          <w:rFonts w:ascii="Times New Roman" w:hAnsi="Times New Roman" w:cs="Times New Roman"/>
        </w:rPr>
        <w:t xml:space="preserve">This study adopts a qualitative research approach to gain a deep understanding of the motivations and expectations of healthcare professionals participating in continuing education programs offered by private training companies. Qualitative research is characterized by its focus on exploring the meanings, perspectives, and experiences of individuals in their natural settings, allowing for the generation of rich and detailed data </w:t>
      </w:r>
      <w:r>
        <w:rPr>
          <w:rFonts w:ascii="Times New Roman" w:hAnsi="Times New Roman" w:cs="Times New Roman"/>
        </w:rPr>
        <w:fldChar w:fldCharType="begin"/>
      </w:r>
      <w:r>
        <w:rPr>
          <w:rFonts w:ascii="Times New Roman" w:hAnsi="Times New Roman" w:cs="Times New Roman"/>
        </w:rPr>
        <w:instrText xml:space="preserve"> ADDIN EN.CITE &lt;EndNote&gt;&lt;Cite&gt;&lt;Author&gt;Flick&lt;/Author&gt;&lt;Year&gt;2020&lt;/Year&gt;&lt;RecNum&gt;1276&lt;/RecNum&gt;&lt;DisplayText&gt;(Flick, 2020)&lt;/DisplayText&gt;&lt;record&gt;&lt;rec-number&gt;1276&lt;/rec-number&gt;&lt;foreign-keys&gt;&lt;key app="EN" db-id="r2rswvs2oexszme9tvjx5vx252ep2r22dx9d" timestamp="1701341984"&gt;1276&lt;/key&gt;&lt;/foreign-keys&gt;&lt;ref-type name="Book"&gt;6&lt;/ref-type&gt;&lt;contributors&gt;&lt;authors&gt;&lt;author&gt;Flick, Uwe&lt;/author&gt;&lt;/authors&gt;&lt;/contributors&gt;&lt;titles&gt;&lt;title&gt;Introducing research methodology: Thinking your way through your research project&lt;/title&gt;&lt;/titles&gt;&lt;edition&gt;&lt;style face="normal" font="default" size="100%"&gt;3&lt;/style&gt;&lt;style face="superscript" font="default" size="100%"&gt;th&lt;/style&gt;&lt;/edition&gt;&lt;keywords&gt;&lt;keyword&gt;Social sciences -- Research -- Methodology&lt;/keyword&gt;&lt;keyword&gt;Society&lt;/keyword&gt;&lt;/keywords&gt;&lt;dates&gt;&lt;year&gt;2020&lt;/year&gt;&lt;/dates&gt;&lt;pub-location&gt;Los Angeles&lt;/pub-location&gt;&lt;publisher&gt;SAGE&lt;/publisher&gt;&lt;isbn&gt;9781526496935&lt;/isbn&gt;&lt;urls&gt;&lt;/urls&gt;&lt;/record&gt;&lt;/Cite&gt;&lt;/EndNote&gt;</w:instrText>
      </w:r>
      <w:r>
        <w:rPr>
          <w:rFonts w:ascii="Times New Roman" w:hAnsi="Times New Roman" w:cs="Times New Roman"/>
        </w:rPr>
        <w:fldChar w:fldCharType="separate"/>
      </w:r>
      <w:r>
        <w:rPr>
          <w:rFonts w:ascii="Times New Roman" w:hAnsi="Times New Roman" w:cs="Times New Roman"/>
        </w:rPr>
        <w:t>(Flick, 2020)</w:t>
      </w:r>
      <w:r>
        <w:rPr>
          <w:rFonts w:ascii="Times New Roman" w:hAnsi="Times New Roman" w:cs="Times New Roman"/>
        </w:rPr>
        <w:fldChar w:fldCharType="end"/>
      </w:r>
    </w:p>
    <w:p>
      <w:pPr>
        <w:spacing w:line="480" w:lineRule="auto"/>
        <w:rPr>
          <w:rFonts w:ascii="Times New Roman" w:hAnsi="Times New Roman" w:cs="Times New Roman"/>
        </w:rPr>
      </w:pPr>
    </w:p>
    <w:p>
      <w:pPr>
        <w:pStyle w:val="4"/>
      </w:pPr>
      <w:bookmarkStart w:id="128" w:name="_Toc147660176"/>
      <w:bookmarkStart w:id="129" w:name="_Toc134793980"/>
      <w:bookmarkStart w:id="130" w:name="_Toc2409"/>
      <w:r>
        <w:t>3.2.2</w:t>
      </w:r>
      <w:r>
        <w:rPr>
          <w:rFonts w:hint="eastAsia"/>
          <w:lang w:val="en-US" w:eastAsia="zh-CN"/>
        </w:rPr>
        <w:t xml:space="preserve">   </w:t>
      </w:r>
      <w:r>
        <w:t>Rationale for Selecting a Qualitative Approach</w:t>
      </w:r>
      <w:bookmarkEnd w:id="128"/>
      <w:bookmarkEnd w:id="129"/>
      <w:bookmarkEnd w:id="130"/>
    </w:p>
    <w:p>
      <w:pPr>
        <w:spacing w:line="480" w:lineRule="auto"/>
        <w:rPr>
          <w:rFonts w:ascii="Times New Roman" w:hAnsi="Times New Roman" w:cs="Times New Roman"/>
        </w:rPr>
      </w:pPr>
      <w:r>
        <w:rPr>
          <w:rFonts w:ascii="Times New Roman" w:hAnsi="Times New Roman" w:cs="Times New Roman"/>
        </w:rPr>
        <w:t xml:space="preserve">The rationale for selecting a qualitative approach in this study is grounded in the nature of the research questions and the objectives of the investigation. The study seeks to explore the motivations and expectations of healthcare professionals, which are subjective and context-specific phenomena that require an in-depth understanding of individual perspectives and experiences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A qualitative approach enables the researcher to capture the nuances and complexities of these phenomena, providing valuable insights into the factors that shape healthcare professionals' decisions to engage in continuing education programs </w:t>
      </w:r>
      <w:r>
        <w:rPr>
          <w:rFonts w:ascii="Times New Roman" w:hAnsi="Times New Roman" w:cs="Times New Roman"/>
        </w:rPr>
        <w:fldChar w:fldCharType="begin"/>
      </w:r>
      <w:r>
        <w:rPr>
          <w:rFonts w:ascii="Times New Roman" w:hAnsi="Times New Roman" w:cs="Times New Roman"/>
        </w:rPr>
        <w:instrText xml:space="preserve"> ADDIN EN.CITE &lt;EndNote&gt;&lt;Cite&gt;&lt;Author&gt;Leavy&lt;/Author&gt;&lt;Year&gt;2020&lt;/Year&gt;&lt;RecNum&gt;1273&lt;/RecNum&gt;&lt;DisplayText&gt;(Leavy, 2020)&lt;/DisplayText&gt;&lt;record&gt;&lt;rec-number&gt;1273&lt;/rec-number&gt;&lt;foreign-keys&gt;&lt;key app="EN" db-id="r2rswvs2oexszme9tvjx5vx252ep2r22dx9d" timestamp="1701341984"&gt;1273&lt;/key&gt;&lt;/foreign-keys&gt;&lt;ref-type name="Book"&gt;6&lt;/ref-type&gt;&lt;contributors&gt;&lt;authors&gt;&lt;author&gt;Leavy, Patricia&lt;/author&gt;&lt;/authors&gt;&lt;/contributors&gt;&lt;titles&gt;&lt;title&gt;The Oxford handbook of qualitative research&lt;/title&gt;&lt;secondary-title&gt;Oxford handbooks online&lt;/secondary-title&gt;&lt;/titles&gt;&lt;pages&gt;1 online resource (1200 pages)&lt;/pages&gt;&lt;edition&gt;&lt;style face="normal" font="default" size="100%"&gt;2&lt;/style&gt;&lt;style face="superscript" font="default" size="100%"&gt;nd&lt;/style&gt;&lt;/edition&gt;&lt;keywords&gt;&lt;keyword&gt;Qualitative research Methodology.&lt;/keyword&gt;&lt;keyword&gt;Social sciences Research.&lt;/keyword&gt;&lt;/keywords&gt;&lt;dates&gt;&lt;year&gt;2020&lt;/year&gt;&lt;pub-dates&gt;&lt;date&gt;August 31, 2020&lt;/date&gt;&lt;/pub-dates&gt;&lt;/dates&gt;&lt;pub-location&gt;New York&lt;/pub-location&gt;&lt;publisher&gt;Oxford University Press&lt;/publisher&gt;&lt;isbn&gt;0-19-084740-9&amp;#xD;0-19-084739-5&amp;#xD;0-19-084741-7&lt;/isbn&gt;&lt;accession-num&gt;9935189760606761&lt;/accession-num&gt;&lt;work-type&gt;still image&lt;/work-type&gt;&lt;urls&gt;&lt;/urls&gt;&lt;/record&gt;&lt;/Cite&gt;&lt;/EndNote&gt;</w:instrText>
      </w:r>
      <w:r>
        <w:rPr>
          <w:rFonts w:ascii="Times New Roman" w:hAnsi="Times New Roman" w:cs="Times New Roman"/>
        </w:rPr>
        <w:fldChar w:fldCharType="separate"/>
      </w:r>
      <w:r>
        <w:rPr>
          <w:rFonts w:ascii="Times New Roman" w:hAnsi="Times New Roman" w:cs="Times New Roman"/>
        </w:rPr>
        <w:t>(Leavy, 2020)</w:t>
      </w:r>
      <w:r>
        <w:rPr>
          <w:rFonts w:ascii="Times New Roman" w:hAnsi="Times New Roman" w:cs="Times New Roman"/>
        </w:rPr>
        <w:fldChar w:fldCharType="end"/>
      </w:r>
      <w:r>
        <w:rPr>
          <w:rFonts w:ascii="Times New Roman" w:hAnsi="Times New Roman" w:cs="Times New Roman"/>
        </w:rPr>
        <w:t xml:space="preserve">. Furthermore, the qualitative approach allows for the exploration of the strategies and approaches used by private training companies to meet the needs and expectations of healthcare professionals, providing a comprehensive understanding of the effectiveness of these programs in fostering professional competence and satisfaction </w:t>
      </w:r>
      <w:r>
        <w:rPr>
          <w:rFonts w:ascii="Times New Roman" w:hAnsi="Times New Roman" w:cs="Times New Roman"/>
        </w:rPr>
        <w:fldChar w:fldCharType="begin"/>
      </w:r>
      <w:r>
        <w:rPr>
          <w:rFonts w:ascii="Times New Roman" w:hAnsi="Times New Roman" w:cs="Times New Roman"/>
        </w:rPr>
        <w:instrText xml:space="preserve"> ADDIN EN.CITE &lt;EndNote&gt;&lt;Cite&gt;&lt;Author&gt;Oliver&lt;/Author&gt;&lt;Year&gt;2021&lt;/Year&gt;&lt;RecNum&gt;1277&lt;/RecNum&gt;&lt;DisplayText&gt;(Oliver, 2021)&lt;/DisplayText&gt;&lt;record&gt;&lt;rec-number&gt;1277&lt;/rec-number&gt;&lt;foreign-keys&gt;&lt;key app="EN" db-id="r2rswvs2oexszme9tvjx5vx252ep2r22dx9d" timestamp="1701341984"&gt;1277&lt;/key&gt;&lt;/foreign-keys&gt;&lt;ref-type name="Book"&gt;6&lt;/ref-type&gt;&lt;contributors&gt;&lt;authors&gt;&lt;author&gt;Oliver, Paul&lt;/author&gt;&lt;/authors&gt;&lt;/contributors&gt;&lt;titles&gt;&lt;title&gt;Using qualitative methods to answer your research question&lt;/title&gt;&lt;/titles&gt;&lt;edition&gt;&lt;style face="normal" font="default" size="100%"&gt;5&lt;/style&gt;&lt;style face="superscript" font="default" size="100%"&gt;th&lt;/style&gt;&lt;/edition&gt;&lt;keywords&gt;&lt;keyword&gt;Social sciences -- Research -- Methodology&lt;/keyword&gt;&lt;keyword&gt;Qualitative research -- Methodology&lt;/keyword&gt;&lt;/keywords&gt;&lt;dates&gt;&lt;year&gt;2021&lt;/year&gt;&lt;/dates&gt;&lt;pub-location&gt;Maidenhead&lt;/pub-location&gt;&lt;publisher&gt;Open University Press&lt;/publisher&gt;&lt;isbn&gt;9780335248964&lt;/isbn&gt;&lt;urls&gt;&lt;/urls&gt;&lt;/record&gt;&lt;/Cite&gt;&lt;/EndNote&gt;</w:instrText>
      </w:r>
      <w:r>
        <w:rPr>
          <w:rFonts w:ascii="Times New Roman" w:hAnsi="Times New Roman" w:cs="Times New Roman"/>
        </w:rPr>
        <w:fldChar w:fldCharType="separate"/>
      </w:r>
      <w:r>
        <w:rPr>
          <w:rFonts w:ascii="Times New Roman" w:hAnsi="Times New Roman" w:cs="Times New Roman"/>
        </w:rPr>
        <w:t>(Oliver, 2021)</w:t>
      </w:r>
      <w:r>
        <w:rPr>
          <w:rFonts w:ascii="Times New Roman" w:hAnsi="Times New Roman" w:cs="Times New Roman"/>
        </w:rPr>
        <w:fldChar w:fldCharType="end"/>
      </w:r>
    </w:p>
    <w:p>
      <w:pPr>
        <w:pStyle w:val="3"/>
        <w:spacing w:before="240" w:after="240"/>
      </w:pPr>
      <w:bookmarkStart w:id="131" w:name="_Toc134793981"/>
    </w:p>
    <w:p>
      <w:pPr>
        <w:pStyle w:val="3"/>
        <w:spacing w:before="240" w:after="240"/>
      </w:pPr>
      <w:bookmarkStart w:id="132" w:name="_Toc147660177"/>
      <w:bookmarkStart w:id="133" w:name="_Toc17726"/>
      <w:r>
        <w:t>3.3</w:t>
      </w:r>
      <w:r>
        <w:rPr>
          <w:rFonts w:hint="eastAsia"/>
          <w:lang w:val="en-US" w:eastAsia="zh-CN"/>
        </w:rPr>
        <w:t xml:space="preserve">  </w:t>
      </w:r>
      <w:r>
        <w:t>Sampling</w:t>
      </w:r>
      <w:bookmarkEnd w:id="131"/>
      <w:bookmarkEnd w:id="132"/>
      <w:bookmarkEnd w:id="133"/>
    </w:p>
    <w:p>
      <w:pPr>
        <w:spacing w:line="480" w:lineRule="auto"/>
        <w:rPr>
          <w:rFonts w:ascii="Times New Roman" w:hAnsi="Times New Roman" w:cs="Times New Roman"/>
        </w:rPr>
      </w:pPr>
      <w:bookmarkStart w:id="134" w:name="_Toc134793982"/>
      <w:r>
        <w:rPr>
          <w:rFonts w:ascii="Times New Roman" w:hAnsi="Times New Roman" w:cs="Times New Roman"/>
        </w:rPr>
        <w:t xml:space="preserve">Sampling is a critical component of research design, determining the subset of the population that will be studied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Given the specific nature of this research, which seeks to understand the motivations and expectations of healthcare professionals in relation to private training companies, a purposive sampling strategy was employed.</w:t>
      </w:r>
    </w:p>
    <w:p>
      <w:pPr>
        <w:spacing w:line="360" w:lineRule="auto"/>
        <w:rPr>
          <w:rFonts w:ascii="Times New Roman" w:hAnsi="Times New Roman" w:cs="Times New Roman"/>
        </w:rPr>
      </w:pPr>
    </w:p>
    <w:p>
      <w:pPr>
        <w:pStyle w:val="4"/>
      </w:pPr>
      <w:bookmarkStart w:id="135" w:name="_Toc147660178"/>
      <w:bookmarkStart w:id="136" w:name="_Toc134793983"/>
      <w:bookmarkStart w:id="137" w:name="_Toc8723"/>
      <w:bookmarkStart w:id="138" w:name="_Hlk147572579"/>
      <w:r>
        <w:t>3.3.1</w:t>
      </w:r>
      <w:r>
        <w:rPr>
          <w:rFonts w:hint="eastAsia"/>
          <w:lang w:val="en-US" w:eastAsia="zh-CN"/>
        </w:rPr>
        <w:t xml:space="preserve">   </w:t>
      </w:r>
      <w:r>
        <w:t>Purposive Sampling Strategy</w:t>
      </w:r>
      <w:bookmarkEnd w:id="135"/>
      <w:bookmarkEnd w:id="136"/>
      <w:bookmarkEnd w:id="137"/>
    </w:p>
    <w:p>
      <w:pPr>
        <w:spacing w:line="480" w:lineRule="auto"/>
        <w:rPr>
          <w:rFonts w:ascii="Times New Roman" w:hAnsi="Times New Roman" w:cs="Times New Roman"/>
        </w:rPr>
      </w:pPr>
      <w:r>
        <w:rPr>
          <w:rFonts w:ascii="Times New Roman" w:hAnsi="Times New Roman" w:cs="Times New Roman"/>
        </w:rPr>
        <w:t xml:space="preserve">Purposive sampling, also known as judgmental or selective sampling, involves the deliberate </w:t>
      </w:r>
      <w:bookmarkEnd w:id="138"/>
      <w:r>
        <w:rPr>
          <w:rFonts w:ascii="Times New Roman" w:hAnsi="Times New Roman" w:cs="Times New Roman"/>
        </w:rPr>
        <w:t xml:space="preserve">selection of participants based on specific criteria or characteristics </w:t>
      </w:r>
      <w:r>
        <w:rPr>
          <w:rFonts w:ascii="Times New Roman" w:hAnsi="Times New Roman" w:cs="Times New Roman"/>
        </w:rPr>
        <w:fldChar w:fldCharType="begin"/>
      </w:r>
      <w:r>
        <w:rPr>
          <w:rFonts w:ascii="Times New Roman" w:hAnsi="Times New Roman" w:cs="Times New Roman"/>
        </w:rPr>
        <w:instrText xml:space="preserve"> ADDIN EN.CITE &lt;EndNote&gt;&lt;Cite&gt;&lt;Author&gt;Oliver&lt;/Author&gt;&lt;Year&gt;2021&lt;/Year&gt;&lt;RecNum&gt;1277&lt;/RecNum&gt;&lt;DisplayText&gt;(Oliver, 2021)&lt;/DisplayText&gt;&lt;record&gt;&lt;rec-number&gt;1277&lt;/rec-number&gt;&lt;foreign-keys&gt;&lt;key app="EN" db-id="r2rswvs2oexszme9tvjx5vx252ep2r22dx9d" timestamp="1701341984"&gt;1277&lt;/key&gt;&lt;/foreign-keys&gt;&lt;ref-type name="Book"&gt;6&lt;/ref-type&gt;&lt;contributors&gt;&lt;authors&gt;&lt;author&gt;Oliver, Paul&lt;/author&gt;&lt;/authors&gt;&lt;/contributors&gt;&lt;titles&gt;&lt;title&gt;Using qualitative methods to answer your research question&lt;/title&gt;&lt;/titles&gt;&lt;edition&gt;&lt;style face="normal" font="default" size="100%"&gt;5&lt;/style&gt;&lt;style face="superscript" font="default" size="100%"&gt;th&lt;/style&gt;&lt;/edition&gt;&lt;keywords&gt;&lt;keyword&gt;Social sciences -- Research -- Methodology&lt;/keyword&gt;&lt;keyword&gt;Qualitative research -- Methodology&lt;/keyword&gt;&lt;/keywords&gt;&lt;dates&gt;&lt;year&gt;2021&lt;/year&gt;&lt;/dates&gt;&lt;pub-location&gt;Maidenhead&lt;/pub-location&gt;&lt;publisher&gt;Open University Press&lt;/publisher&gt;&lt;isbn&gt;9780335248964&lt;/isbn&gt;&lt;urls&gt;&lt;/urls&gt;&lt;/record&gt;&lt;/Cite&gt;&lt;/EndNote&gt;</w:instrText>
      </w:r>
      <w:r>
        <w:rPr>
          <w:rFonts w:ascii="Times New Roman" w:hAnsi="Times New Roman" w:cs="Times New Roman"/>
        </w:rPr>
        <w:fldChar w:fldCharType="separate"/>
      </w:r>
      <w:r>
        <w:rPr>
          <w:rFonts w:ascii="Times New Roman" w:hAnsi="Times New Roman" w:cs="Times New Roman"/>
        </w:rPr>
        <w:t>(Oliver, 2021)</w:t>
      </w:r>
      <w:r>
        <w:rPr>
          <w:rFonts w:ascii="Times New Roman" w:hAnsi="Times New Roman" w:cs="Times New Roman"/>
        </w:rPr>
        <w:fldChar w:fldCharType="end"/>
      </w:r>
      <w:r>
        <w:rPr>
          <w:rFonts w:ascii="Times New Roman" w:hAnsi="Times New Roman" w:cs="Times New Roman"/>
        </w:rPr>
        <w:t>. The primary rationale for adopting this strategy was to ensure that participants had first-hand experience or a vested interest in continuing education programs offered by private training companies. By focusing on this subset of healthcare professionals, the research aims to gather rich, relevant, and in-depth data that directly addresses the research questions.</w:t>
      </w:r>
    </w:p>
    <w:p>
      <w:pPr>
        <w:spacing w:line="480" w:lineRule="auto"/>
        <w:rPr>
          <w:rFonts w:ascii="Times New Roman" w:hAnsi="Times New Roman" w:cs="Times New Roman"/>
        </w:rPr>
      </w:pPr>
    </w:p>
    <w:p>
      <w:pPr>
        <w:pStyle w:val="4"/>
      </w:pPr>
      <w:bookmarkStart w:id="139" w:name="_Toc147660179"/>
      <w:bookmarkStart w:id="140" w:name="_Toc10248"/>
      <w:r>
        <w:t>3.3.2</w:t>
      </w:r>
      <w:r>
        <w:rPr>
          <w:rFonts w:hint="eastAsia"/>
          <w:lang w:val="en-US" w:eastAsia="zh-CN"/>
        </w:rPr>
        <w:t xml:space="preserve">   </w:t>
      </w:r>
      <w:r>
        <w:t>Alternative Sampling Methods and Their Limitations</w:t>
      </w:r>
      <w:bookmarkEnd w:id="139"/>
      <w:bookmarkEnd w:id="140"/>
    </w:p>
    <w:p>
      <w:pPr>
        <w:spacing w:line="480" w:lineRule="auto"/>
        <w:rPr>
          <w:rFonts w:ascii="Times New Roman" w:hAnsi="Times New Roman" w:cs="Times New Roman"/>
        </w:rPr>
      </w:pPr>
      <w:r>
        <w:rPr>
          <w:rFonts w:ascii="Times New Roman" w:hAnsi="Times New Roman" w:cs="Times New Roman"/>
        </w:rPr>
        <w:t>Several alternative sampling methods were considered:</w:t>
      </w:r>
    </w:p>
    <w:p>
      <w:pPr>
        <w:spacing w:line="480" w:lineRule="auto"/>
        <w:rPr>
          <w:rFonts w:ascii="Times New Roman" w:hAnsi="Times New Roman" w:cs="Times New Roman"/>
        </w:rPr>
      </w:pPr>
      <w:r>
        <w:rPr>
          <w:rFonts w:ascii="Times New Roman" w:hAnsi="Times New Roman" w:cs="Times New Roman"/>
          <w:b/>
          <w:bCs/>
          <w:u w:val="single"/>
        </w:rPr>
        <w:t>Random Sampling</w:t>
      </w:r>
      <w:r>
        <w:rPr>
          <w:rFonts w:ascii="Times New Roman" w:hAnsi="Times New Roman" w:cs="Times New Roman"/>
        </w:rPr>
        <w:t xml:space="preserve">: While this method ensures each member of the population has an equal chance of being selected, it might not guarantee that all participants would have relevant experiences with private training companies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r>
        <w:rPr>
          <w:rFonts w:ascii="Times New Roman" w:hAnsi="Times New Roman" w:cs="Times New Roman"/>
          <w:b/>
          <w:bCs/>
          <w:u w:val="single"/>
        </w:rPr>
        <w:t>Stratified Sampling</w:t>
      </w:r>
      <w:r>
        <w:rPr>
          <w:rFonts w:ascii="Times New Roman" w:hAnsi="Times New Roman" w:cs="Times New Roman"/>
        </w:rPr>
        <w:t xml:space="preserve">: This involves dividing the population into subgroups and randomly selecting participants from each subgroup </w:t>
      </w:r>
      <w:r>
        <w:rPr>
          <w:rFonts w:ascii="Times New Roman" w:hAnsi="Times New Roman" w:cs="Times New Roman"/>
        </w:rPr>
        <w:fldChar w:fldCharType="begin"/>
      </w:r>
      <w:r>
        <w:rPr>
          <w:rFonts w:ascii="Times New Roman" w:hAnsi="Times New Roman" w:cs="Times New Roman"/>
        </w:rPr>
        <w:instrText xml:space="preserve"> ADDIN EN.CITE &lt;EndNote&gt;&lt;Cite&gt;&lt;Author&gt;Schindler&lt;/Author&gt;&lt;Year&gt;2022&lt;/Year&gt;&lt;RecNum&gt;1278&lt;/RecNum&gt;&lt;DisplayText&gt;(Schindler, 2022)&lt;/DisplayText&gt;&lt;record&gt;&lt;rec-number&gt;1278&lt;/rec-number&gt;&lt;foreign-keys&gt;&lt;key app="EN" db-id="r2rswvs2oexszme9tvjx5vx252ep2r22dx9d" timestamp="1701341984"&gt;1278&lt;/key&gt;&lt;/foreign-keys&gt;&lt;ref-type name="Book"&gt;6&lt;/ref-type&gt;&lt;contributors&gt;&lt;authors&gt;&lt;author&gt;Schindler, Pamela S.&lt;/author&gt;&lt;/authors&gt;&lt;/contributors&gt;&lt;titles&gt;&lt;title&gt;Business research methods&lt;/title&gt;&lt;/titles&gt;&lt;edition&gt;&lt;style face="normal" font="default" size="100%"&gt;4&lt;/style&gt;&lt;style face="superscript" font="default" size="100%"&gt;th&lt;/style&gt;&lt;/edition&gt;&lt;keywords&gt;&lt;keyword&gt;Industrial management -- Research -- Methodology&lt;/keyword&gt;&lt;/keywords&gt;&lt;dates&gt;&lt;year&gt;2022&lt;/year&gt;&lt;/dates&gt;&lt;pub-location&gt;New York&lt;/pub-location&gt;&lt;publisher&gt;McGraw Hill&lt;/publisher&gt;&lt;isbn&gt;9781264364541&lt;/isbn&gt;&lt;urls&gt;&lt;/urls&gt;&lt;/record&gt;&lt;/Cite&gt;&lt;/EndNote&gt;</w:instrText>
      </w:r>
      <w:r>
        <w:rPr>
          <w:rFonts w:ascii="Times New Roman" w:hAnsi="Times New Roman" w:cs="Times New Roman"/>
        </w:rPr>
        <w:fldChar w:fldCharType="separate"/>
      </w:r>
      <w:r>
        <w:rPr>
          <w:rFonts w:ascii="Times New Roman" w:hAnsi="Times New Roman" w:cs="Times New Roman"/>
        </w:rPr>
        <w:t>(Schindler, 2022)</w:t>
      </w:r>
      <w:r>
        <w:rPr>
          <w:rFonts w:ascii="Times New Roman" w:hAnsi="Times New Roman" w:cs="Times New Roman"/>
        </w:rPr>
        <w:fldChar w:fldCharType="end"/>
      </w:r>
      <w:r>
        <w:rPr>
          <w:rFonts w:ascii="Times New Roman" w:hAnsi="Times New Roman" w:cs="Times New Roman"/>
        </w:rPr>
        <w:t>. While it could ensure representation from various professional categories, it might still miss out on capturing the depth of experience sought in this study.</w:t>
      </w:r>
    </w:p>
    <w:p>
      <w:pPr>
        <w:spacing w:line="480" w:lineRule="auto"/>
        <w:rPr>
          <w:rFonts w:ascii="Times New Roman" w:hAnsi="Times New Roman" w:cs="Times New Roman"/>
        </w:rPr>
      </w:pPr>
      <w:r>
        <w:rPr>
          <w:rFonts w:ascii="Times New Roman" w:hAnsi="Times New Roman" w:cs="Times New Roman"/>
          <w:b/>
          <w:bCs/>
          <w:u w:val="single"/>
        </w:rPr>
        <w:t>Snowball Sampling</w:t>
      </w:r>
      <w:r>
        <w:rPr>
          <w:rFonts w:ascii="Times New Roman" w:hAnsi="Times New Roman" w:cs="Times New Roman"/>
        </w:rPr>
        <w:t xml:space="preserve">: </w:t>
      </w:r>
      <w:r>
        <w:rPr>
          <w:rFonts w:hint="eastAsia" w:ascii="Times New Roman" w:hAnsi="Times New Roman" w:cs="Times New Roman"/>
        </w:rPr>
        <w:t>I</w:t>
      </w:r>
      <w:r>
        <w:rPr>
          <w:rFonts w:ascii="Times New Roman" w:hAnsi="Times New Roman" w:cs="Times New Roman"/>
        </w:rPr>
        <w:t xml:space="preserve">t is often used for hard-to-reach populations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while this method is </w:t>
      </w:r>
      <w:r>
        <w:rPr>
          <w:rFonts w:hint="eastAsia" w:ascii="Times New Roman" w:hAnsi="Times New Roman" w:cs="Times New Roman"/>
        </w:rPr>
        <w:t>not</w:t>
      </w:r>
      <w:r>
        <w:rPr>
          <w:rFonts w:ascii="Times New Roman" w:hAnsi="Times New Roman" w:cs="Times New Roman"/>
        </w:rPr>
        <w:t xml:space="preserve"> deemed suitable as the research does not target a hidden or rare population.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Given the specific focus of the study, these methods are not chosen due to the potential risk of diluting the richness and relevance of the data.</w:t>
      </w:r>
    </w:p>
    <w:p/>
    <w:p/>
    <w:p>
      <w:pPr>
        <w:pStyle w:val="4"/>
      </w:pPr>
      <w:bookmarkStart w:id="141" w:name="_Toc147660180"/>
      <w:bookmarkStart w:id="142" w:name="_Toc6273"/>
      <w:bookmarkStart w:id="143" w:name="_Hlk147574694"/>
      <w:r>
        <w:t>3.3.3</w:t>
      </w:r>
      <w:r>
        <w:rPr>
          <w:rFonts w:hint="eastAsia"/>
          <w:lang w:val="en-US" w:eastAsia="zh-CN"/>
        </w:rPr>
        <w:t xml:space="preserve">   </w:t>
      </w:r>
      <w:r>
        <w:t>Target Population</w:t>
      </w:r>
      <w:bookmarkEnd w:id="134"/>
      <w:bookmarkEnd w:id="141"/>
      <w:bookmarkEnd w:id="142"/>
    </w:p>
    <w:p>
      <w:pPr>
        <w:spacing w:line="480" w:lineRule="auto"/>
        <w:rPr>
          <w:rFonts w:ascii="Times New Roman" w:hAnsi="Times New Roman" w:cs="Times New Roman"/>
        </w:rPr>
      </w:pPr>
      <w:r>
        <w:rPr>
          <w:rFonts w:ascii="Times New Roman" w:hAnsi="Times New Roman" w:cs="Times New Roman"/>
        </w:rPr>
        <w:t xml:space="preserve">The target population for this study consists of doctors and nurses who have participated or </w:t>
      </w:r>
      <w:bookmarkEnd w:id="143"/>
      <w:r>
        <w:rPr>
          <w:rFonts w:ascii="Times New Roman" w:hAnsi="Times New Roman" w:cs="Times New Roman"/>
        </w:rPr>
        <w:t>are interested in participating in continuing education programs offered by private training companies. The researcher, being an employee of a private training company, has access to the WeChat numbers of doctors and nurses, which facilitates the recruitment process.</w:t>
      </w:r>
    </w:p>
    <w:p>
      <w:pPr>
        <w:spacing w:line="480" w:lineRule="auto"/>
        <w:rPr>
          <w:rFonts w:ascii="Times New Roman" w:hAnsi="Times New Roman" w:cs="Times New Roman"/>
        </w:rPr>
      </w:pPr>
    </w:p>
    <w:p>
      <w:pPr>
        <w:pStyle w:val="4"/>
      </w:pPr>
      <w:bookmarkStart w:id="144" w:name="_Toc147660181"/>
      <w:bookmarkStart w:id="145" w:name="_Toc30969"/>
      <w:r>
        <w:t>3.3.4</w:t>
      </w:r>
      <w:r>
        <w:rPr>
          <w:rFonts w:hint="eastAsia"/>
          <w:lang w:val="en-US" w:eastAsia="zh-CN"/>
        </w:rPr>
        <w:t xml:space="preserve">   </w:t>
      </w:r>
      <w:r>
        <w:t>Target Population</w:t>
      </w:r>
      <w:bookmarkEnd w:id="144"/>
      <w:bookmarkEnd w:id="145"/>
    </w:p>
    <w:p>
      <w:pPr>
        <w:spacing w:line="480" w:lineRule="auto"/>
        <w:rPr>
          <w:rFonts w:ascii="Times New Roman" w:hAnsi="Times New Roman" w:cs="Times New Roman"/>
        </w:rPr>
      </w:pPr>
      <w:r>
        <w:rPr>
          <w:rFonts w:ascii="Times New Roman" w:hAnsi="Times New Roman" w:cs="Times New Roman"/>
        </w:rPr>
        <w:t>Participants were identified and approached in the following manner:</w:t>
      </w:r>
    </w:p>
    <w:p>
      <w:pPr>
        <w:spacing w:line="480" w:lineRule="auto"/>
        <w:rPr>
          <w:rFonts w:ascii="Times New Roman" w:hAnsi="Times New Roman" w:cs="Times New Roman"/>
        </w:rPr>
      </w:pPr>
      <w:r>
        <w:rPr>
          <w:rFonts w:ascii="Times New Roman" w:hAnsi="Times New Roman" w:cs="Times New Roman"/>
          <w:b/>
          <w:bCs/>
        </w:rPr>
        <w:t>Identification</w:t>
      </w:r>
      <w:r>
        <w:rPr>
          <w:rFonts w:ascii="Times New Roman" w:hAnsi="Times New Roman" w:cs="Times New Roman"/>
        </w:rPr>
        <w:t>: A preliminary list of potential participants was created based on their affiliations with professional healthcare associations and their past enrollments in private training programs.</w:t>
      </w:r>
    </w:p>
    <w:p>
      <w:pPr>
        <w:spacing w:line="480" w:lineRule="auto"/>
        <w:rPr>
          <w:rFonts w:ascii="Times New Roman" w:hAnsi="Times New Roman" w:cs="Times New Roman"/>
        </w:rPr>
      </w:pPr>
      <w:r>
        <w:rPr>
          <w:rFonts w:ascii="Times New Roman" w:hAnsi="Times New Roman" w:cs="Times New Roman"/>
          <w:b/>
          <w:bCs/>
        </w:rPr>
        <w:t>Initial Contact</w:t>
      </w:r>
      <w:r>
        <w:rPr>
          <w:rFonts w:ascii="Times New Roman" w:hAnsi="Times New Roman" w:cs="Times New Roman"/>
        </w:rPr>
        <w:t>: Potential participants were initially contacted via email and Wechat, providing them with an overview of the study, its objectives, and the expected involvement.</w:t>
      </w:r>
    </w:p>
    <w:p>
      <w:pPr>
        <w:spacing w:line="480" w:lineRule="auto"/>
        <w:rPr>
          <w:rFonts w:ascii="Times New Roman" w:hAnsi="Times New Roman" w:cs="Times New Roman"/>
        </w:rPr>
      </w:pPr>
      <w:r>
        <w:rPr>
          <w:rFonts w:ascii="Times New Roman" w:hAnsi="Times New Roman" w:cs="Times New Roman"/>
          <w:b/>
          <w:bCs/>
        </w:rPr>
        <w:t>Response Rate</w:t>
      </w:r>
      <w:r>
        <w:rPr>
          <w:rFonts w:ascii="Times New Roman" w:hAnsi="Times New Roman" w:cs="Times New Roman"/>
        </w:rPr>
        <w:t>: Out of 150 healthcare professionals approached, 80 expressed interest, resulting in a response rate of approximately 53%.</w:t>
      </w:r>
    </w:p>
    <w:p>
      <w:pPr>
        <w:spacing w:line="480" w:lineRule="auto"/>
        <w:rPr>
          <w:rFonts w:ascii="Times New Roman" w:hAnsi="Times New Roman" w:cs="Times New Roman"/>
        </w:rPr>
      </w:pPr>
      <w:r>
        <w:rPr>
          <w:rFonts w:ascii="Times New Roman" w:hAnsi="Times New Roman" w:cs="Times New Roman"/>
          <w:b/>
          <w:bCs/>
        </w:rPr>
        <w:t>Challenges Faced</w:t>
      </w:r>
      <w:r>
        <w:rPr>
          <w:rFonts w:ascii="Times New Roman" w:hAnsi="Times New Roman" w:cs="Times New Roman"/>
        </w:rPr>
        <w:t>: Some of the challenges encountered during the selection process included:</w:t>
      </w:r>
    </w:p>
    <w:p>
      <w:pPr>
        <w:numPr>
          <w:ilvl w:val="0"/>
          <w:numId w:val="2"/>
        </w:numPr>
        <w:spacing w:line="480" w:lineRule="auto"/>
        <w:rPr>
          <w:rFonts w:ascii="Times New Roman" w:hAnsi="Times New Roman" w:cs="Times New Roman"/>
        </w:rPr>
      </w:pPr>
      <w:r>
        <w:rPr>
          <w:rFonts w:ascii="Times New Roman" w:hAnsi="Times New Roman" w:cs="Times New Roman"/>
          <w:b/>
          <w:bCs/>
        </w:rPr>
        <w:t>Time Constraints</w:t>
      </w:r>
      <w:r>
        <w:rPr>
          <w:rFonts w:ascii="Times New Roman" w:hAnsi="Times New Roman" w:cs="Times New Roman"/>
        </w:rPr>
        <w:t>: Many professionals, given their busy schedules, were unavailable for interviews.</w:t>
      </w:r>
    </w:p>
    <w:p>
      <w:pPr>
        <w:numPr>
          <w:ilvl w:val="0"/>
          <w:numId w:val="2"/>
        </w:numPr>
        <w:spacing w:line="480" w:lineRule="auto"/>
        <w:rPr>
          <w:rFonts w:ascii="Times New Roman" w:hAnsi="Times New Roman" w:cs="Times New Roman"/>
        </w:rPr>
      </w:pPr>
      <w:r>
        <w:rPr>
          <w:rFonts w:ascii="Times New Roman" w:hAnsi="Times New Roman" w:cs="Times New Roman"/>
          <w:b/>
          <w:bCs/>
        </w:rPr>
        <w:t>Concerns about Confidentiality</w:t>
      </w:r>
      <w:r>
        <w:rPr>
          <w:rFonts w:ascii="Times New Roman" w:hAnsi="Times New Roman" w:cs="Times New Roman"/>
        </w:rPr>
        <w:t>: Some potential participants expressed concerns about the anonymity of their responses, which were addressed by ensuring strict confidentiality measures.</w:t>
      </w:r>
    </w:p>
    <w:p>
      <w:pPr>
        <w:spacing w:line="480" w:lineRule="auto"/>
        <w:rPr>
          <w:rFonts w:ascii="Times New Roman" w:hAnsi="Times New Roman" w:cs="Times New Roman"/>
        </w:rPr>
      </w:pPr>
    </w:p>
    <w:p>
      <w:pPr>
        <w:pStyle w:val="4"/>
      </w:pPr>
      <w:bookmarkStart w:id="146" w:name="_Toc147660182"/>
      <w:bookmarkStart w:id="147" w:name="_Toc134793984"/>
      <w:bookmarkStart w:id="148" w:name="_Toc22294"/>
      <w:r>
        <w:t>3.3.5</w:t>
      </w:r>
      <w:r>
        <w:rPr>
          <w:rFonts w:hint="eastAsia"/>
          <w:lang w:val="en-US" w:eastAsia="zh-CN"/>
        </w:rPr>
        <w:t xml:space="preserve">   </w:t>
      </w:r>
      <w:r>
        <w:t>Inclusion and Exclusion Criteria</w:t>
      </w:r>
      <w:bookmarkEnd w:id="146"/>
      <w:bookmarkEnd w:id="147"/>
      <w:bookmarkEnd w:id="148"/>
    </w:p>
    <w:p>
      <w:pPr>
        <w:spacing w:line="480" w:lineRule="auto"/>
        <w:rPr>
          <w:rFonts w:ascii="Times New Roman" w:hAnsi="Times New Roman" w:cs="Times New Roman"/>
        </w:rPr>
      </w:pPr>
      <w:r>
        <w:rPr>
          <w:rFonts w:ascii="Times New Roman" w:hAnsi="Times New Roman" w:cs="Times New Roman"/>
        </w:rPr>
        <w:t>Inclusion criteria for the study are as follows:</w:t>
      </w:r>
    </w:p>
    <w:p>
      <w:pPr>
        <w:spacing w:line="480" w:lineRule="auto"/>
        <w:rPr>
          <w:rFonts w:ascii="Times New Roman" w:hAnsi="Times New Roman" w:cs="Times New Roman"/>
        </w:rPr>
      </w:pPr>
      <w:r>
        <w:rPr>
          <w:rFonts w:ascii="Times New Roman" w:hAnsi="Times New Roman" w:cs="Times New Roman"/>
        </w:rPr>
        <w:t>a. Participants must be registered doctors or nurses actively working in their respective fields.</w:t>
      </w:r>
    </w:p>
    <w:p>
      <w:pPr>
        <w:spacing w:line="480" w:lineRule="auto"/>
        <w:rPr>
          <w:rFonts w:ascii="Times New Roman" w:hAnsi="Times New Roman" w:cs="Times New Roman"/>
        </w:rPr>
      </w:pPr>
      <w:r>
        <w:rPr>
          <w:rFonts w:ascii="Times New Roman" w:hAnsi="Times New Roman" w:cs="Times New Roman"/>
        </w:rPr>
        <w:t>b. Participants must have participated in at least one continuing education program offered by a private training company or express interest in participating in such programs.</w:t>
      </w:r>
    </w:p>
    <w:p>
      <w:pPr>
        <w:spacing w:line="480" w:lineRule="auto"/>
        <w:rPr>
          <w:rFonts w:ascii="Times New Roman" w:hAnsi="Times New Roman" w:cs="Times New Roman"/>
        </w:rPr>
      </w:pPr>
      <w:r>
        <w:rPr>
          <w:rFonts w:ascii="Times New Roman" w:hAnsi="Times New Roman" w:cs="Times New Roman"/>
        </w:rPr>
        <w:t>c. Participants must be willing to share their experiences and perspectives on their motivations and expectations for continuing education programs.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Exclusion criteria include:</w:t>
      </w:r>
    </w:p>
    <w:p>
      <w:pPr>
        <w:spacing w:line="480" w:lineRule="auto"/>
        <w:rPr>
          <w:rFonts w:ascii="Times New Roman" w:hAnsi="Times New Roman" w:cs="Times New Roman"/>
        </w:rPr>
      </w:pPr>
      <w:r>
        <w:rPr>
          <w:rFonts w:ascii="Times New Roman" w:hAnsi="Times New Roman" w:cs="Times New Roman"/>
        </w:rPr>
        <w:t>a. Healthcare professionals who have not participated in any continuing education programs offered by private training companies and have no interest in participating in such programs.</w:t>
      </w:r>
    </w:p>
    <w:p>
      <w:pPr>
        <w:spacing w:line="480" w:lineRule="auto"/>
        <w:rPr>
          <w:rFonts w:ascii="Times New Roman" w:hAnsi="Times New Roman" w:cs="Times New Roman"/>
        </w:rPr>
      </w:pPr>
      <w:r>
        <w:rPr>
          <w:rFonts w:ascii="Times New Roman" w:hAnsi="Times New Roman" w:cs="Times New Roman"/>
        </w:rPr>
        <w:t>b. Participants who are unable or unwilling to provide informed consent for the study.</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These inclusion and exclusion criteria ensure that the study's participants can provide relevant information and insights, enhancing the study's validity and reliability </w:t>
      </w:r>
      <w:r>
        <w:rPr>
          <w:rFonts w:ascii="Times New Roman" w:hAnsi="Times New Roman" w:cs="Times New Roman"/>
        </w:rPr>
        <w:fldChar w:fldCharType="begin"/>
      </w:r>
      <w:r>
        <w:rPr>
          <w:rFonts w:ascii="Times New Roman" w:hAnsi="Times New Roman" w:cs="Times New Roman"/>
        </w:rPr>
        <w:instrText xml:space="preserve"> ADDIN EN.CITE &lt;EndNote&gt;&lt;Cite&gt;&lt;Author&gt;Leavy&lt;/Author&gt;&lt;Year&gt;2020&lt;/Year&gt;&lt;RecNum&gt;1273&lt;/RecNum&gt;&lt;DisplayText&gt;(Leavy, 2020)&lt;/DisplayText&gt;&lt;record&gt;&lt;rec-number&gt;1273&lt;/rec-number&gt;&lt;foreign-keys&gt;&lt;key app="EN" db-id="r2rswvs2oexszme9tvjx5vx252ep2r22dx9d" timestamp="1701341984"&gt;1273&lt;/key&gt;&lt;/foreign-keys&gt;&lt;ref-type name="Book"&gt;6&lt;/ref-type&gt;&lt;contributors&gt;&lt;authors&gt;&lt;author&gt;Leavy, Patricia&lt;/author&gt;&lt;/authors&gt;&lt;/contributors&gt;&lt;titles&gt;&lt;title&gt;The Oxford handbook of qualitative research&lt;/title&gt;&lt;secondary-title&gt;Oxford handbooks online&lt;/secondary-title&gt;&lt;/titles&gt;&lt;pages&gt;1 online resource (1200 pages)&lt;/pages&gt;&lt;edition&gt;&lt;style face="normal" font="default" size="100%"&gt;2&lt;/style&gt;&lt;style face="superscript" font="default" size="100%"&gt;nd&lt;/style&gt;&lt;/edition&gt;&lt;keywords&gt;&lt;keyword&gt;Qualitative research Methodology.&lt;/keyword&gt;&lt;keyword&gt;Social sciences Research.&lt;/keyword&gt;&lt;/keywords&gt;&lt;dates&gt;&lt;year&gt;2020&lt;/year&gt;&lt;pub-dates&gt;&lt;date&gt;August 31, 2020&lt;/date&gt;&lt;/pub-dates&gt;&lt;/dates&gt;&lt;pub-location&gt;New York&lt;/pub-location&gt;&lt;publisher&gt;Oxford University Press&lt;/publisher&gt;&lt;isbn&gt;0-19-084740-9&amp;#xD;0-19-084739-5&amp;#xD;0-19-084741-7&lt;/isbn&gt;&lt;accession-num&gt;9935189760606761&lt;/accession-num&gt;&lt;work-type&gt;still image&lt;/work-type&gt;&lt;urls&gt;&lt;/urls&gt;&lt;/record&gt;&lt;/Cite&gt;&lt;/EndNote&gt;</w:instrText>
      </w:r>
      <w:r>
        <w:rPr>
          <w:rFonts w:ascii="Times New Roman" w:hAnsi="Times New Roman" w:cs="Times New Roman"/>
        </w:rPr>
        <w:fldChar w:fldCharType="separate"/>
      </w:r>
      <w:r>
        <w:rPr>
          <w:rFonts w:ascii="Times New Roman" w:hAnsi="Times New Roman" w:cs="Times New Roman"/>
        </w:rPr>
        <w:t>(Leavy, 2020)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3"/>
        <w:spacing w:before="240" w:after="240"/>
      </w:pPr>
      <w:bookmarkStart w:id="149" w:name="_Toc134793985"/>
      <w:bookmarkStart w:id="150" w:name="_Toc147660183"/>
      <w:bookmarkStart w:id="151" w:name="_Toc16031"/>
      <w:r>
        <w:t>3.4</w:t>
      </w:r>
      <w:r>
        <w:rPr>
          <w:rFonts w:hint="eastAsia"/>
          <w:lang w:val="en-US" w:eastAsia="zh-CN"/>
        </w:rPr>
        <w:t xml:space="preserve">  </w:t>
      </w:r>
      <w:r>
        <w:t>Data Collection</w:t>
      </w:r>
      <w:bookmarkEnd w:id="149"/>
      <w:bookmarkEnd w:id="150"/>
      <w:bookmarkEnd w:id="151"/>
    </w:p>
    <w:p>
      <w:pPr>
        <w:pStyle w:val="4"/>
      </w:pPr>
      <w:bookmarkStart w:id="152" w:name="_Toc147660184"/>
      <w:bookmarkStart w:id="153" w:name="_Toc134793986"/>
      <w:bookmarkStart w:id="154" w:name="_Toc16662"/>
      <w:r>
        <w:t>3.4.1</w:t>
      </w:r>
      <w:r>
        <w:rPr>
          <w:rFonts w:hint="eastAsia"/>
          <w:lang w:val="en-US" w:eastAsia="zh-CN"/>
        </w:rPr>
        <w:t xml:space="preserve">   </w:t>
      </w:r>
      <w:r>
        <w:t>In-Depth, Semi-Structured Interviews</w:t>
      </w:r>
      <w:bookmarkEnd w:id="152"/>
      <w:bookmarkEnd w:id="153"/>
      <w:bookmarkEnd w:id="154"/>
    </w:p>
    <w:p>
      <w:pPr>
        <w:spacing w:line="480" w:lineRule="auto"/>
        <w:rPr>
          <w:rFonts w:ascii="Times New Roman" w:hAnsi="Times New Roman" w:cs="Times New Roman"/>
        </w:rPr>
      </w:pPr>
      <w:r>
        <w:rPr>
          <w:rFonts w:ascii="Times New Roman" w:hAnsi="Times New Roman" w:cs="Times New Roman"/>
        </w:rPr>
        <w:t xml:space="preserve">In-depth, semi-structured interviews will serve as the primary data collection method, as they facilitate the exploration of participants' experiences, motivations, and expectations in the context of continuing education programs </w:t>
      </w:r>
      <w:r>
        <w:rPr>
          <w:rFonts w:ascii="Times New Roman" w:hAnsi="Times New Roman" w:cs="Times New Roman"/>
        </w:rPr>
        <w:fldChar w:fldCharType="begin"/>
      </w:r>
      <w:r>
        <w:rPr>
          <w:rFonts w:ascii="Times New Roman" w:hAnsi="Times New Roman" w:cs="Times New Roman"/>
        </w:rPr>
        <w:instrText xml:space="preserve"> ADDIN EN.CITE &lt;EndNote&gt;&lt;Cite&gt;&lt;Author&gt;Cohen&lt;/Author&gt;&lt;Year&gt;2018&lt;/Year&gt;&lt;RecNum&gt;1271&lt;/RecNum&gt;&lt;DisplayText&gt;(Cohen&lt;style face="italic"&gt; et al.&lt;/style&gt;, 2018)&lt;/DisplayText&gt;&lt;record&gt;&lt;rec-number&gt;1271&lt;/rec-number&gt;&lt;foreign-keys&gt;&lt;key app="EN" db-id="r2rswvs2oexszme9tvjx5vx252ep2r22dx9d" timestamp="1701341984"&gt;1271&lt;/key&gt;&lt;/foreign-keys&gt;&lt;ref-type name="Book"&gt;6&lt;/ref-type&gt;&lt;contributors&gt;&lt;authors&gt;&lt;author&gt;Cohen, Louis&lt;/author&gt;&lt;author&gt;Manion, Lawrence&lt;/author&gt;&lt;author&gt;Morrison, Keith&lt;/author&gt;&lt;/authors&gt;&lt;/contributors&gt;&lt;titles&gt;&lt;title&gt;Research methods in education&lt;/title&gt;&lt;/titles&gt;&lt;edition&gt;&lt;style face="normal" font="default" size="100%"&gt;8&lt;/style&gt;&lt;style face="superscript" font="default" size="100%"&gt;th&lt;/style&gt;&lt;/edition&gt;&lt;keywords&gt;&lt;keyword&gt;Education -- Research -- Methodology&lt;/keyword&gt;&lt;keyword&gt;Education -- Research -- Great Britain&lt;/keyword&gt;&lt;/keywords&gt;&lt;dates&gt;&lt;year&gt;2018&lt;/year&gt;&lt;/dates&gt;&lt;pub-location&gt;London&lt;/pub-location&gt;&lt;publisher&gt;Routledge&lt;/publisher&gt;&lt;isbn&gt;9781315456515&lt;/isbn&gt;&lt;urls&gt;&lt;/urls&gt;&lt;/record&gt;&lt;/Cite&gt;&lt;/EndNote&gt;</w:instrText>
      </w:r>
      <w:r>
        <w:rPr>
          <w:rFonts w:ascii="Times New Roman" w:hAnsi="Times New Roman" w:cs="Times New Roman"/>
        </w:rPr>
        <w:fldChar w:fldCharType="separate"/>
      </w:r>
      <w:r>
        <w:rPr>
          <w:rFonts w:ascii="Times New Roman" w:hAnsi="Times New Roman" w:cs="Times New Roman"/>
        </w:rPr>
        <w:t>(Cohen</w:t>
      </w:r>
      <w:r>
        <w:rPr>
          <w:rFonts w:ascii="Times New Roman" w:hAnsi="Times New Roman" w:cs="Times New Roman"/>
          <w:i/>
        </w:rPr>
        <w:t xml:space="preserve"> et al.</w:t>
      </w:r>
      <w:r>
        <w:rPr>
          <w:rFonts w:ascii="Times New Roman" w:hAnsi="Times New Roman" w:cs="Times New Roman"/>
        </w:rPr>
        <w:t>, 2018)</w:t>
      </w:r>
      <w:r>
        <w:rPr>
          <w:rFonts w:ascii="Times New Roman" w:hAnsi="Times New Roman" w:cs="Times New Roman"/>
        </w:rPr>
        <w:fldChar w:fldCharType="end"/>
      </w:r>
      <w:r>
        <w:rPr>
          <w:rFonts w:ascii="Times New Roman" w:hAnsi="Times New Roman" w:cs="Times New Roman"/>
        </w:rPr>
        <w:t xml:space="preserve">. This type of interview balances structure and openness, enabling the researcher to utilize a predefined interview guide while allowing room for elaboration and probing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155" w:name="_Toc134793987"/>
      <w:bookmarkStart w:id="156" w:name="_Toc147660185"/>
      <w:bookmarkStart w:id="157" w:name="_Toc4719"/>
      <w:r>
        <w:t>3.4.2</w:t>
      </w:r>
      <w:r>
        <w:rPr>
          <w:rFonts w:hint="eastAsia"/>
          <w:lang w:val="en-US" w:eastAsia="zh-CN"/>
        </w:rPr>
        <w:t xml:space="preserve">   </w:t>
      </w:r>
      <w:r>
        <w:t>Development of the Interview Guide</w:t>
      </w:r>
      <w:bookmarkEnd w:id="155"/>
      <w:bookmarkEnd w:id="156"/>
      <w:bookmarkEnd w:id="157"/>
    </w:p>
    <w:p>
      <w:pPr>
        <w:spacing w:line="480" w:lineRule="auto"/>
        <w:rPr>
          <w:rFonts w:ascii="Times New Roman" w:hAnsi="Times New Roman" w:cs="Times New Roman"/>
        </w:rPr>
      </w:pPr>
      <w:r>
        <w:rPr>
          <w:rFonts w:ascii="Times New Roman" w:hAnsi="Times New Roman" w:cs="Times New Roman"/>
        </w:rPr>
        <w:t>The interview guide will be designed based on the research questions outlined in section 1.3. It will encompass open-ended questions and prompts aimed at eliciting detailed responses from participants. Questions will focus 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a. Factors motivating healthcare professionals to participate in continuing education programs offered by private training companies (research question 1)</w:t>
      </w:r>
    </w:p>
    <w:p>
      <w:pPr>
        <w:spacing w:line="480" w:lineRule="auto"/>
        <w:rPr>
          <w:rFonts w:ascii="Times New Roman" w:hAnsi="Times New Roman" w:cs="Times New Roman"/>
        </w:rPr>
      </w:pPr>
      <w:r>
        <w:rPr>
          <w:rFonts w:ascii="Times New Roman" w:hAnsi="Times New Roman" w:cs="Times New Roman"/>
        </w:rPr>
        <w:t>b. Perceived benefits and challenges associated with participating in continuing education programs for healthcare professionals (research question 4)</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interview guide will undergo pilot testing and revisions to ensure clarity and effectiveness in addressing the research questions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&lt;EndNote&gt;&lt;Cite&gt;&lt;Author&gt;Bell&lt;/Author&gt;&lt;Year&gt;2022&lt;/Year&gt;&lt;RecNum&gt;1279&lt;/RecNum&gt;&lt;DisplayText&gt;(Bell, Bryman and Harley, 2022)&lt;/DisplayText&gt;&lt;record&gt;&lt;rec-number&gt;1279&lt;/rec-number&gt;&lt;foreign-keys&gt;&lt;key app="EN" db-id="r2rswvs2oexszme9tvjx5vx252ep2r22dx9d" timestamp="1701341984"&gt;1279&lt;/key&gt;&lt;/foreign-keys&gt;&lt;ref-type name="Book"&gt;6&lt;/ref-type&gt;&lt;contributors&gt;&lt;authors&gt;&lt;author&gt;Bell, Emma&lt;/author&gt;&lt;author&gt;Bryman, Alan&lt;/author&gt;&lt;author&gt;Harley, Bill&lt;/author&gt;&lt;/authors&gt;&lt;/contributors&gt;&lt;titles&gt;&lt;title&gt;Business research methods&lt;/title&gt;&lt;/titles&gt;&lt;pages&gt;xl, 647 pages&lt;/pages&gt;&lt;edition&gt;&lt;style face="normal" font="default" size="100%"&gt;6&lt;/style&gt;&lt;style face="superscript" font="default" size="100%"&gt;th&lt;/style&gt;&lt;/edition&gt;&lt;keywords&gt;&lt;keyword&gt;Business Research Methodology.&lt;/keyword&gt;&lt;keyword&gt;Business and Management.&lt;/keyword&gt;&lt;/keywords&gt;&lt;dates&gt;&lt;year&gt;2022&lt;/year&gt;&lt;/dates&gt;&lt;pub-location&gt;Oxford&lt;/pub-location&gt;&lt;publisher&gt;Oxford University Press&lt;/publisher&gt;&lt;isbn&gt;9780198869443&lt;/isbn&gt;&lt;accession-num&gt;99617432136306881&lt;/accession-num&gt;&lt;call-num&gt;CHAN HD30.4 BEL&lt;/call-num&gt;&lt;urls&gt;&lt;/urls&gt;&lt;/record&gt;&lt;/Cite&gt;&lt;/EndNote&gt;</w:instrText>
      </w:r>
      <w:r>
        <w:rPr>
          <w:rFonts w:ascii="Times New Roman" w:hAnsi="Times New Roman" w:cs="Times New Roman"/>
        </w:rPr>
        <w:fldChar w:fldCharType="separate"/>
      </w:r>
      <w:r>
        <w:rPr>
          <w:rFonts w:ascii="Times New Roman" w:hAnsi="Times New Roman" w:cs="Times New Roman"/>
        </w:rPr>
        <w:t>(Bell, Bryman and Harley,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158" w:name="_Toc134793988"/>
      <w:bookmarkStart w:id="159" w:name="_Toc147660186"/>
      <w:bookmarkStart w:id="160" w:name="_Toc18520"/>
      <w:r>
        <w:t>3.4.3</w:t>
      </w:r>
      <w:r>
        <w:rPr>
          <w:rFonts w:hint="eastAsia"/>
          <w:lang w:val="en-US" w:eastAsia="zh-CN"/>
        </w:rPr>
        <w:t xml:space="preserve">   </w:t>
      </w:r>
      <w:r>
        <w:t>Face-to-Face Online Interviews</w:t>
      </w:r>
      <w:bookmarkEnd w:id="158"/>
      <w:bookmarkEnd w:id="159"/>
      <w:bookmarkEnd w:id="160"/>
    </w:p>
    <w:p>
      <w:pPr>
        <w:spacing w:line="480" w:lineRule="auto"/>
        <w:rPr>
          <w:rFonts w:ascii="Times New Roman" w:hAnsi="Times New Roman" w:cs="Times New Roman"/>
        </w:rPr>
      </w:pPr>
      <w:r>
        <w:rPr>
          <w:rFonts w:ascii="Times New Roman" w:hAnsi="Times New Roman" w:cs="Times New Roman"/>
        </w:rPr>
        <w:t xml:space="preserve">Face-to-face online interviews via Zoom will be conducted to collect data from participants. Online interviews, particularly those via video conferencing platforms, offer convenience for participants and can foster rapport-building and open discussions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This method also accommodates participants' preferences and logistical considerations, making the data collection process more accessible and comfortable for all involved. Zoom provides the necessary features to facilitate smooth communication and ensure the secure storage and handling of the collected data.</w:t>
      </w:r>
    </w:p>
    <w:p>
      <w:pPr>
        <w:spacing w:line="480" w:lineRule="auto"/>
        <w:rPr>
          <w:rFonts w:ascii="Times New Roman" w:hAnsi="Times New Roman" w:cs="Times New Roman"/>
        </w:rPr>
      </w:pPr>
    </w:p>
    <w:p>
      <w:pPr>
        <w:pStyle w:val="3"/>
        <w:spacing w:before="240" w:after="240"/>
      </w:pPr>
      <w:bookmarkStart w:id="161" w:name="_Toc134793989"/>
      <w:bookmarkStart w:id="162" w:name="_Toc147660187"/>
      <w:bookmarkStart w:id="163" w:name="_Toc19509"/>
      <w:r>
        <w:t>3.5</w:t>
      </w:r>
      <w:r>
        <w:rPr>
          <w:rFonts w:hint="eastAsia"/>
          <w:lang w:val="en-US" w:eastAsia="zh-CN"/>
        </w:rPr>
        <w:t xml:space="preserve">  </w:t>
      </w:r>
      <w:r>
        <w:t>Data Analysis</w:t>
      </w:r>
      <w:bookmarkEnd w:id="161"/>
      <w:bookmarkEnd w:id="162"/>
      <w:bookmarkEnd w:id="163"/>
    </w:p>
    <w:p>
      <w:pPr>
        <w:pStyle w:val="4"/>
      </w:pPr>
      <w:bookmarkStart w:id="164" w:name="_Toc134793990"/>
      <w:bookmarkStart w:id="165" w:name="_Toc147660188"/>
      <w:bookmarkStart w:id="166" w:name="_Toc9600"/>
      <w:r>
        <w:t>3.5.1</w:t>
      </w:r>
      <w:r>
        <w:rPr>
          <w:rFonts w:hint="eastAsia"/>
          <w:lang w:val="en-US" w:eastAsia="zh-CN"/>
        </w:rPr>
        <w:t xml:space="preserve">   </w:t>
      </w:r>
      <w:r>
        <w:t>Thematic Analysis</w:t>
      </w:r>
      <w:bookmarkEnd w:id="164"/>
      <w:bookmarkEnd w:id="165"/>
      <w:bookmarkEnd w:id="166"/>
    </w:p>
    <w:p>
      <w:pPr>
        <w:spacing w:line="480" w:lineRule="auto"/>
        <w:rPr>
          <w:rFonts w:ascii="Times New Roman" w:hAnsi="Times New Roman" w:cs="Times New Roman"/>
        </w:rPr>
      </w:pPr>
      <w:r>
        <w:rPr>
          <w:rFonts w:ascii="Times New Roman" w:hAnsi="Times New Roman" w:cs="Times New Roman"/>
        </w:rPr>
        <w:t xml:space="preserve">Thematic analysis will be employed as the primary method for data analysis in this study. Thematic analysis is a widely used qualitative data analysis technique that facilitates the identification, analysis, and reporting of patterns or themes within the data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This approach is particularly suited for addressing the research questions, as it allows for the exploration of healthcare professionals' motivations, expectations, and experiences in the context of continuing education programs.</w:t>
      </w:r>
    </w:p>
    <w:p>
      <w:pPr>
        <w:spacing w:line="480" w:lineRule="auto"/>
        <w:ind w:left="720"/>
        <w:rPr>
          <w:rFonts w:ascii="Times New Roman" w:hAnsi="Times New Roman" w:cs="Times New Roman"/>
        </w:rPr>
      </w:pPr>
    </w:p>
    <w:p>
      <w:pPr>
        <w:pStyle w:val="4"/>
      </w:pPr>
      <w:bookmarkStart w:id="167" w:name="_Toc134793991"/>
      <w:bookmarkStart w:id="168" w:name="_Toc147660189"/>
      <w:bookmarkStart w:id="169" w:name="_Toc10728"/>
      <w:r>
        <w:t>3.5.2</w:t>
      </w:r>
      <w:r>
        <w:rPr>
          <w:rFonts w:hint="eastAsia"/>
          <w:lang w:val="en-US" w:eastAsia="zh-CN"/>
        </w:rPr>
        <w:t xml:space="preserve">   </w:t>
      </w:r>
      <w:r>
        <w:t>Steps in the Analysis Process</w:t>
      </w:r>
      <w:bookmarkEnd w:id="167"/>
      <w:bookmarkEnd w:id="168"/>
      <w:bookmarkEnd w:id="169"/>
    </w:p>
    <w:p>
      <w:pPr>
        <w:spacing w:line="480" w:lineRule="auto"/>
        <w:rPr>
          <w:rFonts w:ascii="Times New Roman" w:hAnsi="Times New Roman" w:cs="Times New Roman"/>
        </w:rPr>
      </w:pPr>
      <w:r>
        <w:rPr>
          <w:rFonts w:ascii="Times New Roman" w:hAnsi="Times New Roman" w:cs="Times New Roman"/>
        </w:rPr>
        <w:t xml:space="preserve">The analysis process will follow the six steps proposed by Braun and Clarke </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ExcludeAuth="1"&gt;&lt;Author&gt;Clarke&lt;/Author&gt;&lt;Year&gt;2013&lt;/Year&gt;&lt;RecNum&gt;1280&lt;/RecNum&gt;&lt;DisplayText&gt;(2013)&lt;/DisplayText&gt;&lt;record&gt;&lt;rec-number&gt;1280&lt;/rec-number&gt;&lt;foreign-keys&gt;&lt;key app="EN" db-id="r2rswvs2oexszme9tvjx5vx252ep2r22dx9d" timestamp="1701341984"&gt;1280&lt;/key&gt;&lt;/foreign-keys&gt;&lt;ref-type name="Book"&gt;6&lt;/ref-type&gt;&lt;contributors&gt;&lt;authors&gt;&lt;author&gt;Clarke, Victoria&lt;/author&gt;&lt;author&gt;Braun, Virginia&lt;/author&gt;&lt;/authors&gt;&lt;/contributors&gt;&lt;titles&gt;&lt;title&gt;Successful qualitative research: A practical guide for beginners&lt;/title&gt;&lt;/titles&gt;&lt;keywords&gt;&lt;keyword&gt;Qualitative research&lt;/keyword&gt;&lt;keyword&gt;Social sciences -- Research -- Methodology&lt;/keyword&gt;&lt;/keywords&gt;&lt;dates&gt;&lt;year&gt;2013&lt;/year&gt;&lt;/dates&gt;&lt;pub-location&gt;London&lt;/pub-location&gt;&lt;publisher&gt;SAGE&lt;/publisher&gt;&lt;isbn&gt;9781847875815&lt;/isbn&gt;&lt;urls&gt;&lt;/urls&gt;&lt;/record&gt;&lt;/Cite&gt;&lt;/EndNote&gt;</w:instrText>
      </w:r>
      <w:r>
        <w:rPr>
          <w:rFonts w:ascii="Times New Roman" w:hAnsi="Times New Roman" w:cs="Times New Roman"/>
        </w:rPr>
        <w:fldChar w:fldCharType="separate"/>
      </w:r>
      <w:r>
        <w:rPr>
          <w:rFonts w:ascii="Times New Roman" w:hAnsi="Times New Roman" w:cs="Times New Roman"/>
        </w:rPr>
        <w:t>(2013)</w:t>
      </w:r>
      <w:r>
        <w:rPr>
          <w:rFonts w:ascii="Times New Roman" w:hAnsi="Times New Roman" w:cs="Times New Roman"/>
        </w:rPr>
        <w:fldChar w:fldCharType="end"/>
      </w:r>
      <w:r>
        <w:rPr>
          <w:rFonts w:ascii="Times New Roman" w:hAnsi="Times New Roman" w:cs="Times New Roman"/>
        </w:rPr>
        <w:t>:</w:t>
      </w:r>
    </w:p>
    <w:p>
      <w:pPr>
        <w:spacing w:line="360" w:lineRule="auto"/>
        <w:ind w:left="720"/>
        <w:rPr>
          <w:rFonts w:ascii="Times New Roman" w:hAnsi="Times New Roman" w:cs="Times New Roman"/>
        </w:rPr>
      </w:pPr>
      <w:r>
        <w:rPr>
          <w:rFonts w:ascii="Times New Roman" w:hAnsi="Times New Roman" w:cs="Times New Roman"/>
          <w:u w:val="single"/>
        </w:rPr>
        <w:t>Familiarization with the data</w:t>
      </w:r>
      <w:r>
        <w:rPr>
          <w:rFonts w:ascii="Times New Roman" w:hAnsi="Times New Roman" w:cs="Times New Roman"/>
        </w:rPr>
        <w:t>: The researcher will thoroughly review the interview transcripts, immersing themselves in the data to gain an in-depth understanding of the content and context.</w:t>
      </w:r>
    </w:p>
    <w:p>
      <w:pPr>
        <w:spacing w:line="360" w:lineRule="auto"/>
        <w:ind w:left="720"/>
        <w:rPr>
          <w:rFonts w:ascii="Times New Roman" w:hAnsi="Times New Roman" w:cs="Times New Roman"/>
        </w:rPr>
      </w:pPr>
      <w:r>
        <w:rPr>
          <w:rFonts w:ascii="Times New Roman" w:hAnsi="Times New Roman" w:cs="Times New Roman"/>
          <w:u w:val="single"/>
        </w:rPr>
        <w:t>Initial coding</w:t>
      </w:r>
      <w:r>
        <w:rPr>
          <w:rFonts w:ascii="Times New Roman" w:hAnsi="Times New Roman" w:cs="Times New Roman"/>
        </w:rPr>
        <w:t>: The researcher will generate initial codes by identifying and labeling meaningful segments of the data, reflecting participants' experiences, motivations, expectations, and other relevant information.</w:t>
      </w:r>
    </w:p>
    <w:p>
      <w:pPr>
        <w:spacing w:line="360" w:lineRule="auto"/>
        <w:ind w:left="720"/>
        <w:rPr>
          <w:rFonts w:ascii="Times New Roman" w:hAnsi="Times New Roman" w:cs="Times New Roman"/>
        </w:rPr>
      </w:pPr>
      <w:r>
        <w:rPr>
          <w:rFonts w:ascii="Times New Roman" w:hAnsi="Times New Roman" w:cs="Times New Roman"/>
          <w:u w:val="single"/>
        </w:rPr>
        <w:t>Identifying themes</w:t>
      </w:r>
      <w:r>
        <w:rPr>
          <w:rFonts w:ascii="Times New Roman" w:hAnsi="Times New Roman" w:cs="Times New Roman"/>
        </w:rPr>
        <w:t>: Codes will be collated and grouped into broader themes, capturing the essence of the data and reflecting patterns in participants' responses.</w:t>
      </w:r>
    </w:p>
    <w:p>
      <w:pPr>
        <w:spacing w:line="360" w:lineRule="auto"/>
        <w:ind w:left="720"/>
        <w:rPr>
          <w:rFonts w:ascii="Times New Roman" w:hAnsi="Times New Roman" w:cs="Times New Roman"/>
        </w:rPr>
      </w:pPr>
      <w:r>
        <w:rPr>
          <w:rFonts w:ascii="Times New Roman" w:hAnsi="Times New Roman" w:cs="Times New Roman"/>
          <w:u w:val="single"/>
        </w:rPr>
        <w:t>Reviewing themes</w:t>
      </w:r>
      <w:r>
        <w:rPr>
          <w:rFonts w:ascii="Times New Roman" w:hAnsi="Times New Roman" w:cs="Times New Roman"/>
        </w:rPr>
        <w:t>: The identified themes will be reviewed and refined to ensure they accurately represent the coded data and the overall dataset. This step may involve merging, splitting, or discarding themes to achieve a coherent thematic structure.</w:t>
      </w:r>
    </w:p>
    <w:p>
      <w:pPr>
        <w:spacing w:line="360" w:lineRule="auto"/>
        <w:ind w:left="720"/>
        <w:rPr>
          <w:rFonts w:ascii="Times New Roman" w:hAnsi="Times New Roman" w:cs="Times New Roman"/>
        </w:rPr>
      </w:pPr>
      <w:r>
        <w:rPr>
          <w:rFonts w:ascii="Times New Roman" w:hAnsi="Times New Roman" w:cs="Times New Roman"/>
          <w:u w:val="single"/>
        </w:rPr>
        <w:t>Defining and naming themes</w:t>
      </w:r>
      <w:r>
        <w:rPr>
          <w:rFonts w:ascii="Times New Roman" w:hAnsi="Times New Roman" w:cs="Times New Roman"/>
        </w:rPr>
        <w:t>: Each theme will be clearly defined, and a concise name will be assigned, reflecting its core concept and the relationship with the research questions.</w:t>
      </w:r>
    </w:p>
    <w:p>
      <w:pPr>
        <w:spacing w:line="360" w:lineRule="auto"/>
        <w:ind w:left="720"/>
        <w:rPr>
          <w:rFonts w:ascii="Times New Roman" w:hAnsi="Times New Roman" w:cs="Times New Roman"/>
        </w:rPr>
      </w:pPr>
      <w:r>
        <w:rPr>
          <w:rFonts w:ascii="Times New Roman" w:hAnsi="Times New Roman" w:cs="Times New Roman"/>
          <w:u w:val="single"/>
        </w:rPr>
        <w:t>Interpretation and reporting</w:t>
      </w:r>
      <w:r>
        <w:rPr>
          <w:rFonts w:ascii="Times New Roman" w:hAnsi="Times New Roman" w:cs="Times New Roman"/>
        </w:rPr>
        <w:t>: The researcher will provide a detailed and nuanced account of the themes, interpreting their significance in relation to the research questions, the study's aims, and the existing literature.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Throughout the analysis process, the researcher will maintain reflexivity, acknowledging her role in shaping the findings and remaining aware of potential biases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3"/>
        <w:spacing w:before="240" w:after="240"/>
      </w:pPr>
      <w:bookmarkStart w:id="170" w:name="_Toc134793992"/>
      <w:bookmarkStart w:id="171" w:name="_Toc147660190"/>
      <w:bookmarkStart w:id="172" w:name="_Toc28427"/>
      <w:r>
        <w:t>3.6</w:t>
      </w:r>
      <w:r>
        <w:rPr>
          <w:rFonts w:hint="eastAsia"/>
          <w:lang w:val="en-US" w:eastAsia="zh-CN"/>
        </w:rPr>
        <w:t xml:space="preserve">  </w:t>
      </w:r>
      <w:r>
        <w:t>Ethical Considerations</w:t>
      </w:r>
      <w:bookmarkEnd w:id="170"/>
      <w:bookmarkEnd w:id="171"/>
      <w:bookmarkEnd w:id="172"/>
    </w:p>
    <w:p>
      <w:pPr>
        <w:pStyle w:val="4"/>
      </w:pPr>
      <w:bookmarkStart w:id="173" w:name="_Toc134793993"/>
      <w:bookmarkStart w:id="174" w:name="_Toc147660191"/>
      <w:bookmarkStart w:id="175" w:name="_Toc24320"/>
      <w:r>
        <w:t>3.6.1</w:t>
      </w:r>
      <w:r>
        <w:rPr>
          <w:rFonts w:hint="eastAsia"/>
          <w:lang w:val="en-US" w:eastAsia="zh-CN"/>
        </w:rPr>
        <w:t xml:space="preserve">   </w:t>
      </w:r>
      <w:r>
        <w:t>Informed Consent</w:t>
      </w:r>
      <w:bookmarkEnd w:id="173"/>
      <w:bookmarkEnd w:id="174"/>
      <w:bookmarkEnd w:id="175"/>
    </w:p>
    <w:p>
      <w:pPr>
        <w:spacing w:line="480" w:lineRule="auto"/>
        <w:rPr>
          <w:rFonts w:ascii="Times New Roman" w:hAnsi="Times New Roman" w:cs="Times New Roman"/>
        </w:rPr>
      </w:pPr>
      <w:r>
        <w:rPr>
          <w:rFonts w:ascii="Times New Roman" w:hAnsi="Times New Roman" w:cs="Times New Roman"/>
        </w:rPr>
        <w:t xml:space="preserve">Informed consent is a fundamental ethical principle in research involving human participants </w: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EN.CITE.DATA </w:instrText>
      </w:r>
      <w:r>
        <w:rPr>
          <w:rFonts w:ascii="Times New Roman" w:hAnsi="Times New Roman" w:cs="Times New Roman"/>
        </w:rPr>
        <w:fldChar w:fldCharType="end"/>
      </w:r>
      <w:r>
        <w:rPr>
          <w:rFonts w:ascii="Times New Roman" w:hAnsi="Times New Roman" w:cs="Times New Roman"/>
        </w:rPr>
        <w:fldChar w:fldCharType="separate"/>
      </w:r>
      <w:r>
        <w:rPr>
          <w:rFonts w:ascii="Times New Roman" w:hAnsi="Times New Roman" w:cs="Times New Roman"/>
        </w:rPr>
        <w:t>(Bos, 2020)</w:t>
      </w:r>
      <w:r>
        <w:rPr>
          <w:rFonts w:ascii="Times New Roman" w:hAnsi="Times New Roman" w:cs="Times New Roman"/>
        </w:rPr>
        <w:fldChar w:fldCharType="end"/>
      </w:r>
      <w:r>
        <w:rPr>
          <w:rFonts w:ascii="Times New Roman" w:hAnsi="Times New Roman" w:cs="Times New Roman"/>
        </w:rPr>
        <w:t>. Prior to the interviews, participants are provided with a consent form that clearly outlines the study's objectives, the voluntary nature of participation, and the potential risks and benefits associated with participation. Participants are given adequate time to review the information, ask questions, and make an informed decision about their involvement in the study. Written consent have been obtained from each participant before proceeding with the interview.</w:t>
      </w:r>
    </w:p>
    <w:p>
      <w:pPr>
        <w:spacing w:line="480" w:lineRule="auto"/>
        <w:rPr>
          <w:rFonts w:ascii="Times New Roman" w:hAnsi="Times New Roman" w:cs="Times New Roman"/>
        </w:rPr>
      </w:pPr>
    </w:p>
    <w:p>
      <w:pPr>
        <w:pStyle w:val="4"/>
      </w:pPr>
      <w:bookmarkStart w:id="176" w:name="_Toc134793994"/>
      <w:bookmarkStart w:id="177" w:name="_Toc147660192"/>
      <w:bookmarkStart w:id="178" w:name="_Toc28084"/>
      <w:r>
        <w:t>3.6.2</w:t>
      </w:r>
      <w:r>
        <w:rPr>
          <w:rFonts w:hint="eastAsia"/>
          <w:lang w:val="en-US" w:eastAsia="zh-CN"/>
        </w:rPr>
        <w:t xml:space="preserve">   </w:t>
      </w:r>
      <w:r>
        <w:t>Confidentiality and Anonymity</w:t>
      </w:r>
      <w:bookmarkEnd w:id="176"/>
      <w:bookmarkEnd w:id="177"/>
      <w:bookmarkEnd w:id="178"/>
    </w:p>
    <w:p>
      <w:pPr>
        <w:spacing w:line="480" w:lineRule="auto"/>
        <w:rPr>
          <w:rFonts w:ascii="Times New Roman" w:hAnsi="Times New Roman" w:cs="Times New Roman"/>
        </w:rPr>
      </w:pPr>
      <w:r>
        <w:rPr>
          <w:rFonts w:ascii="Times New Roman" w:hAnsi="Times New Roman" w:cs="Times New Roman"/>
        </w:rPr>
        <w:t xml:space="preserve">Maintaining confidentiality and anonymity is essential in protecting the privacy and dignity of research participants </w:t>
      </w:r>
      <w:r>
        <w:rPr>
          <w:rFonts w:ascii="Times New Roman" w:hAnsi="Times New Roman" w:cs="Times New Roman"/>
        </w:rPr>
        <w:fldChar w:fldCharType="begin"/>
      </w:r>
      <w:r>
        <w:rPr>
          <w:rFonts w:ascii="Times New Roman" w:hAnsi="Times New Roman" w:cs="Times New Roman"/>
        </w:rPr>
        <w:instrText xml:space="preserve"> ADDIN EN.CITE &lt;EndNote&gt;&lt;Cite&gt;&lt;Author&gt;Iltis&lt;/Author&gt;&lt;Year&gt;2020&lt;/Year&gt;&lt;RecNum&gt;1282&lt;/RecNum&gt;&lt;DisplayText&gt;(Iltis and McKay, 2020)&lt;/DisplayText&gt;&lt;record&gt;&lt;rec-number&gt;1282&lt;/rec-number&gt;&lt;foreign-keys&gt;&lt;key app="EN" db-id="r2rswvs2oexszme9tvjx5vx252ep2r22dx9d" timestamp="1701341984"&gt;1282&lt;/key&gt;&lt;/foreign-keys&gt;&lt;ref-type name="Book"&gt;6&lt;/ref-type&gt;&lt;contributors&gt;&lt;authors&gt;&lt;author&gt;Iltis, Ana Smith&lt;/author&gt;&lt;author&gt;McKay, Douglas&lt;/author&gt;&lt;/authors&gt;&lt;/contributors&gt;&lt;titles&gt;&lt;title&gt;The Oxford handbook of research ethics&lt;/title&gt;&lt;/titles&gt;&lt;pages&gt;1 online resource&lt;/pages&gt;&lt;keywords&gt;&lt;keyword&gt;Research Moral and ethical aspects.&lt;/keyword&gt;&lt;/keywords&gt;&lt;dates&gt;&lt;year&gt;2020&lt;/year&gt;&lt;pub-dates&gt;&lt;date&gt;October 2, 2020&lt;/date&gt;&lt;/pub-dates&gt;&lt;/dates&gt;&lt;pub-location&gt;New York&lt;/pub-location&gt;&lt;publisher&gt;Oxford University Press&lt;/publisher&gt;&lt;isbn&gt;0-19-094776-4&lt;/isbn&gt;&lt;accession-num&gt;9935189772406761&lt;/accession-num&gt;&lt;urls&gt;&lt;/urls&gt;&lt;/record&gt;&lt;/Cite&gt;&lt;/EndNote&gt;</w:instrText>
      </w:r>
      <w:r>
        <w:rPr>
          <w:rFonts w:ascii="Times New Roman" w:hAnsi="Times New Roman" w:cs="Times New Roman"/>
        </w:rPr>
        <w:fldChar w:fldCharType="separate"/>
      </w:r>
      <w:r>
        <w:rPr>
          <w:rFonts w:ascii="Times New Roman" w:hAnsi="Times New Roman" w:cs="Times New Roman"/>
        </w:rPr>
        <w:t>(Iltis and McKay, 2020)</w:t>
      </w:r>
      <w:r>
        <w:rPr>
          <w:rFonts w:ascii="Times New Roman" w:hAnsi="Times New Roman" w:cs="Times New Roman"/>
        </w:rPr>
        <w:fldChar w:fldCharType="end"/>
      </w:r>
      <w:r>
        <w:rPr>
          <w:rFonts w:ascii="Times New Roman" w:hAnsi="Times New Roman" w:cs="Times New Roman"/>
        </w:rPr>
        <w:t xml:space="preserve">. To ensure confidentiality, participants' personal information are securely stored, and access to the data are restricted to the researcher. During the analysis and reporting stages, data are anonymized, with any identifiable information removed or disguised to prevent the identification of individual participants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Pseudonyms and codes are used in place of participants' real names, and any other potentially identifying details are altered or omitted </w:t>
      </w:r>
      <w:r>
        <w:rPr>
          <w:rFonts w:ascii="Times New Roman" w:hAnsi="Times New Roman" w:cs="Times New Roman"/>
        </w:rPr>
        <w:fldChar w:fldCharType="begin"/>
      </w:r>
      <w:r>
        <w:rPr>
          <w:rFonts w:ascii="Times New Roman" w:hAnsi="Times New Roman" w:cs="Times New Roman"/>
        </w:rPr>
        <w:instrText xml:space="preserve"> ADDIN EN.CITE &lt;EndNote&gt;&lt;Cite&gt;&lt;Author&gt;Israel&lt;/Author&gt;&lt;Year&gt;2006&lt;/Year&gt;&lt;RecNum&gt;1283&lt;/RecNum&gt;&lt;DisplayText&gt;(Israel and Hay, 2006)&lt;/DisplayText&gt;&lt;record&gt;&lt;rec-number&gt;1283&lt;/rec-number&gt;&lt;foreign-keys&gt;&lt;key app="EN" db-id="r2rswvs2oexszme9tvjx5vx252ep2r22dx9d" timestamp="1701341984"&gt;1283&lt;/key&gt;&lt;/foreign-keys&gt;&lt;ref-type name="Book"&gt;6&lt;/ref-type&gt;&lt;contributors&gt;&lt;authors&gt;&lt;author&gt;Israel, Mark&lt;/author&gt;&lt;author&gt;Hay, Iain&lt;/author&gt;&lt;/authors&gt;&lt;/contributors&gt;&lt;titles&gt;&lt;title&gt;Research ethics for social scientists: Between ethical conduct and regulatory compliance&lt;/title&gt;&lt;/titles&gt;&lt;pages&gt;xiii, 193 p.&lt;/pages&gt;&lt;keywords&gt;&lt;keyword&gt;Social sciences Research Moral and ethical aspects.&lt;/keyword&gt;&lt;keyword&gt;Social scientists Professional ethics.&lt;/keyword&gt;&lt;/keywords&gt;&lt;dates&gt;&lt;year&gt;2006&lt;/year&gt;&lt;/dates&gt;&lt;pub-location&gt;London&lt;/pub-location&gt;&lt;publisher&gt;Sage&lt;/publisher&gt;&lt;isbn&gt;1412903904 (pbk)&amp;#xD;1412903890&lt;/isbn&gt;&lt;accession-num&gt;990013869080106761&lt;/accession-num&gt;&lt;call-num&gt;DEW H62.I785 2006852 Dewey Library H62.I785 2006&lt;/call-num&gt;&lt;urls&gt;&lt;related-urls&gt;&lt;url&gt;Publisher description http://www.loc.gov/catdir/enhancements/fy0701/2005910187-d.html&lt;/url&gt;&lt;url&gt;Table of contents only http://www.loc.gov/catdir/enhancements/fy0701/2005910187-t.html&lt;/url&gt;&lt;/related-urls&gt;&lt;/urls&gt;&lt;electronic-resource-num&gt;9781412903899&amp;#xD;9781412903905&lt;/electronic-resource-num&gt;&lt;/record&gt;&lt;/Cite&gt;&lt;/EndNote&gt;</w:instrText>
      </w:r>
      <w:r>
        <w:rPr>
          <w:rFonts w:ascii="Times New Roman" w:hAnsi="Times New Roman" w:cs="Times New Roman"/>
        </w:rPr>
        <w:fldChar w:fldCharType="separate"/>
      </w:r>
      <w:r>
        <w:rPr>
          <w:rFonts w:ascii="Times New Roman" w:hAnsi="Times New Roman" w:cs="Times New Roman"/>
        </w:rPr>
        <w:t>(Israel and Hay, 2006)</w:t>
      </w:r>
      <w:r>
        <w:rPr>
          <w:rFonts w:ascii="Times New Roman" w:hAnsi="Times New Roman" w:cs="Times New Roman"/>
        </w:rPr>
        <w:fldChar w:fldCharType="end"/>
      </w:r>
      <w:r>
        <w:rPr>
          <w:rFonts w:ascii="Times New Roman" w:hAnsi="Times New Roman" w:cs="Times New Roman"/>
        </w:rPr>
        <w:t>.</w:t>
      </w:r>
    </w:p>
    <w:p>
      <w:pPr>
        <w:spacing w:line="480" w:lineRule="auto"/>
        <w:ind w:left="360"/>
        <w:rPr>
          <w:rFonts w:ascii="Times New Roman" w:hAnsi="Times New Roman" w:cs="Times New Roman"/>
        </w:rPr>
      </w:pPr>
    </w:p>
    <w:p>
      <w:pPr>
        <w:pStyle w:val="4"/>
      </w:pPr>
      <w:bookmarkStart w:id="179" w:name="_Toc147660193"/>
      <w:bookmarkStart w:id="180" w:name="_Toc134793995"/>
      <w:bookmarkStart w:id="181" w:name="_Toc4051"/>
      <w:r>
        <w:t>3.6.3</w:t>
      </w:r>
      <w:r>
        <w:rPr>
          <w:rFonts w:hint="eastAsia"/>
          <w:lang w:val="en-US" w:eastAsia="zh-CN"/>
        </w:rPr>
        <w:t xml:space="preserve">   </w:t>
      </w:r>
      <w:r>
        <w:t>Minimizing Harm to Participants</w:t>
      </w:r>
      <w:bookmarkEnd w:id="179"/>
      <w:bookmarkEnd w:id="180"/>
      <w:bookmarkEnd w:id="181"/>
    </w:p>
    <w:p>
      <w:pPr>
        <w:spacing w:line="480" w:lineRule="auto"/>
        <w:rPr>
          <w:rFonts w:ascii="Times New Roman" w:hAnsi="Times New Roman" w:cs="Times New Roman"/>
        </w:rPr>
      </w:pPr>
      <w:r>
        <w:rPr>
          <w:rFonts w:ascii="Times New Roman" w:hAnsi="Times New Roman" w:cs="Times New Roman"/>
        </w:rPr>
        <w:t xml:space="preserve">The ethical principle of non-maleficence requires researchers to minimize potential harm to participants and prioritize their well-being </w: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EN.CITE.DATA </w:instrText>
      </w:r>
      <w:r>
        <w:rPr>
          <w:rFonts w:ascii="Times New Roman" w:hAnsi="Times New Roman" w:cs="Times New Roman"/>
        </w:rPr>
        <w:fldChar w:fldCharType="end"/>
      </w:r>
      <w:r>
        <w:rPr>
          <w:rFonts w:ascii="Times New Roman" w:hAnsi="Times New Roman" w:cs="Times New Roman"/>
        </w:rPr>
        <w:fldChar w:fldCharType="separate"/>
      </w:r>
      <w:r>
        <w:rPr>
          <w:rFonts w:ascii="Times New Roman" w:hAnsi="Times New Roman" w:cs="Times New Roman"/>
        </w:rPr>
        <w:t>(Bos, 2020)</w:t>
      </w:r>
      <w:r>
        <w:rPr>
          <w:rFonts w:ascii="Times New Roman" w:hAnsi="Times New Roman" w:cs="Times New Roman"/>
        </w:rPr>
        <w:fldChar w:fldCharType="end"/>
      </w:r>
      <w:r>
        <w:rPr>
          <w:rFonts w:ascii="Times New Roman" w:hAnsi="Times New Roman" w:cs="Times New Roman"/>
        </w:rPr>
        <w:t xml:space="preserve">. The researcher ensures that the interview process is respectful and non-invasive, avoiding any questions or topics that may cause distress or discomfort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Participants are informed of their right to withdraw from the study at any time without penalty, and they are given the option to decline answering specific questions if they feel uncomfortable. If any participant experiences distress during the interview, the researcher would offer appropriate support and referral to relevant resources. Throughout the study, the researcher continuously monitors and addresses any ethical concerns that may arise, adhering to the guidelines set forth by </w:t>
      </w:r>
      <w:r>
        <w:rPr>
          <w:rFonts w:hint="eastAsia" w:ascii="Times New Roman" w:hAnsi="Times New Roman" w:cs="Times New Roman"/>
        </w:rPr>
        <w:t>the</w:t>
      </w:r>
      <w:r>
        <w:rPr>
          <w:rFonts w:ascii="Times New Roman" w:hAnsi="Times New Roman" w:cs="Times New Roman"/>
        </w:rPr>
        <w:t xml:space="preserve"> university of Wales.</w:t>
      </w:r>
    </w:p>
    <w:p>
      <w:pPr>
        <w:spacing w:line="480" w:lineRule="auto"/>
        <w:rPr>
          <w:rFonts w:ascii="Times New Roman" w:hAnsi="Times New Roman" w:cs="Times New Roman"/>
        </w:rPr>
      </w:pPr>
    </w:p>
    <w:p>
      <w:pPr>
        <w:pStyle w:val="3"/>
        <w:spacing w:before="240" w:after="240"/>
      </w:pPr>
      <w:bookmarkStart w:id="182" w:name="_Toc134793996"/>
      <w:bookmarkStart w:id="183" w:name="_Toc147660194"/>
      <w:bookmarkStart w:id="184" w:name="_Toc16629"/>
      <w:r>
        <w:t>3.7</w:t>
      </w:r>
      <w:r>
        <w:rPr>
          <w:rFonts w:hint="eastAsia"/>
          <w:lang w:val="en-US" w:eastAsia="zh-CN"/>
        </w:rPr>
        <w:t xml:space="preserve">  </w:t>
      </w:r>
      <w:r>
        <w:t>Trustworthiness and Rigor</w:t>
      </w:r>
      <w:bookmarkEnd w:id="182"/>
      <w:bookmarkEnd w:id="183"/>
      <w:bookmarkEnd w:id="184"/>
    </w:p>
    <w:p>
      <w:pPr>
        <w:pStyle w:val="4"/>
      </w:pPr>
      <w:bookmarkStart w:id="185" w:name="_Toc134793997"/>
      <w:bookmarkStart w:id="186" w:name="_Toc147660195"/>
      <w:bookmarkStart w:id="187" w:name="_Toc8320"/>
      <w:r>
        <w:t>3.7.1</w:t>
      </w:r>
      <w:r>
        <w:rPr>
          <w:rFonts w:hint="eastAsia"/>
          <w:lang w:val="en-US" w:eastAsia="zh-CN"/>
        </w:rPr>
        <w:t xml:space="preserve">   </w:t>
      </w:r>
      <w:r>
        <w:t>Credibility, Transferability, Dependability, and Confirmability</w:t>
      </w:r>
      <w:bookmarkEnd w:id="185"/>
      <w:bookmarkEnd w:id="186"/>
      <w:bookmarkEnd w:id="187"/>
    </w:p>
    <w:p>
      <w:pPr>
        <w:spacing w:line="480" w:lineRule="auto"/>
        <w:rPr>
          <w:rFonts w:ascii="Times New Roman" w:hAnsi="Times New Roman" w:cs="Times New Roman"/>
        </w:rPr>
      </w:pPr>
      <w:r>
        <w:rPr>
          <w:rFonts w:ascii="Times New Roman" w:hAnsi="Times New Roman" w:cs="Times New Roman"/>
        </w:rPr>
        <w:t xml:space="preserve">To ensure trustworthiness and rigor in qualitative research, the concepts of credibility, transferability, dependability, and confirmability must be addressed </w:t>
      </w:r>
      <w:r>
        <w:rPr>
          <w:rFonts w:ascii="Times New Roman" w:hAnsi="Times New Roman" w:cs="Times New Roman"/>
        </w:rPr>
        <w:fldChar w:fldCharType="begin"/>
      </w:r>
      <w:r>
        <w:rPr>
          <w:rFonts w:ascii="Times New Roman" w:hAnsi="Times New Roman" w:cs="Times New Roman"/>
        </w:rPr>
        <w:instrText xml:space="preserve"> ADDIN EN.CITE &lt;EndNote&gt;&lt;Cite&gt;&lt;Author&gt;Clarke&lt;/Author&gt;&lt;Year&gt;2013&lt;/Year&gt;&lt;RecNum&gt;1280&lt;/RecNum&gt;&lt;DisplayText&gt;(Clarke and Braun, 2013)&lt;/DisplayText&gt;&lt;record&gt;&lt;rec-number&gt;1280&lt;/rec-number&gt;&lt;foreign-keys&gt;&lt;key app="EN" db-id="r2rswvs2oexszme9tvjx5vx252ep2r22dx9d" timestamp="1701341984"&gt;1280&lt;/key&gt;&lt;/foreign-keys&gt;&lt;ref-type name="Book"&gt;6&lt;/ref-type&gt;&lt;contributors&gt;&lt;authors&gt;&lt;author&gt;Clarke, Victoria&lt;/author&gt;&lt;author&gt;Braun, Virginia&lt;/author&gt;&lt;/authors&gt;&lt;/contributors&gt;&lt;titles&gt;&lt;title&gt;Successful qualitative research: A practical guide for beginners&lt;/title&gt;&lt;/titles&gt;&lt;keywords&gt;&lt;keyword&gt;Qualitative research&lt;/keyword&gt;&lt;keyword&gt;Social sciences -- Research -- Methodology&lt;/keyword&gt;&lt;/keywords&gt;&lt;dates&gt;&lt;year&gt;2013&lt;/year&gt;&lt;/dates&gt;&lt;pub-location&gt;London&lt;/pub-location&gt;&lt;publisher&gt;SAGE&lt;/publisher&gt;&lt;isbn&gt;9781847875815&lt;/isbn&gt;&lt;urls&gt;&lt;/urls&gt;&lt;/record&gt;&lt;/Cite&gt;&lt;/EndNote&gt;</w:instrText>
      </w:r>
      <w:r>
        <w:rPr>
          <w:rFonts w:ascii="Times New Roman" w:hAnsi="Times New Roman" w:cs="Times New Roman"/>
        </w:rPr>
        <w:fldChar w:fldCharType="separate"/>
      </w:r>
      <w:r>
        <w:rPr>
          <w:rFonts w:ascii="Times New Roman" w:hAnsi="Times New Roman" w:cs="Times New Roman"/>
        </w:rPr>
        <w:t>(Clarke and Braun, 2013)</w:t>
      </w:r>
      <w:r>
        <w:rPr>
          <w:rFonts w:ascii="Times New Roman" w:hAnsi="Times New Roman" w:cs="Times New Roman"/>
        </w:rPr>
        <w:fldChar w:fldCharType="end"/>
      </w:r>
      <w:r>
        <w:rPr>
          <w:rFonts w:ascii="Times New Roman" w:hAnsi="Times New Roman" w:cs="Times New Roman"/>
        </w:rPr>
        <w:t xml:space="preserve">. Credibility refers to the confidence in the truth of the findings, which can be established through prolonged engagement with participants, triangulation of data sources, and member checking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Transferability refers to the extent to which findings can be applied to other contexts or settings, and it can be enhanced by providing rich, detailed descriptions of the research context and participants </w:t>
      </w:r>
      <w:r>
        <w:rPr>
          <w:rFonts w:ascii="Times New Roman" w:hAnsi="Times New Roman" w:cs="Times New Roman"/>
        </w:rPr>
        <w:fldChar w:fldCharType="begin"/>
      </w:r>
      <w:r>
        <w:rPr>
          <w:rFonts w:ascii="Times New Roman" w:hAnsi="Times New Roman" w:cs="Times New Roman"/>
        </w:rPr>
        <w:instrText xml:space="preserve"> ADDIN EN.CITE &lt;EndNote&gt;&lt;Cite&gt;&lt;Author&gt;Flick&lt;/Author&gt;&lt;Year&gt;2022&lt;/Year&gt;&lt;RecNum&gt;1284&lt;/RecNum&gt;&lt;DisplayText&gt;(Flick, 2022)&lt;/DisplayText&gt;&lt;record&gt;&lt;rec-number&gt;1284&lt;/rec-number&gt;&lt;foreign-keys&gt;&lt;key app="EN" db-id="r2rswvs2oexszme9tvjx5vx252ep2r22dx9d" timestamp="1701341984"&gt;1284&lt;/key&gt;&lt;/foreign-keys&gt;&lt;ref-type name="Book"&gt;6&lt;/ref-type&gt;&lt;contributors&gt;&lt;authors&gt;&lt;author&gt;Flick, Uwe&lt;/author&gt;&lt;/authors&gt;&lt;/contributors&gt;&lt;titles&gt;&lt;title&gt;An introduction to qualitative research&lt;/title&gt;&lt;alt-title&gt;Qualitatitve Forschung. English&lt;/alt-title&gt;&lt;/titles&gt;&lt;edition&gt;&lt;style face="normal" font="default" size="100%"&gt;7&lt;/style&gt;&lt;style face="superscript" font="default" size="100%"&gt;th&lt;/style&gt;&lt;/edition&gt;&lt;keywords&gt;&lt;keyword&gt;Qualitative research.&lt;/keyword&gt;&lt;keyword&gt;Social sciences Research Methodology.&lt;/keyword&gt;&lt;/keywords&gt;&lt;dates&gt;&lt;year&gt;2022&lt;/year&gt;&lt;/dates&gt;&lt;pub-location&gt;Los Angeles&lt;/pub-location&gt;&lt;publisher&gt;SAGE&lt;/publisher&gt;&lt;isbn&gt;9781529787504 (ePub ebook) : ¹31.99&lt;/isbn&gt;&lt;call-num&gt;300.721 23&amp;#xD;British Library HMNTS DRT ELD.DS.729355&lt;/call-num&gt;&lt;urls&gt;&lt;/urls&gt;&lt;/record&gt;&lt;/Cite&gt;&lt;/EndNote&gt;</w:instrText>
      </w:r>
      <w:r>
        <w:rPr>
          <w:rFonts w:ascii="Times New Roman" w:hAnsi="Times New Roman" w:cs="Times New Roman"/>
        </w:rPr>
        <w:fldChar w:fldCharType="separate"/>
      </w:r>
      <w:r>
        <w:rPr>
          <w:rFonts w:ascii="Times New Roman" w:hAnsi="Times New Roman" w:cs="Times New Roman"/>
        </w:rPr>
        <w:t>(Flick, 2022)</w:t>
      </w:r>
      <w:r>
        <w:rPr>
          <w:rFonts w:ascii="Times New Roman" w:hAnsi="Times New Roman" w:cs="Times New Roman"/>
        </w:rPr>
        <w:fldChar w:fldCharType="end"/>
      </w:r>
      <w:r>
        <w:rPr>
          <w:rFonts w:ascii="Times New Roman" w:hAnsi="Times New Roman" w:cs="Times New Roman"/>
        </w:rPr>
        <w:t xml:space="preserve">. Dependability refers to the stability of the findings over time and can be achieved through the use of audit trails and detailed documentation of research decisions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Lastly, confirmability is defined as the neutrality and objectivity of the findings, which can be established through reflexivity and transparent reporting of the researcher's role, biases, and assumptions </w:t>
      </w:r>
      <w:r>
        <w:rPr>
          <w:rFonts w:ascii="Times New Roman" w:hAnsi="Times New Roman" w:cs="Times New Roman"/>
        </w:rPr>
        <w:fldChar w:fldCharType="begin"/>
      </w:r>
      <w:r>
        <w:rPr>
          <w:rFonts w:ascii="Times New Roman" w:hAnsi="Times New Roman" w:cs="Times New Roman"/>
        </w:rPr>
        <w:instrText xml:space="preserve"> ADDIN EN.CITE &lt;EndNote&gt;&lt;Cite&gt;&lt;Author&gt;Flick&lt;/Author&gt;&lt;Year&gt;2022&lt;/Year&gt;&lt;RecNum&gt;1284&lt;/RecNum&gt;&lt;DisplayText&gt;(Flick, 2022)&lt;/DisplayText&gt;&lt;record&gt;&lt;rec-number&gt;1284&lt;/rec-number&gt;&lt;foreign-keys&gt;&lt;key app="EN" db-id="r2rswvs2oexszme9tvjx5vx252ep2r22dx9d" timestamp="1701341984"&gt;1284&lt;/key&gt;&lt;/foreign-keys&gt;&lt;ref-type name="Book"&gt;6&lt;/ref-type&gt;&lt;contributors&gt;&lt;authors&gt;&lt;author&gt;Flick, Uwe&lt;/author&gt;&lt;/authors&gt;&lt;/contributors&gt;&lt;titles&gt;&lt;title&gt;An introduction to qualitative research&lt;/title&gt;&lt;alt-title&gt;Qualitatitve Forschung. English&lt;/alt-title&gt;&lt;/titles&gt;&lt;edition&gt;&lt;style face="normal" font="default" size="100%"&gt;7&lt;/style&gt;&lt;style face="superscript" font="default" size="100%"&gt;th&lt;/style&gt;&lt;/edition&gt;&lt;keywords&gt;&lt;keyword&gt;Qualitative research.&lt;/keyword&gt;&lt;keyword&gt;Social sciences Research Methodology.&lt;/keyword&gt;&lt;/keywords&gt;&lt;dates&gt;&lt;year&gt;2022&lt;/year&gt;&lt;/dates&gt;&lt;pub-location&gt;Los Angeles&lt;/pub-location&gt;&lt;publisher&gt;SAGE&lt;/publisher&gt;&lt;isbn&gt;9781529787504 (ePub ebook) : ¹31.99&lt;/isbn&gt;&lt;call-num&gt;300.721 23&amp;#xD;British Library HMNTS DRT ELD.DS.729355&lt;/call-num&gt;&lt;urls&gt;&lt;/urls&gt;&lt;/record&gt;&lt;/Cite&gt;&lt;/EndNote&gt;</w:instrText>
      </w:r>
      <w:r>
        <w:rPr>
          <w:rFonts w:ascii="Times New Roman" w:hAnsi="Times New Roman" w:cs="Times New Roman"/>
        </w:rPr>
        <w:fldChar w:fldCharType="separate"/>
      </w:r>
      <w:r>
        <w:rPr>
          <w:rFonts w:ascii="Times New Roman" w:hAnsi="Times New Roman" w:cs="Times New Roman"/>
        </w:rPr>
        <w:t>(Flick, 2022)</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188" w:name="_Toc134793998"/>
      <w:bookmarkStart w:id="189" w:name="_Toc147660196"/>
      <w:bookmarkStart w:id="190" w:name="_Toc15546"/>
      <w:r>
        <w:t>3.7.2</w:t>
      </w:r>
      <w:r>
        <w:rPr>
          <w:rFonts w:hint="eastAsia"/>
          <w:lang w:val="en-US" w:eastAsia="zh-CN"/>
        </w:rPr>
        <w:t xml:space="preserve">   </w:t>
      </w:r>
      <w:r>
        <w:t>Strategies to Enhance Trustworthiness and Rigor</w:t>
      </w:r>
      <w:bookmarkEnd w:id="188"/>
      <w:bookmarkEnd w:id="189"/>
      <w:bookmarkEnd w:id="190"/>
    </w:p>
    <w:p>
      <w:pPr>
        <w:spacing w:line="480" w:lineRule="auto"/>
        <w:rPr>
          <w:rFonts w:ascii="Times New Roman" w:hAnsi="Times New Roman" w:cs="Times New Roman"/>
        </w:rPr>
      </w:pPr>
      <w:r>
        <w:rPr>
          <w:rFonts w:ascii="Times New Roman" w:hAnsi="Times New Roman" w:cs="Times New Roman"/>
        </w:rPr>
        <w:t>To enhance trustworthiness and rigor in this study, several strategies are employed. Firstly, prolonged engagement with participants ensures an in-depth understanding of their perspectives. Secondly, triangulation of data sources, such as comparing the perspectives of doctors and nurses, strengthens the credibility of the findings. Thirdly, in terms of member checking, which involves sharing preliminary findings with participants to verify their accuracy, is also be used to enhance credibility. Finally, reflexivity and transparent reporting of the researcher's role, biases, and assumptions contribute to the overall trustworthiness of the study.</w:t>
      </w:r>
    </w:p>
    <w:p>
      <w:pPr>
        <w:spacing w:line="480" w:lineRule="auto"/>
        <w:rPr>
          <w:rFonts w:ascii="Times New Roman" w:hAnsi="Times New Roman" w:cs="Times New Roman"/>
        </w:rPr>
      </w:pPr>
    </w:p>
    <w:p>
      <w:pPr>
        <w:pStyle w:val="3"/>
        <w:spacing w:before="240" w:after="240"/>
      </w:pPr>
      <w:bookmarkStart w:id="191" w:name="_Toc134793999"/>
      <w:bookmarkStart w:id="192" w:name="_Toc147660197"/>
      <w:bookmarkStart w:id="193" w:name="_Toc15464"/>
      <w:r>
        <w:t>3.8</w:t>
      </w:r>
      <w:r>
        <w:rPr>
          <w:rFonts w:hint="eastAsia"/>
          <w:lang w:val="en-US" w:eastAsia="zh-CN"/>
        </w:rPr>
        <w:t xml:space="preserve">  </w:t>
      </w:r>
      <w:r>
        <w:t>Limitations and Delimitations</w:t>
      </w:r>
      <w:bookmarkEnd w:id="191"/>
      <w:bookmarkEnd w:id="192"/>
      <w:bookmarkEnd w:id="193"/>
    </w:p>
    <w:p>
      <w:pPr>
        <w:pStyle w:val="4"/>
      </w:pPr>
      <w:bookmarkStart w:id="194" w:name="_Toc134794000"/>
      <w:bookmarkStart w:id="195" w:name="_Toc147660198"/>
      <w:bookmarkStart w:id="196" w:name="_Toc29053"/>
      <w:r>
        <w:t>3.8.1</w:t>
      </w:r>
      <w:r>
        <w:rPr>
          <w:rFonts w:hint="eastAsia"/>
          <w:lang w:val="en-US" w:eastAsia="zh-CN"/>
        </w:rPr>
        <w:t xml:space="preserve">   </w:t>
      </w:r>
      <w:r>
        <w:t>Potential Limitations of the Study</w:t>
      </w:r>
      <w:bookmarkEnd w:id="194"/>
      <w:bookmarkEnd w:id="195"/>
      <w:bookmarkEnd w:id="196"/>
    </w:p>
    <w:p>
      <w:pPr>
        <w:spacing w:line="480" w:lineRule="auto"/>
        <w:rPr>
          <w:rFonts w:ascii="Times New Roman" w:hAnsi="Times New Roman" w:cs="Times New Roman"/>
        </w:rPr>
      </w:pPr>
      <w:r>
        <w:rPr>
          <w:rFonts w:ascii="Times New Roman" w:hAnsi="Times New Roman" w:cs="Times New Roman"/>
        </w:rPr>
        <w:t xml:space="preserve">This study may be subject to certain limitations, such as a small sample size, which may affect the generalizability of the findings to the broader population of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Additionally, the use of a qualitative approach and semi-structured interviews may result in subjective interpretations of the data and potential researcher bias </w:t>
      </w:r>
      <w:r>
        <w:rPr>
          <w:rFonts w:ascii="Times New Roman" w:hAnsi="Times New Roman" w:cs="Times New Roman"/>
        </w:rPr>
        <w:fldChar w:fldCharType="begin"/>
      </w:r>
      <w:r>
        <w:rPr>
          <w:rFonts w:ascii="Times New Roman" w:hAnsi="Times New Roman" w:cs="Times New Roman"/>
        </w:rPr>
        <w:instrText xml:space="preserve"> ADDIN EN.CITE &lt;EndNote&gt;&lt;Cite&gt;&lt;Author&gt;Bell&lt;/Author&gt;&lt;Year&gt;2010&lt;/Year&gt;&lt;RecNum&gt;1275&lt;/RecNum&gt;&lt;DisplayText&gt;(Bell, 2010)&lt;/DisplayText&gt;&lt;record&gt;&lt;rec-number&gt;1275&lt;/rec-number&gt;&lt;foreign-keys&gt;&lt;key app="EN" db-id="r2rswvs2oexszme9tvjx5vx252ep2r22dx9d" timestamp="1701341984"&gt;1275&lt;/key&gt;&lt;/foreign-keys&gt;&lt;ref-type name="Book"&gt;6&lt;/ref-type&gt;&lt;contributors&gt;&lt;authors&gt;&lt;author&gt;Bell, Judith&lt;/author&gt;&lt;/authors&gt;&lt;/contributors&gt;&lt;titles&gt;&lt;title&gt;Doing your research project: A guide for first-time researchers in education, health and social science&lt;/title&gt;&lt;/titles&gt;&lt;edition&gt;&lt;style face="normal" font="default" size="100%"&gt;5&lt;/style&gt;&lt;style face="superscript" font="default" size="100%"&gt;th&lt;/style&gt;&lt;/edition&gt;&lt;keywords&gt;&lt;keyword&gt;Education -- Research -- Methodology&lt;/keyword&gt;&lt;keyword&gt;Health -- Research -- Methodology&lt;/keyword&gt;&lt;keyword&gt;Social sciences -- Research -- Methodology&lt;/keyword&gt;&lt;/keywords&gt;&lt;dates&gt;&lt;year&gt;2010&lt;/year&gt;&lt;/dates&gt;&lt;pub-location&gt;Maidenhead&lt;/pub-location&gt;&lt;publisher&gt;McGraw-Hill Open University Press&lt;/publisher&gt;&lt;isbn&gt;9780335235827&lt;/isbn&gt;&lt;urls&gt;&lt;/urls&gt;&lt;/record&gt;&lt;/Cite&gt;&lt;/EndNote&gt;</w:instrText>
      </w:r>
      <w:r>
        <w:rPr>
          <w:rFonts w:ascii="Times New Roman" w:hAnsi="Times New Roman" w:cs="Times New Roman"/>
        </w:rPr>
        <w:fldChar w:fldCharType="separate"/>
      </w:r>
      <w:r>
        <w:rPr>
          <w:rFonts w:ascii="Times New Roman" w:hAnsi="Times New Roman" w:cs="Times New Roman"/>
        </w:rPr>
        <w:t>(Bell, 2010)</w:t>
      </w:r>
      <w:r>
        <w:rPr>
          <w:rFonts w:ascii="Times New Roman" w:hAnsi="Times New Roman" w:cs="Times New Roman"/>
        </w:rPr>
        <w:fldChar w:fldCharType="end"/>
      </w:r>
      <w:r>
        <w:rPr>
          <w:rFonts w:ascii="Times New Roman" w:hAnsi="Times New Roman" w:cs="Times New Roman"/>
        </w:rPr>
        <w:t xml:space="preserve">. Furthermore, the participants' self-reporting may be influenced by social desirability bias, leading them to provide responses that they perceive as more socially acceptable </w: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PEVuZE5vdGU+PENpdGU+PEF1dGhvcj5Cb3M8L0F1dGhvcj48WWVhcj4yMDIwPC9ZZWFyPjxSZWNO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</w:fldData>
        </w:fldChar>
      </w:r>
      <w:r>
        <w:rPr>
          <w:rFonts w:ascii="Times New Roman" w:hAnsi="Times New Roman" w:cs="Times New Roman"/>
        </w:rPr>
        <w:instrText xml:space="preserve"> ADDIN EN.CITE.DATA </w:instrText>
      </w:r>
      <w:r>
        <w:rPr>
          <w:rFonts w:ascii="Times New Roman" w:hAnsi="Times New Roman" w:cs="Times New Roman"/>
        </w:rPr>
        <w:fldChar w:fldCharType="end"/>
      </w:r>
      <w:r>
        <w:rPr>
          <w:rFonts w:ascii="Times New Roman" w:hAnsi="Times New Roman" w:cs="Times New Roman"/>
        </w:rPr>
        <w:fldChar w:fldCharType="separate"/>
      </w:r>
      <w:r>
        <w:rPr>
          <w:rFonts w:ascii="Times New Roman" w:hAnsi="Times New Roman" w:cs="Times New Roman"/>
        </w:rPr>
        <w:t>(Bos, 2020)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4"/>
      </w:pPr>
      <w:bookmarkStart w:id="197" w:name="_Toc147660199"/>
      <w:bookmarkStart w:id="198" w:name="_Toc134794001"/>
      <w:bookmarkStart w:id="199" w:name="_Toc25165"/>
      <w:r>
        <w:t>3.8.2</w:t>
      </w:r>
      <w:r>
        <w:rPr>
          <w:rFonts w:hint="eastAsia"/>
          <w:lang w:val="en-US" w:eastAsia="zh-CN"/>
        </w:rPr>
        <w:t xml:space="preserve">   </w:t>
      </w:r>
      <w:r>
        <w:t>Scope and Boundaries of the Research</w:t>
      </w:r>
      <w:bookmarkEnd w:id="197"/>
      <w:bookmarkEnd w:id="198"/>
      <w:bookmarkEnd w:id="199"/>
    </w:p>
    <w:p>
      <w:pPr>
        <w:spacing w:line="480" w:lineRule="auto"/>
        <w:rPr>
          <w:rFonts w:ascii="Times New Roman" w:hAnsi="Times New Roman" w:cs="Times New Roman"/>
        </w:rPr>
      </w:pPr>
      <w:r>
        <w:rPr>
          <w:rFonts w:ascii="Times New Roman" w:hAnsi="Times New Roman" w:cs="Times New Roman"/>
        </w:rPr>
        <w:t xml:space="preserve">The scope of this study is delimited to the investigation of healthcare professionals' motivation, expectations, and experiences with continuing education programs offered by the private training company. The focus on doctors and nurses as the target population and the purposive sampling strategy may limit the generalizability of the findings to other healthcare professionals or those involved in other types of continuing education programs. The study is also bound by the specific research questions and theoretical framework, which may not capture all relevant aspects of continuing professional development in the healthcare context </w:t>
      </w:r>
      <w:r>
        <w:rPr>
          <w:rFonts w:ascii="Times New Roman" w:hAnsi="Times New Roman" w:cs="Times New Roman"/>
        </w:rPr>
        <w:fldChar w:fldCharType="begin"/>
      </w:r>
      <w:r>
        <w:rPr>
          <w:rFonts w:ascii="Times New Roman" w:hAnsi="Times New Roman" w:cs="Times New Roman"/>
        </w:rPr>
        <w:instrText xml:space="preserve"> ADDIN EN.CITE &lt;EndNote&gt;&lt;Cite&gt;&lt;Author&gt;Clarke&lt;/Author&gt;&lt;Year&gt;2013&lt;/Year&gt;&lt;RecNum&gt;1280&lt;/RecNum&gt;&lt;DisplayText&gt;(Clarke and Braun, 2013)&lt;/DisplayText&gt;&lt;record&gt;&lt;rec-number&gt;1280&lt;/rec-number&gt;&lt;foreign-keys&gt;&lt;key app="EN" db-id="r2rswvs2oexszme9tvjx5vx252ep2r22dx9d" timestamp="1701341984"&gt;1280&lt;/key&gt;&lt;/foreign-keys&gt;&lt;ref-type name="Book"&gt;6&lt;/ref-type&gt;&lt;contributors&gt;&lt;authors&gt;&lt;author&gt;Clarke, Victoria&lt;/author&gt;&lt;author&gt;Braun, Virginia&lt;/author&gt;&lt;/authors&gt;&lt;/contributors&gt;&lt;titles&gt;&lt;title&gt;Successful qualitative research: A practical guide for beginners&lt;/title&gt;&lt;/titles&gt;&lt;keywords&gt;&lt;keyword&gt;Qualitative research&lt;/keyword&gt;&lt;keyword&gt;Social sciences -- Research -- Methodology&lt;/keyword&gt;&lt;/keywords&gt;&lt;dates&gt;&lt;year&gt;2013&lt;/year&gt;&lt;/dates&gt;&lt;pub-location&gt;London&lt;/pub-location&gt;&lt;publisher&gt;SAGE&lt;/publisher&gt;&lt;isbn&gt;9781847875815&lt;/isbn&gt;&lt;urls&gt;&lt;/urls&gt;&lt;/record&gt;&lt;/Cite&gt;&lt;/EndNote&gt;</w:instrText>
      </w:r>
      <w:r>
        <w:rPr>
          <w:rFonts w:ascii="Times New Roman" w:hAnsi="Times New Roman" w:cs="Times New Roman"/>
        </w:rPr>
        <w:fldChar w:fldCharType="separate"/>
      </w:r>
      <w:r>
        <w:rPr>
          <w:rFonts w:ascii="Times New Roman" w:hAnsi="Times New Roman" w:cs="Times New Roman"/>
        </w:rPr>
        <w:t>(Clarke and Braun, 2013)</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pStyle w:val="3"/>
        <w:spacing w:before="240" w:after="240"/>
      </w:pPr>
      <w:bookmarkStart w:id="200" w:name="_Toc147660200"/>
      <w:bookmarkStart w:id="201" w:name="_Toc6753"/>
      <w:r>
        <w:t>3.9</w:t>
      </w:r>
      <w:r>
        <w:rPr>
          <w:rFonts w:hint="eastAsia"/>
          <w:lang w:val="en-US" w:eastAsia="zh-CN"/>
        </w:rPr>
        <w:t xml:space="preserve">  </w:t>
      </w:r>
      <w:r>
        <w:t>Conclusion to Methodology</w:t>
      </w:r>
      <w:bookmarkEnd w:id="200"/>
      <w:bookmarkEnd w:id="201"/>
    </w:p>
    <w:p>
      <w:pPr>
        <w:spacing w:line="480" w:lineRule="auto"/>
        <w:rPr>
          <w:rFonts w:ascii="Times New Roman" w:hAnsi="Times New Roman" w:cs="Times New Roman"/>
        </w:rPr>
      </w:pPr>
      <w:r>
        <w:rPr>
          <w:rFonts w:ascii="Times New Roman" w:hAnsi="Times New Roman" w:cs="Times New Roman"/>
        </w:rPr>
        <w:t xml:space="preserve">This chapter delineated the research design and its philosophical foundations, anchored in epistemology, ontology, and axiology. The qualitative approach, utilizing in-depth, semi-structured interviews, was chosen to deeply probe the motivations and expectations of healthcare professionals engaging with private training entities. The purposive sampling, despite its generalizability constraints, was pivotal in selecting participants most aligned with the research objectives, bolstering the study's validity.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Acknowledging inherent methodological limitations, measures like triangulation, member checking, and reflexivity were integrated to enhance the study's trustworthiness. Ethical tenets, such as informed consent and confidentiality, emphasized the research's adherence to rigorous ethical standards.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study's delimitations focused on a select group of healthcare professionals, ensuring a concentrated examination of their interactions with private training companies. In summation, </w:t>
      </w:r>
      <w:bookmarkStart w:id="202" w:name="_Hlk147580005"/>
      <w:r>
        <w:rPr>
          <w:rFonts w:ascii="Times New Roman" w:hAnsi="Times New Roman" w:cs="Times New Roman"/>
        </w:rPr>
        <w:t>the adopted methodology aptly addresses the research questions, laying a solid foundation for subsequent chapters, and ensuring findings are both relevant and anchored in the professionals' real-world experiences.</w:t>
      </w:r>
    </w:p>
    <w:bookmarkEnd w:id="202"/>
    <w:p>
      <w:pPr>
        <w:spacing w:line="480" w:lineRule="auto"/>
        <w:rPr>
          <w:rFonts w:ascii="Times New Roman" w:hAnsi="Times New Roman" w:cs="Times New Roman"/>
        </w:rPr>
      </w:pPr>
    </w:p>
    <w:p>
      <w:r>
        <w:rPr>
          <w:rFonts w:ascii="Times New Roman" w:hAnsi="Times New Roman" w:cs="Times New Roman"/>
        </w:rPr>
        <w:br w:type="page"/>
      </w:r>
      <w:bookmarkStart w:id="203" w:name="_Toc147660201"/>
      <w:bookmarkStart w:id="204" w:name="_Hlk144314718"/>
    </w:p>
    <w:p>
      <w:pPr>
        <w:pStyle w:val="2"/>
        <w:spacing w:before="240" w:after="240"/>
      </w:pPr>
      <w:bookmarkStart w:id="205" w:name="_Toc25229"/>
      <w:r>
        <w:t>Chapter 4</w:t>
      </w:r>
      <w:r>
        <w:tab/>
      </w:r>
      <w:r>
        <w:rPr>
          <w:rFonts w:hint="eastAsia" w:eastAsia="宋体"/>
          <w:lang w:val="en-US" w:eastAsia="zh-CN"/>
        </w:rPr>
        <w:t xml:space="preserve">        </w:t>
      </w:r>
      <w:r>
        <w:t>Presentation of the Data</w:t>
      </w:r>
      <w:bookmarkEnd w:id="205"/>
      <w:r>
        <w:t xml:space="preserve"> </w:t>
      </w:r>
      <w:bookmarkEnd w:id="203"/>
      <w:bookmarkEnd w:id="204"/>
    </w:p>
    <w:p>
      <w:pPr>
        <w:spacing w:line="480" w:lineRule="auto"/>
        <w:rPr>
          <w:rFonts w:ascii="Times New Roman" w:hAnsi="Times New Roman" w:cs="Times New Roman"/>
        </w:rPr>
      </w:pPr>
      <w:r>
        <w:rPr>
          <w:rFonts w:ascii="Times New Roman" w:hAnsi="Times New Roman" w:cs="Times New Roman"/>
        </w:rPr>
        <w:t>The focal point of this chapter is the empirical data that underpins this research. This chapter stands as a linchpin, setting the stage for subsequent analytical discussions. Within these pages, the researcher systematically presents the empirical findings, ensuring clarity and depth in the portrayal of the amassed data. The aim is to provide the reader with a holistic understanding of the raw data, preparing the ground for the analytical chapters that follow. Central to this research endeavor are the pivotal research questions:</w:t>
      </w:r>
    </w:p>
    <w:p>
      <w:pPr>
        <w:spacing w:line="480" w:lineRule="auto"/>
        <w:rPr>
          <w:rFonts w:ascii="Times New Roman" w:hAnsi="Times New Roman" w:cs="Times New Roman"/>
        </w:rPr>
      </w:pPr>
      <w:r>
        <w:rPr>
          <w:rFonts w:ascii="Times New Roman" w:hAnsi="Times New Roman" w:cs="Times New Roman"/>
        </w:rPr>
        <w:t>a. Factors Driving Participation: What diverse factors act as catalysts, prompting healthcare professionals to choose participation in continuing education programs offered by private training companies?</w:t>
      </w:r>
    </w:p>
    <w:p>
      <w:pPr>
        <w:spacing w:line="480" w:lineRule="auto"/>
        <w:rPr>
          <w:rFonts w:ascii="Times New Roman" w:hAnsi="Times New Roman" w:cs="Times New Roman"/>
        </w:rPr>
      </w:pPr>
      <w:r>
        <w:rPr>
          <w:rFonts w:ascii="Times New Roman" w:hAnsi="Times New Roman" w:cs="Times New Roman"/>
        </w:rPr>
        <w:t>b. Perceived Pros and Cons: How do healthcare professionals evaluate the advantages and challenges associated with engaging in continuing education programs offered by private training companies?</w:t>
      </w:r>
    </w:p>
    <w:p>
      <w:pPr>
        <w:spacing w:line="480" w:lineRule="auto"/>
        <w:rPr>
          <w:rFonts w:ascii="Times New Roman" w:hAnsi="Times New Roman" w:cs="Times New Roman"/>
        </w:rPr>
      </w:pPr>
    </w:p>
    <w:p>
      <w:pPr>
        <w:pStyle w:val="3"/>
        <w:spacing w:before="240" w:after="240"/>
      </w:pPr>
      <w:bookmarkStart w:id="206" w:name="_Toc147660202"/>
      <w:bookmarkStart w:id="207" w:name="_Toc18694"/>
      <w:r>
        <w:t>4.1</w:t>
      </w:r>
      <w:r>
        <w:rPr>
          <w:rFonts w:hint="eastAsia"/>
          <w:lang w:val="en-US" w:eastAsia="zh-CN"/>
        </w:rPr>
        <w:t xml:space="preserve">  </w:t>
      </w:r>
      <w:r>
        <w:t>Data Collection Overview</w:t>
      </w:r>
      <w:bookmarkEnd w:id="206"/>
      <w:bookmarkEnd w:id="207"/>
    </w:p>
    <w:p>
      <w:pPr>
        <w:spacing w:line="480" w:lineRule="auto"/>
        <w:rPr>
          <w:rFonts w:ascii="Times New Roman" w:hAnsi="Times New Roman" w:cs="Times New Roman"/>
        </w:rPr>
      </w:pPr>
      <w:r>
        <w:rPr>
          <w:rFonts w:ascii="Times New Roman" w:hAnsi="Times New Roman" w:cs="Times New Roman"/>
        </w:rPr>
        <w:t>Anchored in the qualitative research paradigm, in-depth, semi-structured interviews were the cornerstone of this study’s data collection strategy. While these interviews had a foundational structure, they were designed to be adaptive, granting participants the freedom to share their insights, experiences, and reflections authentically. The rationale for this methodological approach was to glean data directly relevant to the research questions while allowing participants the space to share their narratives without constraints.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The participants were not just data points; they were integral collaborators in this academic journey. Drawing from a diverse pool of healthcare professionals, each participant brought a unique lens to the study, offering insights into their interactions with private training companies. Their narratives, filled with challenges, aspirations, and reflections, are the essence of the data presented herein. It's noteworthy to mention that out of the initially approached cohort, 15 of the participants attended the interview, enriching the dataset with their invaluable contributions.</w:t>
      </w:r>
    </w:p>
    <w:p>
      <w:pPr>
        <w:spacing w:line="480" w:lineRule="auto"/>
        <w:rPr>
          <w:rFonts w:ascii="Times New Roman" w:hAnsi="Times New Roman" w:cs="Times New Roman"/>
        </w:rPr>
      </w:pPr>
    </w:p>
    <w:p>
      <w:pPr>
        <w:pStyle w:val="3"/>
        <w:spacing w:before="240" w:after="240"/>
      </w:pPr>
      <w:bookmarkStart w:id="208" w:name="_Toc147660203"/>
      <w:bookmarkStart w:id="209" w:name="_Toc26643"/>
      <w:r>
        <w:t>4.2</w:t>
      </w:r>
      <w:r>
        <w:rPr>
          <w:rFonts w:hint="eastAsia"/>
          <w:lang w:val="en-US" w:eastAsia="zh-CN"/>
        </w:rPr>
        <w:t xml:space="preserve">  </w:t>
      </w:r>
      <w:r>
        <w:t>Data Analysis Methodology</w:t>
      </w:r>
      <w:bookmarkEnd w:id="208"/>
      <w:bookmarkEnd w:id="209"/>
    </w:p>
    <w:p>
      <w:pPr>
        <w:spacing w:line="480" w:lineRule="auto"/>
        <w:rPr>
          <w:rFonts w:ascii="Times New Roman" w:hAnsi="Times New Roman" w:cs="Times New Roman"/>
        </w:rPr>
      </w:pPr>
      <w:r>
        <w:rPr>
          <w:rFonts w:ascii="Times New Roman" w:hAnsi="Times New Roman" w:cs="Times New Roman"/>
        </w:rPr>
        <w:t>Given the depth and complexity of the qualitative data, a structured and rigorous approach to its analysis was paramount. To this end, thematic analysis was employed. This method, renowned for its ability to discern patterns and themes within qualitative datasets, was instrumental in gleaning meaningful insights from the participants' accounts. The iterative process of thematic analysis ensured a comprehensive exploration of the data, revealing layered and nuanced insights.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To streamline this analytical process, the researcher utilized NVivo, a premier qualitative data analysis software. NVivo's advanced capabilities, adept at organizing, categorizing, and thematically dissecting data, ensured the analysis was both meticulous and thorough. Each identified theme and sub-theme was rooted in the testimonies of the participants, emphasizing the authenticity and relevance of </w:t>
      </w:r>
      <w:r>
        <w:rPr>
          <w:rFonts w:hint="eastAsia" w:ascii="Times New Roman" w:hAnsi="Times New Roman" w:cs="Times New Roman"/>
        </w:rPr>
        <w:t>the</w:t>
      </w:r>
      <w:r>
        <w:rPr>
          <w:rFonts w:ascii="Times New Roman" w:hAnsi="Times New Roman" w:cs="Times New Roman"/>
        </w:rPr>
        <w:t xml:space="preserve"> findings.</w:t>
      </w:r>
    </w:p>
    <w:p>
      <w:pPr>
        <w:spacing w:line="480" w:lineRule="auto"/>
        <w:rPr>
          <w:rFonts w:ascii="Times New Roman" w:hAnsi="Times New Roman" w:cs="Times New Roman"/>
        </w:rPr>
      </w:pPr>
    </w:p>
    <w:p>
      <w:pPr>
        <w:pStyle w:val="3"/>
        <w:spacing w:before="240" w:after="240"/>
      </w:pPr>
      <w:bookmarkStart w:id="210" w:name="_Toc147660204"/>
      <w:bookmarkStart w:id="211" w:name="_Toc9521"/>
      <w:bookmarkStart w:id="212" w:name="_Hlk147589748"/>
      <w:r>
        <w:t>4.3</w:t>
      </w:r>
      <w:r>
        <w:rPr>
          <w:rFonts w:hint="eastAsia"/>
          <w:lang w:val="en-US" w:eastAsia="zh-CN"/>
        </w:rPr>
        <w:t xml:space="preserve">  </w:t>
      </w:r>
      <w:r>
        <w:t>Presentation of Themes</w:t>
      </w:r>
      <w:bookmarkEnd w:id="210"/>
      <w:bookmarkEnd w:id="211"/>
    </w:p>
    <w:p>
      <w:pPr>
        <w:pStyle w:val="4"/>
      </w:pPr>
      <w:bookmarkStart w:id="213" w:name="_Toc147660205"/>
      <w:bookmarkStart w:id="214" w:name="_Toc10742"/>
      <w:bookmarkStart w:id="215" w:name="_Hlk147584421"/>
      <w:r>
        <w:t>4.3.1</w:t>
      </w:r>
      <w:r>
        <w:rPr>
          <w:rFonts w:hint="eastAsia"/>
          <w:lang w:val="en-US" w:eastAsia="zh-CN"/>
        </w:rPr>
        <w:t xml:space="preserve">   </w:t>
      </w:r>
      <w:r>
        <w:t>Theme 1: Motivations for Participation</w:t>
      </w:r>
      <w:bookmarkEnd w:id="213"/>
      <w:bookmarkEnd w:id="214"/>
    </w:p>
    <w:bookmarkEnd w:id="215"/>
    <w:p>
      <w:pPr>
        <w:spacing w:line="480" w:lineRule="auto"/>
        <w:rPr>
          <w:rFonts w:ascii="Times New Roman" w:hAnsi="Times New Roman" w:cs="Times New Roman"/>
          <w:b/>
          <w:bCs/>
          <w:u w:val="single"/>
        </w:rPr>
      </w:pPr>
      <w:r>
        <w:rPr>
          <w:rFonts w:ascii="Times New Roman" w:hAnsi="Times New Roman" w:cs="Times New Roman"/>
          <w:b/>
          <w:bCs/>
          <w:u w:val="single"/>
        </w:rPr>
        <w:t>Overview of the Theme</w:t>
      </w:r>
    </w:p>
    <w:p>
      <w:pPr>
        <w:spacing w:line="480" w:lineRule="auto"/>
        <w:rPr>
          <w:rFonts w:ascii="Times New Roman" w:hAnsi="Times New Roman" w:cs="Times New Roman"/>
        </w:rPr>
      </w:pPr>
      <w:r>
        <w:rPr>
          <w:rFonts w:ascii="Times New Roman" w:hAnsi="Times New Roman" w:cs="Times New Roman"/>
        </w:rPr>
        <w:t xml:space="preserve">The decision-making process of healthcare professionals regarding their engagement in continuing education programs offered by private training companies is multifaceted. This theme, "Motivations for Participation," seeks to unravel the myriad factors that underpin their choices. By delving into these motivations, </w:t>
      </w:r>
      <w:r>
        <w:rPr>
          <w:rFonts w:hint="eastAsia" w:ascii="Times New Roman" w:hAnsi="Times New Roman" w:cs="Times New Roman"/>
        </w:rPr>
        <w:t>it</w:t>
      </w:r>
      <w:r>
        <w:rPr>
          <w:rFonts w:ascii="Times New Roman" w:hAnsi="Times New Roman" w:cs="Times New Roman"/>
        </w:rPr>
        <w:t xml:space="preserve"> helps to better comprehend the perceived value and significance of such educational endeavors from the participants' perspectives.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Key Findings Related to Motivations</w:t>
      </w:r>
    </w:p>
    <w:p>
      <w:pPr>
        <w:spacing w:line="480" w:lineRule="auto"/>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 Professional Advancement</w:t>
      </w:r>
    </w:p>
    <w:p>
      <w:pPr>
        <w:spacing w:line="480" w:lineRule="auto"/>
        <w:rPr>
          <w:rFonts w:ascii="Times New Roman" w:hAnsi="Times New Roman" w:cs="Times New Roman"/>
        </w:rPr>
      </w:pPr>
      <w:r>
        <w:rPr>
          <w:rFonts w:ascii="Times New Roman" w:hAnsi="Times New Roman" w:cs="Times New Roman"/>
        </w:rPr>
        <w:t xml:space="preserve">Many participants viewed these programs as instrumental in their professional growth. By acquiring new skills and knowledge, they believed they could unlock new career opportunities and pathways. </w:t>
      </w:r>
      <w:r>
        <w:rPr>
          <w:rFonts w:hint="eastAsia" w:ascii="Times New Roman" w:hAnsi="Times New Roman" w:cs="Times New Roman"/>
        </w:rPr>
        <w:t>O</w:t>
      </w:r>
      <w:r>
        <w:rPr>
          <w:rFonts w:ascii="Times New Roman" w:hAnsi="Times New Roman" w:cs="Times New Roman"/>
        </w:rPr>
        <w:t>ne of the participants mentioned that “I see these programs as a stepping stone. Every course I take, every certification I earn, it's all part of a bigger picture – climbing the professional ladder." (Participant A)</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b. Mandatory Requirements: For some, participation was less about choice and more about fulfilling obligatory professional standards. These individuals highlighted the necessity of certain programs for maintaining their professional credentials</w:t>
      </w:r>
      <w:r>
        <w:rPr>
          <w:rFonts w:hint="eastAsia" w:ascii="Times New Roman" w:hAnsi="Times New Roman" w:cs="Times New Roman"/>
        </w:rPr>
        <w:t>,</w:t>
      </w:r>
      <w:r>
        <w:rPr>
          <w:rFonts w:ascii="Times New Roman" w:hAnsi="Times New Roman" w:cs="Times New Roman"/>
        </w:rPr>
        <w:t xml:space="preserve"> as Participant B said, "It's not always by choice. Sometimes, it's a necessity. To keep my license, there are certain courses I just have to take."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c. Peer Influence: The testimonials and experiences of peers and colleagues significantly swayed the decisions of several participants. Recommendations or shared experiences often acted as catalysts for enrollment. </w:t>
      </w:r>
      <w:r>
        <w:rPr>
          <w:rFonts w:hint="eastAsia" w:ascii="Times New Roman" w:hAnsi="Times New Roman" w:cs="Times New Roman"/>
        </w:rPr>
        <w:t>This</w:t>
      </w:r>
      <w:r>
        <w:rPr>
          <w:rFonts w:ascii="Times New Roman" w:hAnsi="Times New Roman" w:cs="Times New Roman"/>
        </w:rPr>
        <w:t xml:space="preserve"> is testified by the Participant C </w:t>
      </w:r>
      <w:r>
        <w:rPr>
          <w:rFonts w:hint="eastAsia" w:ascii="Times New Roman" w:hAnsi="Times New Roman" w:cs="Times New Roman"/>
        </w:rPr>
        <w:t>that</w:t>
      </w:r>
      <w:r>
        <w:rPr>
          <w:rFonts w:ascii="Times New Roman" w:hAnsi="Times New Roman" w:cs="Times New Roman"/>
        </w:rPr>
        <w:t xml:space="preserve"> "A colleague of mine recommended this specific program. She couldn't stop talking about how transformative it was for her practice. I had to see it for myself."</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hint="eastAsia" w:ascii="Times New Roman" w:hAnsi="Times New Roman" w:cs="Times New Roman"/>
        </w:rPr>
        <w:t>d</w:t>
      </w:r>
      <w:r>
        <w:rPr>
          <w:rFonts w:ascii="Times New Roman" w:hAnsi="Times New Roman" w:cs="Times New Roman"/>
        </w:rPr>
        <w:t xml:space="preserve">. Personal Enrichment: Beyond the confines of professional aspirations, a segment of participants was driven by an intrinsic passion for learning. For them, the quest for knowledge transcended professional boundaries. As another participant echoed, </w:t>
      </w:r>
      <w:bookmarkStart w:id="216" w:name="_Hlk147583653"/>
      <w:r>
        <w:rPr>
          <w:rFonts w:ascii="Times New Roman" w:hAnsi="Times New Roman" w:cs="Times New Roman"/>
        </w:rPr>
        <w:t>"</w:t>
      </w:r>
      <w:bookmarkEnd w:id="216"/>
      <w:r>
        <w:rPr>
          <w:rFonts w:ascii="Times New Roman" w:hAnsi="Times New Roman" w:cs="Times New Roman"/>
        </w:rPr>
        <w:t>For me, it's not just about the job. It's about personal growth, about constantly challenging myself and learning something new."</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 Market Trends and Demands: Acknowledging the ever-evolving landscape of the healthcare sector, some participants emphasized the importance of staying abreast of current trends, technologies, and methodologies. They viewed these programs as essential tools to ensure their relevance in a dynamic field. For example, Participant E expressed the viewpoint that "The healthcare world is changing rapidly. If I don't keep up with the latest trends and technologies, I'll be left behind. These programs help me stay ahead of the curve."</w:t>
      </w:r>
    </w:p>
    <w:p>
      <w:pPr>
        <w:spacing w:line="480" w:lineRule="auto"/>
        <w:rPr>
          <w:rFonts w:ascii="Times New Roman" w:hAnsi="Times New Roman" w:cs="Times New Roman"/>
        </w:rPr>
      </w:pPr>
    </w:p>
    <w:p>
      <w:pPr>
        <w:pStyle w:val="4"/>
      </w:pPr>
      <w:bookmarkStart w:id="217" w:name="_Toc147660206"/>
      <w:bookmarkStart w:id="218" w:name="_Toc1659"/>
      <w:r>
        <w:t>4.3.2</w:t>
      </w:r>
      <w:r>
        <w:rPr>
          <w:rFonts w:hint="eastAsia"/>
          <w:lang w:val="en-US" w:eastAsia="zh-CN"/>
        </w:rPr>
        <w:t xml:space="preserve">   </w:t>
      </w:r>
      <w:r>
        <w:t xml:space="preserve">Theme 2: </w:t>
      </w:r>
      <w:r>
        <w:rPr>
          <w:rFonts w:hint="eastAsia"/>
        </w:rPr>
        <w:t>E</w:t>
      </w:r>
      <w:r>
        <w:t>xpectations of Content, Delivery, and Outcomes</w:t>
      </w:r>
      <w:bookmarkEnd w:id="217"/>
      <w:bookmarkEnd w:id="218"/>
    </w:p>
    <w:p>
      <w:pPr>
        <w:spacing w:line="480" w:lineRule="auto"/>
        <w:rPr>
          <w:rFonts w:ascii="Times New Roman" w:hAnsi="Times New Roman" w:cs="Times New Roman"/>
          <w:b/>
          <w:bCs/>
          <w:u w:val="single"/>
        </w:rPr>
      </w:pPr>
      <w:r>
        <w:rPr>
          <w:rFonts w:ascii="Times New Roman" w:hAnsi="Times New Roman" w:cs="Times New Roman"/>
          <w:b/>
          <w:bCs/>
          <w:u w:val="single"/>
        </w:rPr>
        <w:t>Overview of the Theme</w:t>
      </w:r>
    </w:p>
    <w:p>
      <w:pPr>
        <w:spacing w:line="480" w:lineRule="auto"/>
        <w:rPr>
          <w:rFonts w:ascii="Times New Roman" w:hAnsi="Times New Roman" w:cs="Times New Roman"/>
        </w:rPr>
      </w:pPr>
      <w:r>
        <w:rPr>
          <w:rFonts w:ascii="Times New Roman" w:hAnsi="Times New Roman" w:cs="Times New Roman"/>
        </w:rPr>
        <w:t>In the domain of continuing education, especially when orchestrated by private training entities, healthcare professionals approach with a set of predefined expectations. These expectations, spanning content quality, delivery mechanisms, and anticipated outcomes, play a pivotal role in their decision to engage. This theme delves into these nuanced expectations, offering insights into the aspirations and desires of healthcare professionals as they navigate their educational pursuits.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Key Findings Related to Expectations</w:t>
      </w:r>
    </w:p>
    <w:p>
      <w:pPr>
        <w:spacing w:line="480" w:lineRule="auto"/>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 Content Relevance and Depth: A predominant expectation among participants was the relevance and depth of the course content. They sought material that resonates with their current roles and reflects the latest advancements in healthcare. As Participant F aptly put it, "I expect the content to be cutting-edge. I don't want to spend hours on material that's outdated or not applicable to my practice."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b. Interactive and Engaging Delivery: The pedagogical approach adopted by these programs was of paramount importance. Participants expressed a preference for interactive sessions, emphasizing the value of hands-on experiences and real-world case studies. Participant G's sentiment captures this expectation: "I learn best when I'm actively involved. Just listening to someone talk for hours doesn't do it for me. I need engagement and interaction."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hint="eastAsia" w:ascii="Times New Roman" w:hAnsi="Times New Roman" w:cs="Times New Roman"/>
        </w:rPr>
        <w:t>c</w:t>
      </w:r>
      <w:r>
        <w:rPr>
          <w:rFonts w:ascii="Times New Roman" w:hAnsi="Times New Roman" w:cs="Times New Roman"/>
        </w:rPr>
        <w:t>. Flexibility in Learning: Recognizing the demanding nature of their profession, many participants underscored the importance of flexibility. They valued programs that could adapt to their schedules, whether through asynchronous online modules or weekend workshops. This sentiment was echoed by Participant H, who stated, "Given my hectic schedule, I appreciate courses that offer flexibility. Whether it's online modules I can take at my own pace or weekend workshops, I need options."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d. Tangible Outcomes: Beyond the acquisition of knowledge, participants sought tangible, actionable outcomes from their educational endeavors. This could manifest as certifications, skill enhancements, or networking opportunities. Participant I encapsulated this desire, noting, "At the end of the day, I want to see tangible results from my efforts. Be it a certification, new skills, or connections in the industry, there has to be a concrete outcome."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 Feedback and Continuous Assessment: An integral part of the learning journey, for many participants, was the feedback mechanism. They valued programs that offered continuous assessments, providing insights into their progress and areas of improvement. Participant J emphasized this, stating, "Continuous feedback is crucial. I want to know where I stand, what I'm doing right, and where I need to improve. It's all part of the learning process."</w:t>
      </w:r>
    </w:p>
    <w:p>
      <w:pPr>
        <w:spacing w:line="480" w:lineRule="auto"/>
        <w:rPr>
          <w:rFonts w:ascii="Times New Roman" w:hAnsi="Times New Roman" w:cs="Times New Roman"/>
        </w:rPr>
      </w:pPr>
    </w:p>
    <w:p>
      <w:pPr>
        <w:pStyle w:val="4"/>
      </w:pPr>
      <w:bookmarkStart w:id="219" w:name="_Toc147660207"/>
      <w:bookmarkStart w:id="220" w:name="_Toc4827"/>
      <w:r>
        <w:t>4.3.3</w:t>
      </w:r>
      <w:r>
        <w:rPr>
          <w:rFonts w:hint="eastAsia"/>
          <w:lang w:val="en-US" w:eastAsia="zh-CN"/>
        </w:rPr>
        <w:t xml:space="preserve">   </w:t>
      </w:r>
      <w:r>
        <w:t>Theme 3: Approaches of Private Training Companies</w:t>
      </w:r>
      <w:bookmarkEnd w:id="219"/>
      <w:bookmarkEnd w:id="220"/>
    </w:p>
    <w:p>
      <w:pPr>
        <w:spacing w:line="480" w:lineRule="auto"/>
        <w:rPr>
          <w:rFonts w:ascii="Times New Roman" w:hAnsi="Times New Roman" w:cs="Times New Roman"/>
          <w:b/>
          <w:bCs/>
          <w:u w:val="single"/>
        </w:rPr>
      </w:pPr>
      <w:r>
        <w:rPr>
          <w:rFonts w:ascii="Times New Roman" w:hAnsi="Times New Roman" w:cs="Times New Roman"/>
          <w:b/>
          <w:bCs/>
          <w:u w:val="single"/>
        </w:rPr>
        <w:t>Overview of the Theme</w:t>
      </w:r>
    </w:p>
    <w:p>
      <w:pPr>
        <w:spacing w:line="480" w:lineRule="auto"/>
        <w:rPr>
          <w:rFonts w:ascii="Times New Roman" w:hAnsi="Times New Roman" w:cs="Times New Roman"/>
        </w:rPr>
      </w:pPr>
      <w:r>
        <w:rPr>
          <w:rFonts w:ascii="Times New Roman" w:hAnsi="Times New Roman" w:cs="Times New Roman"/>
        </w:rPr>
        <w:t>The landscape of continuing education in healthcare is vast, with private training companies playing a pivotal role in shaping the experiences of professionals. Their approaches, methodologies, and strategies significantly influence the perceptions, experiences, and outcomes for those who engage in their programs. This theme, "Approaches of Private Training Companies," seeks to unravel the strategies and methodologies employed by these entities, offering a lens into their operational ethos and its impact on healthcare professionals.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Key Findings Related to Training Company Approaches</w:t>
      </w:r>
    </w:p>
    <w:p>
      <w:pPr>
        <w:spacing w:line="480" w:lineRule="auto"/>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 Customization and Personalization: A salient expectation among participants was the desire for courses tailored to individual needs. They sought programs that could be customized based on their existing knowledge, skills, and career aspirations. As Participant K remarked, "A one-size-fits-all approach doesn't work for me. I value companies that take the time to understand my needs and tailor their courses accordingly."</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hint="eastAsia" w:ascii="Times New Roman" w:hAnsi="Times New Roman" w:cs="Times New Roman"/>
        </w:rPr>
        <w:t>b</w:t>
      </w:r>
      <w:r>
        <w:rPr>
          <w:rFonts w:ascii="Times New Roman" w:hAnsi="Times New Roman" w:cs="Times New Roman"/>
        </w:rPr>
        <w:t>. Technological Integration: The integration of technology into the learning experience was a significant point of discussion. Participants appreciated companies that leveraged modern technologies, be it through interactive online platforms, virtual simulations, or mobile learning applications. Participant L shared, "In today's digital age, I expect training companies to be at the forefront of technological integration. It enhances the learning experience and offers flexibility."</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hint="eastAsia" w:ascii="Times New Roman" w:hAnsi="Times New Roman" w:cs="Times New Roman"/>
        </w:rPr>
        <w:t>c</w:t>
      </w:r>
      <w:r>
        <w:rPr>
          <w:rFonts w:ascii="Times New Roman" w:hAnsi="Times New Roman" w:cs="Times New Roman"/>
        </w:rPr>
        <w:t>. Quality of Trainers: The caliber and expertise of trainers were paramount for many participants. They emphasized the importance of being taught by industry experts or professionals with significant practical experience. Participant M's reflection captures this sentiment: "The content is important, but the person delivering it makes all the difference. I look for companies that have seasoned professionals as trainers."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d. Feedback Mechanisms: Continuous feedback and assessment were not just desired but expected. Participants valued companies that had robust feedback mechanisms in place, allowing for course corrections and personalized guidance. Participant N noted, "I appreciate companies that don't just deliver content but also provide continuous feedback. It helps me gauge my progress and areas of improvement."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 Collaborative Learning Environments: Beyond individual learning, participants expressed a desire for collaborative learning environments. They valued programs that facilitated peer interactions, group discussions, and collaborative projects. Participant O emphasized this, stating, "Learning isn't just an individual journey. I value programs that foster collaboration and peer interactions. It offers diverse perspectives and enriches the learning experience."</w:t>
      </w:r>
    </w:p>
    <w:p>
      <w:pPr>
        <w:spacing w:line="480" w:lineRule="auto"/>
        <w:rPr>
          <w:rFonts w:ascii="Times New Roman" w:hAnsi="Times New Roman" w:cs="Times New Roman"/>
        </w:rPr>
      </w:pPr>
    </w:p>
    <w:p>
      <w:pPr>
        <w:spacing w:line="480" w:lineRule="auto"/>
        <w:rPr>
          <w:rFonts w:ascii="Times New Roman" w:hAnsi="Times New Roman" w:cs="Times New Roman"/>
        </w:rPr>
      </w:pPr>
    </w:p>
    <w:p>
      <w:pPr>
        <w:pStyle w:val="4"/>
      </w:pPr>
      <w:bookmarkStart w:id="221" w:name="_Toc147660208"/>
      <w:bookmarkStart w:id="222" w:name="_Toc8353"/>
      <w:r>
        <w:t>4.3.4</w:t>
      </w:r>
      <w:r>
        <w:rPr>
          <w:rFonts w:hint="eastAsia"/>
          <w:lang w:val="en-US" w:eastAsia="zh-CN"/>
        </w:rPr>
        <w:t xml:space="preserve">    </w:t>
      </w:r>
      <w:r>
        <w:t>Theme 4: Perceived Benefits and Challenges</w:t>
      </w:r>
      <w:bookmarkEnd w:id="221"/>
      <w:bookmarkEnd w:id="222"/>
    </w:p>
    <w:p>
      <w:pPr>
        <w:spacing w:line="480" w:lineRule="auto"/>
        <w:rPr>
          <w:rFonts w:ascii="Times New Roman" w:hAnsi="Times New Roman" w:cs="Times New Roman"/>
          <w:b/>
          <w:bCs/>
          <w:u w:val="single"/>
        </w:rPr>
      </w:pPr>
      <w:r>
        <w:rPr>
          <w:rFonts w:ascii="Times New Roman" w:hAnsi="Times New Roman" w:cs="Times New Roman"/>
          <w:b/>
          <w:bCs/>
          <w:u w:val="single"/>
        </w:rPr>
        <w:t>Overview of the Theme</w:t>
      </w:r>
    </w:p>
    <w:p>
      <w:pPr>
        <w:spacing w:line="480" w:lineRule="auto"/>
        <w:rPr>
          <w:rFonts w:ascii="Times New Roman" w:hAnsi="Times New Roman" w:cs="Times New Roman"/>
        </w:rPr>
      </w:pPr>
      <w:r>
        <w:rPr>
          <w:rFonts w:ascii="Times New Roman" w:hAnsi="Times New Roman" w:cs="Times New Roman"/>
        </w:rPr>
        <w:t>The journey through continuing education programs, particularly those facilitated by private training companies, is characterized by a spectrum of experiences. These experiences, both positive and challenging, shape the perceptions and value propositions of healthcare professionals. This theme, "Perceived Benefits and Challenges," seeks to provide a balanced exploration of the advantages and potential impediments encountered by participants in their educational pursuits.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Key Findings Related to Benefits and Challenges</w:t>
      </w:r>
    </w:p>
    <w:p>
      <w:pPr>
        <w:spacing w:line="480" w:lineRule="auto"/>
        <w:rPr>
          <w:rFonts w:ascii="Times New Roman" w:hAnsi="Times New Roman" w:cs="Times New Roman"/>
        </w:rPr>
      </w:pPr>
      <w:r>
        <w:rPr>
          <w:rFonts w:ascii="Times New Roman" w:hAnsi="Times New Roman" w:cs="Times New Roman"/>
        </w:rPr>
        <w:t>a. Skill Enhancement and Knowledge Acquisition: A predominant benefit resonating among participants was the tangible enhancement in skills and the acquisition of contemporary knowledge. As articulated by Participant B, "The knowledge I've gained from these programs has been invaluable. It's directly applicable to my work, and I've seen a noticeable improvement in my clinical practice."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b. Networking Opportunities: Beyond the confines of structured learning, many participants underscored the invaluable networking opportunities these programs presented. Participant H captured this sentiment, stating, "Beyond the content, the chance to connect with fellow professionals and industry leaders has been a game-changer for me. It's opened doors I hadn't even considered."</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c. Flexibility in Learning: The adaptability and flexibility inherent in some of these programs were lauded by many. Participant F highlighted the significance of this aspect, reflecting, "The ability to learn at my own pace, especially with my erratic work schedule, has been a blessing. It's made continuous learning feasible for me."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d. Cost and Time Commitment: While the benefits were manifold, challenges were not amiss. A salient challenge for many was the financial investment required for some programs. Coupled with this was the substantial time commitment, especially for extensive courses. This sentiment was encapsulated by Participant J, who mentioned, "While I see the value in these programs, the cost can be prohibitive. And with some courses spanning several months, it's a significant time investment."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e. Quality Consistency: The consistency in the quality of content and delivery emerged as a concern for some participants. Participant M voiced this concern, noting, "I've had courses that were fantastic from start to finish, but I've also been in programs where the quality varied drastically between modules. Consistency is key."</w:t>
      </w:r>
    </w:p>
    <w:p>
      <w:pPr>
        <w:spacing w:line="480" w:lineRule="auto"/>
        <w:rPr>
          <w:rFonts w:ascii="Times New Roman" w:hAnsi="Times New Roman" w:cs="Times New Roman"/>
        </w:rPr>
      </w:pPr>
    </w:p>
    <w:p>
      <w:pPr>
        <w:pStyle w:val="3"/>
        <w:spacing w:before="240" w:after="240"/>
      </w:pPr>
      <w:bookmarkStart w:id="223" w:name="_Toc147660209"/>
      <w:bookmarkStart w:id="224" w:name="_Toc21649"/>
      <w:r>
        <w:t>4.4</w:t>
      </w:r>
      <w:r>
        <w:rPr>
          <w:rFonts w:hint="eastAsia"/>
          <w:lang w:val="en-US" w:eastAsia="zh-CN"/>
        </w:rPr>
        <w:t xml:space="preserve">  </w:t>
      </w:r>
      <w:r>
        <w:t>Summary of Key Findings</w:t>
      </w:r>
      <w:bookmarkEnd w:id="223"/>
      <w:bookmarkEnd w:id="224"/>
    </w:p>
    <w:p>
      <w:pPr>
        <w:spacing w:line="480" w:lineRule="auto"/>
        <w:rPr>
          <w:rFonts w:ascii="Times New Roman" w:hAnsi="Times New Roman" w:cs="Times New Roman"/>
        </w:rPr>
      </w:pPr>
      <w:r>
        <w:rPr>
          <w:rFonts w:ascii="Times New Roman" w:hAnsi="Times New Roman" w:cs="Times New Roman"/>
        </w:rPr>
        <w:t>The data derived from the study presents a multifaceted view of healthcare professionals' perceptions, motivations, and experiences with continuing education programs offered by private training companies. This summary consolidates the primary discoveries from the data, providing a succinct recapitulation of each theme and its significance.</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Motivations for Participation</w:t>
      </w:r>
    </w:p>
    <w:p>
      <w:pPr>
        <w:spacing w:line="480" w:lineRule="auto"/>
        <w:rPr>
          <w:rFonts w:ascii="Times New Roman" w:hAnsi="Times New Roman" w:cs="Times New Roman"/>
        </w:rPr>
      </w:pPr>
      <w:r>
        <w:rPr>
          <w:rFonts w:ascii="Times New Roman" w:hAnsi="Times New Roman" w:cs="Times New Roman"/>
        </w:rPr>
        <w:t>Healthcare professionals exhibit a range of motivations when electing to participate in continuing education programs. The theme underscores the diverse factors influencing their choices, from professional aspirations to mandatory requirements. For instance, many participants view these programs as avenues for professional advancement, with one participant seeing them as a "stepping stone" in their career trajectory. Conversely, some engage out of necessity, driven by obligatory professional standards. The influence of peers, personal enrichment, and the need to stay updated with market trends further enrich this theme, highlighting the multifarious motivations underpinning participation.</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Expectations of Content, Delivery, and Outcomes</w:t>
      </w:r>
    </w:p>
    <w:p>
      <w:pPr>
        <w:spacing w:line="480" w:lineRule="auto"/>
        <w:rPr>
          <w:rFonts w:ascii="Times New Roman" w:hAnsi="Times New Roman" w:cs="Times New Roman"/>
        </w:rPr>
      </w:pPr>
      <w:r>
        <w:rPr>
          <w:rFonts w:ascii="Times New Roman" w:hAnsi="Times New Roman" w:cs="Times New Roman"/>
        </w:rPr>
        <w:t>When embarking on educational pursuits, healthcare professionals harbor specific expectations. This theme delves into these anticipations, spanning content relevance, delivery mechanisms, and desired outcomes. Participants express a strong desire for content that is both current and deep, with one participant emphasizing the need for "cutting-edge" material. The pedagogical approach, flexibility in learning, tangible outcomes, and continuous feedback further emerge as significant expectations, painting a comprehensive picture of what professionals seek from these programs.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Approaches of Private Training Companies</w:t>
      </w:r>
    </w:p>
    <w:p>
      <w:pPr>
        <w:spacing w:line="480" w:lineRule="auto"/>
        <w:rPr>
          <w:rFonts w:ascii="Times New Roman" w:hAnsi="Times New Roman" w:cs="Times New Roman"/>
        </w:rPr>
      </w:pPr>
      <w:r>
        <w:rPr>
          <w:rFonts w:ascii="Times New Roman" w:hAnsi="Times New Roman" w:cs="Times New Roman"/>
        </w:rPr>
        <w:t>Private training companies, with their unique strategies and methodologies, play a pivotal role in shaping the continuing education landscape. This theme offers insights into their operational ethos, from customization and personalization of courses to technological integration. The caliber of trainers, feedback mechanisms, and fostering collaborative learning environments are also highlighted as key approaches. One participant's emphasis on the importance of being taught by "seasoned professionals" underscores the value placed on the quality of trainers.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Perceived Benefits and Challenges</w:t>
      </w:r>
    </w:p>
    <w:p>
      <w:pPr>
        <w:spacing w:line="480" w:lineRule="auto"/>
        <w:rPr>
          <w:rFonts w:ascii="Times New Roman" w:hAnsi="Times New Roman" w:cs="Times New Roman"/>
        </w:rPr>
      </w:pPr>
      <w:r>
        <w:rPr>
          <w:rFonts w:ascii="Times New Roman" w:hAnsi="Times New Roman" w:cs="Times New Roman"/>
        </w:rPr>
        <w:t>The journey through continuing education is not without its highs and lows. This theme provides a balanced exploration of the perceived benefits and challenges encountered by healthcare professionals. Skill enhancement and knowledge acquisition emerge as predominant benefits, with participants noting noticeable improvements in their clinical practice. Networking opportunities, flexibility in learning, and the adaptability of programs further enhance the perceived benefits. However, challenges such as cost, time commitment, and consistency in quality temper these positive perceptions, offering a holistic view of the experiences of participants.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the findings from this study offer a rich tapestry of insights, shedding light on the motivations, expectations, approaches, benefits, and challenges associated with continuing education programs offered by private training companies. These insights not only enhance the understanding of the experiences of healthcare professionals but also provide valuable feedback for training companies to refine and enhance their offerings.</w:t>
      </w:r>
    </w:p>
    <w:p>
      <w:pPr>
        <w:spacing w:line="480" w:lineRule="auto"/>
        <w:rPr>
          <w:rFonts w:ascii="Times New Roman" w:hAnsi="Times New Roman" w:cs="Times New Roman"/>
        </w:rPr>
      </w:pPr>
    </w:p>
    <w:p>
      <w:pPr>
        <w:pStyle w:val="3"/>
        <w:spacing w:before="240" w:after="240"/>
      </w:pPr>
      <w:bookmarkStart w:id="225" w:name="_Toc147660210"/>
      <w:bookmarkStart w:id="226" w:name="_Toc32555"/>
      <w:r>
        <w:t>4.5</w:t>
      </w:r>
      <w:r>
        <w:rPr>
          <w:rFonts w:hint="eastAsia"/>
          <w:lang w:val="en-US" w:eastAsia="zh-CN"/>
        </w:rPr>
        <w:t xml:space="preserve">  </w:t>
      </w:r>
      <w:r>
        <w:t>Conclusion</w:t>
      </w:r>
      <w:bookmarkEnd w:id="225"/>
      <w:bookmarkEnd w:id="226"/>
    </w:p>
    <w:p>
      <w:pPr>
        <w:spacing w:line="480" w:lineRule="auto"/>
      </w:pPr>
      <w:r>
        <w:rPr>
          <w:rFonts w:ascii="Times New Roman" w:hAnsi="Times New Roman" w:cs="Times New Roman"/>
        </w:rPr>
        <w:t>This chapter meticulously presented the data derived from the study, offering a comprehensive exploration of healthcare professionals' motivations, expectations, and experiences with continuing education programs facilitated by private training companies. Through a thematic analysis, the researcher discerned the multifaceted motivations driving participation, the anticipations surrounding content and delivery, the distinct approaches of training companies, and the perceived benefits and challenges of such engagements. In the following chapter, the researcher will delve deeper into a critical discussion and interpretation of these findings, aiming to contextualize the data within broader academic and practical frameworks.</w:t>
      </w:r>
      <w:bookmarkEnd w:id="212"/>
      <w:r>
        <w:rPr>
          <w:rFonts w:ascii="Times New Roman" w:hAnsi="Times New Roman"/>
          <w:b/>
          <w:bCs/>
          <w:color w:val="000000" w:themeColor="text1"/>
          <w:kern w:val="2"/>
          <w:sz w:val="32"/>
          <w:szCs w:val="32"/>
          <w14:textFill>
            <w14:solidFill>
              <w14:schemeClr w14:val="tx1"/>
            </w14:solidFill>
          </w14:textFill>
        </w:rPr>
        <w:br w:type="page"/>
      </w:r>
      <w:bookmarkStart w:id="227" w:name="_Toc147660211"/>
      <w:bookmarkStart w:id="228" w:name="_Hlk144314769"/>
    </w:p>
    <w:p>
      <w:pPr>
        <w:pStyle w:val="2"/>
        <w:spacing w:before="240" w:after="240"/>
      </w:pPr>
      <w:bookmarkStart w:id="229" w:name="_Toc20876"/>
      <w:r>
        <w:t>Chapter 5</w:t>
      </w:r>
      <w:r>
        <w:tab/>
      </w:r>
      <w:r>
        <w:rPr>
          <w:rFonts w:hint="eastAsia" w:eastAsia="宋体"/>
          <w:lang w:val="en-US" w:eastAsia="zh-CN"/>
        </w:rPr>
        <w:t xml:space="preserve">        </w:t>
      </w:r>
      <w:r>
        <w:t>Discussion and Interpretation of the Data</w:t>
      </w:r>
      <w:bookmarkEnd w:id="227"/>
      <w:bookmarkEnd w:id="229"/>
    </w:p>
    <w:bookmarkEnd w:id="228"/>
    <w:p>
      <w:pPr>
        <w:spacing w:line="480" w:lineRule="auto"/>
        <w:rPr>
          <w:rFonts w:ascii="Times New Roman" w:hAnsi="Times New Roman" w:cs="Times New Roman"/>
        </w:rPr>
      </w:pPr>
      <w:r>
        <w:rPr>
          <w:rFonts w:ascii="Times New Roman" w:hAnsi="Times New Roman" w:cs="Times New Roman"/>
        </w:rPr>
        <w:t>The preceding chapter meticulously presented the empirical data, revealing multifaceted motivations driving participation, anticipations surrounding content and delivery, and the perceived benefits and challenges of such engagements. As for Chapter 5, the focus shifts from mere presentation to a deeper interpretation and contextualization of these findings. This chapter endeavors to weave the raw data into the broader tapestry of academic discourse, comparing our results with existing literature and elucidating the implications of our discoveries. The ensuing sections will dissect emergent patterns, contrast the findings with prior research, and ponder the broader ramifications of the study's revelations.</w:t>
      </w:r>
    </w:p>
    <w:p>
      <w:pPr>
        <w:spacing w:line="480" w:lineRule="auto"/>
        <w:rPr>
          <w:rFonts w:ascii="Times New Roman" w:hAnsi="Times New Roman" w:cs="Times New Roman"/>
        </w:rPr>
      </w:pPr>
    </w:p>
    <w:p>
      <w:pPr>
        <w:pStyle w:val="3"/>
        <w:spacing w:before="240" w:after="240" w:line="480" w:lineRule="auto"/>
      </w:pPr>
      <w:bookmarkStart w:id="230" w:name="_Toc147660212"/>
      <w:bookmarkStart w:id="231" w:name="_Toc13194"/>
      <w:r>
        <w:t>5.1</w:t>
      </w:r>
      <w:r>
        <w:rPr>
          <w:rFonts w:hint="eastAsia"/>
          <w:lang w:val="en-US" w:eastAsia="zh-CN"/>
        </w:rPr>
        <w:t xml:space="preserve">  </w:t>
      </w:r>
      <w:r>
        <w:t>Interpretation of Findings</w:t>
      </w:r>
      <w:bookmarkEnd w:id="230"/>
      <w:bookmarkEnd w:id="231"/>
    </w:p>
    <w:p>
      <w:pPr>
        <w:pStyle w:val="4"/>
      </w:pPr>
      <w:bookmarkStart w:id="232" w:name="_Toc147660213"/>
      <w:bookmarkStart w:id="233" w:name="_Toc21281"/>
      <w:r>
        <w:t>5.1.1</w:t>
      </w:r>
      <w:r>
        <w:rPr>
          <w:rFonts w:hint="eastAsia"/>
          <w:lang w:val="en-US" w:eastAsia="zh-CN"/>
        </w:rPr>
        <w:t xml:space="preserve">   </w:t>
      </w:r>
      <w:r>
        <w:t>Patterns and Emergent Themes</w:t>
      </w:r>
      <w:bookmarkEnd w:id="232"/>
      <w:bookmarkEnd w:id="233"/>
    </w:p>
    <w:p>
      <w:pPr>
        <w:spacing w:line="480" w:lineRule="auto"/>
        <w:rPr>
          <w:rFonts w:ascii="Times New Roman" w:hAnsi="Times New Roman" w:cs="Times New Roman"/>
        </w:rPr>
      </w:pPr>
      <w:r>
        <w:rPr>
          <w:rFonts w:ascii="Times New Roman" w:hAnsi="Times New Roman" w:cs="Times New Roman"/>
        </w:rPr>
        <w:t xml:space="preserve">A meticulous analysis of the data has unveiled several distinct patterns and emergent themes that provide invaluable insights into the motivations and experiences of healthcare professionals regarding continuing education programs.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Firstly, a dominant theme that surfaced was the intrinsic motivation of healthcare professionals to enhance their competencies. This was not merely driven by external factors such as career advancement or mandatory requirements but stemmed from a genuine desire to improve patient care and stay abreast of medical advancements.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Secondly, there was a noticeable emphasis on the quality of content and its relevance to current practice. Professionals exhibited a preference for programs that were evidence-based, up-to-date, and directly applicable to their daily clinical scenarios.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Lastly, the mode of delivery and the flexibility of the programs were recurrent themes. With the evolving dynamics of the healthcare sector and the demanding schedules of professionals, there was a clear inclination towards programs that offered flexibility in terms of time, location, and pace.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Relating these patterns to the research questions, it becomes evident that while external factors like career progression play a role, intrinsic motivations and the practicality of the programs are paramount in influencing the decision to participate in continuing education.</w:t>
      </w:r>
    </w:p>
    <w:p>
      <w:pPr>
        <w:spacing w:line="480" w:lineRule="auto"/>
        <w:rPr>
          <w:rFonts w:ascii="Times New Roman" w:hAnsi="Times New Roman" w:cs="Times New Roman"/>
        </w:rPr>
      </w:pPr>
    </w:p>
    <w:p>
      <w:pPr>
        <w:pStyle w:val="4"/>
      </w:pPr>
      <w:bookmarkStart w:id="234" w:name="_Toc147660214"/>
      <w:bookmarkStart w:id="235" w:name="_Toc28888"/>
      <w:r>
        <w:t>5.1.2</w:t>
      </w:r>
      <w:r>
        <w:rPr>
          <w:rFonts w:hint="eastAsia"/>
          <w:lang w:val="en-US" w:eastAsia="zh-CN"/>
        </w:rPr>
        <w:t xml:space="preserve">   </w:t>
      </w:r>
      <w:r>
        <w:t>Comparison with Existing Literature</w:t>
      </w:r>
      <w:bookmarkEnd w:id="234"/>
      <w:bookmarkEnd w:id="235"/>
    </w:p>
    <w:p>
      <w:pPr>
        <w:spacing w:line="480" w:lineRule="auto"/>
        <w:rPr>
          <w:rFonts w:ascii="Times New Roman" w:hAnsi="Times New Roman" w:cs="Times New Roman"/>
        </w:rPr>
      </w:pPr>
      <w:r>
        <w:rPr>
          <w:rFonts w:ascii="Times New Roman" w:hAnsi="Times New Roman" w:cs="Times New Roman"/>
        </w:rPr>
        <w:t>Upon close examination, the findings present both convergences and divergences when compared to the broader body of research on continuing education for healthcare professionals. These differences are not only intriguing but also pivotal in understanding the unique contributions of this study to the existing knowledge base.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Consistent with prior research, </w:t>
      </w:r>
      <w:r>
        <w:rPr>
          <w:rFonts w:hint="eastAsia" w:ascii="Times New Roman" w:hAnsi="Times New Roman" w:cs="Times New Roman"/>
        </w:rPr>
        <w:t>the</w:t>
      </w:r>
      <w:r>
        <w:rPr>
          <w:rFonts w:ascii="Times New Roman" w:hAnsi="Times New Roman" w:cs="Times New Roman"/>
        </w:rPr>
        <w:t xml:space="preserve"> study reaffirms the significance of intrinsic motivation as a driving force for continuous learning among healthcare professionals. Studies by Casanova et al </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ExcludeAuth="1"&gt;&lt;Author&gt;Casanova&lt;/Author&gt;&lt;Year&gt;2023&lt;/Year&gt;&lt;RecNum&gt;1285&lt;/RecNum&gt;&lt;DisplayText&gt;(2023)&lt;/DisplayText&gt;&lt;record&gt;&lt;rec-number&gt;1285&lt;/rec-number&gt;&lt;foreign-keys&gt;&lt;key app="EN" db-id="r2rswvs2oexszme9tvjx5vx252ep2r22dx9d" timestamp="1701341984"&gt;1285&lt;/key&gt;&lt;/foreign-keys&gt;&lt;ref-type name="Journal Article"&gt;17&lt;/ref-type&gt;&lt;contributors&gt;&lt;authors&gt;&lt;author&gt;Casanova, Carlos R&lt;/author&gt;&lt;author&gt;King, Jordan A&lt;/author&gt;&lt;author&gt;Fischer, Daniel&lt;/author&gt;&lt;/authors&gt;&lt;/contributors&gt;&lt;titles&gt;&lt;title&gt;Exploring the role of intentions and expectations in continuing professional development in sustainability education&lt;/title&gt;&lt;secondary-title&gt;Teaching and Teacher Education&lt;/secondary-title&gt;&lt;/titles&gt;&lt;periodical&gt;&lt;full-title&gt;Teaching and Teacher Education&lt;/full-title&gt;&lt;/periodical&gt;&lt;pages&gt;104115&lt;/pages&gt;&lt;volume&gt;128&lt;/volume&gt;&lt;dates&gt;&lt;year&gt;2023&lt;/year&gt;&lt;/dates&gt;&lt;isbn&gt;0742-051X&lt;/isbn&gt;&lt;urls&gt;&lt;/urls&gt;&lt;electronic-resource-num&gt;10.1016/j.tate.2023.104115&lt;/electronic-resource-num&gt;&lt;/record&gt;&lt;/Cite&gt;&lt;/EndNote&gt;</w:instrText>
      </w:r>
      <w:r>
        <w:rPr>
          <w:rFonts w:ascii="Times New Roman" w:hAnsi="Times New Roman" w:cs="Times New Roman"/>
        </w:rPr>
        <w:fldChar w:fldCharType="separate"/>
      </w:r>
      <w:r>
        <w:rPr>
          <w:rFonts w:ascii="Times New Roman" w:hAnsi="Times New Roman" w:cs="Times New Roman"/>
        </w:rPr>
        <w:t>(2023)</w:t>
      </w:r>
      <w:r>
        <w:rPr>
          <w:rFonts w:ascii="Times New Roman" w:hAnsi="Times New Roman" w:cs="Times New Roman"/>
        </w:rPr>
        <w:fldChar w:fldCharType="end"/>
      </w:r>
      <w:r>
        <w:rPr>
          <w:rFonts w:ascii="Times New Roman" w:hAnsi="Times New Roman" w:cs="Times New Roman"/>
        </w:rPr>
        <w:t xml:space="preserve"> have similarly highlighted the pivotal role of personal and professional growth aspirations in influencing participation in continuing education.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However, the emphasis on the quality and relevance of content appears to be more pronounced than some earlier studies. While Gould et al. </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ExcludeAuth="1"&gt;&lt;Author&gt;Gould&lt;/Author&gt;&lt;Year&gt;2007&lt;/Year&gt;&lt;RecNum&gt;1286&lt;/RecNum&gt;&lt;DisplayText&gt;(2007)&lt;/DisplayText&gt;&lt;record&gt;&lt;rec-number&gt;1286&lt;/rec-number&gt;&lt;foreign-keys&gt;&lt;key app="EN" db-id="r2rswvs2oexszme9tvjx5vx252ep2r22dx9d" timestamp="1701341984"&gt;1286&lt;/key&gt;&lt;/foreign-keys&gt;&lt;ref-type name="Journal Article"&gt;17&lt;/ref-type&gt;&lt;contributors&gt;&lt;authors&gt;&lt;author&gt;Gould, Dinah&lt;/author&gt;&lt;author&gt;Drey, Nicholas&lt;/author&gt;&lt;author&gt;Berridge, Emma-Jane&lt;/author&gt;&lt;/authors&gt;&lt;/contributors&gt;&lt;titles&gt;&lt;title&gt;Nurses’ experiences of continuing professional development&lt;/title&gt;&lt;secondary-title&gt;Nurse Education Today&lt;/secondary-title&gt;&lt;/titles&gt;&lt;periodical&gt;&lt;full-title&gt;Nurse education today&lt;/full-title&gt;&lt;/periodical&gt;&lt;pages&gt;602-609&lt;/pages&gt;&lt;volume&gt;27&lt;/volume&gt;&lt;number&gt;6&lt;/number&gt;&lt;dates&gt;&lt;year&gt;2007&lt;/year&gt;&lt;/dates&gt;&lt;isbn&gt;0260-6917&lt;/isbn&gt;&lt;urls&gt;&lt;/urls&gt;&lt;electronic-resource-num&gt;10.1016/j.nedt.2006.08.021&lt;/electronic-resource-num&gt;&lt;/record&gt;&lt;/Cite&gt;&lt;/EndNote&gt;</w:instrText>
      </w:r>
      <w:r>
        <w:rPr>
          <w:rFonts w:ascii="Times New Roman" w:hAnsi="Times New Roman" w:cs="Times New Roman"/>
        </w:rPr>
        <w:fldChar w:fldCharType="separate"/>
      </w:r>
      <w:r>
        <w:rPr>
          <w:rFonts w:ascii="Times New Roman" w:hAnsi="Times New Roman" w:cs="Times New Roman"/>
        </w:rPr>
        <w:t>(2007)</w:t>
      </w:r>
      <w:r>
        <w:rPr>
          <w:rFonts w:ascii="Times New Roman" w:hAnsi="Times New Roman" w:cs="Times New Roman"/>
        </w:rPr>
        <w:fldChar w:fldCharType="end"/>
      </w:r>
      <w:r>
        <w:rPr>
          <w:rFonts w:ascii="Times New Roman" w:hAnsi="Times New Roman" w:cs="Times New Roman"/>
        </w:rPr>
        <w:t xml:space="preserve"> emphasized the importance of content, the findings suggest that healthcare professionals today place an even greater premium on evidence-based and current content, possibly reflecting the rapid advancements in medical science and the need for timely knowledge dissemination.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A unique insight from the study pertains to the mode of delivery. While traditional face-to-face sessions remain popular, there is a growing inclination towards flexible and digital modes of learning, a trend not as prominently highlighted in earlier literature </w:t>
      </w:r>
      <w:r>
        <w:rPr>
          <w:rFonts w:ascii="Times New Roman" w:hAnsi="Times New Roman" w:cs="Times New Roman"/>
        </w:rPr>
        <w:fldChar w:fldCharType="begin"/>
      </w:r>
      <w:r>
        <w:rPr>
          <w:rFonts w:ascii="Times New Roman" w:hAnsi="Times New Roman" w:cs="Times New Roman"/>
        </w:rPr>
        <w:instrText xml:space="preserve"> ADDIN EN.CITE &lt;EndNote&gt;&lt;Cite&gt;&lt;Author&gt;Singh&lt;/Author&gt;&lt;Year&gt;2021&lt;/Year&gt;&lt;RecNum&gt;1287&lt;/RecNum&gt;&lt;DisplayText&gt;(Singh, Steele and Singh, 2021)&lt;/DisplayText&gt;&lt;record&gt;&lt;rec-number&gt;1287&lt;/rec-number&gt;&lt;foreign-keys&gt;&lt;key app="EN" db-id="r2rswvs2oexszme9tvjx5vx252ep2r22dx9d" timestamp="1701341984"&gt;1287&lt;/key&gt;&lt;/foreign-keys&gt;&lt;ref-type name="Journal Article"&gt;17&lt;/ref-type&gt;&lt;contributors&gt;&lt;authors&gt;&lt;author&gt;Singh, Jitendra&lt;/author&gt;&lt;author&gt;Steele, Keely&lt;/author&gt;&lt;author&gt;Singh, Lovely&lt;/author&gt;&lt;/authors&gt;&lt;/contributors&gt;&lt;titles&gt;&lt;title&gt;Combining the best of online and face-to-face learning: Hybrid and blended learning approach for COVID-19, post vaccine, &amp;amp; post-pandemic world&lt;/title&gt;&lt;secondary-title&gt;Journal of Educational Technology Systems&lt;/secondary-title&gt;&lt;/titles&gt;&lt;periodical&gt;&lt;full-title&gt;Journal of Educational Technology Systems&lt;/full-title&gt;&lt;/periodical&gt;&lt;pages&gt;140-171&lt;/pages&gt;&lt;volume&gt;50&lt;/volume&gt;&lt;number&gt;2&lt;/number&gt;&lt;dates&gt;&lt;year&gt;2021&lt;/year&gt;&lt;/dates&gt;&lt;isbn&gt;0047-2395&lt;/isbn&gt;&lt;urls&gt;&lt;/urls&gt;&lt;electronic-resource-num&gt;10.1177/00472395211047865&lt;/electronic-resource-num&gt;&lt;/record&gt;&lt;/Cite&gt;&lt;/EndNote&gt;</w:instrText>
      </w:r>
      <w:r>
        <w:rPr>
          <w:rFonts w:ascii="Times New Roman" w:hAnsi="Times New Roman" w:cs="Times New Roman"/>
        </w:rPr>
        <w:fldChar w:fldCharType="separate"/>
      </w:r>
      <w:r>
        <w:rPr>
          <w:rFonts w:ascii="Times New Roman" w:hAnsi="Times New Roman" w:cs="Times New Roman"/>
        </w:rPr>
        <w:t>(Singh, Steele and Singh, 2021)</w:t>
      </w:r>
      <w:r>
        <w:rPr>
          <w:rFonts w:ascii="Times New Roman" w:hAnsi="Times New Roman" w:cs="Times New Roman"/>
        </w:rPr>
        <w:fldChar w:fldCharType="end"/>
      </w:r>
      <w:r>
        <w:rPr>
          <w:rFonts w:ascii="Times New Roman" w:hAnsi="Times New Roman" w:cs="Times New Roman"/>
        </w:rPr>
        <w:t xml:space="preserve">. This could be indicative of the changing dynamics of the healthcare sector and the increasing integration of technology in education </w:t>
      </w:r>
      <w:r>
        <w:rPr>
          <w:rFonts w:ascii="Times New Roman" w:hAnsi="Times New Roman" w:cs="Times New Roman"/>
        </w:rPr>
        <w:fldChar w:fldCharType="begin"/>
      </w:r>
      <w:r>
        <w:rPr>
          <w:rFonts w:ascii="Times New Roman" w:hAnsi="Times New Roman" w:cs="Times New Roman"/>
        </w:rPr>
        <w:instrText xml:space="preserve"> ADDIN EN.CITE &lt;EndNote&gt;&lt;Cite&gt;&lt;Author&gt;Kickbusch&lt;/Author&gt;&lt;Year&gt;2021&lt;/Year&gt;&lt;RecNum&gt;1288&lt;/RecNum&gt;&lt;DisplayText&gt;(Kickbusch&lt;style face="italic"&gt; et al.&lt;/style&gt;, 2021)&lt;/DisplayText&gt;&lt;record&gt;&lt;rec-number&gt;1288&lt;/rec-number&gt;&lt;foreign-keys&gt;&lt;key app="EN" db-id="r2rswvs2oexszme9tvjx5vx252ep2r22dx9d" timestamp="1701341984"&gt;1288&lt;/key&gt;&lt;/foreign-keys&gt;&lt;ref-type name="Journal Article"&gt;17&lt;/ref-type&gt;&lt;contributors&gt;&lt;authors&gt;&lt;author&gt;Kickbusch, Ilona&lt;/author&gt;&lt;author&gt;Piselli, Dario&lt;/author&gt;&lt;author&gt;Agrawal, Anurag&lt;/author&gt;&lt;author&gt;Balicer, Ran&lt;/author&gt;&lt;author&gt;Banner, Olivia&lt;/author&gt;&lt;author&gt;Adelhardt, Michael&lt;/author&gt;&lt;author&gt;Capobianco, Emanuele&lt;/author&gt;&lt;author&gt;Fabian, Christopher&lt;/author&gt;&lt;author&gt;Gill, Amandeep Singh&lt;/author&gt;&lt;author&gt;Lupton, Deborah&lt;/author&gt;&lt;/authors&gt;&lt;/contributors&gt;&lt;titles&gt;&lt;title&gt;The lancet and financial times commission on governing health futures 2030: Growing up in a digital world&lt;/title&gt;&lt;secondary-title&gt;The Lancet&lt;/secondary-title&gt;&lt;/titles&gt;&lt;periodical&gt;&lt;full-title&gt;The Lancet&lt;/full-title&gt;&lt;/periodical&gt;&lt;pages&gt;1727-1776&lt;/pages&gt;&lt;volume&gt;398&lt;/volume&gt;&lt;number&gt;10312&lt;/number&gt;&lt;dates&gt;&lt;year&gt;2021&lt;/year&gt;&lt;/dates&gt;&lt;isbn&gt;0140-6736&lt;/isbn&gt;&lt;urls&gt;&lt;/urls&gt;&lt;electronic-resource-num&gt;10.1016/S0140-6736(21)01824-9&lt;/electronic-resource-num&gt;&lt;/record&gt;&lt;/Cite&gt;&lt;/EndNote&gt;</w:instrText>
      </w:r>
      <w:r>
        <w:rPr>
          <w:rFonts w:ascii="Times New Roman" w:hAnsi="Times New Roman" w:cs="Times New Roman"/>
        </w:rPr>
        <w:fldChar w:fldCharType="separate"/>
      </w:r>
      <w:r>
        <w:rPr>
          <w:rFonts w:ascii="Times New Roman" w:hAnsi="Times New Roman" w:cs="Times New Roman"/>
        </w:rPr>
        <w:t>(Kickbusch</w:t>
      </w:r>
      <w:r>
        <w:rPr>
          <w:rFonts w:ascii="Times New Roman" w:hAnsi="Times New Roman" w:cs="Times New Roman"/>
          <w:i/>
        </w:rPr>
        <w:t xml:space="preserve"> et al.</w:t>
      </w:r>
      <w:r>
        <w:rPr>
          <w:rFonts w:ascii="Times New Roman" w:hAnsi="Times New Roman" w:cs="Times New Roman"/>
        </w:rPr>
        <w:t>, 2021)</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summation, while the findings resonate with several aspects of established knowledge, they also bring to light certain nuances and shifts in preferences, underscoring the evolving nature of continuing education in the healthcare domain.</w:t>
      </w:r>
    </w:p>
    <w:p>
      <w:pPr>
        <w:spacing w:line="480" w:lineRule="auto"/>
        <w:rPr>
          <w:rFonts w:ascii="Times New Roman" w:hAnsi="Times New Roman" w:cs="Times New Roman"/>
        </w:rPr>
      </w:pPr>
    </w:p>
    <w:p>
      <w:pPr>
        <w:pStyle w:val="3"/>
        <w:spacing w:before="240" w:after="240" w:line="480" w:lineRule="auto"/>
      </w:pPr>
      <w:bookmarkStart w:id="236" w:name="_Toc147660215"/>
      <w:bookmarkStart w:id="237" w:name="_Toc31409"/>
      <w:r>
        <w:t>5.2</w:t>
      </w:r>
      <w:r>
        <w:rPr>
          <w:rFonts w:hint="eastAsia"/>
          <w:lang w:val="en-US" w:eastAsia="zh-CN"/>
        </w:rPr>
        <w:t xml:space="preserve">  </w:t>
      </w:r>
      <w:r>
        <w:t>Implications of the Findings</w:t>
      </w:r>
      <w:bookmarkEnd w:id="236"/>
      <w:bookmarkEnd w:id="237"/>
    </w:p>
    <w:p>
      <w:pPr>
        <w:spacing w:line="480" w:lineRule="auto"/>
        <w:rPr>
          <w:rFonts w:ascii="Times New Roman" w:hAnsi="Times New Roman" w:cs="Times New Roman"/>
        </w:rPr>
      </w:pPr>
      <w:r>
        <w:rPr>
          <w:rFonts w:ascii="Times New Roman" w:hAnsi="Times New Roman" w:cs="Times New Roman"/>
        </w:rPr>
        <w:t>The insights derived from this research, while specifically focusing on healthcare professionals' interactions with continuing education programs, cast a wider net, suggesting broader ramifications for the entire educational landscape within the healthcare sector.</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To begin with, the pronounced preference for flexible program delivery and the heightened emphasis on content relevance challenge long-standing educational norms. This shift underscores the need for a departure from generic educational models to ones that are more individualized and attuned to the learner's needs </w:t>
      </w:r>
      <w:r>
        <w:rPr>
          <w:rFonts w:ascii="Times New Roman" w:hAnsi="Times New Roman" w:cs="Times New Roman"/>
        </w:rPr>
        <w:fldChar w:fldCharType="begin"/>
      </w:r>
      <w:r>
        <w:rPr>
          <w:rFonts w:ascii="Times New Roman" w:hAnsi="Times New Roman" w:cs="Times New Roman"/>
        </w:rPr>
        <w:instrText xml:space="preserve"> ADDIN EN.CITE &lt;EndNote&gt;&lt;Cite&gt;&lt;Author&gt;Soan&lt;/Author&gt;&lt;Year&gt;2023&lt;/Year&gt;&lt;RecNum&gt;1289&lt;/RecNum&gt;&lt;DisplayText&gt;(Soan and Monsen, 2023)&lt;/DisplayText&gt;&lt;record&gt;&lt;rec-number&gt;1289&lt;/rec-number&gt;&lt;foreign-keys&gt;&lt;key app="EN" db-id="r2rswvs2oexszme9tvjx5vx252ep2r22dx9d" timestamp="1701341984"&gt;1289&lt;/key&gt;&lt;/foreign-keys&gt;&lt;ref-type name="Book"&gt;6&lt;/ref-type&gt;&lt;contributors&gt;&lt;authors&gt;&lt;author&gt;Soan, Sue&lt;/author&gt;&lt;author&gt;Monsen, Jeremy&lt;/author&gt;&lt;/authors&gt;&lt;/contributors&gt;&lt;titles&gt;&lt;title&gt;Inclusive education theory and policy: Moving from special educational needs to equity&lt;/title&gt;&lt;/titles&gt;&lt;dates&gt;&lt;year&gt;2023&lt;/year&gt;&lt;/dates&gt;&lt;pub-location&gt;London&lt;/pub-location&gt;&lt;publisher&gt;McGraw-Hill Education&lt;/publisher&gt;&lt;isbn&gt;0335250408&lt;/isbn&gt;&lt;urls&gt;&lt;/urls&gt;&lt;/record&gt;&lt;/Cite&gt;&lt;/EndNote&gt;</w:instrText>
      </w:r>
      <w:r>
        <w:rPr>
          <w:rFonts w:ascii="Times New Roman" w:hAnsi="Times New Roman" w:cs="Times New Roman"/>
        </w:rPr>
        <w:fldChar w:fldCharType="separate"/>
      </w:r>
      <w:r>
        <w:rPr>
          <w:rFonts w:ascii="Times New Roman" w:hAnsi="Times New Roman" w:cs="Times New Roman"/>
        </w:rPr>
        <w:t>(Soan and Monsen, 2023)</w:t>
      </w:r>
      <w:r>
        <w:rPr>
          <w:rFonts w:ascii="Times New Roman" w:hAnsi="Times New Roman" w:cs="Times New Roman"/>
        </w:rPr>
        <w:fldChar w:fldCharType="end"/>
      </w:r>
      <w:r>
        <w:rPr>
          <w:rFonts w:ascii="Times New Roman" w:hAnsi="Times New Roman" w:cs="Times New Roman"/>
        </w:rPr>
        <w:t xml:space="preserve">. Such a change not only reshapes the understanding of continuing education but also necessitates a comprehensive review of pedagogical strategies. For educational institutions and training entities, this means a potential overhaul in the way programs are conceptualized, designed, and imparted. The future might see a greater integration of technology, modular courses, and real-time content updates to cater to the dynamic nature of the medical field </w:t>
      </w:r>
      <w:r>
        <w:rPr>
          <w:rFonts w:ascii="Times New Roman" w:hAnsi="Times New Roman" w:cs="Times New Roman"/>
        </w:rPr>
        <w:fldChar w:fldCharType="begin"/>
      </w:r>
      <w:r>
        <w:rPr>
          <w:rFonts w:ascii="Times New Roman" w:hAnsi="Times New Roman" w:cs="Times New Roman"/>
        </w:rPr>
        <w:instrText xml:space="preserve"> ADDIN EN.CITE &lt;EndNote&gt;&lt;Cite&gt;&lt;Author&gt;Dey&lt;/Author&gt;&lt;Year&gt;2023&lt;/Year&gt;&lt;RecNum&gt;1290&lt;/RecNum&gt;&lt;DisplayText&gt;(Dey, 2023)&lt;/DisplayText&gt;&lt;record&gt;&lt;rec-number&gt;1290&lt;/rec-number&gt;&lt;foreign-keys&gt;&lt;key app="EN" db-id="r2rswvs2oexszme9tvjx5vx252ep2r22dx9d" timestamp="1701341984"&gt;1290&lt;/key&gt;&lt;/foreign-keys&gt;&lt;ref-type name="Conference Proceedings"&gt;10&lt;/ref-type&gt;&lt;contributors&gt;&lt;authors&gt;&lt;author&gt;Dey, Neelam C&lt;/author&gt;&lt;/authors&gt;&lt;/contributors&gt;&lt;titles&gt;&lt;title&gt;Innovative digital teaching and learning practices in society in view of nursing education/profession in India: A comprehensive review&lt;/title&gt;&lt;secondary-title&gt;International Conference on Trends, Innovations and Technological Advancements in Nursing Education&lt;/secondary-title&gt;&lt;/titles&gt;&lt;dates&gt;&lt;year&gt;2023&lt;/year&gt;&lt;/dates&gt;&lt;pub-location&gt;Paris&lt;/pub-location&gt;&lt;publisher&gt;Shri Jagdishprasad Jhabarmal Tibrewala University&lt;/publisher&gt;&lt;urls&gt;&lt;/urls&gt;&lt;custom1&gt;Jhunjhunu&lt;/custom1&gt;&lt;electronic-resource-num&gt;10.2139/ssrn.4559285&lt;/electronic-resource-num&gt;&lt;/record&gt;&lt;/Cite&gt;&lt;/EndNote&gt;</w:instrText>
      </w:r>
      <w:r>
        <w:rPr>
          <w:rFonts w:ascii="Times New Roman" w:hAnsi="Times New Roman" w:cs="Times New Roman"/>
        </w:rPr>
        <w:fldChar w:fldCharType="separate"/>
      </w:r>
      <w:r>
        <w:rPr>
          <w:rFonts w:ascii="Times New Roman" w:hAnsi="Times New Roman" w:cs="Times New Roman"/>
        </w:rPr>
        <w:t>(Dey, 2023)</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Moreover, the intrinsic motivations that propel healthcare professionals towards continuous learning, as highlighted in </w:t>
      </w:r>
      <w:r>
        <w:rPr>
          <w:rFonts w:hint="eastAsia" w:ascii="Times New Roman" w:hAnsi="Times New Roman" w:cs="Times New Roman"/>
        </w:rPr>
        <w:t>the</w:t>
      </w:r>
      <w:r>
        <w:rPr>
          <w:rFonts w:ascii="Times New Roman" w:hAnsi="Times New Roman" w:cs="Times New Roman"/>
        </w:rPr>
        <w:t xml:space="preserve"> study, paint a picture of a deeply committed workforce, driven by the dual goals of personal growth and enhanced patient care. This revelation holds significant weight for those at the helm of policy formulation and institutional governance. By acknowledging and nurturing these motivations, there is an opportunity to cultivate a culture that values and promotes continuous learning, moving beyond mere compliance to a more intrinsic, passion-driven approach </w:t>
      </w:r>
      <w:r>
        <w:rPr>
          <w:rFonts w:ascii="Times New Roman" w:hAnsi="Times New Roman" w:cs="Times New Roman"/>
        </w:rPr>
        <w:fldChar w:fldCharType="begin"/>
      </w:r>
      <w:r>
        <w:rPr>
          <w:rFonts w:ascii="Times New Roman" w:hAnsi="Times New Roman" w:cs="Times New Roman"/>
        </w:rPr>
        <w:instrText xml:space="preserve"> ADDIN EN.CITE &lt;EndNote&gt;&lt;Cite&gt;&lt;Author&gt;Gozdz&lt;/Author&gt;&lt;Year&gt;2023&lt;/Year&gt;&lt;RecNum&gt;1291&lt;/RecNum&gt;&lt;DisplayText&gt;(Gozdz and Miller, 2023)&lt;/DisplayText&gt;&lt;record&gt;&lt;rec-number&gt;1291&lt;/rec-number&gt;&lt;foreign-keys&gt;&lt;key app="EN" db-id="r2rswvs2oexszme9tvjx5vx252ep2r22dx9d" timestamp="1701341984"&gt;1291&lt;/key&gt;&lt;/foreign-keys&gt;&lt;ref-type name="Book"&gt;6&lt;/ref-type&gt;&lt;contributors&gt;&lt;authors&gt;&lt;author&gt;Gozdz, Kazimierz&lt;/author&gt;&lt;author&gt;Miller, Ruth-Ellen L&lt;/author&gt;&lt;/authors&gt;&lt;/contributors&gt;&lt;titles&gt;&lt;title&gt;Developing third-generation learning organizations: A heuristic discovery process&lt;/title&gt;&lt;/titles&gt;&lt;dates&gt;&lt;year&gt;2023&lt;/year&gt;&lt;/dates&gt;&lt;pub-location&gt;Cambridge&lt;/pub-location&gt;&lt;publisher&gt;Cambridge Scholars Publishing&lt;/publisher&gt;&lt;isbn&gt;1527594505&lt;/isbn&gt;&lt;urls&gt;&lt;/urls&gt;&lt;/record&gt;&lt;/Cite&gt;&lt;/EndNote&gt;</w:instrText>
      </w:r>
      <w:r>
        <w:rPr>
          <w:rFonts w:ascii="Times New Roman" w:hAnsi="Times New Roman" w:cs="Times New Roman"/>
        </w:rPr>
        <w:fldChar w:fldCharType="separate"/>
      </w:r>
      <w:r>
        <w:rPr>
          <w:rFonts w:ascii="Times New Roman" w:hAnsi="Times New Roman" w:cs="Times New Roman"/>
        </w:rPr>
        <w:t>(Gozdz and Miller, 2023)</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On a practical note, these findings serve as a beacon for training providers. By aligning their offerings with the current needs and preferences of healthcare professionals, they can ensure higher engagement levels and more impactful learning outcomes. This might entail the incorporation of real-world case studies, interactive digital platforms, and feedback-driven content updates.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For future researchers, </w:t>
      </w:r>
      <w:r>
        <w:rPr>
          <w:rFonts w:hint="eastAsia" w:ascii="Times New Roman" w:hAnsi="Times New Roman" w:cs="Times New Roman"/>
        </w:rPr>
        <w:t>the</w:t>
      </w:r>
      <w:r>
        <w:rPr>
          <w:rFonts w:ascii="Times New Roman" w:hAnsi="Times New Roman" w:cs="Times New Roman"/>
        </w:rPr>
        <w:t xml:space="preserve"> study lays down a fertile ground ripe for exploration. The emerging preference for digital learning, for instance, presents a plethora of questions: How does digital learning compare with traditional methods in terms of efficacy? What challenges might learners face in digital environments, and how can these be addressed? Furthermore, the intricate web of motivations driving participation in continuing education can be unraveled further, potentially leading to studies that delve deeper into specific demographics or specializations within healthcare.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summation, this research not only enriches the existing discourse on continuing education in healthcare but also paves the way for a more informed, adaptive, and holistic approach to learning. The ripple effects of these findings are far-reaching, influencing educational methodologies, policy decisions, and avenues for future inquiry.</w:t>
      </w:r>
    </w:p>
    <w:p>
      <w:pPr>
        <w:spacing w:line="480" w:lineRule="auto"/>
        <w:rPr>
          <w:rFonts w:ascii="Times New Roman" w:hAnsi="Times New Roman" w:cs="Times New Roman"/>
        </w:rPr>
      </w:pPr>
    </w:p>
    <w:p>
      <w:pPr>
        <w:pStyle w:val="3"/>
        <w:spacing w:before="240" w:after="240" w:line="480" w:lineRule="auto"/>
      </w:pPr>
      <w:bookmarkStart w:id="238" w:name="_Toc147660216"/>
      <w:bookmarkStart w:id="239" w:name="_Toc27356"/>
      <w:r>
        <w:t>5.3</w:t>
      </w:r>
      <w:r>
        <w:rPr>
          <w:rFonts w:hint="eastAsia"/>
          <w:lang w:val="en-US" w:eastAsia="zh-CN"/>
        </w:rPr>
        <w:t xml:space="preserve">  </w:t>
      </w:r>
      <w:r>
        <w:rPr>
          <w:rFonts w:hint="eastAsia"/>
        </w:rPr>
        <w:t>Li</w:t>
      </w:r>
      <w:r>
        <w:t>mitations and Considerations</w:t>
      </w:r>
      <w:bookmarkEnd w:id="238"/>
      <w:bookmarkEnd w:id="239"/>
    </w:p>
    <w:p>
      <w:pPr>
        <w:spacing w:line="480" w:lineRule="auto"/>
        <w:rPr>
          <w:rFonts w:ascii="Times New Roman" w:hAnsi="Times New Roman" w:cs="Times New Roman"/>
        </w:rPr>
      </w:pPr>
      <w:r>
        <w:rPr>
          <w:rFonts w:ascii="Times New Roman" w:hAnsi="Times New Roman" w:cs="Times New Roman"/>
        </w:rPr>
        <w:t xml:space="preserve">Every research endeavor, regardless of its rigor and depth, is bound by certain limitations, and this study is no exception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Recognizing and addressing these limitations is crucial for a holistic understanding and interpretation of the findings </w:t>
      </w:r>
      <w:r>
        <w:rPr>
          <w:rFonts w:ascii="Times New Roman" w:hAnsi="Times New Roman" w:cs="Times New Roman"/>
        </w:rPr>
        <w:fldChar w:fldCharType="begin"/>
      </w:r>
      <w:r>
        <w:rPr>
          <w:rFonts w:ascii="Times New Roman" w:hAnsi="Times New Roman" w:cs="Times New Roman"/>
        </w:rPr>
        <w:instrText xml:space="preserve"> ADDIN EN.CITE &lt;EndNote&gt;&lt;Cite&gt;&lt;Author&gt;Punch&lt;/Author&gt;&lt;Year&gt;2014&lt;/Year&gt;&lt;RecNum&gt;1292&lt;/RecNum&gt;&lt;DisplayText&gt;(Punch and Oancea, 2014)&lt;/DisplayText&gt;&lt;record&gt;&lt;rec-number&gt;1292&lt;/rec-number&gt;&lt;foreign-keys&gt;&lt;key app="EN" db-id="r2rswvs2oexszme9tvjx5vx252ep2r22dx9d" timestamp="1701341984"&gt;1292&lt;/key&gt;&lt;/foreign-keys&gt;&lt;ref-type name="Book"&gt;6&lt;/ref-type&gt;&lt;contributors&gt;&lt;authors&gt;&lt;author&gt;Punch, Keith&lt;/author&gt;&lt;author&gt;Oancea, Alis&lt;/author&gt;&lt;/authors&gt;&lt;/contributors&gt;&lt;titles&gt;&lt;title&gt;Introduction to research methods in education&lt;/title&gt;&lt;/titles&gt;&lt;edition&gt;&lt;style face="normal" font="default" size="100%"&gt;2&lt;/style&gt;&lt;style face="superscript" font="default" size="100%"&gt;nd&lt;/style&gt;&lt;/edition&gt;&lt;keywords&gt;&lt;keyword&gt;Education -- Research -- Methodology&lt;/keyword&gt;&lt;/keywords&gt;&lt;dates&gt;&lt;year&gt;2014&lt;/year&gt;&lt;/dates&gt;&lt;pub-location&gt;London&lt;/pub-location&gt;&lt;publisher&gt;SAGE&lt;/publisher&gt;&lt;isbn&gt;9781446260746&lt;/isbn&gt;&lt;urls&gt;&lt;/urls&gt;&lt;/record&gt;&lt;/Cite&gt;&lt;/EndNote&gt;</w:instrText>
      </w:r>
      <w:r>
        <w:rPr>
          <w:rFonts w:ascii="Times New Roman" w:hAnsi="Times New Roman" w:cs="Times New Roman"/>
        </w:rPr>
        <w:fldChar w:fldCharType="separate"/>
      </w:r>
      <w:r>
        <w:rPr>
          <w:rFonts w:ascii="Times New Roman" w:hAnsi="Times New Roman" w:cs="Times New Roman"/>
        </w:rPr>
        <w:t>(Punch and Oancea, 2014)</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Specificity of Research Context</w:t>
      </w:r>
      <w:r>
        <w:rPr>
          <w:rFonts w:ascii="Times New Roman" w:hAnsi="Times New Roman" w:cs="Times New Roman"/>
        </w:rPr>
        <w:t>: It is imperative to emphasize that the research findings are primarily derived from a specific subset of the Chinese healthcare sector. The study’s participants were selected from a particular region and institution, which may not be representative of the entire national context. Such specificity is crucial to understand as it frames the study's findings within a certain geographical, cultural, and institutional context.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Limitations in Generalizing Findings</w:t>
      </w:r>
      <w:r>
        <w:rPr>
          <w:rFonts w:ascii="Times New Roman" w:hAnsi="Times New Roman" w:cs="Times New Roman"/>
        </w:rPr>
        <w:t xml:space="preserve">: While the insights garnered from this research offer valuable contributions to understanding continuing education in healthcare, caution must be exercised in generalizing these findings to broader contexts. The diversity and complexity of China's healthcare system, with its vast regional disparities and varying institutional structures, mean that the experiences and perspectives captured in this study might not be universally applicable across all settings within China. Also, one of the primary limitations of this study pertains to its sample size and demographic composition. While the participants provided rich insights, the sample was predominantly drawn from a specific geographic region, potentially limiting the generalizability of the findings to a broader, more diverse population of healthcare professionals </w:t>
      </w:r>
      <w:r>
        <w:rPr>
          <w:rFonts w:ascii="Times New Roman" w:hAnsi="Times New Roman" w:cs="Times New Roman"/>
        </w:rPr>
        <w:fldChar w:fldCharType="begin"/>
      </w:r>
      <w:r>
        <w:rPr>
          <w:rFonts w:ascii="Times New Roman" w:hAnsi="Times New Roman" w:cs="Times New Roman"/>
        </w:rPr>
        <w:instrText xml:space="preserve"> ADDIN EN.CITE &lt;EndNote&gt;&lt;Cite&gt;&lt;Author&gt;Silverman&lt;/Author&gt;&lt;Year&gt;2013&lt;/Year&gt;&lt;RecNum&gt;1293&lt;/RecNum&gt;&lt;DisplayText&gt;(Silverman, 2013)&lt;/DisplayText&gt;&lt;record&gt;&lt;rec-number&gt;1293&lt;/rec-number&gt;&lt;foreign-keys&gt;&lt;key app="EN" db-id="r2rswvs2oexszme9tvjx5vx252ep2r22dx9d" timestamp="1701341984"&gt;1293&lt;/key&gt;&lt;/foreign-keys&gt;&lt;ref-type name="Book"&gt;6&lt;/ref-type&gt;&lt;contributors&gt;&lt;authors&gt;&lt;author&gt;Silverman, David&lt;/author&gt;&lt;/authors&gt;&lt;/contributors&gt;&lt;titles&gt;&lt;title&gt;Doing qualitative research: A practical handbook&lt;/title&gt;&lt;/titles&gt;&lt;edition&gt;&lt;style face="normal" font="default" size="100%"&gt;4&lt;/style&gt;&lt;style face="superscript" font="default" size="100%"&gt;th&lt;/style&gt;&lt;/edition&gt;&lt;keywords&gt;&lt;keyword&gt;Qualitative research&lt;/keyword&gt;&lt;keyword&gt;Social sciences -- Methodology&lt;/keyword&gt;&lt;/keywords&gt;&lt;dates&gt;&lt;year&gt;2013&lt;/year&gt;&lt;/dates&gt;&lt;pub-location&gt;London&lt;/pub-location&gt;&lt;publisher&gt;SAGA&lt;/publisher&gt;&lt;isbn&gt;9781446260159&lt;/isbn&gt;&lt;urls&gt;&lt;/urls&gt;&lt;/record&gt;&lt;/Cite&gt;&lt;/EndNote&gt;</w:instrText>
      </w:r>
      <w:r>
        <w:rPr>
          <w:rFonts w:ascii="Times New Roman" w:hAnsi="Times New Roman" w:cs="Times New Roman"/>
        </w:rPr>
        <w:fldChar w:fldCharType="separate"/>
      </w:r>
      <w:r>
        <w:rPr>
          <w:rFonts w:ascii="Times New Roman" w:hAnsi="Times New Roman" w:cs="Times New Roman"/>
        </w:rPr>
        <w:t>(Silverman, 2013)</w:t>
      </w:r>
      <w:r>
        <w:rPr>
          <w:rFonts w:ascii="Times New Roman" w:hAnsi="Times New Roman" w:cs="Times New Roman"/>
        </w:rPr>
        <w:fldChar w:fldCharType="end"/>
      </w:r>
      <w:r>
        <w:rPr>
          <w:rFonts w:ascii="Times New Roman" w:hAnsi="Times New Roman" w:cs="Times New Roman"/>
        </w:rPr>
        <w:t xml:space="preserve">.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b/>
          <w:bCs/>
        </w:rPr>
        <w:t>Methodological deficiency</w:t>
      </w:r>
      <w:r>
        <w:rPr>
          <w:rFonts w:ascii="Times New Roman" w:hAnsi="Times New Roman" w:cs="Times New Roman"/>
        </w:rPr>
        <w:t xml:space="preserve">: The study relied heavily on self-reported data through in-depth interviews. While this method offers depth and nuance, it is also susceptible to biases, such as recall bias or the desire of participants to present themselves in a favorable light </w:t>
      </w:r>
      <w:r>
        <w:rPr>
          <w:rFonts w:ascii="Times New Roman" w:hAnsi="Times New Roman" w:cs="Times New Roman"/>
        </w:rPr>
        <w:fldChar w:fldCharType="begin"/>
      </w:r>
      <w:r>
        <w:rPr>
          <w:rFonts w:ascii="Times New Roman" w:hAnsi="Times New Roman" w:cs="Times New Roman"/>
        </w:rPr>
        <w:instrText xml:space="preserve"> ADDIN EN.CITE &lt;EndNote&gt;&lt;Cite&gt;&lt;Author&gt;Saunders&lt;/Author&gt;&lt;Year&gt;2019&lt;/Year&gt;&lt;RecNum&gt;1270&lt;/RecNum&gt;&lt;DisplayText&gt;(Saunders&lt;style face="italic"&gt; et al.&lt;/style&gt;, 2019)&lt;/DisplayText&gt;&lt;record&gt;&lt;rec-number&gt;1270&lt;/rec-number&gt;&lt;foreign-keys&gt;&lt;key app="EN" db-id="r2rswvs2oexszme9tvjx5vx252ep2r22dx9d" timestamp="1701341984"&gt;1270&lt;/key&gt;&lt;/foreign-keys&gt;&lt;ref-type name="Book"&gt;6&lt;/ref-type&gt;&lt;contributors&gt;&lt;authors&gt;&lt;author&gt;Saunders, M. N. K.&lt;/author&gt;&lt;author&gt;Lewis, Philip&lt;/author&gt;&lt;author&gt;Thornhill, Adrian&lt;/author&gt;&lt;/authors&gt;&lt;/contributors&gt;&lt;titles&gt;&lt;title&gt;Research methods for business students&lt;/title&gt;&lt;/titles&gt;&lt;pages&gt;1 online resource (872 pages)&lt;/pages&gt;&lt;edition&gt;&lt;style face="normal" font="default" size="100%"&gt;8&lt;/style&gt;&lt;style face="superscript" font="default" size="100%"&gt;th&lt;/style&gt;&lt;/edition&gt;&lt;keywords&gt;&lt;keyword&gt;Business Research.&lt;/keyword&gt;&lt;keyword&gt;Business Research Data processing.&lt;/keyword&gt;&lt;/keywords&gt;&lt;dates&gt;&lt;year&gt;2019&lt;/year&gt;&lt;/dates&gt;&lt;pub-location&gt;Harlow&lt;/pub-location&gt;&lt;publisher&gt;Pearson&lt;/publisher&gt;&lt;isbn&gt;9781292208800&amp;#xD;1292208805&lt;/isbn&gt;&lt;accession-num&gt;021848297&lt;/accession-num&gt;&lt;urls&gt;&lt;/urls&gt;&lt;/record&gt;&lt;/Cite&gt;&lt;/EndNote&gt;</w:instrText>
      </w:r>
      <w:r>
        <w:rPr>
          <w:rFonts w:ascii="Times New Roman" w:hAnsi="Times New Roman" w:cs="Times New Roman"/>
        </w:rPr>
        <w:fldChar w:fldCharType="separate"/>
      </w:r>
      <w:r>
        <w:rPr>
          <w:rFonts w:ascii="Times New Roman" w:hAnsi="Times New Roman" w:cs="Times New Roman"/>
        </w:rPr>
        <w:t>(Saunders</w:t>
      </w:r>
      <w:r>
        <w:rPr>
          <w:rFonts w:ascii="Times New Roman" w:hAnsi="Times New Roman" w:cs="Times New Roman"/>
          <w:i/>
        </w:rPr>
        <w:t xml:space="preserve"> et al.</w:t>
      </w:r>
      <w:r>
        <w:rPr>
          <w:rFonts w:ascii="Times New Roman" w:hAnsi="Times New Roman" w:cs="Times New Roman"/>
        </w:rPr>
        <w:t>, 2019)</w:t>
      </w:r>
      <w:r>
        <w:rPr>
          <w:rFonts w:ascii="Times New Roman" w:hAnsi="Times New Roman" w:cs="Times New Roman"/>
        </w:rPr>
        <w:fldChar w:fldCharType="end"/>
      </w:r>
      <w:r>
        <w:rPr>
          <w:rFonts w:ascii="Times New Roman" w:hAnsi="Times New Roman" w:cs="Times New Roman"/>
        </w:rPr>
        <w:t xml:space="preserve">. This could influence the authenticity of the responses and, consequently, the interpretation of the data. The qualitative nature of the study, while instrumental in capturing intricate details and personal experiences, might not capture the breadth or the quantitative distribution of certain trends or opinions. A mixed-methods approach, incorporating both qualitative and quantitative data, might have offered a more comprehensive perspective </w:t>
      </w:r>
      <w:r>
        <w:rPr>
          <w:rFonts w:ascii="Times New Roman" w:hAnsi="Times New Roman" w:cs="Times New Roman"/>
        </w:rPr>
        <w:fldChar w:fldCharType="begin"/>
      </w:r>
      <w:r>
        <w:rPr>
          <w:rFonts w:ascii="Times New Roman" w:hAnsi="Times New Roman" w:cs="Times New Roman"/>
        </w:rPr>
        <w:instrText xml:space="preserve"> ADDIN EN.CITE &lt;EndNote&gt;&lt;Cite&gt;&lt;Author&gt;Leavy&lt;/Author&gt;&lt;Year&gt;2020&lt;/Year&gt;&lt;RecNum&gt;1273&lt;/RecNum&gt;&lt;DisplayText&gt;(Leavy, 2020)&lt;/DisplayText&gt;&lt;record&gt;&lt;rec-number&gt;1273&lt;/rec-number&gt;&lt;foreign-keys&gt;&lt;key app="EN" db-id="r2rswvs2oexszme9tvjx5vx252ep2r22dx9d" timestamp="1701341984"&gt;1273&lt;/key&gt;&lt;/foreign-keys&gt;&lt;ref-type name="Book"&gt;6&lt;/ref-type&gt;&lt;contributors&gt;&lt;authors&gt;&lt;author&gt;Leavy, Patricia&lt;/author&gt;&lt;/authors&gt;&lt;/contributors&gt;&lt;titles&gt;&lt;title&gt;The Oxford handbook of qualitative research&lt;/title&gt;&lt;secondary-title&gt;Oxford handbooks online&lt;/secondary-title&gt;&lt;/titles&gt;&lt;pages&gt;1 online resource (1200 pages)&lt;/pages&gt;&lt;edition&gt;&lt;style face="normal" font="default" size="100%"&gt;2&lt;/style&gt;&lt;style face="superscript" font="default" size="100%"&gt;nd&lt;/style&gt;&lt;/edition&gt;&lt;keywords&gt;&lt;keyword&gt;Qualitative research Methodology.&lt;/keyword&gt;&lt;keyword&gt;Social sciences Research.&lt;/keyword&gt;&lt;/keywords&gt;&lt;dates&gt;&lt;year&gt;2020&lt;/year&gt;&lt;pub-dates&gt;&lt;date&gt;August 31, 2020&lt;/date&gt;&lt;/pub-dates&gt;&lt;/dates&gt;&lt;pub-location&gt;New York&lt;/pub-location&gt;&lt;publisher&gt;Oxford University Press&lt;/publisher&gt;&lt;isbn&gt;0-19-084740-9&amp;#xD;0-19-084739-5&amp;#xD;0-19-084741-7&lt;/isbn&gt;&lt;accession-num&gt;9935189760606761&lt;/accession-num&gt;&lt;work-type&gt;still image&lt;/work-type&gt;&lt;urls&gt;&lt;/urls&gt;&lt;/record&gt;&lt;/Cite&gt;&lt;/EndNote&gt;</w:instrText>
      </w:r>
      <w:r>
        <w:rPr>
          <w:rFonts w:ascii="Times New Roman" w:hAnsi="Times New Roman" w:cs="Times New Roman"/>
        </w:rPr>
        <w:fldChar w:fldCharType="separate"/>
      </w:r>
      <w:r>
        <w:rPr>
          <w:rFonts w:ascii="Times New Roman" w:hAnsi="Times New Roman" w:cs="Times New Roman"/>
        </w:rPr>
        <w:t>(Leavy, 2020)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During the analysis, certain assumptions were made to streamline the interpretation process. For instance, it was assumed that participants, being professionals, provided honest and reflective responses </w:t>
      </w:r>
      <w:r>
        <w:rPr>
          <w:rFonts w:ascii="Times New Roman" w:hAnsi="Times New Roman" w:cs="Times New Roman"/>
        </w:rPr>
        <w:fldChar w:fldCharType="begin"/>
      </w:r>
      <w:r>
        <w:rPr>
          <w:rFonts w:ascii="Times New Roman" w:hAnsi="Times New Roman" w:cs="Times New Roman"/>
        </w:rPr>
        <w:instrText xml:space="preserve"> ADDIN EN.CITE &lt;EndNote&gt;&lt;Cite&gt;&lt;Author&gt;Silverman&lt;/Author&gt;&lt;Year&gt;2013&lt;/Year&gt;&lt;RecNum&gt;1293&lt;/RecNum&gt;&lt;DisplayText&gt;(Silverman, 2013)&lt;/DisplayText&gt;&lt;record&gt;&lt;rec-number&gt;1293&lt;/rec-number&gt;&lt;foreign-keys&gt;&lt;key app="EN" db-id="r2rswvs2oexszme9tvjx5vx252ep2r22dx9d" timestamp="1701341984"&gt;1293&lt;/key&gt;&lt;/foreign-keys&gt;&lt;ref-type name="Book"&gt;6&lt;/ref-type&gt;&lt;contributors&gt;&lt;authors&gt;&lt;author&gt;Silverman, David&lt;/author&gt;&lt;/authors&gt;&lt;/contributors&gt;&lt;titles&gt;&lt;title&gt;Doing qualitative research: A practical handbook&lt;/title&gt;&lt;/titles&gt;&lt;edition&gt;&lt;style face="normal" font="default" size="100%"&gt;4&lt;/style&gt;&lt;style face="superscript" font="default" size="100%"&gt;th&lt;/style&gt;&lt;/edition&gt;&lt;keywords&gt;&lt;keyword&gt;Qualitative research&lt;/keyword&gt;&lt;keyword&gt;Social sciences -- Methodology&lt;/keyword&gt;&lt;/keywords&gt;&lt;dates&gt;&lt;year&gt;2013&lt;/year&gt;&lt;/dates&gt;&lt;pub-location&gt;London&lt;/pub-location&gt;&lt;publisher&gt;SAGA&lt;/publisher&gt;&lt;isbn&gt;9781446260159&lt;/isbn&gt;&lt;urls&gt;&lt;/urls&gt;&lt;/record&gt;&lt;/Cite&gt;&lt;/EndNote&gt;</w:instrText>
      </w:r>
      <w:r>
        <w:rPr>
          <w:rFonts w:ascii="Times New Roman" w:hAnsi="Times New Roman" w:cs="Times New Roman"/>
        </w:rPr>
        <w:fldChar w:fldCharType="separate"/>
      </w:r>
      <w:r>
        <w:rPr>
          <w:rFonts w:ascii="Times New Roman" w:hAnsi="Times New Roman" w:cs="Times New Roman"/>
        </w:rPr>
        <w:t>(Silverman, 2013)</w:t>
      </w:r>
      <w:r>
        <w:rPr>
          <w:rFonts w:ascii="Times New Roman" w:hAnsi="Times New Roman" w:cs="Times New Roman"/>
        </w:rPr>
        <w:fldChar w:fldCharType="end"/>
      </w:r>
      <w:r>
        <w:rPr>
          <w:rFonts w:ascii="Times New Roman" w:hAnsi="Times New Roman" w:cs="Times New Roman"/>
        </w:rPr>
        <w:t xml:space="preserve">. Additionally, while categorizing and theming the data, there might have been instances where nuanced responses were grouped under broader themes for clarity and coherence </w:t>
      </w:r>
      <w:r>
        <w:rPr>
          <w:rFonts w:ascii="Times New Roman" w:hAnsi="Times New Roman" w:cs="Times New Roman"/>
        </w:rPr>
        <w:fldChar w:fldCharType="begin"/>
      </w:r>
      <w:r>
        <w:rPr>
          <w:rFonts w:ascii="Times New Roman" w:hAnsi="Times New Roman" w:cs="Times New Roman"/>
        </w:rPr>
        <w:instrText xml:space="preserve"> ADDIN EN.CITE &lt;EndNote&gt;&lt;Cite&gt;&lt;Author&gt;Miles&lt;/Author&gt;&lt;Year&gt;2020&lt;/Year&gt;&lt;RecNum&gt;1294&lt;/RecNum&gt;&lt;DisplayText&gt;(Miles, Huberman and Saldaña, 2020)&lt;/DisplayText&gt;&lt;record&gt;&lt;rec-number&gt;1294&lt;/rec-number&gt;&lt;foreign-keys&gt;&lt;key app="EN" db-id="r2rswvs2oexszme9tvjx5vx252ep2r22dx9d" timestamp="1701341985"&gt;1294&lt;/key&gt;&lt;/foreign-keys&gt;&lt;ref-type name="Book"&gt;6&lt;/ref-type&gt;&lt;contributors&gt;&lt;authors&gt;&lt;author&gt;Miles, Matthew B.&lt;/author&gt;&lt;author&gt;Huberman, A. M.&lt;/author&gt;&lt;author&gt;Saldaña, Johnny&lt;/author&gt;&lt;/authors&gt;&lt;/contributors&gt;&lt;titles&gt;&lt;title&gt;Qualitative data analysis: A methods sourcebook&lt;/title&gt;&lt;/titles&gt;&lt;edition&gt;&lt;style face="normal" font="default" size="100%"&gt;4&lt;/style&gt;&lt;style face="superscript" font="default" size="100%"&gt;th&lt;/style&gt;&lt;/edition&gt;&lt;keywords&gt;&lt;keyword&gt;Social sciences -- Research&lt;/keyword&gt;&lt;keyword&gt;Education -- Research&lt;/keyword&gt;&lt;/keywords&gt;&lt;dates&gt;&lt;year&gt;2020&lt;/year&gt;&lt;/dates&gt;&lt;pub-location&gt;Los Angeles&lt;/pub-location&gt;&lt;publisher&gt;SAGE&lt;/publisher&gt;&lt;isbn&gt;9781544371856&lt;/isbn&gt;&lt;urls&gt;&lt;/urls&gt;&lt;/record&gt;&lt;/Cite&gt;&lt;/EndNote&gt;</w:instrText>
      </w:r>
      <w:r>
        <w:rPr>
          <w:rFonts w:ascii="Times New Roman" w:hAnsi="Times New Roman" w:cs="Times New Roman"/>
        </w:rPr>
        <w:fldChar w:fldCharType="separate"/>
      </w:r>
      <w:r>
        <w:rPr>
          <w:rFonts w:ascii="Times New Roman" w:hAnsi="Times New Roman" w:cs="Times New Roman"/>
        </w:rPr>
        <w:t>(Miles, Huberman and Saldaña, 2020)</w:t>
      </w:r>
      <w:r>
        <w:rPr>
          <w:rFonts w:ascii="Times New Roman" w:hAnsi="Times New Roman" w:cs="Times New Roman"/>
        </w:rPr>
        <w:fldChar w:fldCharType="end"/>
      </w:r>
      <w:r>
        <w:rPr>
          <w:rFonts w:ascii="Times New Roman" w:hAnsi="Times New Roman" w:cs="Times New Roman"/>
        </w:rPr>
        <w:t>.</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conclusion, while these limitations and considerations provide context to the findings, they do not diminish the value of the study. Instead, they offer avenues for future research and underscore the importance of continual exploration and validation in the ever-evolving field of healthcare education.</w:t>
      </w:r>
    </w:p>
    <w:p>
      <w:pPr>
        <w:spacing w:line="480" w:lineRule="auto"/>
        <w:rPr>
          <w:rFonts w:ascii="Times New Roman" w:hAnsi="Times New Roman" w:cs="Times New Roman"/>
        </w:rPr>
      </w:pPr>
    </w:p>
    <w:p>
      <w:pPr>
        <w:pStyle w:val="3"/>
        <w:spacing w:before="240" w:after="240" w:line="480" w:lineRule="auto"/>
      </w:pPr>
      <w:bookmarkStart w:id="240" w:name="_Toc147660217"/>
      <w:bookmarkStart w:id="241" w:name="_Toc3368"/>
      <w:r>
        <w:t>5.4</w:t>
      </w:r>
      <w:r>
        <w:rPr>
          <w:rFonts w:hint="eastAsia"/>
          <w:lang w:val="en-US" w:eastAsia="zh-CN"/>
        </w:rPr>
        <w:t xml:space="preserve">  </w:t>
      </w:r>
      <w:r>
        <w:t>Conclusion</w:t>
      </w:r>
      <w:bookmarkEnd w:id="240"/>
      <w:bookmarkEnd w:id="241"/>
    </w:p>
    <w:p>
      <w:pPr>
        <w:spacing w:line="480" w:lineRule="auto"/>
        <w:rPr>
          <w:rFonts w:ascii="Times New Roman" w:hAnsi="Times New Roman" w:cs="Times New Roman"/>
        </w:rPr>
      </w:pPr>
      <w:r>
        <w:rPr>
          <w:rFonts w:ascii="Times New Roman" w:hAnsi="Times New Roman" w:cs="Times New Roman"/>
        </w:rPr>
        <w:t>As this chapter draws to a close, it is imperative to reflect upon the pivotal insights and discussions that have unfolded. At the heart of this research was an endeavor to understand the motivations, expectations, and experiences of healthcare professionals as they navigate the realm of continuing education programs facilitated by private training entities.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hint="eastAsia" w:ascii="Times New Roman" w:hAnsi="Times New Roman" w:cs="Times New Roman"/>
        </w:rPr>
        <w:t>The</w:t>
      </w:r>
      <w:r>
        <w:rPr>
          <w:rFonts w:ascii="Times New Roman" w:hAnsi="Times New Roman" w:cs="Times New Roman"/>
        </w:rPr>
        <w:t xml:space="preserve"> findings illuminated the intricate interplay of intrinsic motivations, the quest for relevant and evidence-based content, and the growing inclination towards flexible modes of program delivery. These insights, while rooted in the specific context of this study, resonate with broader trends in the field of healthcare education, suggesting a shift towards more adaptive, learner-centric models.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When juxtaposed with existing literature, the study both aligns with and diverges from established knowledge, underscoring the dynamic and evolving nature of continuing education preferences. The implications of these findings are manifold, influencing pedagogical strategies, policy formulation, and future research directions.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The limitations and considerations discussed provide a nuanced lens through which to interpret the data, ensuring a balanced and holistic understanding. </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 xml:space="preserve">In essence, this chapter has not only deepened our understanding of the research topic but has also set the stage for the final chapter of this dissertation. </w:t>
      </w: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hint="eastAsia" w:eastAsiaTheme="minorEastAsia"/>
          <w:lang w:eastAsia="zh-CN"/>
        </w:rPr>
      </w:pPr>
      <w:r>
        <w:rPr>
          <w:rFonts w:ascii="Times New Roman" w:hAnsi="Times New Roman"/>
          <w:b/>
          <w:bCs/>
          <w:color w:val="000000" w:themeColor="text1"/>
          <w:kern w:val="2"/>
          <w:sz w:val="32"/>
          <w:szCs w:val="32"/>
          <w14:textFill>
            <w14:solidFill>
              <w14:schemeClr w14:val="tx1"/>
            </w14:solidFill>
          </w14:textFill>
        </w:rPr>
        <w:br w:type="page"/>
      </w:r>
      <w:bookmarkStart w:id="242" w:name="_Toc147660218"/>
    </w:p>
    <w:p>
      <w:pPr>
        <w:pStyle w:val="2"/>
        <w:spacing w:before="240" w:after="240"/>
      </w:pPr>
      <w:bookmarkStart w:id="243" w:name="_Toc14858"/>
      <w:r>
        <w:t>Chapter 6</w:t>
      </w:r>
      <w:r>
        <w:tab/>
      </w:r>
      <w:r>
        <w:rPr>
          <w:rFonts w:hint="eastAsia" w:eastAsia="宋体"/>
          <w:lang w:val="en-US" w:eastAsia="zh-CN"/>
        </w:rPr>
        <w:t xml:space="preserve">        </w:t>
      </w:r>
      <w:r>
        <w:t>Conclusions and Recommendations</w:t>
      </w:r>
      <w:bookmarkEnd w:id="242"/>
      <w:bookmarkEnd w:id="243"/>
    </w:p>
    <w:p>
      <w:pPr>
        <w:spacing w:line="480" w:lineRule="auto"/>
        <w:rPr>
          <w:rFonts w:ascii="Times New Roman" w:hAnsi="Times New Roman" w:cs="Times New Roman"/>
        </w:rPr>
      </w:pPr>
      <w:r>
        <w:rPr>
          <w:rFonts w:ascii="Times New Roman" w:hAnsi="Times New Roman" w:cs="Times New Roman"/>
        </w:rPr>
        <w:t>This chapter serves as the culmination of the dissertation, synthesizing the research's primary findings related to healthcare professionals' interactions with continuing education programs offered by private training companies. It begins with a summary of the main findings, followed by broader conclusions situated within the existing academic discourse. The chapter then identifies potential areas for further research and concludes with recommendations for various stakeholders, including private training companies, healthcare professionals, and policy makers. The aim is to encapsulate the research journey and provide a forward-looking perspective on continuing education in the healthcare sector.</w:t>
      </w:r>
    </w:p>
    <w:p>
      <w:pPr>
        <w:spacing w:line="480" w:lineRule="auto"/>
        <w:rPr>
          <w:rFonts w:ascii="Times New Roman" w:hAnsi="Times New Roman" w:cs="Times New Roman"/>
        </w:rPr>
      </w:pPr>
    </w:p>
    <w:p>
      <w:pPr>
        <w:pStyle w:val="3"/>
        <w:spacing w:before="240" w:after="240" w:line="480" w:lineRule="auto"/>
      </w:pPr>
      <w:bookmarkStart w:id="244" w:name="_Toc147660219"/>
      <w:bookmarkStart w:id="245" w:name="_Toc29564"/>
      <w:r>
        <w:t>6.1</w:t>
      </w:r>
      <w:r>
        <w:rPr>
          <w:rFonts w:hint="eastAsia"/>
          <w:lang w:val="en-US" w:eastAsia="zh-CN"/>
        </w:rPr>
        <w:t xml:space="preserve">  </w:t>
      </w:r>
      <w:r>
        <w:t>Summary of Main Findings</w:t>
      </w:r>
      <w:bookmarkEnd w:id="244"/>
      <w:bookmarkEnd w:id="245"/>
    </w:p>
    <w:p>
      <w:pPr>
        <w:spacing w:line="480" w:lineRule="auto"/>
        <w:rPr>
          <w:rFonts w:ascii="Times New Roman" w:hAnsi="Times New Roman" w:cs="Times New Roman"/>
        </w:rPr>
      </w:pPr>
      <w:r>
        <w:rPr>
          <w:rFonts w:ascii="Times New Roman" w:hAnsi="Times New Roman" w:cs="Times New Roman"/>
        </w:rPr>
        <w:t>The research, anchored in qualitative methodologies, utilized in-depth, semi-structured interviews to explore healthcare professionals' motivations, expectations, and experiences with continuing education programs offered by private training companies. The findings can be categorized into three primary areas:</w:t>
      </w:r>
    </w:p>
    <w:p>
      <w:pPr>
        <w:spacing w:line="480" w:lineRule="auto"/>
        <w:rPr>
          <w:rFonts w:ascii="Times New Roman" w:hAnsi="Times New Roman" w:cs="Times New Roman"/>
        </w:rPr>
      </w:pPr>
    </w:p>
    <w:p>
      <w:pPr>
        <w:pStyle w:val="4"/>
      </w:pPr>
      <w:bookmarkStart w:id="246" w:name="_Toc147660220"/>
      <w:bookmarkStart w:id="247" w:name="_Toc21648"/>
      <w:r>
        <w:t>6.1.1</w:t>
      </w:r>
      <w:r>
        <w:rPr>
          <w:rFonts w:hint="eastAsia"/>
          <w:lang w:val="en-US" w:eastAsia="zh-CN"/>
        </w:rPr>
        <w:t xml:space="preserve">   </w:t>
      </w:r>
      <w:r>
        <w:t>Motivations for Participation</w:t>
      </w:r>
      <w:bookmarkEnd w:id="246"/>
      <w:bookmarkEnd w:id="247"/>
    </w:p>
    <w:p>
      <w:pPr>
        <w:spacing w:line="480" w:lineRule="auto"/>
        <w:rPr>
          <w:rFonts w:ascii="Times New Roman" w:hAnsi="Times New Roman" w:cs="Times New Roman"/>
        </w:rPr>
      </w:pPr>
      <w:r>
        <w:rPr>
          <w:rFonts w:ascii="Times New Roman" w:hAnsi="Times New Roman" w:cs="Times New Roman"/>
        </w:rPr>
        <w:t xml:space="preserve">   - Professional Advancement: Many participants perceived these programs as pivotal for their professional growth. They believed that acquiring new skills and knowledge could pave the way for enhanced career opportunities.</w:t>
      </w:r>
    </w:p>
    <w:p>
      <w:pPr>
        <w:spacing w:line="480" w:lineRule="auto"/>
        <w:rPr>
          <w:rFonts w:ascii="Times New Roman" w:hAnsi="Times New Roman" w:cs="Times New Roman"/>
        </w:rPr>
      </w:pPr>
      <w:r>
        <w:rPr>
          <w:rFonts w:ascii="Times New Roman" w:hAnsi="Times New Roman" w:cs="Times New Roman"/>
        </w:rPr>
        <w:t xml:space="preserve">   - Mandatory Requirements: Some participants engaged in these programs out of necessity, aiming to fulfill obligatory professional standards and maintain their credentials.</w:t>
      </w:r>
    </w:p>
    <w:p>
      <w:pPr>
        <w:spacing w:line="480" w:lineRule="auto"/>
        <w:rPr>
          <w:rFonts w:ascii="Times New Roman" w:hAnsi="Times New Roman" w:cs="Times New Roman"/>
        </w:rPr>
      </w:pPr>
      <w:r>
        <w:rPr>
          <w:rFonts w:ascii="Times New Roman" w:hAnsi="Times New Roman" w:cs="Times New Roman"/>
        </w:rPr>
        <w:t xml:space="preserve">   - Peer Influence: The experiences and testimonials of peers significantly influenced several participants. Recommendations or shared experiences often acted as catalysts for enrollment.</w:t>
      </w:r>
    </w:p>
    <w:p>
      <w:pPr>
        <w:spacing w:line="480" w:lineRule="auto"/>
        <w:rPr>
          <w:rFonts w:ascii="Times New Roman" w:hAnsi="Times New Roman" w:cs="Times New Roman"/>
        </w:rPr>
      </w:pPr>
    </w:p>
    <w:p>
      <w:pPr>
        <w:pStyle w:val="4"/>
      </w:pPr>
      <w:bookmarkStart w:id="248" w:name="_Toc147660221"/>
      <w:bookmarkStart w:id="249" w:name="_Toc24587"/>
      <w:r>
        <w:t>6.1.2</w:t>
      </w:r>
      <w:r>
        <w:rPr>
          <w:rFonts w:hint="eastAsia"/>
          <w:lang w:val="en-US" w:eastAsia="zh-CN"/>
        </w:rPr>
        <w:t xml:space="preserve">   </w:t>
      </w:r>
      <w:r>
        <w:t>Expectations from the Programs</w:t>
      </w:r>
      <w:bookmarkEnd w:id="248"/>
      <w:bookmarkEnd w:id="249"/>
    </w:p>
    <w:p>
      <w:pPr>
        <w:spacing w:line="480" w:lineRule="auto"/>
        <w:rPr>
          <w:rFonts w:ascii="Times New Roman" w:hAnsi="Times New Roman" w:cs="Times New Roman"/>
        </w:rPr>
      </w:pPr>
      <w:r>
        <w:rPr>
          <w:rFonts w:ascii="Times New Roman" w:hAnsi="Times New Roman" w:cs="Times New Roman"/>
        </w:rPr>
        <w:t xml:space="preserve">   - Content Relevance and Depth: Participants expressed a strong desire for content that is both relevant to their current roles and reflective of the latest advancements in healthcare.</w:t>
      </w:r>
    </w:p>
    <w:p>
      <w:pPr>
        <w:spacing w:line="480" w:lineRule="auto"/>
        <w:rPr>
          <w:rFonts w:ascii="Times New Roman" w:hAnsi="Times New Roman" w:cs="Times New Roman"/>
        </w:rPr>
      </w:pPr>
      <w:r>
        <w:rPr>
          <w:rFonts w:ascii="Times New Roman" w:hAnsi="Times New Roman" w:cs="Times New Roman"/>
        </w:rPr>
        <w:t xml:space="preserve">   - Interactive and Engaging Delivery: The pedagogical approach was crucial. Participants preferred interactive sessions, valuing hands-on experiences and real-world case studies.</w:t>
      </w:r>
    </w:p>
    <w:p>
      <w:pPr>
        <w:spacing w:line="480" w:lineRule="auto"/>
        <w:rPr>
          <w:rFonts w:ascii="Times New Roman" w:hAnsi="Times New Roman" w:cs="Times New Roman"/>
        </w:rPr>
      </w:pPr>
      <w:r>
        <w:rPr>
          <w:rFonts w:ascii="Times New Roman" w:hAnsi="Times New Roman" w:cs="Times New Roman"/>
        </w:rPr>
        <w:t xml:space="preserve">   - Flexibility in Learning: Given the demanding nature of their profession, participants emphasized the importance of flexibility in learning. They appreciated programs that could adapt to their schedules, such as asynchronous online modules or weekend workshops.</w:t>
      </w:r>
    </w:p>
    <w:p>
      <w:pPr>
        <w:spacing w:line="480" w:lineRule="auto"/>
        <w:rPr>
          <w:rFonts w:ascii="Times New Roman" w:hAnsi="Times New Roman" w:cs="Times New Roman"/>
        </w:rPr>
      </w:pPr>
    </w:p>
    <w:p>
      <w:pPr>
        <w:pStyle w:val="4"/>
      </w:pPr>
      <w:bookmarkStart w:id="250" w:name="_Toc147660222"/>
      <w:bookmarkStart w:id="251" w:name="_Toc27817"/>
      <w:r>
        <w:t>6.1.3</w:t>
      </w:r>
      <w:r>
        <w:rPr>
          <w:rFonts w:hint="eastAsia"/>
          <w:lang w:val="en-US" w:eastAsia="zh-CN"/>
        </w:rPr>
        <w:t xml:space="preserve">   </w:t>
      </w:r>
      <w:r>
        <w:t>Data Collection and Analysis</w:t>
      </w:r>
      <w:bookmarkEnd w:id="250"/>
      <w:bookmarkEnd w:id="251"/>
    </w:p>
    <w:p>
      <w:pPr>
        <w:spacing w:line="480" w:lineRule="auto"/>
        <w:rPr>
          <w:rFonts w:ascii="Times New Roman" w:hAnsi="Times New Roman" w:cs="Times New Roman"/>
        </w:rPr>
      </w:pPr>
      <w:r>
        <w:rPr>
          <w:rFonts w:ascii="Times New Roman" w:hAnsi="Times New Roman" w:cs="Times New Roman"/>
        </w:rPr>
        <w:t xml:space="preserve">   - The research employed semi-structured interviews, allowing participants to share their insights authentically. This approach aimed to gather data directly relevant to the research questions while providing participants the freedom to share without constraints.</w:t>
      </w:r>
    </w:p>
    <w:p>
      <w:pPr>
        <w:spacing w:line="480" w:lineRule="auto"/>
        <w:rPr>
          <w:rFonts w:ascii="Times New Roman" w:hAnsi="Times New Roman" w:cs="Times New Roman"/>
        </w:rPr>
      </w:pPr>
      <w:r>
        <w:rPr>
          <w:rFonts w:ascii="Times New Roman" w:hAnsi="Times New Roman" w:cs="Times New Roman"/>
        </w:rPr>
        <w:t xml:space="preserve">   - The participants, drawn from a diverse pool of healthcare professionals, enriched the dataset with their unique perspectives and narratives.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essence, these findings provide a comprehensive understanding of the factors influencing healthcare professionals' decisions to engage with private training companies for continuing education and their expectations from these programs.</w:t>
      </w: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pStyle w:val="3"/>
        <w:spacing w:before="240" w:after="240" w:line="480" w:lineRule="auto"/>
      </w:pPr>
      <w:bookmarkStart w:id="252" w:name="_Toc147660223"/>
      <w:bookmarkStart w:id="253" w:name="_Toc18443"/>
      <w:r>
        <w:t>6.2</w:t>
      </w:r>
      <w:r>
        <w:rPr>
          <w:rFonts w:hint="eastAsia"/>
          <w:lang w:val="en-US" w:eastAsia="zh-CN"/>
        </w:rPr>
        <w:t xml:space="preserve">  </w:t>
      </w:r>
      <w:r>
        <w:t>Conclusions and Directions for Further Research</w:t>
      </w:r>
      <w:bookmarkEnd w:id="252"/>
      <w:bookmarkEnd w:id="253"/>
    </w:p>
    <w:p>
      <w:pPr>
        <w:spacing w:line="480" w:lineRule="auto"/>
        <w:rPr>
          <w:rFonts w:ascii="Times New Roman" w:hAnsi="Times New Roman" w:cs="Times New Roman"/>
        </w:rPr>
      </w:pPr>
      <w:r>
        <w:rPr>
          <w:rFonts w:ascii="Times New Roman" w:hAnsi="Times New Roman" w:cs="Times New Roman"/>
        </w:rPr>
        <w:t>The research provides a comprehensive understanding of healthcare professionals' motivations, expectations, and experiences with continuing education programs offered by private training companies. When contextualized within broader academic and practical frameworks, the findings underscore the evolving dynamics of continuous learning in the healthcare sector. The diverse motivations, from professional advancement to mandatory requirements, highlight the multifaceted nature of the decision-making process. Similarly, the expectations, particularly regarding content relevance and interactive delivery, emphasize the changing demands of healthcare professionals in their pursuit of knowledge.</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Implications for Practice and Policy</w:t>
      </w:r>
    </w:p>
    <w:p>
      <w:pPr>
        <w:spacing w:line="480" w:lineRule="auto"/>
        <w:rPr>
          <w:rFonts w:ascii="Times New Roman" w:hAnsi="Times New Roman" w:cs="Times New Roman"/>
        </w:rPr>
      </w:pPr>
      <w:r>
        <w:rPr>
          <w:rFonts w:ascii="Times New Roman" w:hAnsi="Times New Roman" w:cs="Times New Roman"/>
        </w:rPr>
        <w:t>The findings have significant ramifications for both practice and policy. For practitioners, especially private training companies, there's a clear indication to prioritize curriculum relevance, adaptability, and interactive pedagogies. On the policy front, the research suggests a need for more supportive frameworks that recognize and incentivize continuous learning. Policies that ensure the quality and relevance of programs, while also facilitating feedback mechanisms between learners and providers, could further enhance the effectiveness of continuing education in the healthcare domain.</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Directions for Further Research:</w:t>
      </w:r>
    </w:p>
    <w:p>
      <w:pPr>
        <w:spacing w:line="480" w:lineRule="auto"/>
        <w:rPr>
          <w:rFonts w:ascii="Times New Roman" w:hAnsi="Times New Roman" w:cs="Times New Roman"/>
        </w:rPr>
      </w:pPr>
      <w:r>
        <w:rPr>
          <w:rFonts w:ascii="Times New Roman" w:hAnsi="Times New Roman" w:cs="Times New Roman"/>
        </w:rPr>
        <w:t>While the study offers valuable insights, it also brings to light areas that warrant deeper exploration:</w:t>
      </w:r>
    </w:p>
    <w:p>
      <w:pPr>
        <w:spacing w:line="480" w:lineRule="auto"/>
        <w:rPr>
          <w:rFonts w:ascii="Times New Roman" w:hAnsi="Times New Roman" w:cs="Times New Roman"/>
        </w:rPr>
      </w:pPr>
      <w:r>
        <w:rPr>
          <w:rFonts w:ascii="Times New Roman" w:hAnsi="Times New Roman" w:cs="Times New Roman"/>
        </w:rPr>
        <w:t>1. Demographic Influences: Investigating how factors like age, specialization, and years of experience shape motivations and expectations.</w:t>
      </w:r>
    </w:p>
    <w:p>
      <w:pPr>
        <w:spacing w:line="480" w:lineRule="auto"/>
        <w:rPr>
          <w:rFonts w:ascii="Times New Roman" w:hAnsi="Times New Roman" w:cs="Times New Roman"/>
        </w:rPr>
      </w:pPr>
      <w:r>
        <w:rPr>
          <w:rFonts w:ascii="Times New Roman" w:hAnsi="Times New Roman" w:cs="Times New Roman"/>
        </w:rPr>
        <w:t>2. Digital Learning: A comparative study of online versus traditional learning modes in terms of efficacy, engagement, and applicability in the healthcare sector.</w:t>
      </w:r>
    </w:p>
    <w:p>
      <w:pPr>
        <w:spacing w:line="480" w:lineRule="auto"/>
        <w:rPr>
          <w:rFonts w:ascii="Times New Roman" w:hAnsi="Times New Roman" w:cs="Times New Roman"/>
        </w:rPr>
      </w:pPr>
      <w:r>
        <w:rPr>
          <w:rFonts w:ascii="Times New Roman" w:hAnsi="Times New Roman" w:cs="Times New Roman"/>
        </w:rPr>
        <w:t>3. Long-term Impact: Assessing the long-term benefits of these programs on professionals' career trajectories, patient outcomes, and overall healthcare practices.</w:t>
      </w: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t>In essence, this research not only provides a snapshot of the current landscape but also charts a roadmap for future inquiries, ensuring that the domain of continuing education remains a vibrant area of exploration and improvement.</w:t>
      </w:r>
    </w:p>
    <w:p>
      <w:pPr>
        <w:spacing w:line="480" w:lineRule="auto"/>
        <w:rPr>
          <w:rFonts w:ascii="Times New Roman" w:hAnsi="Times New Roman" w:cs="Times New Roman"/>
        </w:rPr>
      </w:pPr>
    </w:p>
    <w:p>
      <w:pPr>
        <w:pStyle w:val="3"/>
        <w:spacing w:before="240" w:after="240" w:line="480" w:lineRule="auto"/>
      </w:pPr>
      <w:bookmarkStart w:id="254" w:name="_Toc147660224"/>
      <w:bookmarkStart w:id="255" w:name="_Toc18141"/>
      <w:r>
        <w:t>6.3</w:t>
      </w:r>
      <w:r>
        <w:rPr>
          <w:rFonts w:hint="eastAsia"/>
          <w:lang w:val="en-US" w:eastAsia="zh-CN"/>
        </w:rPr>
        <w:t xml:space="preserve">  </w:t>
      </w:r>
      <w:r>
        <w:t>Recommendations</w:t>
      </w:r>
      <w:bookmarkEnd w:id="254"/>
      <w:bookmarkEnd w:id="255"/>
    </w:p>
    <w:p>
      <w:pPr>
        <w:spacing w:line="480" w:lineRule="auto"/>
        <w:rPr>
          <w:rFonts w:ascii="Times New Roman" w:hAnsi="Times New Roman" w:cs="Times New Roman"/>
          <w:b/>
          <w:bCs/>
          <w:u w:val="single"/>
        </w:rPr>
      </w:pPr>
      <w:r>
        <w:rPr>
          <w:rFonts w:ascii="Times New Roman" w:hAnsi="Times New Roman" w:cs="Times New Roman"/>
          <w:b/>
          <w:bCs/>
          <w:u w:val="single"/>
        </w:rPr>
        <w:t>To Private Training Companies:</w:t>
      </w:r>
    </w:p>
    <w:p>
      <w:pPr>
        <w:spacing w:line="480" w:lineRule="auto"/>
        <w:rPr>
          <w:rFonts w:ascii="Times New Roman" w:hAnsi="Times New Roman" w:cs="Times New Roman"/>
        </w:rPr>
      </w:pPr>
      <w:r>
        <w:rPr>
          <w:rFonts w:ascii="Times New Roman" w:hAnsi="Times New Roman" w:cs="Times New Roman"/>
        </w:rPr>
        <w:t>- Curriculum Relevance: Continuously update course materials to ensure they reflect the latest advancements in healthcare, addressing the professionals' desire for relevant content.</w:t>
      </w:r>
    </w:p>
    <w:p>
      <w:pPr>
        <w:spacing w:line="480" w:lineRule="auto"/>
        <w:rPr>
          <w:rFonts w:ascii="Times New Roman" w:hAnsi="Times New Roman" w:cs="Times New Roman"/>
        </w:rPr>
      </w:pPr>
      <w:r>
        <w:rPr>
          <w:rFonts w:ascii="Times New Roman" w:hAnsi="Times New Roman" w:cs="Times New Roman"/>
        </w:rPr>
        <w:t>- Interactive Modules: Incorporate hands-on experiences and real-world case studies, catering to the preference for engaging and interactive sessions.</w:t>
      </w:r>
    </w:p>
    <w:p>
      <w:pPr>
        <w:spacing w:line="480" w:lineRule="auto"/>
        <w:rPr>
          <w:rFonts w:ascii="Times New Roman" w:hAnsi="Times New Roman" w:cs="Times New Roman"/>
        </w:rPr>
      </w:pPr>
      <w:r>
        <w:rPr>
          <w:rFonts w:ascii="Times New Roman" w:hAnsi="Times New Roman" w:cs="Times New Roman"/>
        </w:rPr>
        <w:t>- Feedback Integration: Establish robust feedback mechanisms to understand learners' needs better and adapt offerings accordingly.</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To Healthcare Professionals:</w:t>
      </w:r>
    </w:p>
    <w:p>
      <w:pPr>
        <w:spacing w:line="480" w:lineRule="auto"/>
        <w:rPr>
          <w:rFonts w:ascii="Times New Roman" w:hAnsi="Times New Roman" w:cs="Times New Roman"/>
        </w:rPr>
      </w:pPr>
      <w:r>
        <w:rPr>
          <w:rFonts w:ascii="Times New Roman" w:hAnsi="Times New Roman" w:cs="Times New Roman"/>
        </w:rPr>
        <w:t>- Peer Collaboration: Engage with colleagues to share experiences and recommendations, leveraging the community's collective knowledge to make informed choices about programs.</w:t>
      </w:r>
    </w:p>
    <w:p>
      <w:pPr>
        <w:spacing w:line="480" w:lineRule="auto"/>
        <w:rPr>
          <w:rFonts w:ascii="Times New Roman" w:hAnsi="Times New Roman" w:cs="Times New Roman"/>
        </w:rPr>
      </w:pPr>
      <w:r>
        <w:rPr>
          <w:rFonts w:ascii="Times New Roman" w:hAnsi="Times New Roman" w:cs="Times New Roman"/>
        </w:rPr>
        <w:t>- Continuous Feedback: Actively provide feedback to training providers, ensuring that courses evolve to meet changing needs and preferences.</w:t>
      </w:r>
    </w:p>
    <w:p>
      <w:pPr>
        <w:spacing w:line="480" w:lineRule="auto"/>
        <w:rPr>
          <w:rFonts w:ascii="Times New Roman" w:hAnsi="Times New Roman" w:cs="Times New Roman"/>
        </w:rPr>
      </w:pPr>
      <w:r>
        <w:rPr>
          <w:rFonts w:ascii="Times New Roman" w:hAnsi="Times New Roman" w:cs="Times New Roman"/>
        </w:rPr>
        <w:t>- Diversify Learning: Explore a mix of traditional and digital learning platforms to gain a holistic educational experience and adapt to various learning environments.</w:t>
      </w:r>
    </w:p>
    <w:p>
      <w:pPr>
        <w:spacing w:line="480" w:lineRule="auto"/>
        <w:rPr>
          <w:rFonts w:ascii="Times New Roman" w:hAnsi="Times New Roman" w:cs="Times New Roman"/>
        </w:rPr>
      </w:pPr>
    </w:p>
    <w:p>
      <w:pPr>
        <w:spacing w:line="480" w:lineRule="auto"/>
        <w:rPr>
          <w:rFonts w:ascii="Times New Roman" w:hAnsi="Times New Roman" w:cs="Times New Roman"/>
          <w:b/>
          <w:bCs/>
          <w:u w:val="single"/>
        </w:rPr>
      </w:pPr>
      <w:r>
        <w:rPr>
          <w:rFonts w:ascii="Times New Roman" w:hAnsi="Times New Roman" w:cs="Times New Roman"/>
          <w:b/>
          <w:bCs/>
          <w:u w:val="single"/>
        </w:rPr>
        <w:t>To Policy Makers:</w:t>
      </w:r>
    </w:p>
    <w:p>
      <w:pPr>
        <w:spacing w:line="480" w:lineRule="auto"/>
        <w:rPr>
          <w:rFonts w:ascii="Times New Roman" w:hAnsi="Times New Roman" w:cs="Times New Roman"/>
        </w:rPr>
      </w:pPr>
      <w:r>
        <w:rPr>
          <w:rFonts w:ascii="Times New Roman" w:hAnsi="Times New Roman" w:cs="Times New Roman"/>
        </w:rPr>
        <w:t>- Accreditation Standards: Consider revising or introducing standards that ensure private training companies maintain a high level of curriculum relevance and quality.</w:t>
      </w:r>
    </w:p>
    <w:p>
      <w:pPr>
        <w:spacing w:line="480" w:lineRule="auto"/>
        <w:rPr>
          <w:rFonts w:ascii="Times New Roman" w:hAnsi="Times New Roman" w:cs="Times New Roman"/>
        </w:rPr>
      </w:pPr>
      <w:r>
        <w:rPr>
          <w:rFonts w:ascii="Times New Roman" w:hAnsi="Times New Roman" w:cs="Times New Roman"/>
        </w:rPr>
        <w:t>- Supportive Frameworks: Implement policies that encourage continuous learning, such as subsidies or tax breaks for professionals engaging in accredited programs.</w:t>
      </w:r>
    </w:p>
    <w:p>
      <w:pPr>
        <w:spacing w:line="480" w:lineRule="auto"/>
        <w:rPr>
          <w:rFonts w:ascii="Times New Roman" w:hAnsi="Times New Roman" w:cs="Times New Roman"/>
        </w:rPr>
      </w:pPr>
      <w:r>
        <w:rPr>
          <w:rFonts w:ascii="Times New Roman" w:hAnsi="Times New Roman" w:cs="Times New Roman"/>
        </w:rPr>
        <w:t>- Stakeholder Collaboration: Foster collaboration between training providers, professionals, and regulatory bodies to ensure that policies align with the evolving needs of the healthcare sector.</w:t>
      </w: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p>
    <w:p>
      <w:pPr>
        <w:spacing w:line="480" w:lineRule="auto"/>
        <w:rPr>
          <w:rFonts w:ascii="Times New Roman" w:hAnsi="Times New Roman" w:cs="Times New Roman"/>
        </w:rPr>
      </w:pPr>
      <w:r>
        <w:rPr>
          <w:rFonts w:ascii="Times New Roman" w:hAnsi="Times New Roman" w:cs="Times New Roman"/>
        </w:rPr>
        <w:br w:type="page"/>
      </w:r>
    </w:p>
    <w:p>
      <w:pPr>
        <w:pStyle w:val="2"/>
        <w:spacing w:before="240" w:after="240"/>
      </w:pPr>
      <w:bookmarkStart w:id="256" w:name="_Toc6513"/>
      <w:r>
        <w:t>References</w:t>
      </w:r>
      <w:bookmarkEnd w:id="256"/>
    </w:p>
    <w:p>
      <w:pPr>
        <w:pStyle w:val="28"/>
        <w:ind w:left="720" w:hanging="720"/>
      </w:pPr>
      <w:r>
        <w:fldChar w:fldCharType="begin"/>
      </w:r>
      <w:r>
        <w:instrText xml:space="preserve"> ADDIN EN.REFLIST </w:instrText>
      </w:r>
      <w:r>
        <w:fldChar w:fldCharType="separate"/>
      </w:r>
      <w:r>
        <w:t>An, K.</w:t>
      </w:r>
      <w:r>
        <w:rPr>
          <w:i/>
        </w:rPr>
        <w:t xml:space="preserve"> et al.</w:t>
      </w:r>
      <w:r>
        <w:t xml:space="preserve"> (2022) 'Training needs and curriculum of continuing medical education among general practitioners in Tibet, China: A cross-sectional survey', </w:t>
      </w:r>
      <w:r>
        <w:rPr>
          <w:i/>
        </w:rPr>
        <w:t>Frontiers in Public Health</w:t>
      </w:r>
      <w:r>
        <w:t>, 10, p. 914847. doi:10.3389/fpubh.2022.914847</w:t>
      </w:r>
    </w:p>
    <w:p>
      <w:pPr>
        <w:pStyle w:val="28"/>
        <w:ind w:left="720" w:hanging="720"/>
      </w:pPr>
      <w:r>
        <w:t>Artino Jr, A.R.</w:t>
      </w:r>
      <w:r>
        <w:rPr>
          <w:i/>
        </w:rPr>
        <w:t xml:space="preserve"> et al.</w:t>
      </w:r>
      <w:r>
        <w:t xml:space="preserve"> (2014) 'Developing questionnaires for educational research: AMEE Guide No. 87', </w:t>
      </w:r>
      <w:r>
        <w:rPr>
          <w:i/>
        </w:rPr>
        <w:t>Medical Teacher</w:t>
      </w:r>
      <w:r>
        <w:t>, 36(6), pp. 463-474. doi:10.3109/0142159X.2014.889814</w:t>
      </w:r>
    </w:p>
    <w:p>
      <w:pPr>
        <w:pStyle w:val="28"/>
        <w:ind w:left="720" w:hanging="720"/>
      </w:pPr>
      <w:r>
        <w:t xml:space="preserve">Baldwin, C.K. (2019) 'Transformative learning and identity: A review and synthesis of Dirkx and Illeris', </w:t>
      </w:r>
      <w:r>
        <w:rPr>
          <w:i/>
        </w:rPr>
        <w:t>Journal of Transformative Education</w:t>
      </w:r>
      <w:r>
        <w:t>, 12(2), pp. 148-163. doi:10.1177/15413446145484</w:t>
      </w:r>
    </w:p>
    <w:p>
      <w:pPr>
        <w:pStyle w:val="28"/>
        <w:ind w:left="720" w:hanging="720"/>
      </w:pPr>
      <w:r>
        <w:t xml:space="preserve">Bandura, A. (2014) 'Social cognitive theory of moral thought and action', in Kurtines, W.M., Gewirtz, J. and Lamb, J.L. (eds.) </w:t>
      </w:r>
      <w:r>
        <w:rPr>
          <w:i/>
        </w:rPr>
        <w:t>Handbook of moral behavior and development</w:t>
      </w:r>
      <w:r>
        <w:t>. London: Psychology Press.</w:t>
      </w:r>
    </w:p>
    <w:p>
      <w:pPr>
        <w:pStyle w:val="28"/>
        <w:ind w:left="720" w:hanging="720"/>
      </w:pPr>
      <w:r>
        <w:t xml:space="preserve">Bell, E., Bryman, A. and Harley, B. (2022) </w:t>
      </w:r>
      <w:r>
        <w:rPr>
          <w:i/>
        </w:rPr>
        <w:t>Business research methods</w:t>
      </w:r>
      <w:r>
        <w:t>. 6</w:t>
      </w:r>
      <w:r>
        <w:rPr>
          <w:vertAlign w:val="superscript"/>
        </w:rPr>
        <w:t>th</w:t>
      </w:r>
      <w:r>
        <w:t xml:space="preserve"> edn. Oxford: Oxford University Press.</w:t>
      </w:r>
    </w:p>
    <w:p>
      <w:pPr>
        <w:pStyle w:val="28"/>
        <w:ind w:left="720" w:hanging="720"/>
      </w:pPr>
      <w:r>
        <w:t xml:space="preserve">Bell, J. (2010) </w:t>
      </w:r>
      <w:r>
        <w:rPr>
          <w:i/>
        </w:rPr>
        <w:t>Doing your research project: A guide for first-time researchers in education, health and social science</w:t>
      </w:r>
      <w:r>
        <w:t>. 5</w:t>
      </w:r>
      <w:r>
        <w:rPr>
          <w:vertAlign w:val="superscript"/>
        </w:rPr>
        <w:t>th</w:t>
      </w:r>
      <w:r>
        <w:t xml:space="preserve"> edn. Maidenhead: McGraw-Hill Open University Press.</w:t>
      </w:r>
    </w:p>
    <w:p>
      <w:pPr>
        <w:pStyle w:val="28"/>
        <w:ind w:left="720" w:hanging="720"/>
      </w:pPr>
      <w:r>
        <w:t xml:space="preserve">Bos, J. (2020) </w:t>
      </w:r>
      <w:r>
        <w:rPr>
          <w:i/>
        </w:rPr>
        <w:t>Research ethics for students in the social sciences</w:t>
      </w:r>
      <w:r>
        <w:t>. 1</w:t>
      </w:r>
      <w:r>
        <w:rPr>
          <w:vertAlign w:val="superscript"/>
        </w:rPr>
        <w:t>st</w:t>
      </w:r>
      <w:r>
        <w:t xml:space="preserve"> edn. Cham: Springer.</w:t>
      </w:r>
    </w:p>
    <w:p>
      <w:pPr>
        <w:pStyle w:val="28"/>
        <w:ind w:left="720" w:hanging="720"/>
      </w:pPr>
      <w:r>
        <w:t xml:space="preserve">Bryman, A. (2016) </w:t>
      </w:r>
      <w:r>
        <w:rPr>
          <w:i/>
        </w:rPr>
        <w:t>Social research methods</w:t>
      </w:r>
      <w:r>
        <w:t>. 5</w:t>
      </w:r>
      <w:r>
        <w:rPr>
          <w:vertAlign w:val="superscript"/>
        </w:rPr>
        <w:t>th</w:t>
      </w:r>
      <w:r>
        <w:t xml:space="preserve"> edn. Oxford: Oxford University Press.</w:t>
      </w:r>
    </w:p>
    <w:p>
      <w:pPr>
        <w:pStyle w:val="28"/>
        <w:ind w:left="720" w:hanging="720"/>
      </w:pPr>
      <w:r>
        <w:t xml:space="preserve">Cantillon, P. and Jones, R. (1999) 'Does continuing medical education in general practice make a difference?', </w:t>
      </w:r>
      <w:r>
        <w:rPr>
          <w:i/>
        </w:rPr>
        <w:t>BMJ</w:t>
      </w:r>
      <w:r>
        <w:t>, 318(7193), pp. 1276-1279. doi:10.1136/bmj.318.7193.1276</w:t>
      </w:r>
    </w:p>
    <w:p>
      <w:pPr>
        <w:pStyle w:val="28"/>
        <w:ind w:left="720" w:hanging="720"/>
      </w:pPr>
      <w:r>
        <w:t xml:space="preserve">Casanova, C.R., King, J.A. and Fischer, D. (2023) 'Exploring the role of intentions and expectations in continuing professional development in sustainability education', </w:t>
      </w:r>
      <w:r>
        <w:rPr>
          <w:i/>
        </w:rPr>
        <w:t>Teaching and Teacher Education</w:t>
      </w:r>
      <w:r>
        <w:t>, 128, p. 104115. doi:10.1016/j.tate.2023.104115</w:t>
      </w:r>
    </w:p>
    <w:p>
      <w:pPr>
        <w:pStyle w:val="28"/>
        <w:ind w:left="720" w:hanging="720"/>
      </w:pPr>
      <w:r>
        <w:t xml:space="preserve">Cervero, R.M. and Gaines, J.K. (2015) 'The impact of CME on physician performance and patient health outcomes: An updated synthesis of systematic reviews', </w:t>
      </w:r>
      <w:r>
        <w:rPr>
          <w:i/>
        </w:rPr>
        <w:t>Journal of Continuing Education in the Health Professions</w:t>
      </w:r>
      <w:r>
        <w:t>, 35(2), pp. 131-138. doi:10.1002/chp.21290</w:t>
      </w:r>
    </w:p>
    <w:p>
      <w:pPr>
        <w:pStyle w:val="28"/>
        <w:ind w:left="720" w:hanging="720"/>
      </w:pPr>
      <w:r>
        <w:t xml:space="preserve">Chen, C.-C. and Bunge, F. (2022) </w:t>
      </w:r>
      <w:r>
        <w:rPr>
          <w:i/>
        </w:rPr>
        <w:t>Medicine in rural China: A personal account</w:t>
      </w:r>
      <w:r>
        <w:t>. Berkeley: University of California Press.</w:t>
      </w:r>
    </w:p>
    <w:p>
      <w:pPr>
        <w:pStyle w:val="28"/>
        <w:ind w:left="720" w:hanging="720"/>
      </w:pPr>
      <w:r>
        <w:t>Chen, S.</w:t>
      </w:r>
      <w:r>
        <w:rPr>
          <w:i/>
        </w:rPr>
        <w:t xml:space="preserve"> et al.</w:t>
      </w:r>
      <w:r>
        <w:t xml:space="preserve"> (2019) 'Current situation and progress toward the 2030 health-related sustainable development goals in China: A systematic analysis', </w:t>
      </w:r>
      <w:r>
        <w:rPr>
          <w:i/>
        </w:rPr>
        <w:t>PLoS Medicine</w:t>
      </w:r>
      <w:r>
        <w:t>, 16(11), p. e1002975. doi:10.1371/journal.pmed.1002975</w:t>
      </w:r>
    </w:p>
    <w:p>
      <w:pPr>
        <w:pStyle w:val="28"/>
        <w:ind w:left="720" w:hanging="720"/>
      </w:pPr>
      <w:r>
        <w:t xml:space="preserve">Chen, Y.Y. and Assefa, Y. (2021) 'The heterogeneity of the COVID-19 pandemic and national responses: An explanatory mixed-methods study', </w:t>
      </w:r>
      <w:r>
        <w:rPr>
          <w:i/>
        </w:rPr>
        <w:t>BMC Public Health</w:t>
      </w:r>
      <w:r>
        <w:t>, 21(1), p. 835. doi:10.1186/s12889-021-10885-8</w:t>
      </w:r>
    </w:p>
    <w:p>
      <w:pPr>
        <w:pStyle w:val="28"/>
        <w:ind w:left="720" w:hanging="720"/>
      </w:pPr>
      <w:r>
        <w:t xml:space="preserve">Clarke, V. and Braun, V. (2013) </w:t>
      </w:r>
      <w:r>
        <w:rPr>
          <w:i/>
        </w:rPr>
        <w:t>Successful qualitative research: A practical guide for beginners</w:t>
      </w:r>
      <w:r>
        <w:t>. London: SAGE.</w:t>
      </w:r>
    </w:p>
    <w:p>
      <w:pPr>
        <w:pStyle w:val="28"/>
        <w:ind w:left="720" w:hanging="720"/>
      </w:pPr>
      <w:r>
        <w:t xml:space="preserve">Cohen, L., Manion, L. and Morrison, K. (2018) </w:t>
      </w:r>
      <w:r>
        <w:rPr>
          <w:i/>
        </w:rPr>
        <w:t>Research methods in education</w:t>
      </w:r>
      <w:r>
        <w:t>. 8</w:t>
      </w:r>
      <w:r>
        <w:rPr>
          <w:vertAlign w:val="superscript"/>
        </w:rPr>
        <w:t>th</w:t>
      </w:r>
      <w:r>
        <w:t xml:space="preserve"> edn. London: Routledge.</w:t>
      </w:r>
    </w:p>
    <w:p>
      <w:pPr>
        <w:pStyle w:val="28"/>
        <w:ind w:left="720" w:hanging="720"/>
      </w:pPr>
      <w:r>
        <w:t>Cook, D.A.</w:t>
      </w:r>
      <w:r>
        <w:rPr>
          <w:i/>
        </w:rPr>
        <w:t xml:space="preserve"> et al.</w:t>
      </w:r>
      <w:r>
        <w:t xml:space="preserve"> (2010) 'Instructional design variations in internet-based learning for health professions education: A systematic review and meta-analysis', </w:t>
      </w:r>
      <w:r>
        <w:rPr>
          <w:i/>
        </w:rPr>
        <w:t>Academic Medicine</w:t>
      </w:r>
      <w:r>
        <w:t>, 85(5), pp. 909-922. doi:10.1097/ACM.0b013e3181d6c319</w:t>
      </w:r>
    </w:p>
    <w:p>
      <w:pPr>
        <w:pStyle w:val="28"/>
        <w:ind w:left="720" w:hanging="720"/>
      </w:pPr>
      <w:r>
        <w:t xml:space="preserve">Daffron, S.R. and Caffarella, R.S. (2021) </w:t>
      </w:r>
      <w:r>
        <w:rPr>
          <w:i/>
        </w:rPr>
        <w:t>Planning programs for adult learners: A practical guide</w:t>
      </w:r>
      <w:r>
        <w:t>. London: John Wiley &amp; Sons.</w:t>
      </w:r>
    </w:p>
    <w:p>
      <w:pPr>
        <w:pStyle w:val="28"/>
        <w:ind w:left="720" w:hanging="720"/>
      </w:pPr>
      <w:r>
        <w:t>Davis, D.</w:t>
      </w:r>
      <w:r>
        <w:rPr>
          <w:i/>
        </w:rPr>
        <w:t xml:space="preserve"> et al.</w:t>
      </w:r>
      <w:r>
        <w:t xml:space="preserve"> (1999) 'Impact of formal continuing medical education: Do conferences, workshops, rounds, and other traditional continuing education activities change physician behavior or health care outcomes?', </w:t>
      </w:r>
      <w:r>
        <w:rPr>
          <w:i/>
        </w:rPr>
        <w:t>JAMA</w:t>
      </w:r>
      <w:r>
        <w:t>, 282(9), pp. 867-874. doi:10.1001/jama.282.9.867</w:t>
      </w:r>
    </w:p>
    <w:p>
      <w:pPr>
        <w:pStyle w:val="28"/>
        <w:ind w:left="720" w:hanging="720"/>
      </w:pPr>
      <w:r>
        <w:t xml:space="preserve">Dey, N.C. (2023) Innovative digital teaching and learning practices in society in view of nursing education/profession in India: A comprehensive review. </w:t>
      </w:r>
      <w:r>
        <w:rPr>
          <w:i/>
        </w:rPr>
        <w:t>International Conference on Trends, Innovations and Technological Advancements in Nursing Education</w:t>
      </w:r>
      <w:r>
        <w:t>. Paris. Jhunjhunu: Shri Jagdishprasad Jhabarmal Tibrewala University.</w:t>
      </w:r>
    </w:p>
    <w:p>
      <w:pPr>
        <w:pStyle w:val="28"/>
        <w:ind w:left="720" w:hanging="720"/>
      </w:pPr>
      <w:r>
        <w:t>Duan, L.</w:t>
      </w:r>
      <w:r>
        <w:rPr>
          <w:i/>
        </w:rPr>
        <w:t xml:space="preserve"> et al.</w:t>
      </w:r>
      <w:r>
        <w:t xml:space="preserve"> (2022) 'The provincial trend of population aging in China–based on population expansion forecast formula', </w:t>
      </w:r>
      <w:r>
        <w:rPr>
          <w:i/>
        </w:rPr>
        <w:t>Journal of Computational Methods in Sciences and Engineering</w:t>
      </w:r>
      <w:r>
        <w:t>, 22(1), pp. 349-359. doi:10.3233/JCM-215630</w:t>
      </w:r>
    </w:p>
    <w:p>
      <w:pPr>
        <w:pStyle w:val="28"/>
        <w:ind w:left="720" w:hanging="720"/>
      </w:pPr>
      <w:r>
        <w:t>Filipe, H.P.</w:t>
      </w:r>
      <w:r>
        <w:rPr>
          <w:i/>
        </w:rPr>
        <w:t xml:space="preserve"> et al.</w:t>
      </w:r>
      <w:r>
        <w:t xml:space="preserve"> (2014) 'Continuing professional development: Best practices', </w:t>
      </w:r>
      <w:r>
        <w:rPr>
          <w:i/>
        </w:rPr>
        <w:t>Middle East African Journal of Ophthalmology</w:t>
      </w:r>
      <w:r>
        <w:t>, 21(2), pp. 134-141. doi:10.4103/0974-9233.129760</w:t>
      </w:r>
    </w:p>
    <w:p>
      <w:pPr>
        <w:pStyle w:val="28"/>
        <w:ind w:left="720" w:hanging="720"/>
      </w:pPr>
      <w:r>
        <w:t xml:space="preserve">Flick, U. (2020) </w:t>
      </w:r>
      <w:r>
        <w:rPr>
          <w:i/>
        </w:rPr>
        <w:t>Introducing research methodology: Thinking your way through your research project</w:t>
      </w:r>
      <w:r>
        <w:t>. 3</w:t>
      </w:r>
      <w:r>
        <w:rPr>
          <w:vertAlign w:val="superscript"/>
        </w:rPr>
        <w:t>th</w:t>
      </w:r>
      <w:r>
        <w:t xml:space="preserve"> edn. Los Angeles: SAGE.</w:t>
      </w:r>
    </w:p>
    <w:p>
      <w:pPr>
        <w:pStyle w:val="28"/>
        <w:ind w:left="720" w:hanging="720"/>
      </w:pPr>
      <w:r>
        <w:t xml:space="preserve">Flick, U. (2022) </w:t>
      </w:r>
      <w:r>
        <w:rPr>
          <w:i/>
        </w:rPr>
        <w:t>An introduction to qualitative research</w:t>
      </w:r>
      <w:r>
        <w:t>. 7</w:t>
      </w:r>
      <w:r>
        <w:rPr>
          <w:vertAlign w:val="superscript"/>
        </w:rPr>
        <w:t>th</w:t>
      </w:r>
      <w:r>
        <w:t xml:space="preserve"> edn. Los Angeles: SAGE.</w:t>
      </w:r>
    </w:p>
    <w:p>
      <w:pPr>
        <w:pStyle w:val="28"/>
        <w:ind w:left="720" w:hanging="720"/>
      </w:pPr>
      <w:r>
        <w:t>Forsetlund, L.</w:t>
      </w:r>
      <w:r>
        <w:rPr>
          <w:i/>
        </w:rPr>
        <w:t xml:space="preserve"> et al.</w:t>
      </w:r>
      <w:r>
        <w:t xml:space="preserve"> (2021) 'Continuing education meetings and workshops: Effects on professional practice and healthcare outcomes', </w:t>
      </w:r>
      <w:r>
        <w:rPr>
          <w:i/>
        </w:rPr>
        <w:t>Cochrane Database of Systematic Reviews</w:t>
      </w:r>
      <w:r>
        <w:t>, (9), p. CD003030. doi:10.1002/14651858.CD003030.pub3</w:t>
      </w:r>
    </w:p>
    <w:p>
      <w:pPr>
        <w:pStyle w:val="28"/>
        <w:ind w:left="720" w:hanging="720"/>
      </w:pPr>
      <w:r>
        <w:t>Frenk, J.</w:t>
      </w:r>
      <w:r>
        <w:rPr>
          <w:i/>
        </w:rPr>
        <w:t xml:space="preserve"> et al.</w:t>
      </w:r>
      <w:r>
        <w:t xml:space="preserve"> (2010) 'Health professionals for a new century: Transforming education to strengthen health systems in an interdependent world', </w:t>
      </w:r>
      <w:r>
        <w:rPr>
          <w:i/>
        </w:rPr>
        <w:t>The Lancet</w:t>
      </w:r>
      <w:r>
        <w:t>, 376(9756), pp. 1923-1958. doi:10.1016/S0140-6736(10)61854-5</w:t>
      </w:r>
    </w:p>
    <w:p>
      <w:pPr>
        <w:pStyle w:val="28"/>
        <w:ind w:left="720" w:hanging="720"/>
      </w:pPr>
      <w:r>
        <w:t xml:space="preserve">Fu, W., Liu, S. and Dai, J. (2018) E-learning, e-education, and online training. </w:t>
      </w:r>
      <w:r>
        <w:rPr>
          <w:i/>
        </w:rPr>
        <w:t>7th EAI International Conference, eLEOT 2021</w:t>
      </w:r>
      <w:r>
        <w:t>. Xinxiang. Cham: Springer.</w:t>
      </w:r>
    </w:p>
    <w:p>
      <w:pPr>
        <w:pStyle w:val="28"/>
        <w:ind w:left="720" w:hanging="720"/>
      </w:pPr>
      <w:r>
        <w:t>Gormley, G.J.</w:t>
      </w:r>
      <w:r>
        <w:rPr>
          <w:i/>
        </w:rPr>
        <w:t xml:space="preserve"> et al.</w:t>
      </w:r>
      <w:r>
        <w:t xml:space="preserve"> (2009) 'Is there a place for e-learning in clinical skills? A survey of undergraduate medical students’ experiences and attitudes', </w:t>
      </w:r>
      <w:r>
        <w:rPr>
          <w:i/>
        </w:rPr>
        <w:t>Medical Teacher</w:t>
      </w:r>
      <w:r>
        <w:t>, 31(1), pp. e6-e12. doi:10.1080/01421590802334317</w:t>
      </w:r>
    </w:p>
    <w:p>
      <w:pPr>
        <w:pStyle w:val="28"/>
        <w:ind w:left="720" w:hanging="720"/>
      </w:pPr>
      <w:r>
        <w:t xml:space="preserve">Gould, D., Drey, N. and Berridge, E.-J. (2007) 'Nurses’ experiences of continuing professional development', </w:t>
      </w:r>
      <w:r>
        <w:rPr>
          <w:i/>
        </w:rPr>
        <w:t>Nurse Education Today</w:t>
      </w:r>
      <w:r>
        <w:t>, 27(6), pp. 602-609. doi:10.1016/j.nedt.2006.08.021</w:t>
      </w:r>
    </w:p>
    <w:p>
      <w:pPr>
        <w:pStyle w:val="28"/>
        <w:ind w:left="720" w:hanging="720"/>
      </w:pPr>
      <w:r>
        <w:t xml:space="preserve">Gozdz, K. and Miller, R.-E.L. (2023) </w:t>
      </w:r>
      <w:r>
        <w:rPr>
          <w:i/>
        </w:rPr>
        <w:t>Developing third-generation learning organizations: A heuristic discovery process</w:t>
      </w:r>
      <w:r>
        <w:t>. Cambridge: Cambridge Scholars Publishing.</w:t>
      </w:r>
    </w:p>
    <w:p>
      <w:pPr>
        <w:pStyle w:val="28"/>
        <w:ind w:left="720" w:hanging="720"/>
      </w:pPr>
      <w:r>
        <w:t xml:space="preserve">Grinin, L., Grinin, A. and Korotayev, A. (2023) 'Global aging: An integral problem of the future. How to turn a problem into a development driver?', in Sadovnichy, V., Akaev, A., Ilyin, I., Malkov, S., Grinin, L. and Korotayev, A. (eds.) </w:t>
      </w:r>
      <w:r>
        <w:rPr>
          <w:i/>
        </w:rPr>
        <w:t>Reconsidering the limits to growth: A report to the russian association of the club of rome</w:t>
      </w:r>
      <w:r>
        <w:t>. Cham: Springer.</w:t>
      </w:r>
    </w:p>
    <w:p>
      <w:pPr>
        <w:pStyle w:val="28"/>
        <w:ind w:left="720" w:hanging="720"/>
      </w:pPr>
      <w:r>
        <w:t xml:space="preserve">Grol, R. and Grimshaw, J. (2003) 'From best evidence to best practice: Effective implementation of change in patients' care', </w:t>
      </w:r>
      <w:r>
        <w:rPr>
          <w:i/>
        </w:rPr>
        <w:t>The Lancet</w:t>
      </w:r>
      <w:r>
        <w:t>, 362(9391), pp. 1225-1230. doi:10.1016/S0140-6736(03)14546-1</w:t>
      </w:r>
    </w:p>
    <w:p>
      <w:pPr>
        <w:pStyle w:val="28"/>
        <w:ind w:left="720" w:hanging="720"/>
      </w:pPr>
      <w:r>
        <w:t xml:space="preserve">Gu, D., Andreev, K. and Dupre, M.E. (2021) 'Major trends in population growth around the world', </w:t>
      </w:r>
      <w:r>
        <w:rPr>
          <w:i/>
        </w:rPr>
        <w:t>China CDC Weekly</w:t>
      </w:r>
      <w:r>
        <w:t>, 3(28), pp. 604-613. doi:10.46234/ccdcw2021.160</w:t>
      </w:r>
    </w:p>
    <w:p>
      <w:pPr>
        <w:pStyle w:val="28"/>
        <w:ind w:left="720" w:hanging="720"/>
      </w:pPr>
      <w:r>
        <w:t>Han, T.</w:t>
      </w:r>
      <w:r>
        <w:rPr>
          <w:i/>
        </w:rPr>
        <w:t xml:space="preserve"> et al.</w:t>
      </w:r>
      <w:r>
        <w:t xml:space="preserve"> (2022) 'Patient-centered care and patient satisfaction: Validating the patient-professional interaction questionnaire in China', </w:t>
      </w:r>
      <w:r>
        <w:rPr>
          <w:i/>
        </w:rPr>
        <w:t>Frontiers in Public Health</w:t>
      </w:r>
      <w:r>
        <w:t>, 10, p. 990620. doi:10.3389/fpubh.2022.990620</w:t>
      </w:r>
    </w:p>
    <w:p>
      <w:pPr>
        <w:pStyle w:val="28"/>
        <w:ind w:left="720" w:hanging="720"/>
      </w:pPr>
      <w:r>
        <w:t>Han, Y.</w:t>
      </w:r>
      <w:r>
        <w:rPr>
          <w:i/>
        </w:rPr>
        <w:t xml:space="preserve"> et al.</w:t>
      </w:r>
      <w:r>
        <w:t xml:space="preserve"> (2020) 'Aging in China: Perspectives on public health', </w:t>
      </w:r>
      <w:r>
        <w:rPr>
          <w:i/>
        </w:rPr>
        <w:t>Global Health Journal</w:t>
      </w:r>
      <w:r>
        <w:t>, 4(1), pp. 11-17. doi:10.1016/j.glohj.2020.01.002</w:t>
      </w:r>
    </w:p>
    <w:p>
      <w:pPr>
        <w:pStyle w:val="28"/>
        <w:ind w:left="720" w:hanging="720"/>
      </w:pPr>
      <w:r>
        <w:t xml:space="preserve">Iltis, A.S. and McKay, D. (2020) </w:t>
      </w:r>
      <w:r>
        <w:rPr>
          <w:i/>
        </w:rPr>
        <w:t>The Oxford handbook of research ethics</w:t>
      </w:r>
      <w:r>
        <w:t>. New York: Oxford University Press.</w:t>
      </w:r>
    </w:p>
    <w:p>
      <w:pPr>
        <w:pStyle w:val="28"/>
        <w:ind w:left="720" w:hanging="720"/>
      </w:pPr>
      <w:r>
        <w:t xml:space="preserve">Israel, M. and Hay, I. (2006) </w:t>
      </w:r>
      <w:r>
        <w:rPr>
          <w:i/>
        </w:rPr>
        <w:t>Research ethics for social scientists: Between ethical conduct and regulatory compliance</w:t>
      </w:r>
      <w:r>
        <w:t>. London: Sage.</w:t>
      </w:r>
    </w:p>
    <w:p>
      <w:pPr>
        <w:pStyle w:val="28"/>
        <w:ind w:left="720" w:hanging="720"/>
      </w:pPr>
      <w:r>
        <w:t xml:space="preserve">Jamal, A. (2023) 'Embracing nature's therapeutic potential: Herbal medicine', </w:t>
      </w:r>
      <w:r>
        <w:rPr>
          <w:i/>
        </w:rPr>
        <w:t>International Journal of Multidisciplinary Sciences and Arts</w:t>
      </w:r>
      <w:r>
        <w:t>, 2(1), pp. 117-126. doi:10.47709/ijmdsa.v2i1.2620</w:t>
      </w:r>
    </w:p>
    <w:p>
      <w:pPr>
        <w:pStyle w:val="28"/>
        <w:ind w:left="720" w:hanging="720"/>
      </w:pPr>
      <w:r>
        <w:t>Jia, P.</w:t>
      </w:r>
      <w:r>
        <w:rPr>
          <w:i/>
        </w:rPr>
        <w:t xml:space="preserve"> et al.</w:t>
      </w:r>
      <w:r>
        <w:t xml:space="preserve"> (2022) 'Inequalities of spatial primary healthcare accessibility in China', </w:t>
      </w:r>
      <w:r>
        <w:rPr>
          <w:i/>
        </w:rPr>
        <w:t>Social Science &amp; Medicine</w:t>
      </w:r>
      <w:r>
        <w:t>, 314, p. 115458. doi:10.1016/j.socscimed.2022.115458</w:t>
      </w:r>
    </w:p>
    <w:p>
      <w:pPr>
        <w:pStyle w:val="28"/>
        <w:ind w:left="720" w:hanging="720"/>
      </w:pPr>
      <w:r>
        <w:t>Kickbusch, I.</w:t>
      </w:r>
      <w:r>
        <w:rPr>
          <w:i/>
        </w:rPr>
        <w:t xml:space="preserve"> et al.</w:t>
      </w:r>
      <w:r>
        <w:t xml:space="preserve"> (2021) 'The lancet and financial times commission on governing health futures 2030: Growing up in a digital world', </w:t>
      </w:r>
      <w:r>
        <w:rPr>
          <w:i/>
        </w:rPr>
        <w:t>The Lancet</w:t>
      </w:r>
      <w:r>
        <w:t>, 398(10312), pp. 1727-1776. doi:10.1016/S0140-6736(21)01824-9</w:t>
      </w:r>
    </w:p>
    <w:p>
      <w:pPr>
        <w:pStyle w:val="28"/>
        <w:ind w:left="720" w:hanging="720"/>
      </w:pPr>
      <w:r>
        <w:t xml:space="preserve">Knowles, M.S., Holton, E.F. and Swanson, R.A. (2014) </w:t>
      </w:r>
      <w:r>
        <w:rPr>
          <w:i/>
        </w:rPr>
        <w:t>The adult learner: The definitive classic in adult education and human resource development</w:t>
      </w:r>
      <w:r>
        <w:t>. London: Routledge.</w:t>
      </w:r>
    </w:p>
    <w:p>
      <w:pPr>
        <w:pStyle w:val="28"/>
        <w:ind w:left="720" w:hanging="720"/>
      </w:pPr>
      <w:r>
        <w:t xml:space="preserve">Leavy, P. (2020) </w:t>
      </w:r>
      <w:r>
        <w:rPr>
          <w:i/>
        </w:rPr>
        <w:t>The Oxford handbook of qualitative research</w:t>
      </w:r>
      <w:r>
        <w:t>. 2</w:t>
      </w:r>
      <w:r>
        <w:rPr>
          <w:vertAlign w:val="superscript"/>
        </w:rPr>
        <w:t>nd</w:t>
      </w:r>
      <w:r>
        <w:t xml:space="preserve"> edn. New York: Oxford University Press.</w:t>
      </w:r>
    </w:p>
    <w:p>
      <w:pPr>
        <w:pStyle w:val="28"/>
        <w:ind w:left="720" w:hanging="720"/>
      </w:pPr>
      <w:r>
        <w:t>Lewis, V.</w:t>
      </w:r>
      <w:r>
        <w:rPr>
          <w:i/>
        </w:rPr>
        <w:t xml:space="preserve"> et al.</w:t>
      </w:r>
      <w:r>
        <w:t xml:space="preserve"> (2015) </w:t>
      </w:r>
      <w:r>
        <w:rPr>
          <w:i/>
        </w:rPr>
        <w:t>Building expertise to support digital scholarship: A global perspective</w:t>
      </w:r>
      <w:r>
        <w:t>. Washington DC: Council on Library and Information Resources.</w:t>
      </w:r>
    </w:p>
    <w:p>
      <w:pPr>
        <w:pStyle w:val="28"/>
        <w:ind w:left="720" w:hanging="720"/>
      </w:pPr>
      <w:r>
        <w:t xml:space="preserve">Li, L. (2022) 'Reskilling and upskilling the future-ready workforce for industry 4.0 and beyond', </w:t>
      </w:r>
      <w:r>
        <w:rPr>
          <w:i/>
        </w:rPr>
        <w:t>Information Systems Frontiers</w:t>
      </w:r>
      <w:r>
        <w:t>, 24, pp. 1-16. doi:10.1007/s10796-022-10308-y</w:t>
      </w:r>
    </w:p>
    <w:p>
      <w:pPr>
        <w:pStyle w:val="28"/>
        <w:ind w:left="720" w:hanging="720"/>
      </w:pPr>
      <w:r>
        <w:t xml:space="preserve">Liu, Y., Zang, Y. and Yang, Y. (2020) 'China’s rural revitalization and development: Theory, technology and management', </w:t>
      </w:r>
      <w:r>
        <w:rPr>
          <w:i/>
        </w:rPr>
        <w:t>Journal of Geographical Sciences</w:t>
      </w:r>
      <w:r>
        <w:t>, 30, pp. 1923-1942. doi:10.1007/s11442-020-1819-3</w:t>
      </w:r>
    </w:p>
    <w:p>
      <w:pPr>
        <w:pStyle w:val="28"/>
        <w:ind w:left="720" w:hanging="720"/>
      </w:pPr>
      <w:r>
        <w:rPr>
          <w:rFonts w:hint="eastAsia"/>
        </w:rPr>
        <w:t>Mansouri, M. and Lockyer, J. (2007) 'A meta‐analysis</w:t>
      </w:r>
      <w:r>
        <w:t xml:space="preserve"> of continuing medical education effectiveness', </w:t>
      </w:r>
      <w:r>
        <w:rPr>
          <w:i/>
        </w:rPr>
        <w:t>Journal of Continuing Education in the Health Professions</w:t>
      </w:r>
      <w:r>
        <w:t>, 27(1), pp. 6-15. doi:10.1002/chp.88</w:t>
      </w:r>
    </w:p>
    <w:p>
      <w:pPr>
        <w:pStyle w:val="28"/>
        <w:ind w:left="720" w:hanging="720"/>
      </w:pPr>
      <w:r>
        <w:t xml:space="preserve">Merriam, S.B. and Bierema, L.L. (2013) </w:t>
      </w:r>
      <w:r>
        <w:rPr>
          <w:i/>
        </w:rPr>
        <w:t>Adult learning: Linking theory and practice</w:t>
      </w:r>
      <w:r>
        <w:t>. London: John Wiley &amp; Sons.</w:t>
      </w:r>
    </w:p>
    <w:p>
      <w:pPr>
        <w:pStyle w:val="28"/>
        <w:ind w:left="720" w:hanging="720"/>
      </w:pPr>
      <w:r>
        <w:t xml:space="preserve">Miles, M.B., Huberman, A.M. and Saldaña, J. (2020) </w:t>
      </w:r>
      <w:r>
        <w:rPr>
          <w:i/>
        </w:rPr>
        <w:t>Qualitative data analysis: A methods sourcebook</w:t>
      </w:r>
      <w:r>
        <w:t>. 4</w:t>
      </w:r>
      <w:r>
        <w:rPr>
          <w:vertAlign w:val="superscript"/>
        </w:rPr>
        <w:t>th</w:t>
      </w:r>
      <w:r>
        <w:t xml:space="preserve"> edn. Los Angeles: SAGE.</w:t>
      </w:r>
    </w:p>
    <w:p>
      <w:pPr>
        <w:pStyle w:val="28"/>
        <w:ind w:left="720" w:hanging="720"/>
      </w:pPr>
      <w:r>
        <w:t xml:space="preserve">Moore Jr, D.E., Green, J.S. and Gallis, H.A. (2009) 'Achieving desired results and improved outcomes: Integrating planning and assessment throughout learning activities', </w:t>
      </w:r>
      <w:r>
        <w:rPr>
          <w:i/>
        </w:rPr>
        <w:t>Journal of Continuing Education in the Health Professions</w:t>
      </w:r>
      <w:r>
        <w:t>, 29(1), pp. 1-15. doi:10.1002/chp.20001</w:t>
      </w:r>
    </w:p>
    <w:p>
      <w:pPr>
        <w:pStyle w:val="28"/>
        <w:ind w:left="720" w:hanging="720"/>
      </w:pPr>
      <w:r>
        <w:t xml:space="preserve">Newby, P. (2014) </w:t>
      </w:r>
      <w:r>
        <w:rPr>
          <w:i/>
        </w:rPr>
        <w:t>Research methods for education</w:t>
      </w:r>
      <w:r>
        <w:t>. 2</w:t>
      </w:r>
      <w:r>
        <w:rPr>
          <w:vertAlign w:val="superscript"/>
        </w:rPr>
        <w:t>nd</w:t>
      </w:r>
      <w:r>
        <w:t xml:space="preserve"> edn. Harlow: Pearson Education.</w:t>
      </w:r>
    </w:p>
    <w:p>
      <w:pPr>
        <w:pStyle w:val="28"/>
        <w:ind w:left="720" w:hanging="720"/>
      </w:pPr>
      <w:r>
        <w:t xml:space="preserve">O'Toole, S. and Essex, B. (2012) 'The adult learner may really be a neglected species', </w:t>
      </w:r>
      <w:r>
        <w:rPr>
          <w:i/>
        </w:rPr>
        <w:t>Australian Journal of Adult Learning</w:t>
      </w:r>
      <w:r>
        <w:t xml:space="preserve">, 52(1), pp. 183-191. </w:t>
      </w:r>
    </w:p>
    <w:p>
      <w:pPr>
        <w:pStyle w:val="28"/>
        <w:ind w:left="720" w:hanging="720"/>
      </w:pPr>
      <w:r>
        <w:t xml:space="preserve">Oliver, P. (2021) </w:t>
      </w:r>
      <w:r>
        <w:rPr>
          <w:i/>
        </w:rPr>
        <w:t>Using qualitative methods to answer your research question</w:t>
      </w:r>
      <w:r>
        <w:t>. 5</w:t>
      </w:r>
      <w:r>
        <w:rPr>
          <w:vertAlign w:val="superscript"/>
        </w:rPr>
        <w:t>th</w:t>
      </w:r>
      <w:r>
        <w:t xml:space="preserve"> edn. Maidenhead: Open University Press.</w:t>
      </w:r>
    </w:p>
    <w:p>
      <w:pPr>
        <w:pStyle w:val="28"/>
        <w:ind w:left="720" w:hanging="720"/>
      </w:pPr>
      <w:r>
        <w:t xml:space="preserve">Punch, K. and Oancea, A. (2014) </w:t>
      </w:r>
      <w:r>
        <w:rPr>
          <w:i/>
        </w:rPr>
        <w:t>Introduction to research methods in education</w:t>
      </w:r>
      <w:r>
        <w:t>. 2</w:t>
      </w:r>
      <w:r>
        <w:rPr>
          <w:vertAlign w:val="superscript"/>
        </w:rPr>
        <w:t>nd</w:t>
      </w:r>
      <w:r>
        <w:t xml:space="preserve"> edn. London: SAGE.</w:t>
      </w:r>
    </w:p>
    <w:p>
      <w:pPr>
        <w:pStyle w:val="28"/>
        <w:ind w:left="720" w:hanging="720"/>
      </w:pPr>
      <w:r>
        <w:t xml:space="preserve">Ruiz, J.G., Mintzer, M.J. and Leipzig, R.M. (2006) 'The impact of e-learning in medical education', </w:t>
      </w:r>
      <w:r>
        <w:rPr>
          <w:i/>
        </w:rPr>
        <w:t>Academic Medicine</w:t>
      </w:r>
      <w:r>
        <w:t>, 81(3), pp. 207-212. doi:10.1097/00001888-200603000-00002</w:t>
      </w:r>
    </w:p>
    <w:p>
      <w:pPr>
        <w:pStyle w:val="28"/>
        <w:ind w:left="720" w:hanging="720"/>
      </w:pPr>
      <w:r>
        <w:t xml:space="preserve">Ryan, R.M. and Deci, E.L. (2000) 'Intrinsic and extrinsic motivations: Classic definitions and new directions', </w:t>
      </w:r>
      <w:r>
        <w:rPr>
          <w:i/>
        </w:rPr>
        <w:t>Contemporary Educational Psychology</w:t>
      </w:r>
      <w:r>
        <w:t>, 25(1), pp. 54-67. doi:10.1006/ceps.1999.1020</w:t>
      </w:r>
    </w:p>
    <w:p>
      <w:pPr>
        <w:pStyle w:val="28"/>
        <w:ind w:left="720" w:hanging="720"/>
      </w:pPr>
      <w:r>
        <w:t xml:space="preserve">Saunders, M.N.K., Lewis, P. and Thornhill, A. (2019) </w:t>
      </w:r>
      <w:r>
        <w:rPr>
          <w:i/>
        </w:rPr>
        <w:t>Research methods for business students</w:t>
      </w:r>
      <w:r>
        <w:t>. 8</w:t>
      </w:r>
      <w:r>
        <w:rPr>
          <w:vertAlign w:val="superscript"/>
        </w:rPr>
        <w:t>th</w:t>
      </w:r>
      <w:r>
        <w:t xml:space="preserve"> edn. Harlow: Pearson.</w:t>
      </w:r>
    </w:p>
    <w:p>
      <w:pPr>
        <w:pStyle w:val="28"/>
        <w:ind w:left="720" w:hanging="720"/>
      </w:pPr>
      <w:r>
        <w:t xml:space="preserve">Schindler, P.S. (2022) </w:t>
      </w:r>
      <w:r>
        <w:rPr>
          <w:i/>
        </w:rPr>
        <w:t>Business research methods</w:t>
      </w:r>
      <w:r>
        <w:t>. 4</w:t>
      </w:r>
      <w:r>
        <w:rPr>
          <w:vertAlign w:val="superscript"/>
        </w:rPr>
        <w:t>th</w:t>
      </w:r>
      <w:r>
        <w:t xml:space="preserve"> edn. New York: McGraw Hill.</w:t>
      </w:r>
    </w:p>
    <w:p>
      <w:pPr>
        <w:pStyle w:val="28"/>
        <w:ind w:left="720" w:hanging="720"/>
      </w:pPr>
      <w:r>
        <w:t xml:space="preserve">Silverman, D. (2013) </w:t>
      </w:r>
      <w:r>
        <w:rPr>
          <w:i/>
        </w:rPr>
        <w:t>Doing qualitative research: A practical handbook</w:t>
      </w:r>
      <w:r>
        <w:t>. 4</w:t>
      </w:r>
      <w:r>
        <w:rPr>
          <w:vertAlign w:val="superscript"/>
        </w:rPr>
        <w:t>th</w:t>
      </w:r>
      <w:r>
        <w:t xml:space="preserve"> edn. London: SAGA.</w:t>
      </w:r>
    </w:p>
    <w:p>
      <w:pPr>
        <w:pStyle w:val="28"/>
        <w:ind w:left="720" w:hanging="720"/>
      </w:pPr>
      <w:r>
        <w:t xml:space="preserve">Singh, J., Steele, K. and Singh, L. (2021) 'Combining the best of online and face-to-face learning: Hybrid and blended learning approach for COVID-19, post vaccine, &amp; post-pandemic world', </w:t>
      </w:r>
      <w:r>
        <w:rPr>
          <w:i/>
        </w:rPr>
        <w:t>Journal of Educational Technology Systems</w:t>
      </w:r>
      <w:r>
        <w:t>, 50(2), pp. 140-171. doi:10.1177/00472395211047865</w:t>
      </w:r>
    </w:p>
    <w:p>
      <w:pPr>
        <w:pStyle w:val="28"/>
        <w:ind w:left="720" w:hanging="720"/>
      </w:pPr>
      <w:r>
        <w:t xml:space="preserve">Soan, S. and Monsen, J. (2023) </w:t>
      </w:r>
      <w:r>
        <w:rPr>
          <w:i/>
        </w:rPr>
        <w:t>Inclusive education theory and policy: Moving from special educational needs to equity</w:t>
      </w:r>
      <w:r>
        <w:t>. London: McGraw-Hill Education.</w:t>
      </w:r>
    </w:p>
    <w:p>
      <w:pPr>
        <w:pStyle w:val="28"/>
        <w:ind w:left="720" w:hanging="720"/>
      </w:pPr>
      <w:r>
        <w:t xml:space="preserve">Socha-Dietrich, K. and Dumont, J.-C. (2021) </w:t>
      </w:r>
      <w:r>
        <w:rPr>
          <w:i/>
        </w:rPr>
        <w:t>International migration and movement of doctors to and within OECD countries-2000 to 2018: Developments in countries of destination and impact on countries of origin</w:t>
      </w:r>
      <w:r>
        <w:t>. Paris: OECD.</w:t>
      </w:r>
    </w:p>
    <w:p>
      <w:pPr>
        <w:pStyle w:val="28"/>
        <w:ind w:left="720" w:hanging="720"/>
      </w:pPr>
      <w:r>
        <w:t xml:space="preserve">Song, Q. and Smith, J.P. (2019) 'Hukou system, mechanisms, and health stratification across the life course in rural and urban China', </w:t>
      </w:r>
      <w:r>
        <w:rPr>
          <w:i/>
        </w:rPr>
        <w:t>Health &amp; Place</w:t>
      </w:r>
      <w:r>
        <w:t>, 58, p. 102150. doi:10.1016/j.healthplace.2019.102150</w:t>
      </w:r>
    </w:p>
    <w:p>
      <w:pPr>
        <w:pStyle w:val="28"/>
        <w:ind w:left="720" w:hanging="720"/>
      </w:pPr>
      <w:r>
        <w:t xml:space="preserve">Sun, P. (2023) '5G+ smart healthcare', in Sun, P. (ed.) </w:t>
      </w:r>
      <w:r>
        <w:rPr>
          <w:i/>
        </w:rPr>
        <w:t>A guidebook for 5GtoB and 6G vision for deep convergence</w:t>
      </w:r>
      <w:r>
        <w:t>. Cham: Springer.</w:t>
      </w:r>
    </w:p>
    <w:p>
      <w:pPr>
        <w:pStyle w:val="28"/>
        <w:ind w:left="720" w:hanging="720"/>
      </w:pPr>
      <w:r>
        <w:t xml:space="preserve">Swanwick, T. (2018) 'Understanding medical education', in Swanwick, T., Forrest, K. and O'Brien, B.C. (eds.) </w:t>
      </w:r>
      <w:r>
        <w:rPr>
          <w:i/>
        </w:rPr>
        <w:t>Understanding Medical Education: Evidence, Theory, and Practice</w:t>
      </w:r>
      <w:r>
        <w:t>. London: Sage.</w:t>
      </w:r>
    </w:p>
    <w:p>
      <w:pPr>
        <w:pStyle w:val="28"/>
        <w:ind w:left="720" w:hanging="720"/>
      </w:pPr>
      <w:r>
        <w:t>Wang, L.</w:t>
      </w:r>
      <w:r>
        <w:rPr>
          <w:i/>
        </w:rPr>
        <w:t xml:space="preserve"> et al.</w:t>
      </w:r>
      <w:r>
        <w:t xml:space="preserve"> (2005) 'Preventing chronic diseases in China', </w:t>
      </w:r>
      <w:r>
        <w:rPr>
          <w:i/>
        </w:rPr>
        <w:t>The Lancet</w:t>
      </w:r>
      <w:r>
        <w:t>, 366(9499), pp. 1821-1824. doi:10.1016/S0140-6736(05)67344-8</w:t>
      </w:r>
    </w:p>
    <w:p>
      <w:pPr>
        <w:pStyle w:val="28"/>
        <w:ind w:left="720" w:hanging="720"/>
      </w:pPr>
      <w:r>
        <w:t>Wang, L.</w:t>
      </w:r>
      <w:r>
        <w:rPr>
          <w:i/>
        </w:rPr>
        <w:t xml:space="preserve"> et al.</w:t>
      </w:r>
      <w:r>
        <w:t xml:space="preserve"> (2019) 'The development and reform of public health in China from 1949 to 2019', </w:t>
      </w:r>
      <w:r>
        <w:rPr>
          <w:i/>
        </w:rPr>
        <w:t>Globalization and Health</w:t>
      </w:r>
      <w:r>
        <w:t>, 15(1), p. 45. doi:10.1186/s12992-019-0486-6</w:t>
      </w:r>
    </w:p>
    <w:p>
      <w:pPr>
        <w:pStyle w:val="28"/>
        <w:ind w:left="720" w:hanging="720"/>
      </w:pPr>
      <w:r>
        <w:t xml:space="preserve">Wang, Q. (2022) </w:t>
      </w:r>
      <w:r>
        <w:rPr>
          <w:i/>
        </w:rPr>
        <w:t>The evolution of primary care in China: Its past, present, and prospects for the future</w:t>
      </w:r>
      <w:r>
        <w:t>. Madison: The University of Wisconsin-Madison.</w:t>
      </w:r>
    </w:p>
    <w:p>
      <w:pPr>
        <w:pStyle w:val="28"/>
        <w:ind w:left="720" w:hanging="720"/>
      </w:pPr>
      <w:r>
        <w:t xml:space="preserve">Weinhold, I. and Gurtner, S. (2014) 'Understanding shortages of sufficient health care in rural areas', </w:t>
      </w:r>
      <w:r>
        <w:rPr>
          <w:i/>
        </w:rPr>
        <w:t>Health Policy</w:t>
      </w:r>
      <w:r>
        <w:t>, 118(2), pp. 201-214. doi:10.1016/j.healthpol.2014.07.018</w:t>
      </w:r>
    </w:p>
    <w:p>
      <w:pPr>
        <w:pStyle w:val="28"/>
        <w:ind w:left="720" w:hanging="720"/>
      </w:pPr>
      <w:r>
        <w:t xml:space="preserve">Wensing, M., Grol, R. and Grimshaw, J. (2020) </w:t>
      </w:r>
      <w:r>
        <w:rPr>
          <w:i/>
        </w:rPr>
        <w:t>Improving patient care: The implementation of change in health care</w:t>
      </w:r>
      <w:r>
        <w:t>. London: John Wiley &amp; Sons.</w:t>
      </w:r>
    </w:p>
    <w:p>
      <w:pPr>
        <w:pStyle w:val="28"/>
        <w:ind w:left="720" w:hanging="720"/>
      </w:pPr>
      <w:r>
        <w:t xml:space="preserve">Wigfield, A. and Eccles, J.S. (2000) 'Expectancy–value theory of achievement motivation', </w:t>
      </w:r>
      <w:r>
        <w:rPr>
          <w:i/>
        </w:rPr>
        <w:t>Contemporary Educational Psychology</w:t>
      </w:r>
      <w:r>
        <w:t>, 25(1), pp. 68-81. doi:10.1006/ceps.1999.1015</w:t>
      </w:r>
    </w:p>
    <w:p>
      <w:pPr>
        <w:pStyle w:val="28"/>
        <w:ind w:left="720" w:hanging="720"/>
      </w:pPr>
      <w:r>
        <w:t xml:space="preserve">Wlodkowski, R.J. and Ginsberg, M.B. (2017) </w:t>
      </w:r>
      <w:r>
        <w:rPr>
          <w:i/>
        </w:rPr>
        <w:t>Enhancing adult motivation to learn: A comprehensive guide for teaching all adults</w:t>
      </w:r>
      <w:r>
        <w:t>. London: John Wiley &amp; Sons.</w:t>
      </w:r>
    </w:p>
    <w:p>
      <w:pPr>
        <w:pStyle w:val="28"/>
        <w:ind w:left="720" w:hanging="720"/>
      </w:pPr>
      <w:r>
        <w:t>Xia, L.</w:t>
      </w:r>
      <w:r>
        <w:rPr>
          <w:i/>
        </w:rPr>
        <w:t xml:space="preserve"> et al.</w:t>
      </w:r>
      <w:r>
        <w:t xml:space="preserve"> (2021) 'Resources and workforce in top-tier psychiatric hospitals in China: A nationwide survey', </w:t>
      </w:r>
      <w:r>
        <w:rPr>
          <w:i/>
        </w:rPr>
        <w:t>Frontiers in Psychiatry</w:t>
      </w:r>
      <w:r>
        <w:t>, 12, p. 573333. doi:10.3389/fpsyt.2021.573333</w:t>
      </w:r>
    </w:p>
    <w:p>
      <w:pPr>
        <w:pStyle w:val="28"/>
        <w:ind w:left="720" w:hanging="720"/>
      </w:pPr>
      <w:r>
        <w:t xml:space="preserve">Yang, X. and Kovarik, C.L. (2021) 'A systematic review of mobile health interventions in China: Identifying gaps in care', </w:t>
      </w:r>
      <w:r>
        <w:rPr>
          <w:i/>
        </w:rPr>
        <w:t>Journal of Telemedicine and Telecare</w:t>
      </w:r>
      <w:r>
        <w:t>, 27(1), pp. 3-22. doi:10.1177/1357633X19856746</w:t>
      </w:r>
    </w:p>
    <w:p>
      <w:pPr>
        <w:pStyle w:val="28"/>
        <w:ind w:left="720" w:hanging="720"/>
      </w:pPr>
      <w:r>
        <w:t>Yin, G.</w:t>
      </w:r>
      <w:r>
        <w:rPr>
          <w:i/>
        </w:rPr>
        <w:t xml:space="preserve"> et al.</w:t>
      </w:r>
      <w:r>
        <w:t xml:space="preserve"> (2021) 'The COVID-19 run on medical resources in Wuhan China: Causes, consequences and lessons', </w:t>
      </w:r>
      <w:r>
        <w:rPr>
          <w:i/>
        </w:rPr>
        <w:t>Healthcare</w:t>
      </w:r>
      <w:r>
        <w:t xml:space="preserve">, 9(10), p. 1362. doi:10.3390/healthcare9101362 </w:t>
      </w:r>
    </w:p>
    <w:p>
      <w:pPr>
        <w:pStyle w:val="28"/>
        <w:ind w:left="720" w:hanging="720"/>
      </w:pPr>
      <w:r>
        <w:t>Yip, W.</w:t>
      </w:r>
      <w:r>
        <w:rPr>
          <w:i/>
        </w:rPr>
        <w:t xml:space="preserve"> et al.</w:t>
      </w:r>
      <w:r>
        <w:t xml:space="preserve"> (2019) '10 years of health-care reform in China: Progress and gaps in universal health coverage', </w:t>
      </w:r>
      <w:r>
        <w:rPr>
          <w:i/>
        </w:rPr>
        <w:t>The Lancet</w:t>
      </w:r>
      <w:r>
        <w:t>, 394(10204), pp. 1192-1204. doi:10.1016/S0140-6736(19)32136-1</w:t>
      </w:r>
    </w:p>
    <w:p>
      <w:pPr>
        <w:pStyle w:val="28"/>
        <w:ind w:left="720" w:hanging="720"/>
      </w:pPr>
      <w:r>
        <w:t xml:space="preserve">Yip, W. and Hsiao, W.C. (2008) 'The Chinese health system at a crossroads', </w:t>
      </w:r>
      <w:r>
        <w:rPr>
          <w:i/>
        </w:rPr>
        <w:t>Health Affairs</w:t>
      </w:r>
      <w:r>
        <w:t>, 27(2), pp. 460-468. doi:10.1377/hlthaff.27.2.460</w:t>
      </w:r>
    </w:p>
    <w:p>
      <w:pPr>
        <w:pStyle w:val="28"/>
        <w:ind w:left="720" w:hanging="720"/>
      </w:pPr>
      <w:r>
        <w:t>Yu, M.</w:t>
      </w:r>
      <w:r>
        <w:rPr>
          <w:i/>
        </w:rPr>
        <w:t xml:space="preserve"> et al.</w:t>
      </w:r>
      <w:r>
        <w:t xml:space="preserve"> (2019) 'Examining the multi-scalar unevenness of high-quality healthcare resources distribution in China', </w:t>
      </w:r>
      <w:r>
        <w:rPr>
          <w:i/>
        </w:rPr>
        <w:t>International Journal of Environmental Research and Public Health</w:t>
      </w:r>
      <w:r>
        <w:t>, 16(16), p. 2813. doi:10.3390/ijerph16162813</w:t>
      </w:r>
    </w:p>
    <w:p>
      <w:pPr>
        <w:pStyle w:val="28"/>
        <w:ind w:left="720" w:hanging="720"/>
      </w:pPr>
      <w:r>
        <w:t>Yuan, B.</w:t>
      </w:r>
      <w:r>
        <w:rPr>
          <w:i/>
        </w:rPr>
        <w:t xml:space="preserve"> et al.</w:t>
      </w:r>
      <w:r>
        <w:t xml:space="preserve"> (2020) 'Health system reforms in China a half century apart: Continuity but adaptation', </w:t>
      </w:r>
      <w:r>
        <w:rPr>
          <w:i/>
        </w:rPr>
        <w:t>Social Science &amp; Medicine</w:t>
      </w:r>
      <w:r>
        <w:t>, 265, p. 113421. doi:10.1016/j.socscimed.2020.113421</w:t>
      </w:r>
    </w:p>
    <w:p>
      <w:pPr>
        <w:pStyle w:val="28"/>
        <w:ind w:left="720" w:hanging="720"/>
      </w:pPr>
      <w:r>
        <w:t>Zhang, Y.</w:t>
      </w:r>
      <w:r>
        <w:rPr>
          <w:i/>
        </w:rPr>
        <w:t xml:space="preserve"> et al.</w:t>
      </w:r>
      <w:r>
        <w:t xml:space="preserve"> (2021) 'Ten-year impacts of China’s rural health scheme: Lessons for universal health coverage', </w:t>
      </w:r>
      <w:r>
        <w:rPr>
          <w:i/>
        </w:rPr>
        <w:t>BMJ Global Health</w:t>
      </w:r>
      <w:r>
        <w:t>, 6(4), p. e003714. doi:10.1136/bmjgh-2020-003714</w:t>
      </w:r>
    </w:p>
    <w:p>
      <w:r>
        <w:fldChar w:fldCharType="end"/>
      </w:r>
    </w:p>
    <w:p>
      <w:r>
        <w:br w:type="page"/>
      </w:r>
    </w:p>
    <w:p>
      <w:pPr>
        <w:pStyle w:val="2"/>
        <w:spacing w:before="240" w:after="240"/>
      </w:pPr>
      <w:bookmarkStart w:id="257" w:name="_Toc28363"/>
      <w:r>
        <w:t>Appendices 1</w:t>
      </w:r>
      <w:bookmarkStart w:id="262" w:name="_GoBack"/>
      <w:bookmarkEnd w:id="262"/>
      <w:r>
        <w:tab/>
      </w:r>
      <w:r>
        <w:t xml:space="preserve">      Consent Form</w:t>
      </w:r>
      <w:bookmarkEnd w:id="257"/>
    </w:p>
    <w:p>
      <w:pPr>
        <w:widowControl w:val="0"/>
        <w:autoSpaceDE w:val="0"/>
        <w:autoSpaceDN w:val="0"/>
        <w:adjustRightInd w:val="0"/>
        <w:spacing w:after="140" w:line="288" w:lineRule="auto"/>
        <w:ind w:left="480" w:hanging="480"/>
        <w:jc w:val="right"/>
        <w:rPr>
          <w:rFonts w:ascii="Times New Roman" w:hAnsi="Times New Roman" w:cs="Times New Roman"/>
        </w:rPr>
      </w:pPr>
      <w:r>
        <w:rPr>
          <w:rFonts w:ascii="Times New Roman" w:hAnsi="Times New Roman" w:cs="Times New Roman"/>
        </w:rPr>
        <w:t>Ying Li</w:t>
      </w:r>
    </w:p>
    <w:p>
      <w:pPr>
        <w:spacing w:line="480" w:lineRule="auto"/>
        <w:jc w:val="right"/>
        <w:rPr>
          <w:rFonts w:ascii="Times New Roman" w:hAnsi="Times New Roman" w:cs="Times New Roman"/>
        </w:rPr>
      </w:pPr>
      <w:r>
        <w:rPr>
          <w:rFonts w:ascii="Times New Roman" w:hAnsi="Times New Roman" w:cs="Times New Roman"/>
        </w:rPr>
        <w:t>University of Wales (Trinity Saint David)</w:t>
      </w:r>
    </w:p>
    <w:p>
      <w:pPr>
        <w:spacing w:line="360" w:lineRule="auto"/>
        <w:rPr>
          <w:rFonts w:ascii="Times New Roman" w:hAnsi="Times New Roman" w:cs="Times New Roman"/>
        </w:rPr>
      </w:pPr>
      <w:r>
        <w:rPr>
          <w:rFonts w:ascii="Times New Roman" w:hAnsi="Times New Roman" w:cs="Times New Roman"/>
        </w:rPr>
        <w:t>Dear [Participant’s Name],</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I am a master degree student at university of Wales conducting a research study on the motivations and expectations of healthcare professionals in continuing education programs in China. You are being invited to participate in this study because of your experience as a healthcare professional in China.</w:t>
      </w:r>
    </w:p>
    <w:p>
      <w:pPr>
        <w:widowControl w:val="0"/>
        <w:autoSpaceDE w:val="0"/>
        <w:autoSpaceDN w:val="0"/>
        <w:adjustRightInd w:val="0"/>
        <w:spacing w:after="140"/>
        <w:ind w:left="482" w:hanging="482"/>
        <w:jc w:val="both"/>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Your participation in this study is voluntary, and you have the right to withdraw at any time without any penalty. If you decide to participate, you will be asked to take part in a semi-structured interview and/or a focus group discussion. The interview will take approximately 30-45 minutes, and the focus group discussion will last about 60 minutes. Both will be audio-recorded with your permission.</w:t>
      </w:r>
    </w:p>
    <w:p>
      <w:pPr>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Please be assured that all information collected during the study will be kept confidential, and your identity will not be disclosed in any reports or publications resulting from the study. Data will be securely stored and accessible only to the researcher and the research supervisor. Your name and other identifying information will be removed from the data, and pseudonyms will be used in the reporting of the findings.</w:t>
      </w:r>
    </w:p>
    <w:p>
      <w:pPr>
        <w:widowControl w:val="0"/>
        <w:autoSpaceDE w:val="0"/>
        <w:autoSpaceDN w:val="0"/>
        <w:adjustRightInd w:val="0"/>
        <w:spacing w:after="140"/>
        <w:ind w:left="482" w:hanging="482"/>
        <w:jc w:val="both"/>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If you agree to participate in this study, please sign the attached consent form and return it to me via email or in person before the interview or focus group discussion.</w:t>
      </w:r>
    </w:p>
    <w:p>
      <w:pPr>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If you have any questions about the study or your participation, please feel free to contact me by email. Thank you for considering participation in this study.</w:t>
      </w:r>
    </w:p>
    <w:p>
      <w:pPr>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Sincerely,</w:t>
      </w:r>
    </w:p>
    <w:p>
      <w:pPr>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Ying Li</w:t>
      </w:r>
    </w:p>
    <w:p>
      <w:pPr>
        <w:spacing w:line="360" w:lineRule="auto"/>
        <w:rPr>
          <w:rFonts w:ascii="Times New Roman" w:hAnsi="Times New Roman" w:cs="Times New Roman"/>
        </w:rPr>
      </w:pPr>
    </w:p>
    <w:p>
      <w:pPr>
        <w:spacing w:line="360" w:lineRule="auto"/>
        <w:rPr>
          <w:rFonts w:ascii="Times New Roman" w:hAnsi="Times New Roman" w:cs="Times New Roman"/>
        </w:rPr>
      </w:pPr>
    </w:p>
    <w:p>
      <w:pPr>
        <w:widowControl w:val="0"/>
        <w:autoSpaceDE w:val="0"/>
        <w:autoSpaceDN w:val="0"/>
        <w:adjustRightInd w:val="0"/>
        <w:spacing w:after="140" w:line="288" w:lineRule="auto"/>
        <w:ind w:left="480" w:hanging="480"/>
        <w:jc w:val="right"/>
        <w:rPr>
          <w:rFonts w:ascii="Times New Roman" w:hAnsi="Times New Roman" w:cs="Times New Roman"/>
        </w:rPr>
      </w:pPr>
      <w:r>
        <w:rPr>
          <w:rFonts w:ascii="Times New Roman" w:hAnsi="Times New Roman" w:cs="Times New Roman"/>
        </w:rPr>
        <w:t>李</w:t>
      </w:r>
      <w:r>
        <w:rPr>
          <w:rFonts w:hint="eastAsia" w:ascii="Times New Roman" w:hAnsi="Times New Roman" w:cs="Times New Roman"/>
        </w:rPr>
        <w:t>颖</w:t>
      </w:r>
    </w:p>
    <w:p>
      <w:pPr>
        <w:spacing w:line="480" w:lineRule="auto"/>
        <w:jc w:val="right"/>
        <w:rPr>
          <w:rFonts w:ascii="Times New Roman" w:hAnsi="Times New Roman" w:cs="Times New Roman"/>
        </w:rPr>
      </w:pPr>
      <w:r>
        <w:rPr>
          <w:rFonts w:ascii="Times New Roman" w:hAnsi="Times New Roman" w:cs="Times New Roman"/>
        </w:rPr>
        <w:t>University of Wales (Trinity Saint David)</w:t>
      </w:r>
    </w:p>
    <w:p>
      <w:pPr>
        <w:spacing w:line="360" w:lineRule="auto"/>
        <w:rPr>
          <w:rFonts w:ascii="Times New Roman" w:hAnsi="Times New Roman" w:cs="Times New Roman"/>
        </w:rPr>
      </w:pPr>
      <w:r>
        <w:rPr>
          <w:rFonts w:ascii="Times New Roman" w:hAnsi="Times New Roman" w:cs="Times New Roman"/>
        </w:rPr>
        <w:t>尊敬的[参与者姓名]，</w:t>
      </w:r>
    </w:p>
    <w:p>
      <w:pPr>
        <w:spacing w:line="360" w:lineRule="auto"/>
        <w:rPr>
          <w:rFonts w:ascii="Times New Roman" w:hAnsi="Times New Roman" w:cs="Times New Roman"/>
        </w:rPr>
      </w:pPr>
    </w:p>
    <w:p>
      <w:pPr>
        <w:keepNext w:val="0"/>
        <w:keepLines w:val="0"/>
        <w:pageBreakBefore w:val="0"/>
        <w:kinsoku/>
        <w:wordWrap/>
        <w:overflowPunct/>
        <w:topLinePunct w:val="0"/>
        <w:bidi w:val="0"/>
        <w:snapToGrid/>
        <w:spacing w:line="360" w:lineRule="auto"/>
        <w:ind w:firstLine="480" w:firstLineChars="200"/>
        <w:textAlignment w:val="auto"/>
        <w:rPr>
          <w:rFonts w:ascii="Times New Roman" w:hAnsi="Times New Roman" w:cs="Times New Roman"/>
        </w:rPr>
      </w:pPr>
      <w:r>
        <w:rPr>
          <w:rFonts w:ascii="Times New Roman" w:hAnsi="Times New Roman" w:cs="Times New Roman"/>
        </w:rPr>
        <w:t>我是威尔士大学的硕士生，正在对中国继续教育项目中医疗保健专业人员的动机和期望进行研究。您被邀请参加这项研究是因为您在中国作为医疗保健专业人员的经验。</w:t>
      </w:r>
    </w:p>
    <w:p>
      <w:pPr>
        <w:keepNext w:val="0"/>
        <w:keepLines w:val="0"/>
        <w:pageBreakBefore w:val="0"/>
        <w:widowControl w:val="0"/>
        <w:kinsoku/>
        <w:wordWrap/>
        <w:overflowPunct/>
        <w:topLinePunct w:val="0"/>
        <w:autoSpaceDE w:val="0"/>
        <w:autoSpaceDN w:val="0"/>
        <w:bidi w:val="0"/>
        <w:adjustRightInd w:val="0"/>
        <w:snapToGrid/>
        <w:spacing w:after="140"/>
        <w:ind w:left="482" w:firstLine="480" w:firstLineChars="200"/>
        <w:jc w:val="both"/>
        <w:textAlignment w:val="auto"/>
        <w:rPr>
          <w:rFonts w:ascii="Times New Roman" w:hAnsi="Times New Roman" w:cs="Times New Roman"/>
        </w:rPr>
      </w:pPr>
    </w:p>
    <w:p>
      <w:pPr>
        <w:keepNext w:val="0"/>
        <w:keepLines w:val="0"/>
        <w:pageBreakBefore w:val="0"/>
        <w:kinsoku/>
        <w:wordWrap/>
        <w:overflowPunct/>
        <w:topLinePunct w:val="0"/>
        <w:bidi w:val="0"/>
        <w:snapToGrid/>
        <w:spacing w:line="360" w:lineRule="auto"/>
        <w:ind w:firstLine="480" w:firstLineChars="200"/>
        <w:textAlignment w:val="auto"/>
        <w:rPr>
          <w:rFonts w:ascii="Times New Roman" w:hAnsi="Times New Roman" w:cs="Times New Roman"/>
        </w:rPr>
      </w:pPr>
      <w:r>
        <w:rPr>
          <w:rFonts w:ascii="Times New Roman" w:hAnsi="Times New Roman" w:cs="Times New Roman"/>
        </w:rPr>
        <w:t>您参与本研究是自愿的，您有权随时退出而不会受到任何处罚。如果您决定参加，您将被要求参加半结构化访谈和/或焦点小组讨论。面试大约需要30-45分钟，焦点小组讨论将持续约60分钟。两者都将在您允许的情况下进行录音。</w:t>
      </w:r>
    </w:p>
    <w:p>
      <w:pPr>
        <w:keepNext w:val="0"/>
        <w:keepLines w:val="0"/>
        <w:pageBreakBefore w:val="0"/>
        <w:kinsoku/>
        <w:wordWrap/>
        <w:overflowPunct/>
        <w:topLinePunct w:val="0"/>
        <w:bidi w:val="0"/>
        <w:snapToGrid/>
        <w:ind w:firstLine="480" w:firstLineChars="200"/>
        <w:textAlignment w:val="auto"/>
        <w:rPr>
          <w:rFonts w:ascii="Times New Roman" w:hAnsi="Times New Roman" w:cs="Times New Roman"/>
        </w:rPr>
      </w:pPr>
    </w:p>
    <w:p>
      <w:pPr>
        <w:keepNext w:val="0"/>
        <w:keepLines w:val="0"/>
        <w:pageBreakBefore w:val="0"/>
        <w:kinsoku/>
        <w:wordWrap/>
        <w:overflowPunct/>
        <w:topLinePunct w:val="0"/>
        <w:bidi w:val="0"/>
        <w:snapToGrid/>
        <w:spacing w:line="360" w:lineRule="auto"/>
        <w:ind w:firstLine="480" w:firstLineChars="200"/>
        <w:textAlignment w:val="auto"/>
        <w:rPr>
          <w:rFonts w:ascii="Times New Roman" w:hAnsi="Times New Roman" w:cs="Times New Roman"/>
        </w:rPr>
      </w:pPr>
      <w:r>
        <w:rPr>
          <w:rFonts w:ascii="Times New Roman" w:hAnsi="Times New Roman" w:cs="Times New Roman"/>
        </w:rPr>
        <w:t>请放心，研究期间收集的所有信息都将保密，您的身份不会在研究产生的任何报告或出版物中披露。数据将被安全存储，只有研究人员和研究主管才能访问。您的姓名和其他身份信息将从数据中删除，并在报告调查结果时使用化名。</w:t>
      </w:r>
    </w:p>
    <w:p>
      <w:pPr>
        <w:keepNext w:val="0"/>
        <w:keepLines w:val="0"/>
        <w:pageBreakBefore w:val="0"/>
        <w:widowControl w:val="0"/>
        <w:kinsoku/>
        <w:wordWrap/>
        <w:overflowPunct/>
        <w:topLinePunct w:val="0"/>
        <w:autoSpaceDE w:val="0"/>
        <w:autoSpaceDN w:val="0"/>
        <w:bidi w:val="0"/>
        <w:adjustRightInd w:val="0"/>
        <w:snapToGrid/>
        <w:spacing w:after="140"/>
        <w:ind w:left="482" w:firstLine="480" w:firstLineChars="200"/>
        <w:jc w:val="both"/>
        <w:textAlignment w:val="auto"/>
        <w:rPr>
          <w:rFonts w:ascii="Times New Roman" w:hAnsi="Times New Roman" w:cs="Times New Roman"/>
        </w:rPr>
      </w:pPr>
    </w:p>
    <w:p>
      <w:pPr>
        <w:keepNext w:val="0"/>
        <w:keepLines w:val="0"/>
        <w:pageBreakBefore w:val="0"/>
        <w:kinsoku/>
        <w:wordWrap/>
        <w:overflowPunct/>
        <w:topLinePunct w:val="0"/>
        <w:bidi w:val="0"/>
        <w:snapToGrid/>
        <w:spacing w:line="360" w:lineRule="auto"/>
        <w:ind w:firstLine="480" w:firstLineChars="200"/>
        <w:textAlignment w:val="auto"/>
        <w:rPr>
          <w:rFonts w:ascii="Times New Roman" w:hAnsi="Times New Roman" w:cs="Times New Roman"/>
        </w:rPr>
      </w:pPr>
      <w:r>
        <w:rPr>
          <w:rFonts w:ascii="Times New Roman" w:hAnsi="Times New Roman" w:cs="Times New Roman"/>
        </w:rPr>
        <w:t>如果您同意参加本研究，请在随附的同意书上签名，并在访谈或焦点小组讨论之前通过电子邮件或亲自交回给我。</w:t>
      </w:r>
    </w:p>
    <w:p>
      <w:pPr>
        <w:keepNext w:val="0"/>
        <w:keepLines w:val="0"/>
        <w:pageBreakBefore w:val="0"/>
        <w:kinsoku/>
        <w:wordWrap/>
        <w:overflowPunct/>
        <w:topLinePunct w:val="0"/>
        <w:bidi w:val="0"/>
        <w:snapToGrid/>
        <w:ind w:firstLine="480" w:firstLineChars="200"/>
        <w:textAlignment w:val="auto"/>
        <w:rPr>
          <w:rFonts w:ascii="Times New Roman" w:hAnsi="Times New Roman" w:cs="Times New Roman"/>
        </w:rPr>
      </w:pPr>
    </w:p>
    <w:p>
      <w:pPr>
        <w:keepNext w:val="0"/>
        <w:keepLines w:val="0"/>
        <w:pageBreakBefore w:val="0"/>
        <w:kinsoku/>
        <w:wordWrap/>
        <w:overflowPunct/>
        <w:topLinePunct w:val="0"/>
        <w:bidi w:val="0"/>
        <w:snapToGrid/>
        <w:spacing w:line="360" w:lineRule="auto"/>
        <w:ind w:firstLine="480" w:firstLineChars="200"/>
        <w:textAlignment w:val="auto"/>
        <w:rPr>
          <w:rFonts w:ascii="Times New Roman" w:hAnsi="Times New Roman" w:cs="Times New Roman"/>
        </w:rPr>
      </w:pPr>
      <w:r>
        <w:rPr>
          <w:rFonts w:ascii="Times New Roman" w:hAnsi="Times New Roman" w:cs="Times New Roman"/>
        </w:rPr>
        <w:t>如果您对研究或参与有任何疑问，请随时通过电子邮件与我联系。感谢您考虑参与这项研究。</w:t>
      </w:r>
    </w:p>
    <w:p>
      <w:pPr>
        <w:rPr>
          <w:rFonts w:ascii="Times New Roman" w:hAnsi="Times New Roman" w:cs="Times New Roman"/>
        </w:rPr>
      </w:pPr>
    </w:p>
    <w:p>
      <w:pPr>
        <w:rPr>
          <w:rFonts w:ascii="Times New Roman" w:hAnsi="Times New Roman" w:cs="Times New Roman"/>
        </w:rPr>
      </w:pPr>
    </w:p>
    <w:p>
      <w:pPr>
        <w:spacing w:line="360" w:lineRule="auto"/>
        <w:rPr>
          <w:rFonts w:ascii="Times New Roman" w:hAnsi="Times New Roman" w:cs="Times New Roman"/>
        </w:rPr>
      </w:pPr>
      <w:r>
        <w:rPr>
          <w:rFonts w:hint="eastAsia" w:ascii="Times New Roman" w:hAnsi="Times New Roman" w:cs="Times New Roman"/>
        </w:rPr>
        <w:t>此致</w:t>
      </w:r>
    </w:p>
    <w:p>
      <w:pPr>
        <w:spacing w:line="360" w:lineRule="auto"/>
        <w:ind w:firstLine="480" w:firstLineChars="200"/>
        <w:rPr>
          <w:rFonts w:ascii="Times New Roman" w:hAnsi="Times New Roman" w:cs="Times New Roman"/>
        </w:rPr>
      </w:pPr>
      <w:r>
        <w:rPr>
          <w:rFonts w:hint="eastAsia" w:ascii="Times New Roman" w:hAnsi="Times New Roman" w:cs="Times New Roman"/>
        </w:rPr>
        <w:t>敬礼</w:t>
      </w:r>
    </w:p>
    <w:p>
      <w:pPr>
        <w:rPr>
          <w:rFonts w:ascii="Times New Roman" w:hAnsi="Times New Roman" w:cs="Times New Roman"/>
        </w:rPr>
      </w:pPr>
    </w:p>
    <w:p>
      <w:pPr>
        <w:spacing w:line="360" w:lineRule="auto"/>
        <w:jc w:val="right"/>
        <w:rPr>
          <w:rFonts w:ascii="Times New Roman" w:hAnsi="Times New Roman" w:cs="Times New Roman"/>
        </w:rPr>
      </w:pPr>
      <w:r>
        <w:rPr>
          <w:rFonts w:ascii="Times New Roman" w:hAnsi="Times New Roman" w:cs="Times New Roman"/>
        </w:rPr>
        <w:t>李</w:t>
      </w:r>
      <w:r>
        <w:rPr>
          <w:rFonts w:hint="eastAsia" w:ascii="Times New Roman" w:hAnsi="Times New Roman" w:cs="Times New Roman"/>
        </w:rPr>
        <w:t>颖</w:t>
      </w:r>
    </w:p>
    <w:p>
      <w:pPr>
        <w:spacing w:line="360" w:lineRule="auto"/>
        <w:rPr>
          <w:rFonts w:ascii="Times New Roman" w:hAnsi="Times New Roman" w:cs="Times New Roman"/>
        </w:rPr>
      </w:pPr>
    </w:p>
    <w:p>
      <w:pPr>
        <w:spacing w:line="360" w:lineRule="auto"/>
        <w:rPr>
          <w:rFonts w:ascii="Times New Roman" w:hAnsi="Times New Roman" w:cs="Times New Roman"/>
        </w:rPr>
      </w:pPr>
    </w:p>
    <w:p>
      <w:pPr>
        <w:spacing w:line="360" w:lineRule="auto"/>
        <w:rPr>
          <w:rFonts w:ascii="Times New Roman" w:hAnsi="Times New Roman" w:cs="Times New Roman"/>
        </w:rPr>
      </w:pPr>
    </w:p>
    <w:p>
      <w:pPr>
        <w:spacing w:line="360" w:lineRule="auto"/>
        <w:rPr>
          <w:rFonts w:ascii="Times New Roman" w:hAnsi="Times New Roman" w:cs="Times New Roman"/>
        </w:rPr>
      </w:pPr>
    </w:p>
    <w:p>
      <w:pPr>
        <w:spacing w:line="360" w:lineRule="auto"/>
        <w:rPr>
          <w:rFonts w:ascii="Times New Roman" w:hAnsi="Times New Roman" w:cs="Times New Roman"/>
        </w:rPr>
      </w:pPr>
    </w:p>
    <w:p>
      <w:pPr>
        <w:pStyle w:val="2"/>
        <w:spacing w:before="240" w:after="240"/>
        <w:rPr>
          <w:lang w:eastAsia="zh-CN"/>
        </w:rPr>
      </w:pPr>
      <w:bookmarkStart w:id="258" w:name="_Toc6379"/>
      <w:r>
        <w:t>Appendices 2</w:t>
      </w:r>
      <w:r>
        <w:tab/>
      </w:r>
      <w:r>
        <w:t xml:space="preserve">      </w:t>
      </w:r>
      <w:r>
        <w:rPr>
          <w:rFonts w:hint="eastAsia"/>
          <w:lang w:eastAsia="zh-CN"/>
        </w:rPr>
        <w:t>In</w:t>
      </w:r>
      <w:r>
        <w:rPr>
          <w:lang w:eastAsia="zh-CN"/>
        </w:rPr>
        <w:t>terview Schedule</w:t>
      </w:r>
      <w:bookmarkEnd w:id="258"/>
    </w:p>
    <w:p>
      <w:pPr>
        <w:spacing w:line="360" w:lineRule="auto"/>
        <w:rPr>
          <w:rFonts w:ascii="Times New Roman" w:hAnsi="Times New Roman" w:cs="Times New Roman"/>
        </w:rPr>
      </w:pPr>
      <w:bookmarkStart w:id="259" w:name="_Hlk152185327"/>
      <w:r>
        <w:rPr>
          <w:rFonts w:ascii="Times New Roman" w:hAnsi="Times New Roman" w:cs="Times New Roman"/>
        </w:rPr>
        <w:t>1. Introduction</w:t>
      </w:r>
    </w:p>
    <w:p>
      <w:pPr>
        <w:spacing w:line="360" w:lineRule="auto"/>
        <w:rPr>
          <w:rFonts w:ascii="Times New Roman" w:hAnsi="Times New Roman" w:cs="Times New Roman"/>
        </w:rPr>
      </w:pPr>
      <w:r>
        <w:rPr>
          <w:rFonts w:ascii="Times New Roman" w:hAnsi="Times New Roman" w:cs="Times New Roman"/>
        </w:rPr>
        <w:t>- Briefly introduce the research and its purpose.</w:t>
      </w:r>
    </w:p>
    <w:p>
      <w:pPr>
        <w:spacing w:line="360" w:lineRule="auto"/>
        <w:rPr>
          <w:rFonts w:ascii="Times New Roman" w:hAnsi="Times New Roman" w:cs="Times New Roman"/>
        </w:rPr>
      </w:pPr>
      <w:r>
        <w:rPr>
          <w:rFonts w:ascii="Times New Roman" w:hAnsi="Times New Roman" w:cs="Times New Roman"/>
        </w:rPr>
        <w:t>- Explain the interview process, confidentiality, and anonymity.</w:t>
      </w:r>
    </w:p>
    <w:p>
      <w:pPr>
        <w:spacing w:line="360" w:lineRule="auto"/>
        <w:rPr>
          <w:rFonts w:ascii="Times New Roman" w:hAnsi="Times New Roman" w:cs="Times New Roman"/>
        </w:rPr>
      </w:pPr>
      <w:r>
        <w:rPr>
          <w:rFonts w:ascii="Times New Roman" w:hAnsi="Times New Roman" w:cs="Times New Roman"/>
        </w:rPr>
        <w:t>- Obtain consent for audio recording.</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2. Background Information</w:t>
      </w:r>
    </w:p>
    <w:p>
      <w:pPr>
        <w:spacing w:line="360" w:lineRule="auto"/>
        <w:rPr>
          <w:rFonts w:ascii="Times New Roman" w:hAnsi="Times New Roman" w:cs="Times New Roman"/>
        </w:rPr>
      </w:pPr>
      <w:r>
        <w:rPr>
          <w:rFonts w:ascii="Times New Roman" w:hAnsi="Times New Roman" w:cs="Times New Roman"/>
        </w:rPr>
        <w:t>- Please tell me about your professional background and current position.</w:t>
      </w:r>
    </w:p>
    <w:p>
      <w:pPr>
        <w:spacing w:line="360" w:lineRule="auto"/>
        <w:rPr>
          <w:rFonts w:ascii="Times New Roman" w:hAnsi="Times New Roman" w:cs="Times New Roman"/>
        </w:rPr>
      </w:pPr>
      <w:r>
        <w:rPr>
          <w:rFonts w:ascii="Times New Roman" w:hAnsi="Times New Roman" w:cs="Times New Roman"/>
        </w:rPr>
        <w:t>- How long have you been involved in continuing education programs?</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3. Motivations</w:t>
      </w:r>
    </w:p>
    <w:p>
      <w:pPr>
        <w:spacing w:line="360" w:lineRule="auto"/>
        <w:rPr>
          <w:rFonts w:ascii="Times New Roman" w:hAnsi="Times New Roman" w:cs="Times New Roman"/>
        </w:rPr>
      </w:pPr>
      <w:r>
        <w:rPr>
          <w:rFonts w:ascii="Times New Roman" w:hAnsi="Times New Roman" w:cs="Times New Roman"/>
        </w:rPr>
        <w:t>- What motivates you to participate in continuing education programs?</w:t>
      </w:r>
    </w:p>
    <w:p>
      <w:pPr>
        <w:spacing w:line="360" w:lineRule="auto"/>
        <w:rPr>
          <w:rFonts w:ascii="Times New Roman" w:hAnsi="Times New Roman" w:cs="Times New Roman"/>
        </w:rPr>
      </w:pPr>
      <w:r>
        <w:rPr>
          <w:rFonts w:ascii="Times New Roman" w:hAnsi="Times New Roman" w:cs="Times New Roman"/>
        </w:rPr>
        <w:t>- How do these motivations influence your choice of programs or courses?</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4. Expectations</w:t>
      </w:r>
    </w:p>
    <w:p>
      <w:pPr>
        <w:spacing w:line="360" w:lineRule="auto"/>
        <w:rPr>
          <w:rFonts w:ascii="Times New Roman" w:hAnsi="Times New Roman" w:cs="Times New Roman"/>
        </w:rPr>
      </w:pPr>
      <w:r>
        <w:rPr>
          <w:rFonts w:ascii="Times New Roman" w:hAnsi="Times New Roman" w:cs="Times New Roman"/>
        </w:rPr>
        <w:t>- What are your expectations from continuing education programs?</w:t>
      </w:r>
    </w:p>
    <w:p>
      <w:pPr>
        <w:spacing w:line="360" w:lineRule="auto"/>
        <w:rPr>
          <w:rFonts w:ascii="Times New Roman" w:hAnsi="Times New Roman" w:cs="Times New Roman"/>
        </w:rPr>
      </w:pPr>
      <w:r>
        <w:rPr>
          <w:rFonts w:ascii="Times New Roman" w:hAnsi="Times New Roman" w:cs="Times New Roman"/>
        </w:rPr>
        <w:t>- How have your expectations been met or not met by the programs you have participated in?</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5. Experiences and Satisfaction</w:t>
      </w:r>
    </w:p>
    <w:p>
      <w:pPr>
        <w:spacing w:line="360" w:lineRule="auto"/>
        <w:rPr>
          <w:rFonts w:ascii="Times New Roman" w:hAnsi="Times New Roman" w:cs="Times New Roman"/>
        </w:rPr>
      </w:pPr>
      <w:r>
        <w:rPr>
          <w:rFonts w:ascii="Times New Roman" w:hAnsi="Times New Roman" w:cs="Times New Roman"/>
        </w:rPr>
        <w:t>- Can you describe your experiences with continuing education programs in terms of content, format, and facilitation?</w:t>
      </w:r>
    </w:p>
    <w:p>
      <w:pPr>
        <w:spacing w:line="360" w:lineRule="auto"/>
        <w:rPr>
          <w:rFonts w:ascii="Times New Roman" w:hAnsi="Times New Roman" w:cs="Times New Roman"/>
        </w:rPr>
      </w:pPr>
      <w:r>
        <w:rPr>
          <w:rFonts w:ascii="Times New Roman" w:hAnsi="Times New Roman" w:cs="Times New Roman"/>
        </w:rPr>
        <w:t>- What factors have contributed to your satisfaction or dissatisfaction with these programs?</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6. Suggestions for Improvement</w:t>
      </w:r>
    </w:p>
    <w:p>
      <w:pPr>
        <w:spacing w:line="360" w:lineRule="auto"/>
        <w:rPr>
          <w:rFonts w:ascii="Times New Roman" w:hAnsi="Times New Roman" w:cs="Times New Roman"/>
        </w:rPr>
      </w:pPr>
      <w:r>
        <w:rPr>
          <w:rFonts w:ascii="Times New Roman" w:hAnsi="Times New Roman" w:cs="Times New Roman"/>
        </w:rPr>
        <w:t>- What improvements or changes would you like to see in continuing education programs for healthcare professionals in China?</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7. Conclusion</w:t>
      </w:r>
    </w:p>
    <w:p>
      <w:pPr>
        <w:spacing w:line="360" w:lineRule="auto"/>
        <w:rPr>
          <w:rFonts w:ascii="Times New Roman" w:hAnsi="Times New Roman" w:cs="Times New Roman"/>
        </w:rPr>
      </w:pPr>
      <w:r>
        <w:rPr>
          <w:rFonts w:ascii="Times New Roman" w:hAnsi="Times New Roman" w:cs="Times New Roman"/>
        </w:rPr>
        <w:t>- Thank the participant for their time and contribution.</w:t>
      </w:r>
    </w:p>
    <w:p>
      <w:pPr>
        <w:spacing w:line="360" w:lineRule="auto"/>
        <w:rPr>
          <w:rFonts w:ascii="Times New Roman" w:hAnsi="Times New Roman" w:cs="Times New Roman"/>
        </w:rPr>
      </w:pPr>
      <w:r>
        <w:rPr>
          <w:rFonts w:ascii="Times New Roman" w:hAnsi="Times New Roman" w:cs="Times New Roman"/>
        </w:rPr>
        <w:t>- Provide information on follow-up and member checking.</w:t>
      </w:r>
    </w:p>
    <w:bookmarkEnd w:id="259"/>
    <w:p>
      <w:pPr>
        <w:rPr>
          <w:rFonts w:ascii="Times New Roman" w:hAnsi="Times New Roman" w:cs="Times New Roman"/>
        </w:rPr>
      </w:pPr>
      <w:r>
        <w:rPr>
          <w:rFonts w:ascii="Times New Roman" w:hAnsi="Times New Roman" w:cs="Times New Roman"/>
        </w:rPr>
        <w:br w:type="page"/>
      </w:r>
    </w:p>
    <w:p>
      <w:pPr>
        <w:spacing w:line="360" w:lineRule="auto"/>
        <w:rPr>
          <w:rFonts w:ascii="Times New Roman" w:hAnsi="Times New Roman" w:cs="Times New Roman"/>
        </w:rPr>
      </w:pPr>
      <w:r>
        <w:rPr>
          <w:rFonts w:ascii="Times New Roman" w:hAnsi="Times New Roman" w:cs="Times New Roman"/>
        </w:rPr>
        <w:t>1. 引言</w:t>
      </w:r>
    </w:p>
    <w:p>
      <w:pPr>
        <w:spacing w:line="360" w:lineRule="auto"/>
        <w:rPr>
          <w:rFonts w:ascii="Times New Roman" w:hAnsi="Times New Roman" w:cs="Times New Roman"/>
        </w:rPr>
      </w:pPr>
      <w:r>
        <w:rPr>
          <w:rFonts w:ascii="Times New Roman" w:hAnsi="Times New Roman" w:cs="Times New Roman"/>
        </w:rPr>
        <w:t>- 简要介绍这项研究及其目的。</w:t>
      </w:r>
    </w:p>
    <w:p>
      <w:pPr>
        <w:spacing w:line="360" w:lineRule="auto"/>
        <w:rPr>
          <w:rFonts w:ascii="Times New Roman" w:hAnsi="Times New Roman" w:cs="Times New Roman"/>
        </w:rPr>
      </w:pPr>
      <w:r>
        <w:rPr>
          <w:rFonts w:ascii="Times New Roman" w:hAnsi="Times New Roman" w:cs="Times New Roman"/>
        </w:rPr>
        <w:t>- 解释面试过程、保密性和匿名性。</w:t>
      </w:r>
    </w:p>
    <w:p>
      <w:pPr>
        <w:spacing w:line="360" w:lineRule="auto"/>
        <w:rPr>
          <w:rFonts w:ascii="Times New Roman" w:hAnsi="Times New Roman" w:cs="Times New Roman"/>
        </w:rPr>
      </w:pPr>
      <w:r>
        <w:rPr>
          <w:rFonts w:ascii="Times New Roman" w:hAnsi="Times New Roman" w:cs="Times New Roman"/>
        </w:rPr>
        <w:t>- 征得录音同意。</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2. 背景资料</w:t>
      </w:r>
    </w:p>
    <w:p>
      <w:pPr>
        <w:spacing w:line="360" w:lineRule="auto"/>
        <w:rPr>
          <w:rFonts w:ascii="Times New Roman" w:hAnsi="Times New Roman" w:cs="Times New Roman"/>
        </w:rPr>
      </w:pPr>
      <w:r>
        <w:rPr>
          <w:rFonts w:ascii="Times New Roman" w:hAnsi="Times New Roman" w:cs="Times New Roman"/>
        </w:rPr>
        <w:t>- 请告诉我您的专业背景和当前职位。</w:t>
      </w:r>
    </w:p>
    <w:p>
      <w:pPr>
        <w:spacing w:line="360" w:lineRule="auto"/>
        <w:rPr>
          <w:rFonts w:ascii="Times New Roman" w:hAnsi="Times New Roman" w:cs="Times New Roman"/>
        </w:rPr>
      </w:pPr>
      <w:r>
        <w:rPr>
          <w:rFonts w:ascii="Times New Roman" w:hAnsi="Times New Roman" w:cs="Times New Roman"/>
        </w:rPr>
        <w:t>- 您参与继续教育计划多久了？</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3. 动机</w:t>
      </w:r>
    </w:p>
    <w:p>
      <w:pPr>
        <w:spacing w:line="360" w:lineRule="auto"/>
        <w:rPr>
          <w:rFonts w:ascii="Times New Roman" w:hAnsi="Times New Roman" w:cs="Times New Roman"/>
        </w:rPr>
      </w:pPr>
      <w:r>
        <w:rPr>
          <w:rFonts w:ascii="Times New Roman" w:hAnsi="Times New Roman" w:cs="Times New Roman"/>
        </w:rPr>
        <w:t>- 是什么促使您参加继续教育计划？</w:t>
      </w:r>
    </w:p>
    <w:p>
      <w:pPr>
        <w:spacing w:line="360" w:lineRule="auto"/>
        <w:rPr>
          <w:rFonts w:ascii="Times New Roman" w:hAnsi="Times New Roman" w:cs="Times New Roman"/>
        </w:rPr>
      </w:pPr>
      <w:r>
        <w:rPr>
          <w:rFonts w:ascii="Times New Roman" w:hAnsi="Times New Roman" w:cs="Times New Roman"/>
        </w:rPr>
        <w:t>- 这些动机如何影响您对课程或课程的选择？</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4. 期望</w:t>
      </w:r>
    </w:p>
    <w:p>
      <w:pPr>
        <w:spacing w:line="360" w:lineRule="auto"/>
        <w:rPr>
          <w:rFonts w:ascii="Times New Roman" w:hAnsi="Times New Roman" w:cs="Times New Roman"/>
        </w:rPr>
      </w:pPr>
      <w:r>
        <w:rPr>
          <w:rFonts w:ascii="Times New Roman" w:hAnsi="Times New Roman" w:cs="Times New Roman"/>
        </w:rPr>
        <w:t>- 您对继续教育计划的期望是什么？</w:t>
      </w:r>
    </w:p>
    <w:p>
      <w:pPr>
        <w:spacing w:line="360" w:lineRule="auto"/>
        <w:rPr>
          <w:rFonts w:ascii="Times New Roman" w:hAnsi="Times New Roman" w:cs="Times New Roman"/>
        </w:rPr>
      </w:pPr>
      <w:r>
        <w:rPr>
          <w:rFonts w:ascii="Times New Roman" w:hAnsi="Times New Roman" w:cs="Times New Roman"/>
        </w:rPr>
        <w:t>- 您参与的项目如何满足或未满足您的期望？</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5. 体验和满意度</w:t>
      </w:r>
    </w:p>
    <w:p>
      <w:pPr>
        <w:spacing w:line="360" w:lineRule="auto"/>
        <w:rPr>
          <w:rFonts w:ascii="Times New Roman" w:hAnsi="Times New Roman" w:cs="Times New Roman"/>
        </w:rPr>
      </w:pPr>
      <w:r>
        <w:rPr>
          <w:rFonts w:ascii="Times New Roman" w:hAnsi="Times New Roman" w:cs="Times New Roman"/>
        </w:rPr>
        <w:t>- 您能从内容、形式和便利性方面描述一下您在继续教育计划方面的经历吗？</w:t>
      </w:r>
    </w:p>
    <w:p>
      <w:pPr>
        <w:spacing w:line="360" w:lineRule="auto"/>
        <w:rPr>
          <w:rFonts w:ascii="Times New Roman" w:hAnsi="Times New Roman" w:cs="Times New Roman"/>
        </w:rPr>
      </w:pPr>
      <w:r>
        <w:rPr>
          <w:rFonts w:ascii="Times New Roman" w:hAnsi="Times New Roman" w:cs="Times New Roman"/>
        </w:rPr>
        <w:t>- 哪些因素导致您对这些计划的满意或不满意？</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6. 改进建议</w:t>
      </w:r>
    </w:p>
    <w:p>
      <w:pPr>
        <w:spacing w:line="360" w:lineRule="auto"/>
        <w:rPr>
          <w:rFonts w:ascii="Times New Roman" w:hAnsi="Times New Roman" w:cs="Times New Roman"/>
        </w:rPr>
      </w:pPr>
      <w:r>
        <w:rPr>
          <w:rFonts w:ascii="Times New Roman" w:hAnsi="Times New Roman" w:cs="Times New Roman"/>
        </w:rPr>
        <w:t>- 您希望在中国医疗专业人员的继续教育项目上看到哪些改进或变化？</w:t>
      </w:r>
    </w:p>
    <w:p>
      <w:pPr>
        <w:spacing w:line="360" w:lineRule="auto"/>
        <w:rPr>
          <w:rFonts w:ascii="Times New Roman" w:hAnsi="Times New Roman" w:cs="Times New Roman"/>
        </w:rPr>
      </w:pPr>
    </w:p>
    <w:p>
      <w:pPr>
        <w:spacing w:line="360" w:lineRule="auto"/>
        <w:rPr>
          <w:rFonts w:ascii="Times New Roman" w:hAnsi="Times New Roman" w:cs="Times New Roman"/>
        </w:rPr>
      </w:pPr>
      <w:r>
        <w:rPr>
          <w:rFonts w:ascii="Times New Roman" w:hAnsi="Times New Roman" w:cs="Times New Roman"/>
        </w:rPr>
        <w:t>7. 结论</w:t>
      </w:r>
    </w:p>
    <w:p>
      <w:pPr>
        <w:spacing w:line="360" w:lineRule="auto"/>
        <w:rPr>
          <w:rFonts w:ascii="Times New Roman" w:hAnsi="Times New Roman" w:cs="Times New Roman"/>
        </w:rPr>
      </w:pPr>
      <w:r>
        <w:rPr>
          <w:rFonts w:ascii="Times New Roman" w:hAnsi="Times New Roman" w:cs="Times New Roman"/>
        </w:rPr>
        <w:t>- 感谢参与者的时间和贡献。</w:t>
      </w:r>
    </w:p>
    <w:p>
      <w:pPr>
        <w:spacing w:line="360" w:lineRule="auto"/>
        <w:rPr>
          <w:rFonts w:ascii="Times New Roman" w:hAnsi="Times New Roman" w:cs="Times New Roman"/>
        </w:rPr>
      </w:pPr>
      <w:r>
        <w:rPr>
          <w:rFonts w:ascii="Times New Roman" w:hAnsi="Times New Roman" w:cs="Times New Roman"/>
        </w:rPr>
        <w:t>- 提供有关跟进和成员检查的信息。</w:t>
      </w:r>
    </w:p>
    <w:p>
      <w:pPr>
        <w:rPr>
          <w:rFonts w:ascii="Times New Roman" w:hAnsi="Times New Roman" w:cs="Times New Roman"/>
        </w:rPr>
      </w:pPr>
    </w:p>
    <w:p>
      <w:pPr>
        <w:rPr>
          <w:rFonts w:ascii="Times New Roman Bold" w:hAnsi="Times New Roman Bold" w:eastAsia="Times New Roman Bold"/>
          <w:b/>
          <w:bCs/>
          <w:sz w:val="32"/>
          <w:lang w:val="en-US"/>
        </w:rPr>
      </w:pPr>
      <w:r>
        <w:br w:type="page"/>
      </w:r>
    </w:p>
    <w:p>
      <w:pPr>
        <w:pStyle w:val="2"/>
        <w:spacing w:before="240" w:after="240"/>
      </w:pPr>
      <w:bookmarkStart w:id="260" w:name="_Toc10159"/>
      <w:r>
        <w:t>Appendices 3</w:t>
      </w:r>
      <w:r>
        <w:tab/>
      </w:r>
      <w:r>
        <w:t xml:space="preserve">      Focus Group Discussion Outline</w:t>
      </w:r>
      <w:bookmarkEnd w:id="260"/>
    </w:p>
    <w:p>
      <w:pPr>
        <w:rPr>
          <w:rFonts w:ascii="Times New Roman" w:hAnsi="Times New Roman" w:cs="Times New Roman"/>
        </w:rPr>
      </w:pPr>
      <w:bookmarkStart w:id="261" w:name="_Hlk152185402"/>
      <w:r>
        <w:rPr>
          <w:rFonts w:ascii="Times New Roman" w:hAnsi="Times New Roman" w:cs="Times New Roman"/>
        </w:rPr>
        <w:t>1. Introduction</w:t>
      </w:r>
    </w:p>
    <w:p>
      <w:pPr>
        <w:rPr>
          <w:rFonts w:ascii="Times New Roman" w:hAnsi="Times New Roman" w:cs="Times New Roman"/>
        </w:rPr>
      </w:pPr>
      <w:r>
        <w:rPr>
          <w:rFonts w:ascii="Times New Roman" w:hAnsi="Times New Roman" w:cs="Times New Roman"/>
        </w:rPr>
        <w:t>- Briefly introduce the research and its purpose.</w:t>
      </w:r>
    </w:p>
    <w:p>
      <w:pPr>
        <w:rPr>
          <w:rFonts w:ascii="Times New Roman" w:hAnsi="Times New Roman" w:cs="Times New Roman"/>
        </w:rPr>
      </w:pPr>
      <w:r>
        <w:rPr>
          <w:rFonts w:ascii="Times New Roman" w:hAnsi="Times New Roman" w:cs="Times New Roman"/>
        </w:rPr>
        <w:t>- Explain the focus group process, confidentiality, and anonymity.</w:t>
      </w:r>
    </w:p>
    <w:p>
      <w:pPr>
        <w:rPr>
          <w:rFonts w:ascii="Times New Roman" w:hAnsi="Times New Roman" w:cs="Times New Roman"/>
        </w:rPr>
      </w:pPr>
      <w:r>
        <w:rPr>
          <w:rFonts w:ascii="Times New Roman" w:hAnsi="Times New Roman" w:cs="Times New Roman"/>
        </w:rPr>
        <w:t>- Obtain consent for audio recording.</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2. Background Information (Group Sharing)</w:t>
      </w:r>
    </w:p>
    <w:p>
      <w:pPr>
        <w:rPr>
          <w:rFonts w:ascii="Times New Roman" w:hAnsi="Times New Roman" w:cs="Times New Roman"/>
        </w:rPr>
      </w:pPr>
      <w:r>
        <w:rPr>
          <w:rFonts w:ascii="Times New Roman" w:hAnsi="Times New Roman" w:cs="Times New Roman"/>
        </w:rPr>
        <w:t>- Participants briefly introduce themselves and share their professional background and experience with continuing education programs.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 Motivations (Group Discussion)</w:t>
      </w:r>
    </w:p>
    <w:p>
      <w:pPr>
        <w:rPr>
          <w:rFonts w:ascii="Times New Roman" w:hAnsi="Times New Roman" w:cs="Times New Roman"/>
        </w:rPr>
      </w:pPr>
      <w:r>
        <w:rPr>
          <w:rFonts w:ascii="Times New Roman" w:hAnsi="Times New Roman" w:cs="Times New Roman"/>
        </w:rPr>
        <w:t>- What motivates healthcare professionals to participate in continuing education programs?</w:t>
      </w:r>
    </w:p>
    <w:p>
      <w:pPr>
        <w:rPr>
          <w:rFonts w:ascii="Times New Roman" w:hAnsi="Times New Roman" w:cs="Times New Roman"/>
        </w:rPr>
      </w:pPr>
      <w:r>
        <w:rPr>
          <w:rFonts w:ascii="Times New Roman" w:hAnsi="Times New Roman" w:cs="Times New Roman"/>
        </w:rPr>
        <w:t>- How do these motivations influence their choice of programs or courses?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 Expectations (Group Discussion)</w:t>
      </w:r>
    </w:p>
    <w:p>
      <w:pPr>
        <w:rPr>
          <w:rFonts w:ascii="Times New Roman" w:hAnsi="Times New Roman" w:cs="Times New Roman"/>
        </w:rPr>
      </w:pPr>
      <w:r>
        <w:rPr>
          <w:rFonts w:ascii="Times New Roman" w:hAnsi="Times New Roman" w:cs="Times New Roman"/>
        </w:rPr>
        <w:t>- What are the common expectations of healthcare professionals from continuing education programs?</w:t>
      </w:r>
    </w:p>
    <w:p>
      <w:pPr>
        <w:rPr>
          <w:rFonts w:ascii="Times New Roman" w:hAnsi="Times New Roman" w:cs="Times New Roman"/>
        </w:rPr>
      </w:pPr>
      <w:r>
        <w:rPr>
          <w:rFonts w:ascii="Times New Roman" w:hAnsi="Times New Roman" w:cs="Times New Roman"/>
        </w:rPr>
        <w:t>- How have these expectations been met or not met by the programs participants have engaged in?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5. Experiences and Satisfaction (Group Discussion)</w:t>
      </w:r>
    </w:p>
    <w:p>
      <w:pPr>
        <w:rPr>
          <w:rFonts w:ascii="Times New Roman" w:hAnsi="Times New Roman" w:cs="Times New Roman"/>
        </w:rPr>
      </w:pPr>
      <w:r>
        <w:rPr>
          <w:rFonts w:ascii="Times New Roman" w:hAnsi="Times New Roman" w:cs="Times New Roman"/>
        </w:rPr>
        <w:t>- Participants share their experiences with continuing education programs in terms of content, format, and facilitation.</w:t>
      </w:r>
    </w:p>
    <w:p>
      <w:pPr>
        <w:rPr>
          <w:rFonts w:ascii="Times New Roman" w:hAnsi="Times New Roman" w:cs="Times New Roman"/>
        </w:rPr>
      </w:pPr>
      <w:r>
        <w:rPr>
          <w:rFonts w:ascii="Times New Roman" w:hAnsi="Times New Roman" w:cs="Times New Roman"/>
        </w:rPr>
        <w:t>- Discuss factors that have contributed to satisfaction or dissatisfaction with these programs among participants.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6. Suggestions for Improvement (Group Discussion)</w:t>
      </w:r>
    </w:p>
    <w:p>
      <w:pPr>
        <w:rPr>
          <w:rFonts w:ascii="Times New Roman" w:hAnsi="Times New Roman" w:cs="Times New Roman"/>
        </w:rPr>
      </w:pPr>
      <w:r>
        <w:rPr>
          <w:rFonts w:ascii="Times New Roman" w:hAnsi="Times New Roman" w:cs="Times New Roman"/>
        </w:rPr>
        <w:t>- What improvements or changes would participants like to see in continuing education programs for healthcare professionals in China?</w:t>
      </w:r>
    </w:p>
    <w:p>
      <w:pPr>
        <w:rPr>
          <w:rFonts w:ascii="Times New Roman" w:hAnsi="Times New Roman" w:cs="Times New Roman"/>
        </w:rPr>
      </w:pPr>
      <w:r>
        <w:rPr>
          <w:rFonts w:ascii="Times New Roman" w:hAnsi="Times New Roman" w:cs="Times New Roman"/>
        </w:rPr>
        <w:t>- Discuss possible strategies to address the needs and expectations of healthcare professionals in the design and implementation of continuing education programs.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7. Summary and Conclusion</w:t>
      </w:r>
    </w:p>
    <w:p>
      <w:pPr>
        <w:rPr>
          <w:rFonts w:ascii="Times New Roman" w:hAnsi="Times New Roman" w:cs="Times New Roman"/>
        </w:rPr>
      </w:pPr>
      <w:r>
        <w:rPr>
          <w:rFonts w:ascii="Times New Roman" w:hAnsi="Times New Roman" w:cs="Times New Roman"/>
        </w:rPr>
        <w:t>- Summarize the main points discussed during the focus group.</w:t>
      </w:r>
    </w:p>
    <w:p>
      <w:pPr>
        <w:rPr>
          <w:rFonts w:ascii="Times New Roman" w:hAnsi="Times New Roman" w:cs="Times New Roman"/>
        </w:rPr>
      </w:pPr>
      <w:r>
        <w:rPr>
          <w:rFonts w:ascii="Times New Roman" w:hAnsi="Times New Roman" w:cs="Times New Roman"/>
        </w:rPr>
        <w:t>- Thank the participants for their time and valuable contributions.</w:t>
      </w:r>
    </w:p>
    <w:p>
      <w:pPr>
        <w:rPr>
          <w:rFonts w:ascii="Times New Roman" w:hAnsi="Times New Roman" w:cs="Times New Roman"/>
        </w:rPr>
      </w:pPr>
      <w:r>
        <w:rPr>
          <w:rFonts w:ascii="Times New Roman" w:hAnsi="Times New Roman" w:cs="Times New Roman"/>
        </w:rPr>
        <w:t>- Provide information on follow-up and member checking.</w:t>
      </w:r>
    </w:p>
    <w:bookmarkEnd w:id="261"/>
    <w:p>
      <w:pPr>
        <w:rPr>
          <w:lang w:val="en-US" w:eastAsia="en-US"/>
        </w:rPr>
      </w:pPr>
      <w:r>
        <w:rPr>
          <w:lang w:val="en-US" w:eastAsia="en-US"/>
        </w:rPr>
        <w:br w:type="page"/>
      </w:r>
    </w:p>
    <w:p>
      <w:pPr>
        <w:rPr>
          <w:lang w:val="en-US" w:eastAsia="en-US"/>
        </w:rPr>
      </w:pPr>
    </w:p>
    <w:p>
      <w:pPr>
        <w:rPr>
          <w:rFonts w:ascii="Times New Roman" w:hAnsi="Times New Roman" w:cs="Times New Roman"/>
        </w:rPr>
      </w:pPr>
      <w:r>
        <w:rPr>
          <w:rFonts w:ascii="Times New Roman" w:hAnsi="Times New Roman" w:cs="Times New Roman"/>
        </w:rPr>
        <w:t>1. 引言</w:t>
      </w:r>
    </w:p>
    <w:p>
      <w:pPr>
        <w:rPr>
          <w:rFonts w:ascii="Times New Roman" w:hAnsi="Times New Roman" w:cs="Times New Roman"/>
        </w:rPr>
      </w:pPr>
      <w:r>
        <w:rPr>
          <w:rFonts w:ascii="Times New Roman" w:hAnsi="Times New Roman" w:cs="Times New Roman"/>
        </w:rPr>
        <w:t>- 简要介绍这项研究及其目的。</w:t>
      </w:r>
    </w:p>
    <w:p>
      <w:pPr>
        <w:rPr>
          <w:rFonts w:ascii="Times New Roman" w:hAnsi="Times New Roman" w:cs="Times New Roman"/>
        </w:rPr>
      </w:pPr>
      <w:r>
        <w:rPr>
          <w:rFonts w:ascii="Times New Roman" w:hAnsi="Times New Roman" w:cs="Times New Roman"/>
        </w:rPr>
        <w:t>- 解释焦点小组的流程、保密性和匿名性。</w:t>
      </w:r>
    </w:p>
    <w:p>
      <w:pPr>
        <w:rPr>
          <w:rFonts w:ascii="Times New Roman" w:hAnsi="Times New Roman" w:cs="Times New Roman"/>
        </w:rPr>
      </w:pPr>
      <w:r>
        <w:rPr>
          <w:rFonts w:ascii="Times New Roman" w:hAnsi="Times New Roman" w:cs="Times New Roman"/>
        </w:rPr>
        <w:t>- 征得录音同意。</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2. 背景资料（群组分享）</w:t>
      </w:r>
    </w:p>
    <w:p>
      <w:pPr>
        <w:rPr>
          <w:rFonts w:ascii="Times New Roman" w:hAnsi="Times New Roman" w:cs="Times New Roman"/>
        </w:rPr>
      </w:pPr>
      <w:r>
        <w:rPr>
          <w:rFonts w:ascii="Times New Roman" w:hAnsi="Times New Roman" w:cs="Times New Roman"/>
        </w:rPr>
        <w:t>- 参与者简要介绍自己，并分享他们在继续教育课程方面的专业背景和经验。</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3. 动机（小组讨论）</w:t>
      </w:r>
    </w:p>
    <w:p>
      <w:pPr>
        <w:rPr>
          <w:rFonts w:ascii="Times New Roman" w:hAnsi="Times New Roman" w:cs="Times New Roman"/>
        </w:rPr>
      </w:pPr>
      <w:r>
        <w:rPr>
          <w:rFonts w:ascii="Times New Roman" w:hAnsi="Times New Roman" w:cs="Times New Roman"/>
        </w:rPr>
        <w:t>- 是什么促使医疗保健专业人员参加继续教育计划？</w:t>
      </w:r>
    </w:p>
    <w:p>
      <w:pPr>
        <w:rPr>
          <w:rFonts w:ascii="Times New Roman" w:hAnsi="Times New Roman" w:cs="Times New Roman"/>
        </w:rPr>
      </w:pPr>
      <w:r>
        <w:rPr>
          <w:rFonts w:ascii="Times New Roman" w:hAnsi="Times New Roman" w:cs="Times New Roman"/>
        </w:rPr>
        <w:t>- 这些动机如何影响他们对课程或课程的选择？</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4. 期望（小组讨论）</w:t>
      </w:r>
    </w:p>
    <w:p>
      <w:pPr>
        <w:rPr>
          <w:rFonts w:ascii="Times New Roman" w:hAnsi="Times New Roman" w:cs="Times New Roman"/>
        </w:rPr>
      </w:pPr>
      <w:r>
        <w:rPr>
          <w:rFonts w:ascii="Times New Roman" w:hAnsi="Times New Roman" w:cs="Times New Roman"/>
        </w:rPr>
        <w:t>- 医疗保健专业人员对继续教育计划的共同期望是什么？</w:t>
      </w:r>
    </w:p>
    <w:p>
      <w:pPr>
        <w:rPr>
          <w:rFonts w:ascii="Times New Roman" w:hAnsi="Times New Roman" w:cs="Times New Roman"/>
        </w:rPr>
      </w:pPr>
      <w:r>
        <w:rPr>
          <w:rFonts w:ascii="Times New Roman" w:hAnsi="Times New Roman" w:cs="Times New Roman"/>
        </w:rPr>
        <w:t>- 参与者参与的项目如何满足或未满足这些期望？</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5. 体验与满意度（小组讨论）</w:t>
      </w:r>
    </w:p>
    <w:p>
      <w:pPr>
        <w:rPr>
          <w:rFonts w:ascii="Times New Roman" w:hAnsi="Times New Roman" w:cs="Times New Roman"/>
        </w:rPr>
      </w:pPr>
      <w:r>
        <w:rPr>
          <w:rFonts w:ascii="Times New Roman" w:hAnsi="Times New Roman" w:cs="Times New Roman"/>
        </w:rPr>
        <w:t>- 参与者在内容、形式和便利性方面分享他们在继续教育计划方面的经验。</w:t>
      </w:r>
    </w:p>
    <w:p>
      <w:pPr>
        <w:rPr>
          <w:rFonts w:ascii="Times New Roman" w:hAnsi="Times New Roman" w:cs="Times New Roman"/>
        </w:rPr>
      </w:pPr>
      <w:r>
        <w:rPr>
          <w:rFonts w:ascii="Times New Roman" w:hAnsi="Times New Roman" w:cs="Times New Roman"/>
        </w:rPr>
        <w:t>- 讨论导致参与者对这些计划感到满意或不满意的因素。</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6. 改进建议（小组讨论）</w:t>
      </w:r>
    </w:p>
    <w:p>
      <w:pPr>
        <w:rPr>
          <w:rFonts w:ascii="Times New Roman" w:hAnsi="Times New Roman" w:cs="Times New Roman"/>
        </w:rPr>
      </w:pPr>
      <w:r>
        <w:rPr>
          <w:rFonts w:ascii="Times New Roman" w:hAnsi="Times New Roman" w:cs="Times New Roman"/>
        </w:rPr>
        <w:t>- 参与者希望在中国医疗保健专业人员的继续教育项目中看到哪些改进或变化？</w:t>
      </w:r>
    </w:p>
    <w:p>
      <w:pPr>
        <w:rPr>
          <w:rFonts w:ascii="Times New Roman" w:hAnsi="Times New Roman" w:cs="Times New Roman"/>
        </w:rPr>
      </w:pPr>
      <w:r>
        <w:rPr>
          <w:rFonts w:ascii="Times New Roman" w:hAnsi="Times New Roman" w:cs="Times New Roman"/>
        </w:rPr>
        <w:t>- 讨论可能的策略，以满足医疗保健专业人员在设计和实施继续教育计划方面的需求和期望。</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第7章 总结与结论</w:t>
      </w:r>
    </w:p>
    <w:p>
      <w:pPr>
        <w:rPr>
          <w:rFonts w:ascii="Times New Roman" w:hAnsi="Times New Roman" w:cs="Times New Roman"/>
        </w:rPr>
      </w:pPr>
      <w:r>
        <w:rPr>
          <w:rFonts w:ascii="Times New Roman" w:hAnsi="Times New Roman" w:cs="Times New Roman"/>
        </w:rPr>
        <w:t>- 总结焦点小组讨论的要点。</w:t>
      </w:r>
    </w:p>
    <w:p>
      <w:pPr>
        <w:rPr>
          <w:rFonts w:ascii="Times New Roman" w:hAnsi="Times New Roman" w:cs="Times New Roman"/>
        </w:rPr>
      </w:pPr>
      <w:r>
        <w:rPr>
          <w:rFonts w:ascii="Times New Roman" w:hAnsi="Times New Roman" w:cs="Times New Roman"/>
        </w:rPr>
        <w:t>- 感谢与会者的时间和宝贵的贡献。</w:t>
      </w:r>
    </w:p>
    <w:p>
      <w:pPr>
        <w:rPr>
          <w:rFonts w:ascii="Times New Roman" w:hAnsi="Times New Roman" w:cs="Times New Roman"/>
        </w:rPr>
      </w:pPr>
      <w:r>
        <w:rPr>
          <w:rFonts w:ascii="Times New Roman" w:hAnsi="Times New Roman" w:cs="Times New Roman"/>
        </w:rPr>
        <w:t>- 提供有关跟进和成员检查的信息。</w:t>
      </w:r>
    </w:p>
    <w:p/>
    <w:p>
      <w:pPr>
        <w:spacing w:line="360" w:lineRule="auto"/>
        <w:rPr>
          <w:rFonts w:ascii="Times New Roman" w:hAnsi="Times New Roman" w:cs="Times New Roman"/>
        </w:rPr>
      </w:pPr>
    </w:p>
    <w:p>
      <w:pPr>
        <w:spacing w:line="360" w:lineRule="auto"/>
        <w:rPr>
          <w:rFonts w:ascii="Times New Roman" w:hAnsi="Times New Roman" w:cs="Times New Roman"/>
        </w:rPr>
      </w:pPr>
    </w:p>
    <w:p/>
    <w:sectPr>
      <w:footerReference r:id="rId3" w:type="default"/>
      <w:footerReference r:id="rId4" w:type="even"/>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2020803070505020304"/>
    <w:charset w:val="00"/>
    <w:family w:val="auto"/>
    <w:pitch w:val="default"/>
    <w:sig w:usb0="00000000" w:usb1="00000000" w:usb2="00000001" w:usb3="00000000" w:csb0="400001BF" w:csb1="DFF7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PT Sans">
    <w:altName w:val="Segoe Print"/>
    <w:panose1 w:val="00000000000000000000"/>
    <w:charset w:val="00"/>
    <w:family w:val="swiss"/>
    <w:pitch w:val="default"/>
    <w:sig w:usb0="00000000" w:usb1="00000000" w:usb2="00000000" w:usb3="00000000" w:csb0="000000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0"/>
      </w:rPr>
      <w:id w:val="428163781"/>
      <w:docPartObj>
        <w:docPartGallery w:val="autotext"/>
      </w:docPartObj>
    </w:sdtPr>
    <w:sdtEndPr>
      <w:rPr>
        <w:rStyle w:val="20"/>
      </w:rPr>
    </w:sdtEndPr>
    <w:sdtContent>
      <w:p>
        <w:pPr>
          <w:pStyle w:val="9"/>
          <w:framePr w:wrap="auto" w:vAnchor="text" w:hAnchor="margin" w:xAlign="center" w:y="1"/>
          <w:rPr>
            <w:rStyle w:val="20"/>
          </w:rPr>
        </w:pPr>
        <w:r>
          <w:rPr>
            <w:rStyle w:val="20"/>
          </w:rPr>
          <w:fldChar w:fldCharType="begin"/>
        </w:r>
        <w:r>
          <w:rPr>
            <w:rStyle w:val="20"/>
          </w:rPr>
          <w:instrText xml:space="preserve"> PAGE </w:instrText>
        </w:r>
        <w:r>
          <w:rPr>
            <w:rStyle w:val="20"/>
          </w:rPr>
          <w:fldChar w:fldCharType="separate"/>
        </w:r>
        <w:r>
          <w:rPr>
            <w:rStyle w:val="20"/>
          </w:rPr>
          <w:t>1</w:t>
        </w:r>
        <w:r>
          <w:rPr>
            <w:rStyle w:val="20"/>
          </w:rPr>
          <w:fldChar w:fldCharType="end"/>
        </w:r>
      </w:p>
    </w:sdtContent>
  </w:sdt>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0"/>
      </w:rPr>
      <w:id w:val="2078002476"/>
      <w:docPartObj>
        <w:docPartGallery w:val="autotext"/>
      </w:docPartObj>
    </w:sdtPr>
    <w:sdtEndPr>
      <w:rPr>
        <w:rStyle w:val="20"/>
      </w:rPr>
    </w:sdtEndPr>
    <w:sdtContent>
      <w:p>
        <w:pPr>
          <w:pStyle w:val="9"/>
          <w:framePr w:wrap="auto" w:vAnchor="text" w:hAnchor="margin" w:xAlign="center" w:y="1"/>
          <w:rPr>
            <w:rStyle w:val="20"/>
          </w:rPr>
        </w:pPr>
        <w:r>
          <w:rPr>
            <w:rStyle w:val="20"/>
          </w:rPr>
          <w:fldChar w:fldCharType="begin"/>
        </w:r>
        <w:r>
          <w:rPr>
            <w:rStyle w:val="20"/>
          </w:rPr>
          <w:instrText xml:space="preserve"> PAGE </w:instrText>
        </w:r>
        <w:r>
          <w:rPr>
            <w:rStyle w:val="20"/>
          </w:rP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B54137"/>
    <w:multiLevelType w:val="multilevel"/>
    <w:tmpl w:val="30B5413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C406444"/>
    <w:multiLevelType w:val="multilevel"/>
    <w:tmpl w:val="7C40644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4MDc5NmI0ZGEyN2NjYTYzYWJiZGVhZmY3ZWUwYWMifQ=="/>
    <w:docVar w:name="EN.InstantFormat" w:val="&lt;ENInstantFormat&gt;&lt;Enabled&gt;1&lt;/Enabled&gt;&lt;ScanUnformatted&gt;1&lt;/ScanUnformatted&gt;&lt;ScanChanges&gt;1&lt;/ScanChanges&gt;&lt;Suspended&gt;0&lt;/Suspended&gt;&lt;/ENInstantFormat&gt;"/>
    <w:docVar w:name="EN.Layout" w:val="&lt;ENLayout&gt;&lt;Style&gt;Harvard-University of Wales Trinity Saint David’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r2rswvs2oexszme9tvjx5vx252ep2r22dx9d&quot;&gt;202311&lt;record-ids&gt;&lt;item&gt;1216&lt;/item&gt;&lt;item&gt;1217&lt;/item&gt;&lt;item&gt;1218&lt;/item&gt;&lt;item&gt;1219&lt;/item&gt;&lt;item&gt;1220&lt;/item&gt;&lt;item&gt;1221&lt;/item&gt;&lt;item&gt;1222&lt;/item&gt;&lt;item&gt;1223&lt;/item&gt;&lt;item&gt;1224&lt;/item&gt;&lt;item&gt;1225&lt;/item&gt;&lt;item&gt;1226&lt;/item&gt;&lt;item&gt;1227&lt;/item&gt;&lt;item&gt;1228&lt;/item&gt;&lt;item&gt;1229&lt;/item&gt;&lt;item&gt;1230&lt;/item&gt;&lt;item&gt;1231&lt;/item&gt;&lt;item&gt;1232&lt;/item&gt;&lt;item&gt;1233&lt;/item&gt;&lt;item&gt;1234&lt;/item&gt;&lt;item&gt;1235&lt;/item&gt;&lt;item&gt;1236&lt;/item&gt;&lt;item&gt;1237&lt;/item&gt;&lt;item&gt;1238&lt;/item&gt;&lt;item&gt;1239&lt;/item&gt;&lt;item&gt;1240&lt;/item&gt;&lt;item&gt;1241&lt;/item&gt;&lt;item&gt;1242&lt;/item&gt;&lt;item&gt;1243&lt;/item&gt;&lt;item&gt;1244&lt;/item&gt;&lt;item&gt;1245&lt;/item&gt;&lt;item&gt;1246&lt;/item&gt;&lt;item&gt;1247&lt;/item&gt;&lt;item&gt;1248&lt;/item&gt;&lt;item&gt;1249&lt;/item&gt;&lt;item&gt;1250&lt;/item&gt;&lt;item&gt;1251&lt;/item&gt;&lt;item&gt;1252&lt;/item&gt;&lt;item&gt;1253&lt;/item&gt;&lt;item&gt;1254&lt;/item&gt;&lt;item&gt;1255&lt;/item&gt;&lt;item&gt;1256&lt;/item&gt;&lt;item&gt;1257&lt;/item&gt;&lt;item&gt;1258&lt;/item&gt;&lt;item&gt;1259&lt;/item&gt;&lt;item&gt;1260&lt;/item&gt;&lt;item&gt;1261&lt;/item&gt;&lt;item&gt;1262&lt;/item&gt;&lt;item&gt;1263&lt;/item&gt;&lt;item&gt;1264&lt;/item&gt;&lt;item&gt;1265&lt;/item&gt;&lt;item&gt;1266&lt;/item&gt;&lt;item&gt;1267&lt;/item&gt;&lt;item&gt;1268&lt;/item&gt;&lt;item&gt;1269&lt;/item&gt;&lt;item&gt;1270&lt;/item&gt;&lt;item&gt;1271&lt;/item&gt;&lt;item&gt;1272&lt;/item&gt;&lt;item&gt;1273&lt;/item&gt;&lt;item&gt;1274&lt;/item&gt;&lt;item&gt;1275&lt;/item&gt;&lt;item&gt;1276&lt;/item&gt;&lt;item&gt;1277&lt;/item&gt;&lt;item&gt;1278&lt;/item&gt;&lt;item&gt;1279&lt;/item&gt;&lt;item&gt;1280&lt;/item&gt;&lt;item&gt;1281&lt;/item&gt;&lt;item&gt;1282&lt;/item&gt;&lt;item&gt;1283&lt;/item&gt;&lt;item&gt;1284&lt;/item&gt;&lt;item&gt;1285&lt;/item&gt;&lt;item&gt;1286&lt;/item&gt;&lt;item&gt;1287&lt;/item&gt;&lt;item&gt;1288&lt;/item&gt;&lt;item&gt;1289&lt;/item&gt;&lt;item&gt;1290&lt;/item&gt;&lt;item&gt;1291&lt;/item&gt;&lt;item&gt;1292&lt;/item&gt;&lt;item&gt;1293&lt;/item&gt;&lt;item&gt;1294&lt;/item&gt;&lt;/record-ids&gt;&lt;/item&gt;&lt;/Libraries&gt;"/>
  </w:docVars>
  <w:rsids>
    <w:rsidRoot w:val="00765747"/>
    <w:rsid w:val="00003A15"/>
    <w:rsid w:val="0000729B"/>
    <w:rsid w:val="000111C8"/>
    <w:rsid w:val="00013D05"/>
    <w:rsid w:val="00017F7B"/>
    <w:rsid w:val="00022459"/>
    <w:rsid w:val="00032957"/>
    <w:rsid w:val="000348A1"/>
    <w:rsid w:val="000353E0"/>
    <w:rsid w:val="00042D81"/>
    <w:rsid w:val="000449ED"/>
    <w:rsid w:val="00047560"/>
    <w:rsid w:val="0005191A"/>
    <w:rsid w:val="00055F32"/>
    <w:rsid w:val="00065C8F"/>
    <w:rsid w:val="000666EF"/>
    <w:rsid w:val="000716BE"/>
    <w:rsid w:val="000728CE"/>
    <w:rsid w:val="000730D3"/>
    <w:rsid w:val="0007469C"/>
    <w:rsid w:val="00074FDE"/>
    <w:rsid w:val="0007754F"/>
    <w:rsid w:val="0008038A"/>
    <w:rsid w:val="000830B1"/>
    <w:rsid w:val="00091853"/>
    <w:rsid w:val="00093443"/>
    <w:rsid w:val="00094B42"/>
    <w:rsid w:val="000A326D"/>
    <w:rsid w:val="000A62C5"/>
    <w:rsid w:val="000B6299"/>
    <w:rsid w:val="000B7A43"/>
    <w:rsid w:val="000C3757"/>
    <w:rsid w:val="000D1BB7"/>
    <w:rsid w:val="000D1BD8"/>
    <w:rsid w:val="000D24B7"/>
    <w:rsid w:val="000D54FA"/>
    <w:rsid w:val="000E5804"/>
    <w:rsid w:val="000E6B37"/>
    <w:rsid w:val="00104F09"/>
    <w:rsid w:val="001064E2"/>
    <w:rsid w:val="001071AA"/>
    <w:rsid w:val="00107948"/>
    <w:rsid w:val="00111926"/>
    <w:rsid w:val="001221B8"/>
    <w:rsid w:val="00130B44"/>
    <w:rsid w:val="00131060"/>
    <w:rsid w:val="00132A5E"/>
    <w:rsid w:val="00132C5E"/>
    <w:rsid w:val="0013511B"/>
    <w:rsid w:val="00136755"/>
    <w:rsid w:val="00140D5D"/>
    <w:rsid w:val="001462FC"/>
    <w:rsid w:val="00154BE6"/>
    <w:rsid w:val="00157368"/>
    <w:rsid w:val="00160847"/>
    <w:rsid w:val="0016369A"/>
    <w:rsid w:val="001652BC"/>
    <w:rsid w:val="001656C4"/>
    <w:rsid w:val="001668FE"/>
    <w:rsid w:val="00173D09"/>
    <w:rsid w:val="00173DD4"/>
    <w:rsid w:val="00174991"/>
    <w:rsid w:val="00180665"/>
    <w:rsid w:val="0018081F"/>
    <w:rsid w:val="00181D40"/>
    <w:rsid w:val="001A0E6B"/>
    <w:rsid w:val="001A5802"/>
    <w:rsid w:val="001B71E1"/>
    <w:rsid w:val="001C4085"/>
    <w:rsid w:val="001D1CB5"/>
    <w:rsid w:val="001D5E28"/>
    <w:rsid w:val="001E4E31"/>
    <w:rsid w:val="001E52CD"/>
    <w:rsid w:val="001E61FE"/>
    <w:rsid w:val="001E7BF5"/>
    <w:rsid w:val="001F354C"/>
    <w:rsid w:val="001F39CA"/>
    <w:rsid w:val="00201792"/>
    <w:rsid w:val="00201D39"/>
    <w:rsid w:val="0020556B"/>
    <w:rsid w:val="00210463"/>
    <w:rsid w:val="00213FF3"/>
    <w:rsid w:val="00221C5A"/>
    <w:rsid w:val="00223070"/>
    <w:rsid w:val="00234094"/>
    <w:rsid w:val="00235ACF"/>
    <w:rsid w:val="00235C05"/>
    <w:rsid w:val="0024280D"/>
    <w:rsid w:val="0024499C"/>
    <w:rsid w:val="0024501D"/>
    <w:rsid w:val="00245EE4"/>
    <w:rsid w:val="00251413"/>
    <w:rsid w:val="002522DE"/>
    <w:rsid w:val="00256E1C"/>
    <w:rsid w:val="00256E3D"/>
    <w:rsid w:val="00257C00"/>
    <w:rsid w:val="00260578"/>
    <w:rsid w:val="00260820"/>
    <w:rsid w:val="00261E1A"/>
    <w:rsid w:val="00262782"/>
    <w:rsid w:val="00274567"/>
    <w:rsid w:val="002767D5"/>
    <w:rsid w:val="002847EA"/>
    <w:rsid w:val="0028792D"/>
    <w:rsid w:val="002926C4"/>
    <w:rsid w:val="00294E36"/>
    <w:rsid w:val="00295AEA"/>
    <w:rsid w:val="00296FC7"/>
    <w:rsid w:val="002A3320"/>
    <w:rsid w:val="002A7F83"/>
    <w:rsid w:val="002B1745"/>
    <w:rsid w:val="002B5D28"/>
    <w:rsid w:val="002C457D"/>
    <w:rsid w:val="002C6FC2"/>
    <w:rsid w:val="002D2B03"/>
    <w:rsid w:val="002D2C02"/>
    <w:rsid w:val="002E3932"/>
    <w:rsid w:val="002E3E86"/>
    <w:rsid w:val="002E5ED1"/>
    <w:rsid w:val="002F7802"/>
    <w:rsid w:val="00303FD1"/>
    <w:rsid w:val="00305876"/>
    <w:rsid w:val="00307AB1"/>
    <w:rsid w:val="00314619"/>
    <w:rsid w:val="00321CC1"/>
    <w:rsid w:val="00323B8D"/>
    <w:rsid w:val="00326118"/>
    <w:rsid w:val="00342CDC"/>
    <w:rsid w:val="00346530"/>
    <w:rsid w:val="003504E9"/>
    <w:rsid w:val="0035162A"/>
    <w:rsid w:val="0035252D"/>
    <w:rsid w:val="00354B10"/>
    <w:rsid w:val="00355331"/>
    <w:rsid w:val="00355937"/>
    <w:rsid w:val="00362EF0"/>
    <w:rsid w:val="00373078"/>
    <w:rsid w:val="003775E2"/>
    <w:rsid w:val="0038149B"/>
    <w:rsid w:val="0038413E"/>
    <w:rsid w:val="00391220"/>
    <w:rsid w:val="0039138D"/>
    <w:rsid w:val="003920D7"/>
    <w:rsid w:val="003A26C0"/>
    <w:rsid w:val="003A5388"/>
    <w:rsid w:val="003B295E"/>
    <w:rsid w:val="003B7866"/>
    <w:rsid w:val="003C533F"/>
    <w:rsid w:val="003C5B46"/>
    <w:rsid w:val="003C64AD"/>
    <w:rsid w:val="003D0AB0"/>
    <w:rsid w:val="003D4BFA"/>
    <w:rsid w:val="003D6409"/>
    <w:rsid w:val="003E7B9C"/>
    <w:rsid w:val="003F015A"/>
    <w:rsid w:val="003F2A14"/>
    <w:rsid w:val="003F3FD5"/>
    <w:rsid w:val="003F567B"/>
    <w:rsid w:val="003F57E8"/>
    <w:rsid w:val="003F58AF"/>
    <w:rsid w:val="003F59CB"/>
    <w:rsid w:val="003F63F7"/>
    <w:rsid w:val="0041541F"/>
    <w:rsid w:val="00417116"/>
    <w:rsid w:val="00426CD1"/>
    <w:rsid w:val="00426F4C"/>
    <w:rsid w:val="00436664"/>
    <w:rsid w:val="004407B0"/>
    <w:rsid w:val="004412C9"/>
    <w:rsid w:val="0045482E"/>
    <w:rsid w:val="00455342"/>
    <w:rsid w:val="0045557C"/>
    <w:rsid w:val="0047041C"/>
    <w:rsid w:val="00470B78"/>
    <w:rsid w:val="00474D5A"/>
    <w:rsid w:val="00475843"/>
    <w:rsid w:val="00476591"/>
    <w:rsid w:val="00480473"/>
    <w:rsid w:val="00480526"/>
    <w:rsid w:val="0048352C"/>
    <w:rsid w:val="0049066A"/>
    <w:rsid w:val="00490C5B"/>
    <w:rsid w:val="004A6FD6"/>
    <w:rsid w:val="004B15CD"/>
    <w:rsid w:val="004B67A0"/>
    <w:rsid w:val="004C1109"/>
    <w:rsid w:val="004C6F02"/>
    <w:rsid w:val="004D0C86"/>
    <w:rsid w:val="004D1564"/>
    <w:rsid w:val="004D1F90"/>
    <w:rsid w:val="004E00AB"/>
    <w:rsid w:val="004F1842"/>
    <w:rsid w:val="005002BE"/>
    <w:rsid w:val="005018A4"/>
    <w:rsid w:val="005046B6"/>
    <w:rsid w:val="00504EE0"/>
    <w:rsid w:val="00507303"/>
    <w:rsid w:val="00514C56"/>
    <w:rsid w:val="00517C9C"/>
    <w:rsid w:val="0052065B"/>
    <w:rsid w:val="00530618"/>
    <w:rsid w:val="00530794"/>
    <w:rsid w:val="00532E4B"/>
    <w:rsid w:val="00536F19"/>
    <w:rsid w:val="00540EF4"/>
    <w:rsid w:val="00543954"/>
    <w:rsid w:val="005443E0"/>
    <w:rsid w:val="005509F1"/>
    <w:rsid w:val="0055620A"/>
    <w:rsid w:val="00560C70"/>
    <w:rsid w:val="00560C91"/>
    <w:rsid w:val="0056388B"/>
    <w:rsid w:val="00570EC5"/>
    <w:rsid w:val="00576928"/>
    <w:rsid w:val="00580E52"/>
    <w:rsid w:val="00587893"/>
    <w:rsid w:val="00593EDC"/>
    <w:rsid w:val="005A1B8F"/>
    <w:rsid w:val="005A2015"/>
    <w:rsid w:val="005A419F"/>
    <w:rsid w:val="005A4B54"/>
    <w:rsid w:val="005A58D9"/>
    <w:rsid w:val="005A6EC2"/>
    <w:rsid w:val="005B2B29"/>
    <w:rsid w:val="005B4C3A"/>
    <w:rsid w:val="005B664E"/>
    <w:rsid w:val="005B734E"/>
    <w:rsid w:val="005C0DC7"/>
    <w:rsid w:val="005C1CD7"/>
    <w:rsid w:val="005C1D54"/>
    <w:rsid w:val="005C63DD"/>
    <w:rsid w:val="005C7DD0"/>
    <w:rsid w:val="005D6728"/>
    <w:rsid w:val="005E21B0"/>
    <w:rsid w:val="005E29D4"/>
    <w:rsid w:val="005E6D46"/>
    <w:rsid w:val="005F3AF7"/>
    <w:rsid w:val="00600F63"/>
    <w:rsid w:val="00602EE5"/>
    <w:rsid w:val="006221F6"/>
    <w:rsid w:val="00635668"/>
    <w:rsid w:val="0063724E"/>
    <w:rsid w:val="00642C79"/>
    <w:rsid w:val="0064362D"/>
    <w:rsid w:val="00643F30"/>
    <w:rsid w:val="00645ED3"/>
    <w:rsid w:val="006542E2"/>
    <w:rsid w:val="00657701"/>
    <w:rsid w:val="0066136F"/>
    <w:rsid w:val="006663E2"/>
    <w:rsid w:val="0067407B"/>
    <w:rsid w:val="00677F25"/>
    <w:rsid w:val="00682EE3"/>
    <w:rsid w:val="00684F43"/>
    <w:rsid w:val="00685C53"/>
    <w:rsid w:val="0068663C"/>
    <w:rsid w:val="00687695"/>
    <w:rsid w:val="006876CD"/>
    <w:rsid w:val="00691D3F"/>
    <w:rsid w:val="006933A1"/>
    <w:rsid w:val="00696837"/>
    <w:rsid w:val="006A2D4A"/>
    <w:rsid w:val="006A3D41"/>
    <w:rsid w:val="006B0E6A"/>
    <w:rsid w:val="006B1462"/>
    <w:rsid w:val="006B36A4"/>
    <w:rsid w:val="006B3B21"/>
    <w:rsid w:val="006B4D0C"/>
    <w:rsid w:val="006C5EC9"/>
    <w:rsid w:val="006C6C8D"/>
    <w:rsid w:val="006D0073"/>
    <w:rsid w:val="006D7665"/>
    <w:rsid w:val="006F1B60"/>
    <w:rsid w:val="00712AFF"/>
    <w:rsid w:val="00712E66"/>
    <w:rsid w:val="007269C2"/>
    <w:rsid w:val="0073017A"/>
    <w:rsid w:val="00742DEF"/>
    <w:rsid w:val="00743A62"/>
    <w:rsid w:val="00745EFB"/>
    <w:rsid w:val="00747E89"/>
    <w:rsid w:val="00750167"/>
    <w:rsid w:val="00751F28"/>
    <w:rsid w:val="0075313F"/>
    <w:rsid w:val="007612CA"/>
    <w:rsid w:val="0076165A"/>
    <w:rsid w:val="0076296F"/>
    <w:rsid w:val="00765747"/>
    <w:rsid w:val="00765FA2"/>
    <w:rsid w:val="0077038D"/>
    <w:rsid w:val="00777CE9"/>
    <w:rsid w:val="00781932"/>
    <w:rsid w:val="007828CE"/>
    <w:rsid w:val="00793CF6"/>
    <w:rsid w:val="00794DF1"/>
    <w:rsid w:val="007A5ADE"/>
    <w:rsid w:val="007A6B9D"/>
    <w:rsid w:val="007B2E42"/>
    <w:rsid w:val="007B7F87"/>
    <w:rsid w:val="007C0B68"/>
    <w:rsid w:val="007C3040"/>
    <w:rsid w:val="007C43BD"/>
    <w:rsid w:val="007C5AF6"/>
    <w:rsid w:val="007C63B8"/>
    <w:rsid w:val="007C7B44"/>
    <w:rsid w:val="007D4A2F"/>
    <w:rsid w:val="007D4C18"/>
    <w:rsid w:val="007E3B32"/>
    <w:rsid w:val="007E6565"/>
    <w:rsid w:val="007E65C9"/>
    <w:rsid w:val="007E6690"/>
    <w:rsid w:val="008128D4"/>
    <w:rsid w:val="00816F97"/>
    <w:rsid w:val="00824308"/>
    <w:rsid w:val="00833FD6"/>
    <w:rsid w:val="00854CB6"/>
    <w:rsid w:val="00855657"/>
    <w:rsid w:val="00865156"/>
    <w:rsid w:val="00865F73"/>
    <w:rsid w:val="008720B4"/>
    <w:rsid w:val="00880198"/>
    <w:rsid w:val="008845EE"/>
    <w:rsid w:val="008868B0"/>
    <w:rsid w:val="00890F13"/>
    <w:rsid w:val="008911A5"/>
    <w:rsid w:val="0089264C"/>
    <w:rsid w:val="008A352F"/>
    <w:rsid w:val="008A35A3"/>
    <w:rsid w:val="008A49FC"/>
    <w:rsid w:val="008A7AFE"/>
    <w:rsid w:val="008A7F0E"/>
    <w:rsid w:val="008C07B8"/>
    <w:rsid w:val="008C30D2"/>
    <w:rsid w:val="008D4237"/>
    <w:rsid w:val="008D4653"/>
    <w:rsid w:val="008E20C0"/>
    <w:rsid w:val="008E5C68"/>
    <w:rsid w:val="008F2F58"/>
    <w:rsid w:val="008F4779"/>
    <w:rsid w:val="008F7D1A"/>
    <w:rsid w:val="008F7F75"/>
    <w:rsid w:val="00912E6F"/>
    <w:rsid w:val="0091453B"/>
    <w:rsid w:val="00922BD1"/>
    <w:rsid w:val="00924BC3"/>
    <w:rsid w:val="00927771"/>
    <w:rsid w:val="00933995"/>
    <w:rsid w:val="0093466E"/>
    <w:rsid w:val="0094124B"/>
    <w:rsid w:val="00942209"/>
    <w:rsid w:val="00942AF3"/>
    <w:rsid w:val="00943BC6"/>
    <w:rsid w:val="00963348"/>
    <w:rsid w:val="00964E4E"/>
    <w:rsid w:val="009710F7"/>
    <w:rsid w:val="00980A3C"/>
    <w:rsid w:val="00982D5D"/>
    <w:rsid w:val="00986A4D"/>
    <w:rsid w:val="0099080E"/>
    <w:rsid w:val="00991A17"/>
    <w:rsid w:val="00994A63"/>
    <w:rsid w:val="00994E3A"/>
    <w:rsid w:val="00995FDB"/>
    <w:rsid w:val="009A11E4"/>
    <w:rsid w:val="009A470F"/>
    <w:rsid w:val="009A47BC"/>
    <w:rsid w:val="009A79CD"/>
    <w:rsid w:val="009B2E88"/>
    <w:rsid w:val="009C1030"/>
    <w:rsid w:val="009C303F"/>
    <w:rsid w:val="009C63E9"/>
    <w:rsid w:val="009C7AE3"/>
    <w:rsid w:val="009D11ED"/>
    <w:rsid w:val="009D7C5D"/>
    <w:rsid w:val="009E1AC5"/>
    <w:rsid w:val="009E2187"/>
    <w:rsid w:val="009E3D26"/>
    <w:rsid w:val="009E5F69"/>
    <w:rsid w:val="009E684B"/>
    <w:rsid w:val="00A03D9E"/>
    <w:rsid w:val="00A06E38"/>
    <w:rsid w:val="00A10046"/>
    <w:rsid w:val="00A1077F"/>
    <w:rsid w:val="00A11E69"/>
    <w:rsid w:val="00A15337"/>
    <w:rsid w:val="00A20EBB"/>
    <w:rsid w:val="00A2436D"/>
    <w:rsid w:val="00A2742C"/>
    <w:rsid w:val="00A579B2"/>
    <w:rsid w:val="00A64C9B"/>
    <w:rsid w:val="00A65C36"/>
    <w:rsid w:val="00A763C4"/>
    <w:rsid w:val="00A76EA8"/>
    <w:rsid w:val="00A832C1"/>
    <w:rsid w:val="00A837B6"/>
    <w:rsid w:val="00AA0798"/>
    <w:rsid w:val="00AB216D"/>
    <w:rsid w:val="00AB21AE"/>
    <w:rsid w:val="00AB22A4"/>
    <w:rsid w:val="00AC16D0"/>
    <w:rsid w:val="00AC2948"/>
    <w:rsid w:val="00AC2D6A"/>
    <w:rsid w:val="00AC39B9"/>
    <w:rsid w:val="00AE0E2F"/>
    <w:rsid w:val="00AE16E6"/>
    <w:rsid w:val="00AE4CFB"/>
    <w:rsid w:val="00AF32DF"/>
    <w:rsid w:val="00AF57D0"/>
    <w:rsid w:val="00B01A6F"/>
    <w:rsid w:val="00B02282"/>
    <w:rsid w:val="00B102E1"/>
    <w:rsid w:val="00B118DC"/>
    <w:rsid w:val="00B14C7B"/>
    <w:rsid w:val="00B1501D"/>
    <w:rsid w:val="00B239FD"/>
    <w:rsid w:val="00B27C9B"/>
    <w:rsid w:val="00B30C44"/>
    <w:rsid w:val="00B33A23"/>
    <w:rsid w:val="00B35150"/>
    <w:rsid w:val="00B371E5"/>
    <w:rsid w:val="00B373D6"/>
    <w:rsid w:val="00B42D4E"/>
    <w:rsid w:val="00B431CA"/>
    <w:rsid w:val="00B530C0"/>
    <w:rsid w:val="00B532B0"/>
    <w:rsid w:val="00B6441D"/>
    <w:rsid w:val="00B71570"/>
    <w:rsid w:val="00B75606"/>
    <w:rsid w:val="00B75752"/>
    <w:rsid w:val="00B81DD9"/>
    <w:rsid w:val="00B82136"/>
    <w:rsid w:val="00B875BB"/>
    <w:rsid w:val="00B93235"/>
    <w:rsid w:val="00BA12A3"/>
    <w:rsid w:val="00BA63B5"/>
    <w:rsid w:val="00BA7A8B"/>
    <w:rsid w:val="00BA7AB1"/>
    <w:rsid w:val="00BB2B87"/>
    <w:rsid w:val="00BB3216"/>
    <w:rsid w:val="00BB46DF"/>
    <w:rsid w:val="00BC1218"/>
    <w:rsid w:val="00BC40A3"/>
    <w:rsid w:val="00BC6124"/>
    <w:rsid w:val="00BC765C"/>
    <w:rsid w:val="00BE74FC"/>
    <w:rsid w:val="00BF2CA3"/>
    <w:rsid w:val="00BF74BB"/>
    <w:rsid w:val="00C0295E"/>
    <w:rsid w:val="00C04AEA"/>
    <w:rsid w:val="00C170D0"/>
    <w:rsid w:val="00C20599"/>
    <w:rsid w:val="00C272DF"/>
    <w:rsid w:val="00C328EF"/>
    <w:rsid w:val="00C34728"/>
    <w:rsid w:val="00C35CB4"/>
    <w:rsid w:val="00C40080"/>
    <w:rsid w:val="00C42306"/>
    <w:rsid w:val="00C45673"/>
    <w:rsid w:val="00C456D8"/>
    <w:rsid w:val="00C474DB"/>
    <w:rsid w:val="00C52CDD"/>
    <w:rsid w:val="00C5341A"/>
    <w:rsid w:val="00C55A8C"/>
    <w:rsid w:val="00C56945"/>
    <w:rsid w:val="00C57DF7"/>
    <w:rsid w:val="00C66CFE"/>
    <w:rsid w:val="00C7059E"/>
    <w:rsid w:val="00C72BB7"/>
    <w:rsid w:val="00C7490C"/>
    <w:rsid w:val="00C74CF2"/>
    <w:rsid w:val="00C7600C"/>
    <w:rsid w:val="00C76F65"/>
    <w:rsid w:val="00C806D8"/>
    <w:rsid w:val="00C81A2B"/>
    <w:rsid w:val="00C81B78"/>
    <w:rsid w:val="00C96DF9"/>
    <w:rsid w:val="00CA0ACC"/>
    <w:rsid w:val="00CA2539"/>
    <w:rsid w:val="00CA412D"/>
    <w:rsid w:val="00CA5861"/>
    <w:rsid w:val="00CA715B"/>
    <w:rsid w:val="00CB18FD"/>
    <w:rsid w:val="00CD0FD0"/>
    <w:rsid w:val="00CE15CB"/>
    <w:rsid w:val="00CE297C"/>
    <w:rsid w:val="00CE6ABE"/>
    <w:rsid w:val="00CE7984"/>
    <w:rsid w:val="00CF2612"/>
    <w:rsid w:val="00CF64A4"/>
    <w:rsid w:val="00CF7B86"/>
    <w:rsid w:val="00D01DF2"/>
    <w:rsid w:val="00D069AE"/>
    <w:rsid w:val="00D1275B"/>
    <w:rsid w:val="00D12AC3"/>
    <w:rsid w:val="00D16B50"/>
    <w:rsid w:val="00D20DC5"/>
    <w:rsid w:val="00D216BA"/>
    <w:rsid w:val="00D253C5"/>
    <w:rsid w:val="00D30153"/>
    <w:rsid w:val="00D40969"/>
    <w:rsid w:val="00D43D53"/>
    <w:rsid w:val="00D45A50"/>
    <w:rsid w:val="00D53556"/>
    <w:rsid w:val="00D57876"/>
    <w:rsid w:val="00D60A34"/>
    <w:rsid w:val="00D60F81"/>
    <w:rsid w:val="00D63D33"/>
    <w:rsid w:val="00D7024B"/>
    <w:rsid w:val="00D767F5"/>
    <w:rsid w:val="00D87A47"/>
    <w:rsid w:val="00D91388"/>
    <w:rsid w:val="00D92887"/>
    <w:rsid w:val="00D92C7E"/>
    <w:rsid w:val="00DA2B79"/>
    <w:rsid w:val="00DA3A07"/>
    <w:rsid w:val="00DB0F3E"/>
    <w:rsid w:val="00DB2936"/>
    <w:rsid w:val="00DB7F71"/>
    <w:rsid w:val="00DC0934"/>
    <w:rsid w:val="00DC383F"/>
    <w:rsid w:val="00DC4D6A"/>
    <w:rsid w:val="00DC560B"/>
    <w:rsid w:val="00DC5EF0"/>
    <w:rsid w:val="00DC75E9"/>
    <w:rsid w:val="00DE0931"/>
    <w:rsid w:val="00DF760A"/>
    <w:rsid w:val="00E16550"/>
    <w:rsid w:val="00E201AF"/>
    <w:rsid w:val="00E2407B"/>
    <w:rsid w:val="00E24B3B"/>
    <w:rsid w:val="00E27516"/>
    <w:rsid w:val="00E45C2C"/>
    <w:rsid w:val="00E50A6C"/>
    <w:rsid w:val="00E51780"/>
    <w:rsid w:val="00E55E86"/>
    <w:rsid w:val="00E57BB5"/>
    <w:rsid w:val="00E6657A"/>
    <w:rsid w:val="00E70FA5"/>
    <w:rsid w:val="00E71B2E"/>
    <w:rsid w:val="00E73C3E"/>
    <w:rsid w:val="00E75D9D"/>
    <w:rsid w:val="00E77EEA"/>
    <w:rsid w:val="00E819C6"/>
    <w:rsid w:val="00E95B5B"/>
    <w:rsid w:val="00EA170C"/>
    <w:rsid w:val="00EA23FF"/>
    <w:rsid w:val="00EA43C1"/>
    <w:rsid w:val="00EA4B26"/>
    <w:rsid w:val="00EA536C"/>
    <w:rsid w:val="00EA6F9A"/>
    <w:rsid w:val="00EA7E7E"/>
    <w:rsid w:val="00EB1D5B"/>
    <w:rsid w:val="00EB2114"/>
    <w:rsid w:val="00EC1409"/>
    <w:rsid w:val="00EC38C4"/>
    <w:rsid w:val="00EC7142"/>
    <w:rsid w:val="00ED25D8"/>
    <w:rsid w:val="00ED67A9"/>
    <w:rsid w:val="00EE050A"/>
    <w:rsid w:val="00EE18A6"/>
    <w:rsid w:val="00EE18E1"/>
    <w:rsid w:val="00EE39D3"/>
    <w:rsid w:val="00EE485E"/>
    <w:rsid w:val="00EF2B93"/>
    <w:rsid w:val="00EF3627"/>
    <w:rsid w:val="00EF652B"/>
    <w:rsid w:val="00EF73D6"/>
    <w:rsid w:val="00F013F7"/>
    <w:rsid w:val="00F01DC5"/>
    <w:rsid w:val="00F05CAD"/>
    <w:rsid w:val="00F130C3"/>
    <w:rsid w:val="00F22171"/>
    <w:rsid w:val="00F247C9"/>
    <w:rsid w:val="00F30AA1"/>
    <w:rsid w:val="00F32B21"/>
    <w:rsid w:val="00F338D4"/>
    <w:rsid w:val="00F359F5"/>
    <w:rsid w:val="00F35C98"/>
    <w:rsid w:val="00F416BF"/>
    <w:rsid w:val="00F42EE3"/>
    <w:rsid w:val="00F435A6"/>
    <w:rsid w:val="00F523F0"/>
    <w:rsid w:val="00F554FF"/>
    <w:rsid w:val="00F605F8"/>
    <w:rsid w:val="00F61E32"/>
    <w:rsid w:val="00F61EC8"/>
    <w:rsid w:val="00F67C80"/>
    <w:rsid w:val="00F72290"/>
    <w:rsid w:val="00F745A4"/>
    <w:rsid w:val="00F768A8"/>
    <w:rsid w:val="00F77471"/>
    <w:rsid w:val="00F90D74"/>
    <w:rsid w:val="00F91DB0"/>
    <w:rsid w:val="00F9439D"/>
    <w:rsid w:val="00FA4FBA"/>
    <w:rsid w:val="00FA5547"/>
    <w:rsid w:val="00FA7780"/>
    <w:rsid w:val="00FB03A2"/>
    <w:rsid w:val="00FB2264"/>
    <w:rsid w:val="00FB2A62"/>
    <w:rsid w:val="00FB60F1"/>
    <w:rsid w:val="00FB7AD1"/>
    <w:rsid w:val="00FC1475"/>
    <w:rsid w:val="00FC1730"/>
    <w:rsid w:val="00FC631A"/>
    <w:rsid w:val="00FE694D"/>
    <w:rsid w:val="00FF46C0"/>
    <w:rsid w:val="00FF4D17"/>
    <w:rsid w:val="00FF60EF"/>
    <w:rsid w:val="11753BD2"/>
    <w:rsid w:val="1F236BAC"/>
    <w:rsid w:val="39A35D92"/>
    <w:rsid w:val="3C916256"/>
    <w:rsid w:val="404059B2"/>
    <w:rsid w:val="63251ED4"/>
    <w:rsid w:val="68C36416"/>
    <w:rsid w:val="765E20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qFormat="1" w:uiPriority="39" w:semiHidden="0" w:name="toc 7"/>
    <w:lsdException w:uiPriority="39" w:semiHidden="0" w:name="toc 8"/>
    <w:lsdException w:qFormat="1" w:uiPriority="39" w:semiHidden="0"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kern w:val="0"/>
      <w:sz w:val="24"/>
      <w:szCs w:val="24"/>
      <w:lang w:val="en-GB" w:eastAsia="zh-CN" w:bidi="ar-SA"/>
      <w14:ligatures w14:val="standardContextual"/>
    </w:rPr>
  </w:style>
  <w:style w:type="paragraph" w:styleId="2">
    <w:name w:val="heading 1"/>
    <w:basedOn w:val="1"/>
    <w:next w:val="1"/>
    <w:link w:val="22"/>
    <w:qFormat/>
    <w:uiPriority w:val="1"/>
    <w:pPr>
      <w:widowControl w:val="0"/>
      <w:autoSpaceDE w:val="0"/>
      <w:autoSpaceDN w:val="0"/>
      <w:spacing w:before="100" w:beforeLines="100" w:after="100" w:afterLines="100" w:line="480" w:lineRule="auto"/>
      <w:outlineLvl w:val="0"/>
    </w:pPr>
    <w:rPr>
      <w:rFonts w:ascii="Times New Roman Bold" w:hAnsi="Times New Roman Bold" w:eastAsia="Times New Roman Bold"/>
      <w:b/>
      <w:bCs/>
      <w:sz w:val="32"/>
      <w:lang w:val="en-US" w:eastAsia="en-US"/>
    </w:rPr>
  </w:style>
  <w:style w:type="paragraph" w:styleId="3">
    <w:name w:val="heading 2"/>
    <w:basedOn w:val="1"/>
    <w:next w:val="1"/>
    <w:link w:val="23"/>
    <w:unhideWhenUsed/>
    <w:qFormat/>
    <w:uiPriority w:val="0"/>
    <w:pPr>
      <w:keepNext/>
      <w:keepLines/>
      <w:spacing w:before="40"/>
      <w:outlineLvl w:val="1"/>
    </w:pPr>
    <w:rPr>
      <w:rFonts w:eastAsiaTheme="majorEastAsia" w:cstheme="majorBidi"/>
      <w:b/>
      <w:color w:val="000000" w:themeColor="text1"/>
      <w:kern w:val="2"/>
      <w:sz w:val="28"/>
      <w:szCs w:val="26"/>
      <w14:textFill>
        <w14:solidFill>
          <w14:schemeClr w14:val="tx1"/>
        </w14:solidFill>
      </w14:textFill>
    </w:rPr>
  </w:style>
  <w:style w:type="paragraph" w:styleId="4">
    <w:name w:val="heading 3"/>
    <w:basedOn w:val="1"/>
    <w:next w:val="1"/>
    <w:link w:val="24"/>
    <w:unhideWhenUsed/>
    <w:qFormat/>
    <w:uiPriority w:val="0"/>
    <w:pPr>
      <w:keepNext/>
      <w:keepLines/>
      <w:spacing w:before="40" w:line="480" w:lineRule="auto"/>
      <w:outlineLvl w:val="2"/>
    </w:pPr>
    <w:rPr>
      <w:rFonts w:eastAsiaTheme="majorEastAsia" w:cstheme="majorBidi"/>
      <w:b/>
      <w:color w:val="000000" w:themeColor="text1"/>
      <w:kern w:val="2"/>
      <w14:textFill>
        <w14:solidFill>
          <w14:schemeClr w14:val="tx1"/>
        </w14:solidFill>
      </w14:textFill>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440"/>
    </w:pPr>
    <w:rPr>
      <w:rFonts w:cstheme="minorHAnsi"/>
      <w:sz w:val="20"/>
      <w:szCs w:val="20"/>
    </w:rPr>
  </w:style>
  <w:style w:type="paragraph" w:styleId="6">
    <w:name w:val="toc 5"/>
    <w:basedOn w:val="1"/>
    <w:next w:val="1"/>
    <w:unhideWhenUsed/>
    <w:uiPriority w:val="39"/>
    <w:pPr>
      <w:ind w:left="960"/>
    </w:pPr>
    <w:rPr>
      <w:rFonts w:cstheme="minorHAnsi"/>
      <w:sz w:val="20"/>
      <w:szCs w:val="20"/>
    </w:rPr>
  </w:style>
  <w:style w:type="paragraph" w:styleId="7">
    <w:name w:val="toc 3"/>
    <w:basedOn w:val="1"/>
    <w:next w:val="1"/>
    <w:unhideWhenUsed/>
    <w:qFormat/>
    <w:uiPriority w:val="39"/>
    <w:pPr>
      <w:ind w:left="480"/>
    </w:pPr>
    <w:rPr>
      <w:rFonts w:cstheme="minorHAnsi"/>
      <w:sz w:val="20"/>
      <w:szCs w:val="20"/>
    </w:rPr>
  </w:style>
  <w:style w:type="paragraph" w:styleId="8">
    <w:name w:val="toc 8"/>
    <w:basedOn w:val="1"/>
    <w:next w:val="1"/>
    <w:unhideWhenUsed/>
    <w:uiPriority w:val="39"/>
    <w:pPr>
      <w:ind w:left="1680"/>
    </w:pPr>
    <w:rPr>
      <w:rFonts w:cstheme="minorHAnsi"/>
      <w:sz w:val="20"/>
      <w:szCs w:val="20"/>
    </w:rPr>
  </w:style>
  <w:style w:type="paragraph" w:styleId="9">
    <w:name w:val="footer"/>
    <w:basedOn w:val="1"/>
    <w:link w:val="32"/>
    <w:unhideWhenUsed/>
    <w:qFormat/>
    <w:uiPriority w:val="99"/>
    <w:pPr>
      <w:tabs>
        <w:tab w:val="center" w:pos="4513"/>
        <w:tab w:val="right" w:pos="9026"/>
      </w:tabs>
    </w:pPr>
  </w:style>
  <w:style w:type="paragraph" w:styleId="10">
    <w:name w:val="header"/>
    <w:basedOn w:val="1"/>
    <w:link w:val="34"/>
    <w:unhideWhenUsed/>
    <w:uiPriority w:val="99"/>
    <w:pPr>
      <w:tabs>
        <w:tab w:val="center" w:pos="4153"/>
        <w:tab w:val="right" w:pos="8306"/>
      </w:tabs>
      <w:snapToGrid w:val="0"/>
      <w:jc w:val="center"/>
    </w:pPr>
    <w:rPr>
      <w:sz w:val="18"/>
      <w:szCs w:val="18"/>
    </w:rPr>
  </w:style>
  <w:style w:type="paragraph" w:styleId="11">
    <w:name w:val="toc 1"/>
    <w:basedOn w:val="1"/>
    <w:next w:val="1"/>
    <w:unhideWhenUsed/>
    <w:uiPriority w:val="39"/>
    <w:pPr>
      <w:spacing w:before="120"/>
    </w:pPr>
    <w:rPr>
      <w:rFonts w:cstheme="minorHAnsi"/>
      <w:b/>
      <w:bCs/>
      <w:i/>
      <w:iCs/>
    </w:rPr>
  </w:style>
  <w:style w:type="paragraph" w:styleId="12">
    <w:name w:val="toc 4"/>
    <w:basedOn w:val="1"/>
    <w:next w:val="1"/>
    <w:unhideWhenUsed/>
    <w:uiPriority w:val="39"/>
    <w:pPr>
      <w:ind w:left="720"/>
    </w:pPr>
    <w:rPr>
      <w:rFonts w:cstheme="minorHAnsi"/>
      <w:sz w:val="20"/>
      <w:szCs w:val="20"/>
    </w:rPr>
  </w:style>
  <w:style w:type="paragraph" w:styleId="13">
    <w:name w:val="toc 6"/>
    <w:basedOn w:val="1"/>
    <w:next w:val="1"/>
    <w:unhideWhenUsed/>
    <w:uiPriority w:val="39"/>
    <w:pPr>
      <w:ind w:left="1200"/>
    </w:pPr>
    <w:rPr>
      <w:rFonts w:cstheme="minorHAnsi"/>
      <w:sz w:val="20"/>
      <w:szCs w:val="20"/>
    </w:rPr>
  </w:style>
  <w:style w:type="paragraph" w:styleId="14">
    <w:name w:val="toc 2"/>
    <w:basedOn w:val="1"/>
    <w:next w:val="1"/>
    <w:unhideWhenUsed/>
    <w:qFormat/>
    <w:uiPriority w:val="39"/>
    <w:pPr>
      <w:spacing w:before="120"/>
      <w:ind w:left="240"/>
    </w:pPr>
    <w:rPr>
      <w:rFonts w:cstheme="minorHAnsi"/>
      <w:b/>
      <w:bCs/>
      <w:sz w:val="22"/>
      <w:szCs w:val="22"/>
    </w:rPr>
  </w:style>
  <w:style w:type="paragraph" w:styleId="15">
    <w:name w:val="toc 9"/>
    <w:basedOn w:val="1"/>
    <w:next w:val="1"/>
    <w:unhideWhenUsed/>
    <w:qFormat/>
    <w:uiPriority w:val="39"/>
    <w:pPr>
      <w:ind w:left="1920"/>
    </w:pPr>
    <w:rPr>
      <w:rFonts w:cstheme="minorHAnsi"/>
      <w:sz w:val="20"/>
      <w:szCs w:val="20"/>
    </w:rPr>
  </w:style>
  <w:style w:type="paragraph" w:styleId="16">
    <w:name w:val="Normal (Web)"/>
    <w:basedOn w:val="1"/>
    <w:semiHidden/>
    <w:unhideWhenUsed/>
    <w:uiPriority w:val="99"/>
    <w:pPr>
      <w:spacing w:before="100" w:beforeAutospacing="1" w:after="100" w:afterAutospacing="1"/>
    </w:pPr>
    <w:rPr>
      <w:rFonts w:ascii="Times New Roman" w:hAnsi="Times New Roman" w:eastAsia="Times New Roman" w:cs="Times New Roman"/>
    </w:rPr>
  </w:style>
  <w:style w:type="character" w:styleId="19">
    <w:name w:val="Strong"/>
    <w:basedOn w:val="18"/>
    <w:qFormat/>
    <w:uiPriority w:val="22"/>
    <w:rPr>
      <w:b/>
      <w:bCs/>
    </w:rPr>
  </w:style>
  <w:style w:type="character" w:styleId="20">
    <w:name w:val="page number"/>
    <w:basedOn w:val="18"/>
    <w:semiHidden/>
    <w:unhideWhenUsed/>
    <w:qFormat/>
    <w:uiPriority w:val="99"/>
  </w:style>
  <w:style w:type="character" w:styleId="21">
    <w:name w:val="Hyperlink"/>
    <w:basedOn w:val="18"/>
    <w:unhideWhenUsed/>
    <w:qFormat/>
    <w:uiPriority w:val="99"/>
    <w:rPr>
      <w:color w:val="0563C1" w:themeColor="hyperlink"/>
      <w:u w:val="single"/>
      <w14:textFill>
        <w14:solidFill>
          <w14:schemeClr w14:val="hlink"/>
        </w14:solidFill>
      </w14:textFill>
    </w:rPr>
  </w:style>
  <w:style w:type="character" w:customStyle="1" w:styleId="22">
    <w:name w:val="标题 1 字符"/>
    <w:link w:val="2"/>
    <w:qFormat/>
    <w:uiPriority w:val="1"/>
    <w:rPr>
      <w:rFonts w:ascii="Times New Roman Bold" w:hAnsi="Times New Roman Bold" w:eastAsia="Times New Roman Bold"/>
      <w:b/>
      <w:bCs/>
      <w:kern w:val="0"/>
      <w:sz w:val="32"/>
      <w:lang w:val="en-US" w:eastAsia="en-US"/>
    </w:rPr>
  </w:style>
  <w:style w:type="character" w:customStyle="1" w:styleId="23">
    <w:name w:val="标题 2 字符"/>
    <w:basedOn w:val="18"/>
    <w:link w:val="3"/>
    <w:qFormat/>
    <w:uiPriority w:val="0"/>
    <w:rPr>
      <w:rFonts w:eastAsiaTheme="majorEastAsia" w:cstheme="majorBidi"/>
      <w:b/>
      <w:color w:val="000000" w:themeColor="text1"/>
      <w:sz w:val="28"/>
      <w:szCs w:val="26"/>
      <w14:textFill>
        <w14:solidFill>
          <w14:schemeClr w14:val="tx1"/>
        </w14:solidFill>
      </w14:textFill>
    </w:rPr>
  </w:style>
  <w:style w:type="character" w:customStyle="1" w:styleId="24">
    <w:name w:val="标题 3 字符"/>
    <w:basedOn w:val="18"/>
    <w:link w:val="4"/>
    <w:qFormat/>
    <w:uiPriority w:val="0"/>
    <w:rPr>
      <w:rFonts w:eastAsiaTheme="majorEastAsia" w:cstheme="majorBidi"/>
      <w:b/>
      <w:color w:val="000000" w:themeColor="text1"/>
      <w14:textFill>
        <w14:solidFill>
          <w14:schemeClr w14:val="tx1"/>
        </w14:solidFill>
      </w14:textFill>
    </w:rPr>
  </w:style>
  <w:style w:type="paragraph" w:styleId="25">
    <w:name w:val="No Spacing"/>
    <w:qFormat/>
    <w:uiPriority w:val="1"/>
    <w:rPr>
      <w:rFonts w:asciiTheme="minorHAnsi" w:hAnsiTheme="minorHAnsi" w:eastAsiaTheme="minorEastAsia" w:cstheme="minorBidi"/>
      <w:b/>
      <w:kern w:val="0"/>
      <w:sz w:val="24"/>
      <w:szCs w:val="24"/>
      <w:lang w:val="en-GB" w:eastAsia="zh-CN" w:bidi="ar-SA"/>
      <w14:ligatures w14:val="standardContextual"/>
    </w:rPr>
  </w:style>
  <w:style w:type="paragraph" w:customStyle="1" w:styleId="26">
    <w:name w:val="EndNote Bibliography Title"/>
    <w:basedOn w:val="1"/>
    <w:link w:val="27"/>
    <w:qFormat/>
    <w:uiPriority w:val="0"/>
    <w:pPr>
      <w:jc w:val="center"/>
    </w:pPr>
    <w:rPr>
      <w:rFonts w:ascii="Times New Roman" w:hAnsi="Times New Roman" w:cs="Times New Roman"/>
    </w:rPr>
  </w:style>
  <w:style w:type="character" w:customStyle="1" w:styleId="27">
    <w:name w:val="EndNote Bibliography Title Char"/>
    <w:basedOn w:val="18"/>
    <w:link w:val="26"/>
    <w:qFormat/>
    <w:uiPriority w:val="0"/>
    <w:rPr>
      <w:rFonts w:ascii="Times New Roman" w:hAnsi="Times New Roman" w:cs="Times New Roman"/>
      <w:kern w:val="0"/>
    </w:rPr>
  </w:style>
  <w:style w:type="paragraph" w:customStyle="1" w:styleId="28">
    <w:name w:val="EndNote Bibliography"/>
    <w:basedOn w:val="1"/>
    <w:link w:val="29"/>
    <w:qFormat/>
    <w:uiPriority w:val="0"/>
    <w:pPr>
      <w:spacing w:line="480" w:lineRule="auto"/>
    </w:pPr>
    <w:rPr>
      <w:rFonts w:ascii="Times New Roman" w:hAnsi="Times New Roman" w:cs="Times New Roman"/>
    </w:rPr>
  </w:style>
  <w:style w:type="character" w:customStyle="1" w:styleId="29">
    <w:name w:val="EndNote Bibliography Char"/>
    <w:basedOn w:val="18"/>
    <w:link w:val="28"/>
    <w:qFormat/>
    <w:uiPriority w:val="0"/>
    <w:rPr>
      <w:rFonts w:ascii="Times New Roman" w:hAnsi="Times New Roman" w:cs="Times New Roman"/>
      <w:kern w:val="0"/>
    </w:rPr>
  </w:style>
  <w:style w:type="paragraph" w:styleId="30">
    <w:name w:val="List Paragraph"/>
    <w:basedOn w:val="1"/>
    <w:qFormat/>
    <w:uiPriority w:val="34"/>
    <w:pPr>
      <w:ind w:left="720"/>
      <w:contextualSpacing/>
    </w:pPr>
  </w:style>
  <w:style w:type="paragraph" w:customStyle="1" w:styleId="31">
    <w:name w:val="TOC Heading"/>
    <w:basedOn w:val="2"/>
    <w:next w:val="1"/>
    <w:unhideWhenUsed/>
    <w:qFormat/>
    <w:uiPriority w:val="39"/>
    <w:pPr>
      <w:keepNext/>
      <w:keepLines/>
      <w:widowControl/>
      <w:autoSpaceDE/>
      <w:autoSpaceDN/>
      <w:spacing w:before="480" w:beforeLines="0" w:after="0" w:afterLines="0" w:line="276" w:lineRule="auto"/>
      <w:outlineLvl w:val="9"/>
    </w:pPr>
    <w:rPr>
      <w:rFonts w:asciiTheme="majorHAnsi" w:hAnsiTheme="majorHAnsi" w:eastAsiaTheme="majorEastAsia" w:cstheme="majorBidi"/>
      <w:color w:val="2F5597" w:themeColor="accent1" w:themeShade="BF"/>
      <w:sz w:val="28"/>
      <w:szCs w:val="28"/>
    </w:rPr>
  </w:style>
  <w:style w:type="character" w:customStyle="1" w:styleId="32">
    <w:name w:val="页脚 字符"/>
    <w:basedOn w:val="18"/>
    <w:link w:val="9"/>
    <w:qFormat/>
    <w:uiPriority w:val="99"/>
    <w:rPr>
      <w:kern w:val="0"/>
    </w:rPr>
  </w:style>
  <w:style w:type="character" w:customStyle="1" w:styleId="33">
    <w:name w:val="Unresolved Mention"/>
    <w:basedOn w:val="18"/>
    <w:semiHidden/>
    <w:unhideWhenUsed/>
    <w:qFormat/>
    <w:uiPriority w:val="99"/>
    <w:rPr>
      <w:color w:val="605E5C"/>
      <w:shd w:val="clear" w:color="auto" w:fill="E1DFDD"/>
    </w:rPr>
  </w:style>
  <w:style w:type="character" w:customStyle="1" w:styleId="34">
    <w:name w:val="页眉 字符"/>
    <w:basedOn w:val="18"/>
    <w:link w:val="10"/>
    <w:qFormat/>
    <w:uiPriority w:val="99"/>
    <w:rPr>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24B30-56D2-A341-AB97-80562D966A7B}">
  <ds:schemaRefs/>
</ds:datastoreItem>
</file>

<file path=docProps/app.xml><?xml version="1.0" encoding="utf-8"?>
<Properties xmlns="http://schemas.openxmlformats.org/officeDocument/2006/extended-properties" xmlns:vt="http://schemas.openxmlformats.org/officeDocument/2006/docPropsVTypes">
  <Template>Normal.dotm</Template>
  <Pages>87</Pages>
  <Words>39369</Words>
  <Characters>224404</Characters>
  <Lines>1870</Lines>
  <Paragraphs>526</Paragraphs>
  <TotalTime>16</TotalTime>
  <ScaleCrop>false</ScaleCrop>
  <LinksUpToDate>false</LinksUpToDate>
  <CharactersWithSpaces>263247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2023-10-08T04:22:00Z</dcterms:created>
  <dc:creator>teacher</dc:creator>
  <cp:lastModifiedBy>莫名君</cp:lastModifiedBy>
  <dcterms:modified xsi:type="dcterms:W3CDTF">2023-11-30T15:12:14Z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33EB9E6C3B9D479985050CF4F23CBF5E_12</vt:lpwstr>
  </property>
</Properties>
</file>