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BCFDFF7" w14:textId="532F1234" w:rsidR="0098194F" w:rsidRPr="00B3140B" w:rsidRDefault="00F05221" w:rsidP="00B3140B">
      <w:pPr>
        <w:spacing w:line="360" w:lineRule="auto"/>
        <w:jc w:val="center"/>
        <w:rPr>
          <w:rFonts w:ascii="Times New Roman" w:hAnsi="Times New Roman" w:cs="Times New Roman"/>
          <w:b/>
          <w:bCs/>
          <w:sz w:val="32"/>
          <w:szCs w:val="32"/>
        </w:rPr>
      </w:pPr>
      <w:r w:rsidRPr="00B3140B">
        <w:rPr>
          <w:rFonts w:ascii="Times New Roman" w:hAnsi="Times New Roman" w:cs="Times New Roman"/>
          <w:b/>
          <w:bCs/>
          <w:noProof/>
          <w:sz w:val="32"/>
          <w:szCs w:val="32"/>
        </w:rPr>
        <w:drawing>
          <wp:inline distT="0" distB="0" distL="0" distR="0" wp14:anchorId="4FDA285C" wp14:editId="7F4B3898">
            <wp:extent cx="5806943" cy="777307"/>
            <wp:effectExtent l="0" t="0" r="3810" b="3810"/>
            <wp:docPr id="67978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82524" name=""/>
                    <pic:cNvPicPr/>
                  </pic:nvPicPr>
                  <pic:blipFill>
                    <a:blip r:embed="rId7"/>
                    <a:stretch>
                      <a:fillRect/>
                    </a:stretch>
                  </pic:blipFill>
                  <pic:spPr>
                    <a:xfrm>
                      <a:off x="0" y="0"/>
                      <a:ext cx="5806943" cy="777307"/>
                    </a:xfrm>
                    <a:prstGeom prst="rect">
                      <a:avLst/>
                    </a:prstGeom>
                  </pic:spPr>
                </pic:pic>
              </a:graphicData>
            </a:graphic>
          </wp:inline>
        </w:drawing>
      </w:r>
    </w:p>
    <w:p w14:paraId="7AA6050A" w14:textId="77777777" w:rsidR="0015416E" w:rsidRDefault="0015416E" w:rsidP="005716FF">
      <w:pPr>
        <w:spacing w:line="360" w:lineRule="auto"/>
        <w:jc w:val="center"/>
        <w:rPr>
          <w:rFonts w:ascii="Arial" w:hAnsi="Arial" w:cs="Arial"/>
          <w:b/>
          <w:bCs/>
        </w:rPr>
      </w:pPr>
    </w:p>
    <w:p w14:paraId="2D508AC5" w14:textId="77777777" w:rsidR="0015416E" w:rsidRDefault="0015416E" w:rsidP="005716FF">
      <w:pPr>
        <w:spacing w:line="360" w:lineRule="auto"/>
        <w:jc w:val="center"/>
        <w:rPr>
          <w:rFonts w:ascii="Arial" w:hAnsi="Arial" w:cs="Arial"/>
          <w:b/>
          <w:bCs/>
        </w:rPr>
      </w:pPr>
    </w:p>
    <w:p w14:paraId="2627E840" w14:textId="4E1C4359" w:rsidR="00F05221" w:rsidRPr="00CD541C" w:rsidRDefault="00F05221" w:rsidP="005716FF">
      <w:pPr>
        <w:spacing w:line="360" w:lineRule="auto"/>
        <w:jc w:val="center"/>
        <w:rPr>
          <w:rFonts w:ascii="Arial" w:hAnsi="Arial" w:cs="Arial"/>
          <w:b/>
          <w:bCs/>
        </w:rPr>
      </w:pPr>
      <w:proofErr w:type="spellStart"/>
      <w:r w:rsidRPr="00CD541C">
        <w:rPr>
          <w:rFonts w:ascii="Arial" w:hAnsi="Arial" w:cs="Arial"/>
          <w:b/>
          <w:bCs/>
        </w:rPr>
        <w:t>Programme</w:t>
      </w:r>
      <w:proofErr w:type="spellEnd"/>
      <w:r w:rsidRPr="00CD541C">
        <w:rPr>
          <w:rFonts w:ascii="Arial" w:hAnsi="Arial" w:cs="Arial"/>
          <w:b/>
          <w:bCs/>
        </w:rPr>
        <w:t xml:space="preserve">: </w:t>
      </w:r>
      <w:proofErr w:type="spellStart"/>
      <w:r w:rsidRPr="00CD541C">
        <w:rPr>
          <w:rFonts w:ascii="Arial" w:hAnsi="Arial" w:cs="Arial"/>
          <w:b/>
          <w:bCs/>
        </w:rPr>
        <w:t>BSc</w:t>
      </w:r>
      <w:proofErr w:type="spellEnd"/>
      <w:r w:rsidRPr="00CD541C">
        <w:rPr>
          <w:rFonts w:ascii="Arial" w:hAnsi="Arial" w:cs="Arial"/>
          <w:b/>
          <w:bCs/>
        </w:rPr>
        <w:t xml:space="preserve"> (</w:t>
      </w:r>
      <w:proofErr w:type="spellStart"/>
      <w:r w:rsidRPr="00CD541C">
        <w:rPr>
          <w:rFonts w:ascii="Arial" w:hAnsi="Arial" w:cs="Arial"/>
          <w:b/>
          <w:bCs/>
        </w:rPr>
        <w:t>Hons</w:t>
      </w:r>
      <w:proofErr w:type="spellEnd"/>
      <w:r w:rsidRPr="00CD541C">
        <w:rPr>
          <w:rFonts w:ascii="Arial" w:hAnsi="Arial" w:cs="Arial"/>
          <w:b/>
          <w:bCs/>
        </w:rPr>
        <w:t>) Health and Social Car</w:t>
      </w:r>
      <w:r w:rsidR="00C22C40" w:rsidRPr="00CD541C">
        <w:rPr>
          <w:rFonts w:ascii="Arial" w:hAnsi="Arial" w:cs="Arial"/>
          <w:b/>
          <w:bCs/>
        </w:rPr>
        <w:t>e</w:t>
      </w:r>
    </w:p>
    <w:p w14:paraId="6405B21E" w14:textId="77777777" w:rsidR="00F05221" w:rsidRPr="00CD541C" w:rsidRDefault="00F05221" w:rsidP="005716FF">
      <w:pPr>
        <w:spacing w:line="360" w:lineRule="auto"/>
        <w:jc w:val="center"/>
        <w:rPr>
          <w:rFonts w:ascii="Arial" w:hAnsi="Arial" w:cs="Arial"/>
          <w:b/>
          <w:bCs/>
        </w:rPr>
      </w:pPr>
      <w:r w:rsidRPr="00CD541C">
        <w:rPr>
          <w:rFonts w:ascii="Arial" w:hAnsi="Arial" w:cs="Arial"/>
          <w:b/>
          <w:bCs/>
        </w:rPr>
        <w:t>Module: Changemakers: Creativity and Value Creation</w:t>
      </w:r>
    </w:p>
    <w:p w14:paraId="09BC9C05" w14:textId="046A6E2A" w:rsidR="00F05221" w:rsidRPr="00CD541C" w:rsidRDefault="00F05221" w:rsidP="005716FF">
      <w:pPr>
        <w:spacing w:line="360" w:lineRule="auto"/>
        <w:jc w:val="center"/>
        <w:rPr>
          <w:rFonts w:ascii="Arial" w:hAnsi="Arial" w:cs="Arial"/>
          <w:b/>
          <w:bCs/>
        </w:rPr>
      </w:pPr>
      <w:r w:rsidRPr="00CD541C">
        <w:rPr>
          <w:rFonts w:ascii="Arial" w:hAnsi="Arial" w:cs="Arial"/>
          <w:b/>
          <w:bCs/>
        </w:rPr>
        <w:t>Module code: BMHP5014</w:t>
      </w:r>
    </w:p>
    <w:p w14:paraId="4BA58CFD" w14:textId="4CB1FADA" w:rsidR="00F05221" w:rsidRPr="00CD541C" w:rsidRDefault="00F05221" w:rsidP="005716FF">
      <w:pPr>
        <w:spacing w:line="360" w:lineRule="auto"/>
        <w:jc w:val="center"/>
        <w:rPr>
          <w:rFonts w:ascii="Arial" w:hAnsi="Arial" w:cs="Arial"/>
          <w:b/>
          <w:bCs/>
        </w:rPr>
      </w:pPr>
      <w:r w:rsidRPr="00CD541C">
        <w:rPr>
          <w:rFonts w:ascii="Arial" w:hAnsi="Arial" w:cs="Arial"/>
          <w:b/>
          <w:bCs/>
        </w:rPr>
        <w:t>MindCare Connect: An AI-Powered Mental Health Support Platform for University Students in the UK</w:t>
      </w:r>
    </w:p>
    <w:p w14:paraId="091F81A7" w14:textId="19C24EDA" w:rsidR="00CD541C" w:rsidRPr="00CD541C" w:rsidRDefault="00CD541C" w:rsidP="005716FF">
      <w:pPr>
        <w:spacing w:line="360" w:lineRule="auto"/>
        <w:jc w:val="center"/>
        <w:rPr>
          <w:rFonts w:ascii="Arial" w:eastAsia="Aptos" w:hAnsi="Arial" w:cs="Arial"/>
          <w:b/>
          <w:bCs/>
          <w:color w:val="1D2125"/>
          <w:lang w:val="en-GB"/>
          <w14:ligatures w14:val="none"/>
        </w:rPr>
      </w:pPr>
      <w:r w:rsidRPr="00CD541C">
        <w:rPr>
          <w:rFonts w:ascii="Arial" w:eastAsia="Aptos" w:hAnsi="Arial" w:cs="Arial"/>
          <w:b/>
          <w:bCs/>
          <w:color w:val="1D2125"/>
          <w:lang w:val="en-GB"/>
          <w14:ligatures w14:val="none"/>
        </w:rPr>
        <w:t xml:space="preserve">Student name: </w:t>
      </w:r>
      <w:proofErr w:type="spellStart"/>
      <w:r w:rsidRPr="00CD541C">
        <w:rPr>
          <w:rFonts w:ascii="Arial" w:eastAsia="Aptos" w:hAnsi="Arial" w:cs="Arial"/>
          <w:b/>
          <w:bCs/>
          <w:color w:val="1D2125"/>
          <w:lang w:val="en-GB"/>
          <w14:ligatures w14:val="none"/>
        </w:rPr>
        <w:t>Nicoleta-Gianina</w:t>
      </w:r>
      <w:proofErr w:type="spellEnd"/>
      <w:r w:rsidRPr="00CD541C">
        <w:rPr>
          <w:rFonts w:ascii="Arial" w:eastAsia="Aptos" w:hAnsi="Arial" w:cs="Arial"/>
          <w:b/>
          <w:bCs/>
          <w:color w:val="1D2125"/>
          <w:lang w:val="en-GB"/>
          <w14:ligatures w14:val="none"/>
        </w:rPr>
        <w:t xml:space="preserve"> </w:t>
      </w:r>
      <w:proofErr w:type="spellStart"/>
      <w:r w:rsidRPr="00CD541C">
        <w:rPr>
          <w:rFonts w:ascii="Arial" w:eastAsia="Aptos" w:hAnsi="Arial" w:cs="Arial"/>
          <w:b/>
          <w:bCs/>
          <w:color w:val="1D2125"/>
          <w:lang w:val="en-GB"/>
          <w14:ligatures w14:val="none"/>
        </w:rPr>
        <w:t>Abiaboeru</w:t>
      </w:r>
      <w:proofErr w:type="spellEnd"/>
    </w:p>
    <w:p w14:paraId="18BD99B2" w14:textId="77777777" w:rsidR="00CD541C" w:rsidRPr="00CD541C" w:rsidRDefault="00CD541C" w:rsidP="005716FF">
      <w:pPr>
        <w:spacing w:line="360" w:lineRule="auto"/>
        <w:jc w:val="center"/>
        <w:rPr>
          <w:rFonts w:ascii="Arial" w:eastAsia="Aptos" w:hAnsi="Arial" w:cs="Arial"/>
          <w:b/>
          <w:bCs/>
          <w:color w:val="1D2125"/>
          <w:lang w:val="en-GB"/>
          <w14:ligatures w14:val="none"/>
        </w:rPr>
      </w:pPr>
      <w:r w:rsidRPr="00CD541C">
        <w:rPr>
          <w:rFonts w:ascii="Arial" w:eastAsia="Aptos" w:hAnsi="Arial" w:cs="Arial"/>
          <w:b/>
          <w:bCs/>
          <w:color w:val="1D2125"/>
          <w:lang w:val="en-GB"/>
          <w14:ligatures w14:val="none"/>
        </w:rPr>
        <w:t>Student number: 2527024</w:t>
      </w:r>
    </w:p>
    <w:p w14:paraId="3CBDF3B7" w14:textId="77777777" w:rsidR="00CD541C" w:rsidRPr="00CD541C" w:rsidRDefault="00CD541C" w:rsidP="005716FF">
      <w:pPr>
        <w:spacing w:line="360" w:lineRule="auto"/>
        <w:jc w:val="center"/>
        <w:rPr>
          <w:rFonts w:ascii="Arial" w:eastAsia="Aptos" w:hAnsi="Arial" w:cs="Arial"/>
          <w:b/>
          <w:bCs/>
          <w:color w:val="1D2125"/>
          <w:lang w:val="en-GB"/>
          <w14:ligatures w14:val="none"/>
        </w:rPr>
      </w:pPr>
      <w:r w:rsidRPr="00CD541C">
        <w:rPr>
          <w:rFonts w:ascii="Arial" w:eastAsia="Aptos" w:hAnsi="Arial" w:cs="Arial"/>
          <w:b/>
          <w:bCs/>
          <w:color w:val="1D2125"/>
          <w:lang w:val="en-GB"/>
          <w14:ligatures w14:val="none"/>
        </w:rPr>
        <w:t xml:space="preserve">Lecturer’s name: </w:t>
      </w:r>
      <w:proofErr w:type="spellStart"/>
      <w:r w:rsidRPr="00CD541C">
        <w:rPr>
          <w:rFonts w:ascii="Arial" w:eastAsia="Times New Roman" w:hAnsi="Arial" w:cs="Arial"/>
          <w:b/>
          <w:bCs/>
          <w:color w:val="1D2125"/>
          <w:kern w:val="0"/>
          <w:shd w:val="clear" w:color="auto" w:fill="FFFFFF"/>
          <w:lang w:val="en-GB" w:eastAsia="en-GB"/>
          <w14:ligatures w14:val="none"/>
        </w:rPr>
        <w:t>Soban</w:t>
      </w:r>
      <w:proofErr w:type="spellEnd"/>
      <w:r w:rsidRPr="00CD541C">
        <w:rPr>
          <w:rFonts w:ascii="Arial" w:eastAsia="Times New Roman" w:hAnsi="Arial" w:cs="Arial"/>
          <w:b/>
          <w:bCs/>
          <w:color w:val="1D2125"/>
          <w:kern w:val="0"/>
          <w:shd w:val="clear" w:color="auto" w:fill="FFFFFF"/>
          <w:lang w:val="en-GB" w:eastAsia="en-GB"/>
          <w14:ligatures w14:val="none"/>
        </w:rPr>
        <w:t xml:space="preserve"> Sadiq</w:t>
      </w:r>
    </w:p>
    <w:p w14:paraId="5E3B9A35" w14:textId="77777777" w:rsidR="00CD541C" w:rsidRPr="00CD541C" w:rsidRDefault="00CD541C" w:rsidP="005716FF">
      <w:pPr>
        <w:spacing w:line="360" w:lineRule="auto"/>
        <w:jc w:val="center"/>
        <w:rPr>
          <w:rFonts w:ascii="Arial" w:eastAsia="Aptos" w:hAnsi="Arial" w:cs="Arial"/>
          <w:lang w:val="en-GB"/>
          <w14:ligatures w14:val="none"/>
        </w:rPr>
      </w:pPr>
    </w:p>
    <w:p w14:paraId="2F97BE38" w14:textId="77777777" w:rsidR="00CD541C" w:rsidRPr="00CD541C" w:rsidRDefault="00CD541C" w:rsidP="005716FF">
      <w:pPr>
        <w:spacing w:after="0" w:line="360" w:lineRule="auto"/>
        <w:jc w:val="center"/>
        <w:rPr>
          <w:rFonts w:ascii="Arial" w:eastAsia="Times New Roman" w:hAnsi="Arial" w:cs="Arial"/>
          <w:kern w:val="0"/>
          <w:lang w:val="en-GB" w:eastAsia="en-GB"/>
          <w14:ligatures w14:val="none"/>
        </w:rPr>
      </w:pPr>
    </w:p>
    <w:p w14:paraId="6B693173" w14:textId="77777777" w:rsidR="00CD541C" w:rsidRPr="00CD541C" w:rsidRDefault="00CD541C" w:rsidP="005716FF">
      <w:pPr>
        <w:spacing w:after="0" w:line="360" w:lineRule="auto"/>
        <w:jc w:val="center"/>
        <w:rPr>
          <w:rFonts w:ascii="Arial" w:eastAsia="Times New Roman" w:hAnsi="Arial" w:cs="Arial"/>
          <w:kern w:val="0"/>
          <w:lang w:val="en-GB" w:eastAsia="en-GB"/>
          <w14:ligatures w14:val="none"/>
        </w:rPr>
      </w:pPr>
      <w:r w:rsidRPr="00CD541C">
        <w:rPr>
          <w:rFonts w:ascii="Arial" w:eastAsia="Times New Roman" w:hAnsi="Arial" w:cs="Arial"/>
          <w:kern w:val="0"/>
          <w:lang w:val="en-GB" w:eastAsia="en-GB"/>
          <w14:ligatures w14:val="none"/>
        </w:rPr>
        <w:br w:type="page"/>
      </w:r>
    </w:p>
    <w:p w14:paraId="62F16C03" w14:textId="5A0292DB" w:rsidR="00F05221" w:rsidRPr="00B3140B" w:rsidRDefault="00BA7463" w:rsidP="00B3140B">
      <w:pPr>
        <w:spacing w:line="360" w:lineRule="auto"/>
        <w:jc w:val="both"/>
        <w:rPr>
          <w:rFonts w:ascii="Times New Roman" w:hAnsi="Times New Roman" w:cs="Times New Roman"/>
        </w:rPr>
      </w:pPr>
      <w:r>
        <w:rPr>
          <w:rFonts w:ascii="Arial" w:hAnsi="Arial" w:cs="Arial"/>
          <w:b/>
          <w:bCs/>
          <w:noProof/>
        </w:rPr>
        <w:lastRenderedPageBreak/>
        <w:drawing>
          <wp:anchor distT="0" distB="0" distL="114300" distR="114300" simplePos="0" relativeHeight="251659264" behindDoc="0" locked="0" layoutInCell="1" allowOverlap="1" wp14:anchorId="21525E5A" wp14:editId="43786ED8">
            <wp:simplePos x="0" y="0"/>
            <wp:positionH relativeFrom="column">
              <wp:posOffset>52578</wp:posOffset>
            </wp:positionH>
            <wp:positionV relativeFrom="paragraph">
              <wp:posOffset>364490</wp:posOffset>
            </wp:positionV>
            <wp:extent cx="5943600" cy="3258820"/>
            <wp:effectExtent l="0" t="0" r="0" b="5080"/>
            <wp:wrapTopAndBottom/>
            <wp:docPr id="339000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000766" name="Picture 33900076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258820"/>
                    </a:xfrm>
                    <a:prstGeom prst="rect">
                      <a:avLst/>
                    </a:prstGeom>
                  </pic:spPr>
                </pic:pic>
              </a:graphicData>
            </a:graphic>
          </wp:anchor>
        </w:drawing>
      </w:r>
    </w:p>
    <w:p w14:paraId="7FC77D7E" w14:textId="77777777" w:rsidR="00C10044" w:rsidRDefault="00C10044" w:rsidP="00B426F8">
      <w:pPr>
        <w:spacing w:line="360" w:lineRule="auto"/>
        <w:jc w:val="center"/>
        <w:rPr>
          <w:rFonts w:ascii="Arial" w:hAnsi="Arial" w:cs="Arial"/>
          <w:b/>
          <w:bCs/>
        </w:rPr>
      </w:pPr>
    </w:p>
    <w:p w14:paraId="4854A372" w14:textId="4A858837" w:rsidR="00F05221" w:rsidRPr="00A020DA" w:rsidRDefault="002E06C3" w:rsidP="00B426F8">
      <w:pPr>
        <w:spacing w:line="360" w:lineRule="auto"/>
        <w:jc w:val="center"/>
        <w:rPr>
          <w:rFonts w:ascii="Arial" w:hAnsi="Arial" w:cs="Arial"/>
          <w:b/>
          <w:bCs/>
        </w:rPr>
      </w:pPr>
      <w:r w:rsidRPr="00A020DA">
        <w:rPr>
          <w:rFonts w:ascii="Arial" w:hAnsi="Arial" w:cs="Arial"/>
          <w:b/>
          <w:bCs/>
        </w:rPr>
        <w:t>PITCH</w:t>
      </w:r>
    </w:p>
    <w:p w14:paraId="59DFB5CC" w14:textId="77777777" w:rsidR="002E06C3" w:rsidRPr="00A020DA" w:rsidRDefault="002E06C3" w:rsidP="00B426F8">
      <w:pPr>
        <w:spacing w:line="360" w:lineRule="auto"/>
        <w:jc w:val="both"/>
        <w:rPr>
          <w:rFonts w:ascii="Arial" w:hAnsi="Arial" w:cs="Arial"/>
          <w:b/>
          <w:bCs/>
        </w:rPr>
      </w:pPr>
      <w:r w:rsidRPr="00A020DA">
        <w:rPr>
          <w:rFonts w:ascii="Arial" w:hAnsi="Arial" w:cs="Arial"/>
          <w:b/>
          <w:bCs/>
        </w:rPr>
        <w:t>The Challenge of University Mental Health</w:t>
      </w:r>
    </w:p>
    <w:p w14:paraId="0E28D260" w14:textId="634ED57E" w:rsidR="002E06C3" w:rsidRPr="00A020DA" w:rsidRDefault="002E06C3" w:rsidP="00B426F8">
      <w:pPr>
        <w:spacing w:line="360" w:lineRule="auto"/>
        <w:jc w:val="both"/>
        <w:rPr>
          <w:rFonts w:ascii="Arial" w:hAnsi="Arial" w:cs="Arial"/>
        </w:rPr>
      </w:pPr>
      <w:r w:rsidRPr="00A020DA">
        <w:rPr>
          <w:rFonts w:ascii="Arial" w:hAnsi="Arial" w:cs="Arial"/>
        </w:rPr>
        <w:t xml:space="preserve"> The issue of mental health is on the rise in UK higher education. In the United Kingdom today, it is common for university students to deal with stress, anxiety, depression, isolation, and issues pertaining to stress and transitionary experiences. Specifically, transition to university and student adaptation has been </w:t>
      </w:r>
      <w:proofErr w:type="spellStart"/>
      <w:r w:rsidRPr="00A020DA">
        <w:rPr>
          <w:rFonts w:ascii="Arial" w:hAnsi="Arial" w:cs="Arial"/>
        </w:rPr>
        <w:t>recogni</w:t>
      </w:r>
      <w:r w:rsidR="00B3140B" w:rsidRPr="00A020DA">
        <w:rPr>
          <w:rFonts w:ascii="Arial" w:hAnsi="Arial" w:cs="Arial"/>
        </w:rPr>
        <w:t>s</w:t>
      </w:r>
      <w:r w:rsidRPr="00A020DA">
        <w:rPr>
          <w:rFonts w:ascii="Arial" w:hAnsi="Arial" w:cs="Arial"/>
        </w:rPr>
        <w:t>ed</w:t>
      </w:r>
      <w:proofErr w:type="spellEnd"/>
      <w:r w:rsidRPr="00A020DA">
        <w:rPr>
          <w:rFonts w:ascii="Arial" w:hAnsi="Arial" w:cs="Arial"/>
        </w:rPr>
        <w:t xml:space="preserve"> to produce a series of emotional and psychological issues which can be damaging to student welfare and success.  Students in their first year and international students transition into new social settings, unfamiliar academic expectations, and personal lifestyles, making them especially vulnerable, with Osafo </w:t>
      </w:r>
      <w:r w:rsidRPr="00A020DA">
        <w:rPr>
          <w:rFonts w:ascii="Arial" w:hAnsi="Arial" w:cs="Arial"/>
          <w:i/>
          <w:iCs/>
        </w:rPr>
        <w:t>et al.,</w:t>
      </w:r>
      <w:r w:rsidRPr="00A020DA">
        <w:rPr>
          <w:rFonts w:ascii="Arial" w:hAnsi="Arial" w:cs="Arial"/>
        </w:rPr>
        <w:t xml:space="preserve"> (2025) noting that many student transitions into higher education do not prepare students emotionally and psychologically.  Similarly, to cultural changes and social disconnection from support systems, separation from familial ties for international students can negatively affect mental health: Ansari Lari </w:t>
      </w:r>
      <w:r w:rsidRPr="00A020DA">
        <w:rPr>
          <w:rFonts w:ascii="Arial" w:hAnsi="Arial" w:cs="Arial"/>
          <w:i/>
          <w:iCs/>
        </w:rPr>
        <w:t>et al.</w:t>
      </w:r>
      <w:r w:rsidRPr="00A020DA">
        <w:rPr>
          <w:rFonts w:ascii="Arial" w:hAnsi="Arial" w:cs="Arial"/>
        </w:rPr>
        <w:t xml:space="preserve"> (2025). Therefore, we propose MindCare Connect – a novel AI driven platform to bridge the existing mental health and wellbeing gap amongst UK university students. </w:t>
      </w:r>
    </w:p>
    <w:p w14:paraId="4F1B703C" w14:textId="54F78620" w:rsidR="002E06C3" w:rsidRPr="00A020DA" w:rsidRDefault="002E06C3" w:rsidP="00B426F8">
      <w:pPr>
        <w:spacing w:line="360" w:lineRule="auto"/>
        <w:jc w:val="both"/>
        <w:rPr>
          <w:rFonts w:ascii="Arial" w:hAnsi="Arial" w:cs="Arial"/>
          <w:b/>
          <w:bCs/>
        </w:rPr>
      </w:pPr>
      <w:r w:rsidRPr="00A020DA">
        <w:rPr>
          <w:rFonts w:ascii="Arial" w:hAnsi="Arial" w:cs="Arial"/>
          <w:b/>
          <w:bCs/>
        </w:rPr>
        <w:lastRenderedPageBreak/>
        <w:t>How Will We Meet the Need?</w:t>
      </w:r>
    </w:p>
    <w:p w14:paraId="6AAD92F3" w14:textId="2C3F50ED" w:rsidR="002E06C3" w:rsidRPr="00A020DA" w:rsidRDefault="002E06C3" w:rsidP="00B426F8">
      <w:pPr>
        <w:spacing w:line="360" w:lineRule="auto"/>
        <w:jc w:val="both"/>
        <w:rPr>
          <w:rFonts w:ascii="Arial" w:hAnsi="Arial" w:cs="Arial"/>
        </w:rPr>
      </w:pPr>
      <w:r w:rsidRPr="00A020DA">
        <w:rPr>
          <w:rFonts w:ascii="Arial" w:hAnsi="Arial" w:cs="Arial"/>
        </w:rPr>
        <w:t xml:space="preserve">While the mental health awareness and discussions among the universities have evolved to address increased demand, the current mental health initiatives continue to be overwhelmed. </w:t>
      </w:r>
    </w:p>
    <w:p w14:paraId="7AC40E0B" w14:textId="4238DB07" w:rsidR="002E06C3" w:rsidRPr="00A020DA" w:rsidRDefault="002E06C3" w:rsidP="00B426F8">
      <w:pPr>
        <w:spacing w:line="360" w:lineRule="auto"/>
        <w:jc w:val="both"/>
        <w:rPr>
          <w:rFonts w:ascii="Arial" w:hAnsi="Arial" w:cs="Arial"/>
        </w:rPr>
      </w:pPr>
      <w:r w:rsidRPr="00A020DA">
        <w:rPr>
          <w:rFonts w:ascii="Arial" w:hAnsi="Arial" w:cs="Arial"/>
        </w:rPr>
        <w:t xml:space="preserve">In UK universities there are large student populations but limitations in service resources meaning long wait times in seeking appointments; students who may be wary of seeking help from traditional avenues due to societal stigma; those who, for various personal reasons, can’t reach their universities during operational hours and a general unmet need to support those whose mental health require urgent and timely interventions.  The prevalence of poor mental health among student population has resulted in frequent emergency or urgent care consultations and services for those suffering mental health ailments when appropriate interventions have been delayed or otherwise unavailable. Thus, Lewis </w:t>
      </w:r>
      <w:r w:rsidRPr="00A020DA">
        <w:rPr>
          <w:rFonts w:ascii="Arial" w:hAnsi="Arial" w:cs="Arial"/>
          <w:i/>
          <w:iCs/>
        </w:rPr>
        <w:t>et al.,</w:t>
      </w:r>
      <w:r w:rsidRPr="00A020DA">
        <w:rPr>
          <w:rFonts w:ascii="Arial" w:hAnsi="Arial" w:cs="Arial"/>
        </w:rPr>
        <w:t xml:space="preserve"> (2023) shows how those suffering mental health ailments </w:t>
      </w:r>
      <w:proofErr w:type="spellStart"/>
      <w:r w:rsidR="00B3140B" w:rsidRPr="00A020DA">
        <w:rPr>
          <w:rFonts w:ascii="Arial" w:hAnsi="Arial" w:cs="Arial"/>
        </w:rPr>
        <w:t>utilis</w:t>
      </w:r>
      <w:r w:rsidRPr="00A020DA">
        <w:rPr>
          <w:rFonts w:ascii="Arial" w:hAnsi="Arial" w:cs="Arial"/>
        </w:rPr>
        <w:t>e</w:t>
      </w:r>
      <w:proofErr w:type="spellEnd"/>
      <w:r w:rsidRPr="00A020DA">
        <w:rPr>
          <w:rFonts w:ascii="Arial" w:hAnsi="Arial" w:cs="Arial"/>
        </w:rPr>
        <w:t xml:space="preserve"> the emergency and urgent care services and this indicates there needs to be preventative interventions or more easily accessible support services. </w:t>
      </w:r>
    </w:p>
    <w:p w14:paraId="43D0DE76" w14:textId="77777777" w:rsidR="00B3140B" w:rsidRPr="00A020DA" w:rsidRDefault="002E06C3" w:rsidP="00B426F8">
      <w:pPr>
        <w:spacing w:line="360" w:lineRule="auto"/>
        <w:jc w:val="both"/>
        <w:rPr>
          <w:rFonts w:ascii="Arial" w:hAnsi="Arial" w:cs="Arial"/>
        </w:rPr>
      </w:pPr>
      <w:r w:rsidRPr="00A020DA">
        <w:rPr>
          <w:rFonts w:ascii="Arial" w:hAnsi="Arial" w:cs="Arial"/>
          <w:b/>
          <w:bCs/>
        </w:rPr>
        <w:t>Our Solution</w:t>
      </w:r>
      <w:r w:rsidR="00B3140B" w:rsidRPr="00A020DA">
        <w:rPr>
          <w:rFonts w:ascii="Arial" w:hAnsi="Arial" w:cs="Arial"/>
          <w:b/>
          <w:bCs/>
        </w:rPr>
        <w:t xml:space="preserve">: </w:t>
      </w:r>
      <w:r w:rsidRPr="00A020DA">
        <w:rPr>
          <w:rFonts w:ascii="Arial" w:hAnsi="Arial" w:cs="Arial"/>
        </w:rPr>
        <w:t xml:space="preserve">MindCare Connect </w:t>
      </w:r>
    </w:p>
    <w:p w14:paraId="225CD859" w14:textId="70609213" w:rsidR="002E06C3" w:rsidRPr="00A020DA" w:rsidRDefault="002E06C3" w:rsidP="00B426F8">
      <w:pPr>
        <w:spacing w:line="360" w:lineRule="auto"/>
        <w:jc w:val="both"/>
        <w:rPr>
          <w:rFonts w:ascii="Arial" w:hAnsi="Arial" w:cs="Arial"/>
          <w:b/>
          <w:bCs/>
        </w:rPr>
      </w:pPr>
      <w:r w:rsidRPr="00A020DA">
        <w:rPr>
          <w:rFonts w:ascii="Arial" w:hAnsi="Arial" w:cs="Arial"/>
        </w:rPr>
        <w:t xml:space="preserve">MindCare Connect is an AI powered mobile/web application dedicated to student wellbeing and the mental health needs within higher education. </w:t>
      </w:r>
    </w:p>
    <w:p w14:paraId="5EE48866" w14:textId="6767C522" w:rsidR="002E06C3" w:rsidRPr="00A020DA" w:rsidRDefault="002E06C3" w:rsidP="00B426F8">
      <w:pPr>
        <w:spacing w:line="360" w:lineRule="auto"/>
        <w:jc w:val="both"/>
        <w:rPr>
          <w:rFonts w:ascii="Arial" w:hAnsi="Arial" w:cs="Arial"/>
        </w:rPr>
      </w:pPr>
      <w:r w:rsidRPr="00A020DA">
        <w:rPr>
          <w:rFonts w:ascii="Arial" w:hAnsi="Arial" w:cs="Arial"/>
        </w:rPr>
        <w:t xml:space="preserve">Its purpose is to help universities support student mental health on their campuses. We are innovating the sector using AI technology in order to increase the accessibility and responsiveness of student care to any student, anytime, </w:t>
      </w:r>
      <w:r w:rsidR="00B3140B" w:rsidRPr="00A020DA">
        <w:rPr>
          <w:rFonts w:ascii="Arial" w:hAnsi="Arial" w:cs="Arial"/>
        </w:rPr>
        <w:t>anyplace</w:t>
      </w:r>
      <w:r w:rsidRPr="00A020DA">
        <w:rPr>
          <w:rFonts w:ascii="Arial" w:hAnsi="Arial" w:cs="Arial"/>
        </w:rPr>
        <w:t>. MindCare Connect aims to offer various helpful features, including: - An AI powered chatbot provides responsive immediate text- based support for student inquiries, offering general mental health guidance, emotional encouragement and redirection for students to access the university counselling</w:t>
      </w:r>
      <w:r w:rsidR="00B3140B" w:rsidRPr="00A020DA">
        <w:rPr>
          <w:rFonts w:ascii="Arial" w:hAnsi="Arial" w:cs="Arial"/>
        </w:rPr>
        <w:t>.</w:t>
      </w:r>
    </w:p>
    <w:p w14:paraId="5052A428" w14:textId="77777777" w:rsidR="00B3140B" w:rsidRPr="00A020DA" w:rsidRDefault="00B3140B" w:rsidP="00B426F8">
      <w:pPr>
        <w:spacing w:line="360" w:lineRule="auto"/>
        <w:jc w:val="both"/>
        <w:rPr>
          <w:rFonts w:ascii="Arial" w:hAnsi="Arial" w:cs="Arial"/>
          <w:b/>
          <w:bCs/>
        </w:rPr>
      </w:pPr>
      <w:r w:rsidRPr="00A020DA">
        <w:rPr>
          <w:rFonts w:ascii="Arial" w:hAnsi="Arial" w:cs="Arial"/>
          <w:b/>
          <w:bCs/>
        </w:rPr>
        <w:t>Students and health outcomes</w:t>
      </w:r>
    </w:p>
    <w:p w14:paraId="69744B06" w14:textId="421E1281" w:rsidR="00B3140B" w:rsidRPr="00A020DA" w:rsidRDefault="00B3140B" w:rsidP="00B426F8">
      <w:pPr>
        <w:spacing w:line="360" w:lineRule="auto"/>
        <w:jc w:val="both"/>
        <w:rPr>
          <w:rFonts w:ascii="Arial" w:hAnsi="Arial" w:cs="Arial"/>
        </w:rPr>
      </w:pPr>
      <w:r w:rsidRPr="00A020DA">
        <w:rPr>
          <w:rFonts w:ascii="Arial" w:hAnsi="Arial" w:cs="Arial"/>
        </w:rPr>
        <w:t xml:space="preserve">MindCare Connect can also contribute to the wellbeing and mental health of the students. Early support one of the most vital benefits of MindCare Connect. As soon as any student </w:t>
      </w:r>
      <w:r w:rsidRPr="00A020DA">
        <w:rPr>
          <w:rFonts w:ascii="Arial" w:hAnsi="Arial" w:cs="Arial"/>
        </w:rPr>
        <w:lastRenderedPageBreak/>
        <w:t xml:space="preserve">develops signs of distressed, they could make contact with the application to get aid and avoid the symptoms becoming serious. It’s already evident that students using mental health applications often see improvements in wellbeing management, self-care, and emotional awareness (Nagar </w:t>
      </w:r>
      <w:r w:rsidRPr="00A020DA">
        <w:rPr>
          <w:rFonts w:ascii="Arial" w:hAnsi="Arial" w:cs="Arial"/>
          <w:i/>
          <w:iCs/>
        </w:rPr>
        <w:t>et al.,</w:t>
      </w:r>
      <w:r w:rsidRPr="00A020DA">
        <w:rPr>
          <w:rFonts w:ascii="Arial" w:hAnsi="Arial" w:cs="Arial"/>
        </w:rPr>
        <w:t xml:space="preserve"> 2023).  This is exactly where MindCare Connect offers the college students with ability for self-monitoring and self-management of their well-being status. The application might particularly aid at risk teams, such as initial-yr college students, intercontinental college students, as well as folks isolated inside their </w:t>
      </w:r>
      <w:proofErr w:type="spellStart"/>
      <w:r w:rsidRPr="00A020DA">
        <w:rPr>
          <w:rFonts w:ascii="Arial" w:hAnsi="Arial" w:cs="Arial"/>
        </w:rPr>
        <w:t>neighbourhood</w:t>
      </w:r>
      <w:proofErr w:type="spellEnd"/>
      <w:r w:rsidRPr="00A020DA">
        <w:rPr>
          <w:rFonts w:ascii="Arial" w:hAnsi="Arial" w:cs="Arial"/>
        </w:rPr>
        <w:t xml:space="preserve"> communities. There is certainly evidence that unique help through significant lifestyle shifts is critical (Ansari Lari </w:t>
      </w:r>
      <w:r w:rsidRPr="00A020DA">
        <w:rPr>
          <w:rFonts w:ascii="Arial" w:hAnsi="Arial" w:cs="Arial"/>
          <w:i/>
          <w:iCs/>
        </w:rPr>
        <w:t>et al.,</w:t>
      </w:r>
      <w:r w:rsidRPr="00A020DA">
        <w:rPr>
          <w:rFonts w:ascii="Arial" w:hAnsi="Arial" w:cs="Arial"/>
        </w:rPr>
        <w:t xml:space="preserve"> 2025).  Helpfulness will be enhanced by making connections amongst stakeholders like universities, NHS services, well-being groups, counsellors, psychologists and social workers (Shukla 2026). </w:t>
      </w:r>
    </w:p>
    <w:p w14:paraId="2D6F271C" w14:textId="41F21D25" w:rsidR="00B3140B" w:rsidRPr="00A020DA" w:rsidRDefault="00B3140B" w:rsidP="00B426F8">
      <w:pPr>
        <w:spacing w:line="360" w:lineRule="auto"/>
        <w:jc w:val="both"/>
        <w:rPr>
          <w:rFonts w:ascii="Arial" w:hAnsi="Arial" w:cs="Arial"/>
        </w:rPr>
      </w:pPr>
      <w:r w:rsidRPr="00A020DA">
        <w:rPr>
          <w:rFonts w:ascii="Arial" w:hAnsi="Arial" w:cs="Arial"/>
        </w:rPr>
        <w:t xml:space="preserve">The concept the following would also enhance help structures throughout the </w:t>
      </w:r>
      <w:proofErr w:type="spellStart"/>
      <w:r w:rsidRPr="00A020DA">
        <w:rPr>
          <w:rFonts w:ascii="Arial" w:hAnsi="Arial" w:cs="Arial"/>
        </w:rPr>
        <w:t>neighbourhood</w:t>
      </w:r>
      <w:proofErr w:type="spellEnd"/>
      <w:r w:rsidRPr="00A020DA">
        <w:rPr>
          <w:rFonts w:ascii="Arial" w:hAnsi="Arial" w:cs="Arial"/>
        </w:rPr>
        <w:t xml:space="preserve"> communities where vulnerable persons are residing and boost community-generated assist networks for college students residing at home and for lonely university students who do not have strong support at residence (Ansari Lari </w:t>
      </w:r>
      <w:r w:rsidRPr="00A020DA">
        <w:rPr>
          <w:rFonts w:ascii="Arial" w:hAnsi="Arial" w:cs="Arial"/>
          <w:i/>
          <w:iCs/>
        </w:rPr>
        <w:t>et al.,</w:t>
      </w:r>
      <w:r w:rsidRPr="00A020DA">
        <w:rPr>
          <w:rFonts w:ascii="Arial" w:hAnsi="Arial" w:cs="Arial"/>
        </w:rPr>
        <w:t xml:space="preserve"> 2025). MindCare connect promotes community engagement and support networks by providing on line peer assist communities and sign posting products. </w:t>
      </w:r>
    </w:p>
    <w:p w14:paraId="4A963C9A" w14:textId="1CB6D37C" w:rsidR="00B3140B" w:rsidRPr="00A020DA" w:rsidRDefault="00B3140B" w:rsidP="00B426F8">
      <w:pPr>
        <w:spacing w:line="360" w:lineRule="auto"/>
        <w:jc w:val="both"/>
        <w:rPr>
          <w:rFonts w:ascii="Arial" w:hAnsi="Arial" w:cs="Arial"/>
        </w:rPr>
      </w:pPr>
      <w:r w:rsidRPr="00A020DA">
        <w:rPr>
          <w:rFonts w:ascii="Arial" w:hAnsi="Arial" w:cs="Arial"/>
        </w:rPr>
        <w:t xml:space="preserve">Students also can participate in community well-being events that the software may perhaps help to promote by providing notifications as and when relevant. Students participating in well-being promotion functions can encourage well-being related social norms and practices that are </w:t>
      </w:r>
      <w:proofErr w:type="spellStart"/>
      <w:r w:rsidRPr="00A020DA">
        <w:rPr>
          <w:rFonts w:ascii="Arial" w:hAnsi="Arial" w:cs="Arial"/>
        </w:rPr>
        <w:t>favourable</w:t>
      </w:r>
      <w:proofErr w:type="spellEnd"/>
      <w:r w:rsidRPr="00A020DA">
        <w:rPr>
          <w:rFonts w:ascii="Arial" w:hAnsi="Arial" w:cs="Arial"/>
        </w:rPr>
        <w:t xml:space="preserve"> to psychological well-remaining and also assist to strengthen the university community (Scotcher </w:t>
      </w:r>
      <w:r w:rsidRPr="00A020DA">
        <w:rPr>
          <w:rFonts w:ascii="Arial" w:hAnsi="Arial" w:cs="Arial"/>
          <w:i/>
          <w:iCs/>
        </w:rPr>
        <w:t>et al.,</w:t>
      </w:r>
      <w:r w:rsidRPr="00A020DA">
        <w:rPr>
          <w:rFonts w:ascii="Arial" w:hAnsi="Arial" w:cs="Arial"/>
        </w:rPr>
        <w:t xml:space="preserve"> 2025).  MindCare Connect presents a revolutionary answer that tackles the increasing need to have to bolster mental well-being help amongst UK university college students. </w:t>
      </w:r>
    </w:p>
    <w:p w14:paraId="15A86DED" w14:textId="77777777" w:rsidR="00B3140B" w:rsidRPr="00A020DA" w:rsidRDefault="00B3140B" w:rsidP="00B426F8">
      <w:pPr>
        <w:spacing w:line="360" w:lineRule="auto"/>
        <w:jc w:val="both"/>
        <w:rPr>
          <w:rFonts w:ascii="Arial" w:hAnsi="Arial" w:cs="Arial"/>
          <w:b/>
          <w:bCs/>
        </w:rPr>
      </w:pPr>
      <w:r w:rsidRPr="00A020DA">
        <w:rPr>
          <w:rFonts w:ascii="Arial" w:hAnsi="Arial" w:cs="Arial"/>
          <w:b/>
          <w:bCs/>
        </w:rPr>
        <w:t xml:space="preserve">Policy, Legislation and Professional Services </w:t>
      </w:r>
    </w:p>
    <w:p w14:paraId="4B63D1DD" w14:textId="15DADF70" w:rsidR="00B3140B" w:rsidRPr="00A020DA" w:rsidRDefault="00B3140B" w:rsidP="00B426F8">
      <w:pPr>
        <w:spacing w:line="360" w:lineRule="auto"/>
        <w:jc w:val="both"/>
        <w:rPr>
          <w:rFonts w:ascii="Arial" w:hAnsi="Arial" w:cs="Arial"/>
        </w:rPr>
      </w:pPr>
      <w:r w:rsidRPr="00A020DA">
        <w:rPr>
          <w:rFonts w:ascii="Arial" w:hAnsi="Arial" w:cs="Arial"/>
        </w:rPr>
        <w:t xml:space="preserve">By integrating AI-driven innovation with evidence-primarily based interventions, </w:t>
      </w:r>
      <w:proofErr w:type="spellStart"/>
      <w:r w:rsidRPr="00A020DA">
        <w:rPr>
          <w:rFonts w:ascii="Arial" w:hAnsi="Arial" w:cs="Arial"/>
        </w:rPr>
        <w:t>personalised</w:t>
      </w:r>
      <w:proofErr w:type="spellEnd"/>
      <w:r w:rsidRPr="00A020DA">
        <w:rPr>
          <w:rFonts w:ascii="Arial" w:hAnsi="Arial" w:cs="Arial"/>
        </w:rPr>
        <w:t xml:space="preserve"> care and a concentrate on early intervention and prevention, the software program intends to create a tangible positive impact. The potential advantages-which contain improved student wellbeing, reduced pressure on the overall health provider, and improved academic achievement-make this a worthwhile and socially valuable project. </w:t>
      </w:r>
      <w:r w:rsidRPr="00A020DA">
        <w:rPr>
          <w:rFonts w:ascii="Arial" w:hAnsi="Arial" w:cs="Arial"/>
        </w:rPr>
        <w:lastRenderedPageBreak/>
        <w:t xml:space="preserve">Policy, Legislation and Professional Providers MindCare connect conforms to recent United Kingdom mental health policy targets such as early intervention, avoidance, obtain to treatment, and group-based interventions (Hudson, 2022). In </w:t>
      </w:r>
      <w:proofErr w:type="spellStart"/>
      <w:r w:rsidRPr="00A020DA">
        <w:rPr>
          <w:rFonts w:ascii="Arial" w:hAnsi="Arial" w:cs="Arial"/>
        </w:rPr>
        <w:t>accordanceance</w:t>
      </w:r>
      <w:proofErr w:type="spellEnd"/>
      <w:r w:rsidRPr="00A020DA">
        <w:rPr>
          <w:rFonts w:ascii="Arial" w:hAnsi="Arial" w:cs="Arial"/>
        </w:rPr>
        <w:t xml:space="preserve"> with the Data Protection Act 2018 and United Kingdom General Knowledge Safety Regulations (UK GDPR), the application will guarantee safe information protection.  The app will adhere to the principles established by the Mental Well-getting Act 1983 and NHS Digital guidelines. Collaboration between higher education institutions, NHS mental health service providers, counseling groups, psychologists, social workers, and mental well-being charities is crucial to the successful deployment and implementation of MindCare Connect. Shukla (2026) points out that integrating technologies into services can aid strengthen interaction and strengthen services across </w:t>
      </w:r>
      <w:proofErr w:type="spellStart"/>
      <w:r w:rsidRPr="00A020DA">
        <w:rPr>
          <w:rFonts w:ascii="Arial" w:hAnsi="Arial" w:cs="Arial"/>
        </w:rPr>
        <w:t>organisations</w:t>
      </w:r>
      <w:proofErr w:type="spellEnd"/>
      <w:r w:rsidRPr="00A020DA">
        <w:rPr>
          <w:rFonts w:ascii="Arial" w:hAnsi="Arial" w:cs="Arial"/>
        </w:rPr>
        <w:t xml:space="preserve"> like universities and hospitals. </w:t>
      </w:r>
    </w:p>
    <w:p w14:paraId="62343103" w14:textId="70BE5E70" w:rsidR="00B3140B" w:rsidRPr="00A020DA" w:rsidRDefault="00B3140B" w:rsidP="00B426F8">
      <w:pPr>
        <w:spacing w:line="360" w:lineRule="auto"/>
        <w:jc w:val="both"/>
        <w:rPr>
          <w:rFonts w:ascii="Arial" w:hAnsi="Arial" w:cs="Arial"/>
          <w:b/>
          <w:bCs/>
        </w:rPr>
      </w:pPr>
      <w:r w:rsidRPr="00A020DA">
        <w:rPr>
          <w:rFonts w:ascii="Arial" w:hAnsi="Arial" w:cs="Arial"/>
          <w:b/>
          <w:bCs/>
        </w:rPr>
        <w:t>Public Engagement and Community Involvement</w:t>
      </w:r>
    </w:p>
    <w:p w14:paraId="1D9BB148" w14:textId="2CDBFCC9" w:rsidR="00B3140B" w:rsidRPr="00A020DA" w:rsidRDefault="00B3140B" w:rsidP="00B426F8">
      <w:pPr>
        <w:spacing w:line="360" w:lineRule="auto"/>
        <w:jc w:val="both"/>
        <w:rPr>
          <w:rFonts w:ascii="Arial" w:hAnsi="Arial" w:cs="Arial"/>
        </w:rPr>
      </w:pPr>
      <w:r w:rsidRPr="00A020DA">
        <w:rPr>
          <w:rFonts w:ascii="Arial" w:hAnsi="Arial" w:cs="Arial"/>
        </w:rPr>
        <w:t xml:space="preserve">Public Involvement and Community Involvement Successful implementation of MindCare Link depends on community engagement throughout student, higher education, clinical and broader society groups. Public outreach would be implemented by awareness raising initiatives, use of social media, student introduction programs, workshops and Mental Well-being Awareness Week celebrations. Student volunteers, identified as student ambassadors, would participate in promoting MindCare Link, encouraging people to look for help. Research has shown that student-led initiatives have demonstrated substantial engagement among individuals in public health endeavors (Scotcher </w:t>
      </w:r>
      <w:r w:rsidRPr="00A020DA">
        <w:rPr>
          <w:rFonts w:ascii="Arial" w:hAnsi="Arial" w:cs="Arial"/>
          <w:i/>
          <w:iCs/>
        </w:rPr>
        <w:t>et al.,</w:t>
      </w:r>
      <w:r w:rsidRPr="00A020DA">
        <w:rPr>
          <w:rFonts w:ascii="Arial" w:hAnsi="Arial" w:cs="Arial"/>
        </w:rPr>
        <w:t xml:space="preserve"> 2025). </w:t>
      </w:r>
    </w:p>
    <w:p w14:paraId="23A077D7" w14:textId="77777777" w:rsidR="00B3140B" w:rsidRPr="00A020DA" w:rsidRDefault="00B3140B" w:rsidP="00B426F8">
      <w:pPr>
        <w:spacing w:line="360" w:lineRule="auto"/>
        <w:jc w:val="both"/>
        <w:rPr>
          <w:rFonts w:ascii="Arial" w:hAnsi="Arial" w:cs="Arial"/>
          <w:b/>
          <w:bCs/>
        </w:rPr>
      </w:pPr>
      <w:r w:rsidRPr="00A020DA">
        <w:rPr>
          <w:rFonts w:ascii="Arial" w:hAnsi="Arial" w:cs="Arial"/>
          <w:b/>
          <w:bCs/>
        </w:rPr>
        <w:t>Conclusion</w:t>
      </w:r>
    </w:p>
    <w:p w14:paraId="78ECE9F3" w14:textId="7B6806AD" w:rsidR="000B3DAF" w:rsidRPr="00A020DA" w:rsidRDefault="00B3140B" w:rsidP="00B426F8">
      <w:pPr>
        <w:spacing w:line="360" w:lineRule="auto"/>
        <w:jc w:val="both"/>
        <w:rPr>
          <w:rFonts w:ascii="Arial" w:hAnsi="Arial" w:cs="Arial"/>
        </w:rPr>
      </w:pPr>
      <w:r w:rsidRPr="00A020DA">
        <w:rPr>
          <w:rFonts w:ascii="Arial" w:hAnsi="Arial" w:cs="Arial"/>
        </w:rPr>
        <w:t>The contribution of MindCare Connection is significant for college students and it would be valuable the general public to assistance. The well-being of university students impacts more than just instructional results. This is a general public health worry with the prospective for considerable influence on local community well-staying and economic well-being. Improving pupil psychological nicely-becoming generates significant constructive outcomes in phrases of better tutorial achievement, higher social engagement, decrease healthcare costs and greater productivity.</w:t>
      </w:r>
    </w:p>
    <w:p w14:paraId="60D51AF9" w14:textId="77777777" w:rsidR="000B3DAF" w:rsidRPr="00A020DA" w:rsidRDefault="000B3DAF" w:rsidP="00B426F8">
      <w:pPr>
        <w:spacing w:line="360" w:lineRule="auto"/>
        <w:rPr>
          <w:rFonts w:ascii="Arial" w:hAnsi="Arial" w:cs="Arial"/>
        </w:rPr>
      </w:pPr>
      <w:r w:rsidRPr="00A020DA">
        <w:rPr>
          <w:rFonts w:ascii="Arial" w:hAnsi="Arial" w:cs="Arial"/>
        </w:rPr>
        <w:lastRenderedPageBreak/>
        <w:br w:type="page"/>
      </w:r>
    </w:p>
    <w:p w14:paraId="60A02994" w14:textId="73EF89D8" w:rsidR="00B3140B" w:rsidRPr="00A020DA" w:rsidRDefault="000B3DAF" w:rsidP="00B426F8">
      <w:pPr>
        <w:spacing w:line="360" w:lineRule="auto"/>
        <w:jc w:val="both"/>
        <w:rPr>
          <w:rFonts w:ascii="Arial" w:hAnsi="Arial" w:cs="Arial"/>
          <w:b/>
          <w:bCs/>
        </w:rPr>
      </w:pPr>
      <w:r w:rsidRPr="00A020DA">
        <w:rPr>
          <w:rFonts w:ascii="Arial" w:hAnsi="Arial" w:cs="Arial"/>
          <w:b/>
          <w:bCs/>
        </w:rPr>
        <w:lastRenderedPageBreak/>
        <w:t>References</w:t>
      </w:r>
    </w:p>
    <w:p w14:paraId="47881FB3" w14:textId="77777777" w:rsidR="000B3DAF" w:rsidRPr="00A020DA" w:rsidRDefault="000B3DAF" w:rsidP="00B426F8">
      <w:pPr>
        <w:spacing w:line="360" w:lineRule="auto"/>
        <w:jc w:val="both"/>
        <w:rPr>
          <w:rFonts w:ascii="Arial" w:hAnsi="Arial" w:cs="Arial"/>
        </w:rPr>
      </w:pPr>
      <w:r w:rsidRPr="00A020DA">
        <w:rPr>
          <w:rFonts w:ascii="Arial" w:hAnsi="Arial" w:cs="Arial"/>
        </w:rPr>
        <w:t>Ansari Lari, S., Zumot, M.S. and Fredericks, S., 2025. Navigating mental health challenges in international university students: adapting to life transitions. </w:t>
      </w:r>
      <w:r w:rsidRPr="00A020DA">
        <w:rPr>
          <w:rFonts w:ascii="Arial" w:hAnsi="Arial" w:cs="Arial"/>
          <w:i/>
          <w:iCs/>
        </w:rPr>
        <w:t>Frontiers in psychiatry</w:t>
      </w:r>
      <w:r w:rsidRPr="00A020DA">
        <w:rPr>
          <w:rFonts w:ascii="Arial" w:hAnsi="Arial" w:cs="Arial"/>
        </w:rPr>
        <w:t>, </w:t>
      </w:r>
      <w:r w:rsidRPr="00A020DA">
        <w:rPr>
          <w:rFonts w:ascii="Arial" w:hAnsi="Arial" w:cs="Arial"/>
          <w:i/>
          <w:iCs/>
        </w:rPr>
        <w:t>16</w:t>
      </w:r>
      <w:r w:rsidRPr="00A020DA">
        <w:rPr>
          <w:rFonts w:ascii="Arial" w:hAnsi="Arial" w:cs="Arial"/>
        </w:rPr>
        <w:t>, p.1574953.</w:t>
      </w:r>
    </w:p>
    <w:p w14:paraId="4C34F629" w14:textId="77777777" w:rsidR="000B3DAF" w:rsidRPr="00A020DA" w:rsidRDefault="000B3DAF" w:rsidP="00B426F8">
      <w:pPr>
        <w:spacing w:line="360" w:lineRule="auto"/>
        <w:jc w:val="both"/>
        <w:rPr>
          <w:rFonts w:ascii="Arial" w:hAnsi="Arial" w:cs="Arial"/>
        </w:rPr>
      </w:pPr>
      <w:r w:rsidRPr="00A020DA">
        <w:rPr>
          <w:rFonts w:ascii="Arial" w:hAnsi="Arial" w:cs="Arial"/>
        </w:rPr>
        <w:t>Hudson, C.G., 2022. United Kingdom. An overview of its mental health policies and services. </w:t>
      </w:r>
      <w:r w:rsidRPr="00A020DA">
        <w:rPr>
          <w:rFonts w:ascii="Arial" w:hAnsi="Arial" w:cs="Arial"/>
          <w:i/>
          <w:iCs/>
        </w:rPr>
        <w:t>Research Handbook on Mental Health Policy</w:t>
      </w:r>
      <w:r w:rsidRPr="00A020DA">
        <w:rPr>
          <w:rFonts w:ascii="Arial" w:hAnsi="Arial" w:cs="Arial"/>
        </w:rPr>
        <w:t>, pp.243-257.</w:t>
      </w:r>
    </w:p>
    <w:p w14:paraId="26D45E75" w14:textId="77777777" w:rsidR="000B3DAF" w:rsidRPr="00A020DA" w:rsidRDefault="000B3DAF" w:rsidP="00B426F8">
      <w:pPr>
        <w:spacing w:line="360" w:lineRule="auto"/>
        <w:jc w:val="both"/>
        <w:rPr>
          <w:rFonts w:ascii="Arial" w:hAnsi="Arial" w:cs="Arial"/>
        </w:rPr>
      </w:pPr>
      <w:r w:rsidRPr="00A020DA">
        <w:rPr>
          <w:rFonts w:ascii="Arial" w:hAnsi="Arial" w:cs="Arial"/>
        </w:rPr>
        <w:t>Lee, J., 2025. Smart solutions for student well-being: AI-driven mental health support in a polytechnic. In </w:t>
      </w:r>
      <w:r w:rsidRPr="00A020DA">
        <w:rPr>
          <w:rFonts w:ascii="Arial" w:hAnsi="Arial" w:cs="Arial"/>
          <w:i/>
          <w:iCs/>
        </w:rPr>
        <w:t>The rise of intelligent machines</w:t>
      </w:r>
      <w:r w:rsidRPr="00A020DA">
        <w:rPr>
          <w:rFonts w:ascii="Arial" w:hAnsi="Arial" w:cs="Arial"/>
        </w:rPr>
        <w:t> (pp. 211-242). Chapman and Hall/CRC.</w:t>
      </w:r>
    </w:p>
    <w:p w14:paraId="3C3886FF" w14:textId="77777777" w:rsidR="000B3DAF" w:rsidRPr="00A020DA" w:rsidRDefault="000B3DAF" w:rsidP="00B426F8">
      <w:pPr>
        <w:spacing w:line="360" w:lineRule="auto"/>
        <w:jc w:val="both"/>
        <w:rPr>
          <w:rFonts w:ascii="Arial" w:hAnsi="Arial" w:cs="Arial"/>
        </w:rPr>
      </w:pPr>
      <w:r w:rsidRPr="00A020DA">
        <w:rPr>
          <w:rFonts w:ascii="Arial" w:hAnsi="Arial" w:cs="Arial"/>
        </w:rPr>
        <w:t>Lewis, J., Weich, S., O’Keeffe, C., Stone, T., Hulin, J., Bell, N., Doyle, M., Lucock, M. and Mason, S., 2023. Use of urgent, emergency and acute care by mental health service users: A record-level cohort study. </w:t>
      </w:r>
      <w:proofErr w:type="spellStart"/>
      <w:r w:rsidRPr="00A020DA">
        <w:rPr>
          <w:rFonts w:ascii="Arial" w:hAnsi="Arial" w:cs="Arial"/>
          <w:i/>
          <w:iCs/>
        </w:rPr>
        <w:t>Plos</w:t>
      </w:r>
      <w:proofErr w:type="spellEnd"/>
      <w:r w:rsidRPr="00A020DA">
        <w:rPr>
          <w:rFonts w:ascii="Arial" w:hAnsi="Arial" w:cs="Arial"/>
          <w:i/>
          <w:iCs/>
        </w:rPr>
        <w:t xml:space="preserve"> one</w:t>
      </w:r>
      <w:r w:rsidRPr="00A020DA">
        <w:rPr>
          <w:rFonts w:ascii="Arial" w:hAnsi="Arial" w:cs="Arial"/>
        </w:rPr>
        <w:t>, </w:t>
      </w:r>
      <w:r w:rsidRPr="00A020DA">
        <w:rPr>
          <w:rFonts w:ascii="Arial" w:hAnsi="Arial" w:cs="Arial"/>
          <w:i/>
          <w:iCs/>
        </w:rPr>
        <w:t>18</w:t>
      </w:r>
      <w:r w:rsidRPr="00A020DA">
        <w:rPr>
          <w:rFonts w:ascii="Arial" w:hAnsi="Arial" w:cs="Arial"/>
        </w:rPr>
        <w:t>(2), p.e0281667.</w:t>
      </w:r>
    </w:p>
    <w:p w14:paraId="5F9FABF8" w14:textId="77777777" w:rsidR="000B3DAF" w:rsidRPr="00A020DA" w:rsidRDefault="000B3DAF" w:rsidP="00B426F8">
      <w:pPr>
        <w:spacing w:line="360" w:lineRule="auto"/>
        <w:jc w:val="both"/>
        <w:rPr>
          <w:rFonts w:ascii="Arial" w:hAnsi="Arial" w:cs="Arial"/>
        </w:rPr>
      </w:pPr>
      <w:r w:rsidRPr="00A020DA">
        <w:rPr>
          <w:rFonts w:ascii="Arial" w:hAnsi="Arial" w:cs="Arial"/>
        </w:rPr>
        <w:t>Nagar, R., Quirk, H.D. and Anderson, P.L., 2023. User experiences of college students using mental health applications to improve self-care: Implications for improving engagement. </w:t>
      </w:r>
      <w:r w:rsidRPr="00A020DA">
        <w:rPr>
          <w:rFonts w:ascii="Arial" w:hAnsi="Arial" w:cs="Arial"/>
          <w:i/>
          <w:iCs/>
        </w:rPr>
        <w:t>Internet Interventions</w:t>
      </w:r>
      <w:r w:rsidRPr="00A020DA">
        <w:rPr>
          <w:rFonts w:ascii="Arial" w:hAnsi="Arial" w:cs="Arial"/>
        </w:rPr>
        <w:t>, </w:t>
      </w:r>
      <w:r w:rsidRPr="00A020DA">
        <w:rPr>
          <w:rFonts w:ascii="Arial" w:hAnsi="Arial" w:cs="Arial"/>
          <w:i/>
          <w:iCs/>
        </w:rPr>
        <w:t>34</w:t>
      </w:r>
      <w:r w:rsidRPr="00A020DA">
        <w:rPr>
          <w:rFonts w:ascii="Arial" w:hAnsi="Arial" w:cs="Arial"/>
        </w:rPr>
        <w:t>, p.100676.</w:t>
      </w:r>
    </w:p>
    <w:p w14:paraId="0B951FF0" w14:textId="77777777" w:rsidR="000B3DAF" w:rsidRPr="00A020DA" w:rsidRDefault="000B3DAF" w:rsidP="00B426F8">
      <w:pPr>
        <w:spacing w:line="360" w:lineRule="auto"/>
        <w:jc w:val="both"/>
        <w:rPr>
          <w:rFonts w:ascii="Arial" w:hAnsi="Arial" w:cs="Arial"/>
        </w:rPr>
      </w:pPr>
      <w:r w:rsidRPr="00A020DA">
        <w:rPr>
          <w:rFonts w:ascii="Arial" w:hAnsi="Arial" w:cs="Arial"/>
        </w:rPr>
        <w:t xml:space="preserve">Osafo, A.B., Ohene-Darko, S., </w:t>
      </w:r>
      <w:proofErr w:type="spellStart"/>
      <w:r w:rsidRPr="00A020DA">
        <w:rPr>
          <w:rFonts w:ascii="Arial" w:hAnsi="Arial" w:cs="Arial"/>
        </w:rPr>
        <w:t>Agormedah</w:t>
      </w:r>
      <w:proofErr w:type="spellEnd"/>
      <w:r w:rsidRPr="00A020DA">
        <w:rPr>
          <w:rFonts w:ascii="Arial" w:hAnsi="Arial" w:cs="Arial"/>
        </w:rPr>
        <w:t xml:space="preserve">, E.K. and </w:t>
      </w:r>
      <w:proofErr w:type="spellStart"/>
      <w:r w:rsidRPr="00A020DA">
        <w:rPr>
          <w:rFonts w:ascii="Arial" w:hAnsi="Arial" w:cs="Arial"/>
        </w:rPr>
        <w:t>Omane-Adjekum</w:t>
      </w:r>
      <w:proofErr w:type="spellEnd"/>
      <w:r w:rsidRPr="00A020DA">
        <w:rPr>
          <w:rFonts w:ascii="Arial" w:hAnsi="Arial" w:cs="Arial"/>
        </w:rPr>
        <w:t>, C., 2025. Navigating the Transition to Higher Education: Understanding the Experience among First-Year University Students. </w:t>
      </w:r>
      <w:r w:rsidRPr="00A020DA">
        <w:rPr>
          <w:rFonts w:ascii="Arial" w:hAnsi="Arial" w:cs="Arial"/>
          <w:i/>
          <w:iCs/>
        </w:rPr>
        <w:t>Journal of Tertiary Education and Learning</w:t>
      </w:r>
      <w:r w:rsidRPr="00A020DA">
        <w:rPr>
          <w:rFonts w:ascii="Arial" w:hAnsi="Arial" w:cs="Arial"/>
        </w:rPr>
        <w:t>, </w:t>
      </w:r>
      <w:r w:rsidRPr="00A020DA">
        <w:rPr>
          <w:rFonts w:ascii="Arial" w:hAnsi="Arial" w:cs="Arial"/>
          <w:i/>
          <w:iCs/>
        </w:rPr>
        <w:t>3</w:t>
      </w:r>
      <w:r w:rsidRPr="00A020DA">
        <w:rPr>
          <w:rFonts w:ascii="Arial" w:hAnsi="Arial" w:cs="Arial"/>
        </w:rPr>
        <w:t>(1), pp.51-64.</w:t>
      </w:r>
    </w:p>
    <w:p w14:paraId="72F701AB" w14:textId="77777777" w:rsidR="000B3DAF" w:rsidRPr="00A020DA" w:rsidRDefault="000B3DAF" w:rsidP="00B426F8">
      <w:pPr>
        <w:spacing w:line="360" w:lineRule="auto"/>
        <w:jc w:val="both"/>
        <w:rPr>
          <w:rFonts w:ascii="Arial" w:hAnsi="Arial" w:cs="Arial"/>
        </w:rPr>
      </w:pPr>
      <w:r w:rsidRPr="00A020DA">
        <w:rPr>
          <w:rFonts w:ascii="Arial" w:hAnsi="Arial" w:cs="Arial"/>
        </w:rPr>
        <w:t>Ren, K., Lan, J., Ge, L. and Zhou, L., 2025. The impact of intergenerational support on the mental health of older adults: a discussion of three dimensions of support. </w:t>
      </w:r>
      <w:r w:rsidRPr="00A020DA">
        <w:rPr>
          <w:rFonts w:ascii="Arial" w:hAnsi="Arial" w:cs="Arial"/>
          <w:i/>
          <w:iCs/>
        </w:rPr>
        <w:t>Frontiers in Public Health</w:t>
      </w:r>
      <w:r w:rsidRPr="00A020DA">
        <w:rPr>
          <w:rFonts w:ascii="Arial" w:hAnsi="Arial" w:cs="Arial"/>
        </w:rPr>
        <w:t>, </w:t>
      </w:r>
      <w:r w:rsidRPr="00A020DA">
        <w:rPr>
          <w:rFonts w:ascii="Arial" w:hAnsi="Arial" w:cs="Arial"/>
          <w:i/>
          <w:iCs/>
        </w:rPr>
        <w:t>13</w:t>
      </w:r>
      <w:r w:rsidRPr="00A020DA">
        <w:rPr>
          <w:rFonts w:ascii="Arial" w:hAnsi="Arial" w:cs="Arial"/>
        </w:rPr>
        <w:t>, p.1467463.</w:t>
      </w:r>
    </w:p>
    <w:p w14:paraId="0907E1E7" w14:textId="77777777" w:rsidR="000B3DAF" w:rsidRPr="00A020DA" w:rsidRDefault="000B3DAF" w:rsidP="00B426F8">
      <w:pPr>
        <w:spacing w:line="360" w:lineRule="auto"/>
        <w:jc w:val="both"/>
        <w:rPr>
          <w:rFonts w:ascii="Arial" w:hAnsi="Arial" w:cs="Arial"/>
        </w:rPr>
      </w:pPr>
      <w:r w:rsidRPr="00A020DA">
        <w:rPr>
          <w:rFonts w:ascii="Arial" w:hAnsi="Arial" w:cs="Arial"/>
        </w:rPr>
        <w:t xml:space="preserve">Scotcher, K., Green, E., Butts, T., Donald, E.M., </w:t>
      </w:r>
      <w:proofErr w:type="spellStart"/>
      <w:r w:rsidRPr="00A020DA">
        <w:rPr>
          <w:rFonts w:ascii="Arial" w:hAnsi="Arial" w:cs="Arial"/>
        </w:rPr>
        <w:t>Dulohery</w:t>
      </w:r>
      <w:proofErr w:type="spellEnd"/>
      <w:r w:rsidRPr="00A020DA">
        <w:rPr>
          <w:rFonts w:ascii="Arial" w:hAnsi="Arial" w:cs="Arial"/>
        </w:rPr>
        <w:t xml:space="preserve">, K., </w:t>
      </w:r>
      <w:proofErr w:type="spellStart"/>
      <w:r w:rsidRPr="00A020DA">
        <w:rPr>
          <w:rFonts w:ascii="Arial" w:hAnsi="Arial" w:cs="Arial"/>
        </w:rPr>
        <w:t>Khamuani</w:t>
      </w:r>
      <w:proofErr w:type="spellEnd"/>
      <w:r w:rsidRPr="00A020DA">
        <w:rPr>
          <w:rFonts w:ascii="Arial" w:hAnsi="Arial" w:cs="Arial"/>
        </w:rPr>
        <w:t>, M.P., Miles, H., Patten, D., Roberts, A.E., Swainson, H. and Matthan, J., 2025. Discover Anatomy: A Student-Facilitated Public Engagement Event. In </w:t>
      </w:r>
      <w:r w:rsidRPr="00A020DA">
        <w:rPr>
          <w:rFonts w:ascii="Arial" w:hAnsi="Arial" w:cs="Arial"/>
          <w:i/>
          <w:iCs/>
        </w:rPr>
        <w:t>International Anatomical Education: The Trans-European Pedagogic Anatomy Research Group</w:t>
      </w:r>
      <w:r w:rsidRPr="00A020DA">
        <w:rPr>
          <w:rFonts w:ascii="Arial" w:hAnsi="Arial" w:cs="Arial"/>
        </w:rPr>
        <w:t> (pp. 169-195). Cham: Springer Nature Switzerland.</w:t>
      </w:r>
    </w:p>
    <w:p w14:paraId="0E721A3C" w14:textId="77777777" w:rsidR="000B3DAF" w:rsidRPr="00A020DA" w:rsidRDefault="000B3DAF" w:rsidP="00B426F8">
      <w:pPr>
        <w:spacing w:line="360" w:lineRule="auto"/>
        <w:jc w:val="both"/>
        <w:rPr>
          <w:rFonts w:ascii="Arial" w:hAnsi="Arial" w:cs="Arial"/>
        </w:rPr>
      </w:pPr>
      <w:r w:rsidRPr="00A020DA">
        <w:rPr>
          <w:rFonts w:ascii="Arial" w:hAnsi="Arial" w:cs="Arial"/>
        </w:rPr>
        <w:lastRenderedPageBreak/>
        <w:t>Shahzad, M.F., Xu, S., Lim, W.M., Yang, X. and Khan, Q.R., 2024. Artificial intelligence and social media on academic performance and mental well-being: Student perceptions of positive impact in the age of smart learning. </w:t>
      </w:r>
      <w:proofErr w:type="spellStart"/>
      <w:r w:rsidRPr="00A020DA">
        <w:rPr>
          <w:rFonts w:ascii="Arial" w:hAnsi="Arial" w:cs="Arial"/>
          <w:i/>
          <w:iCs/>
        </w:rPr>
        <w:t>Heliyon</w:t>
      </w:r>
      <w:proofErr w:type="spellEnd"/>
      <w:r w:rsidRPr="00A020DA">
        <w:rPr>
          <w:rFonts w:ascii="Arial" w:hAnsi="Arial" w:cs="Arial"/>
        </w:rPr>
        <w:t>, </w:t>
      </w:r>
      <w:r w:rsidRPr="00A020DA">
        <w:rPr>
          <w:rFonts w:ascii="Arial" w:hAnsi="Arial" w:cs="Arial"/>
          <w:i/>
          <w:iCs/>
        </w:rPr>
        <w:t>10</w:t>
      </w:r>
      <w:r w:rsidRPr="00A020DA">
        <w:rPr>
          <w:rFonts w:ascii="Arial" w:hAnsi="Arial" w:cs="Arial"/>
        </w:rPr>
        <w:t>(8).</w:t>
      </w:r>
    </w:p>
    <w:p w14:paraId="4A6535EE" w14:textId="77777777" w:rsidR="000B3DAF" w:rsidRPr="00A020DA" w:rsidRDefault="000B3DAF" w:rsidP="00B426F8">
      <w:pPr>
        <w:spacing w:line="360" w:lineRule="auto"/>
        <w:jc w:val="both"/>
        <w:rPr>
          <w:rFonts w:ascii="Arial" w:hAnsi="Arial" w:cs="Arial"/>
        </w:rPr>
      </w:pPr>
      <w:r w:rsidRPr="00A020DA">
        <w:rPr>
          <w:rFonts w:ascii="Arial" w:hAnsi="Arial" w:cs="Arial"/>
        </w:rPr>
        <w:t>Shukla, A., 2026. Integrating Technology in Disability Clinical Education. In </w:t>
      </w:r>
      <w:r w:rsidRPr="00A020DA">
        <w:rPr>
          <w:rFonts w:ascii="Arial" w:hAnsi="Arial" w:cs="Arial"/>
          <w:i/>
          <w:iCs/>
        </w:rPr>
        <w:t>Enabling Change: Next-Generation Disability Clinical Education Programs</w:t>
      </w:r>
      <w:r w:rsidRPr="00A020DA">
        <w:rPr>
          <w:rFonts w:ascii="Arial" w:hAnsi="Arial" w:cs="Arial"/>
        </w:rPr>
        <w:t> (pp. 61-87). Singapore: Springer Nature Singapore.</w:t>
      </w:r>
    </w:p>
    <w:p w14:paraId="006BEF24" w14:textId="77777777" w:rsidR="000B3DAF" w:rsidRPr="00A020DA" w:rsidRDefault="000B3DAF" w:rsidP="00B426F8">
      <w:pPr>
        <w:spacing w:line="360" w:lineRule="auto"/>
        <w:jc w:val="both"/>
        <w:rPr>
          <w:rFonts w:ascii="Arial" w:hAnsi="Arial" w:cs="Arial"/>
        </w:rPr>
      </w:pPr>
    </w:p>
    <w:p w14:paraId="65A598FB" w14:textId="77777777" w:rsidR="002E06C3" w:rsidRPr="00A020DA" w:rsidRDefault="002E06C3" w:rsidP="00B426F8">
      <w:pPr>
        <w:spacing w:line="360" w:lineRule="auto"/>
        <w:jc w:val="both"/>
        <w:rPr>
          <w:rFonts w:ascii="Arial" w:hAnsi="Arial" w:cs="Arial"/>
        </w:rPr>
      </w:pPr>
    </w:p>
    <w:sectPr w:rsidR="002E06C3" w:rsidRPr="00A020D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BE07FD5" w14:textId="77777777" w:rsidR="002D5486" w:rsidRDefault="002D5486" w:rsidP="00F05221">
      <w:pPr>
        <w:spacing w:after="0" w:line="240" w:lineRule="auto"/>
      </w:pPr>
      <w:r>
        <w:separator/>
      </w:r>
    </w:p>
  </w:endnote>
  <w:endnote w:type="continuationSeparator" w:id="0">
    <w:p w14:paraId="6E2B05B7" w14:textId="77777777" w:rsidR="002D5486" w:rsidRDefault="002D5486" w:rsidP="00F05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1895F28" w14:textId="77777777" w:rsidR="002D5486" w:rsidRDefault="002D5486" w:rsidP="00F05221">
      <w:pPr>
        <w:spacing w:after="0" w:line="240" w:lineRule="auto"/>
      </w:pPr>
      <w:r>
        <w:separator/>
      </w:r>
    </w:p>
  </w:footnote>
  <w:footnote w:type="continuationSeparator" w:id="0">
    <w:p w14:paraId="3465B399" w14:textId="77777777" w:rsidR="002D5486" w:rsidRDefault="002D5486" w:rsidP="00F05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DA37E9"/>
    <w:multiLevelType w:val="hybridMultilevel"/>
    <w:tmpl w:val="49D4DF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A3559F"/>
    <w:multiLevelType w:val="hybridMultilevel"/>
    <w:tmpl w:val="A92C8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C8151D"/>
    <w:multiLevelType w:val="hybridMultilevel"/>
    <w:tmpl w:val="718EE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D64FD9"/>
    <w:multiLevelType w:val="hybridMultilevel"/>
    <w:tmpl w:val="FF1C9E5C"/>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4" w15:restartNumberingAfterBreak="0">
    <w:nsid w:val="6CC047FB"/>
    <w:multiLevelType w:val="hybridMultilevel"/>
    <w:tmpl w:val="36F0E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CA390D"/>
    <w:multiLevelType w:val="hybridMultilevel"/>
    <w:tmpl w:val="B84E0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CA0F50"/>
    <w:multiLevelType w:val="hybridMultilevel"/>
    <w:tmpl w:val="21BEE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6922190">
    <w:abstractNumId w:val="5"/>
  </w:num>
  <w:num w:numId="2" w16cid:durableId="224530508">
    <w:abstractNumId w:val="3"/>
  </w:num>
  <w:num w:numId="3" w16cid:durableId="377124927">
    <w:abstractNumId w:val="2"/>
  </w:num>
  <w:num w:numId="4" w16cid:durableId="903294390">
    <w:abstractNumId w:val="4"/>
  </w:num>
  <w:num w:numId="5" w16cid:durableId="199242381">
    <w:abstractNumId w:val="0"/>
  </w:num>
  <w:num w:numId="6" w16cid:durableId="770472557">
    <w:abstractNumId w:val="6"/>
  </w:num>
  <w:num w:numId="7" w16cid:durableId="63926818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94F"/>
    <w:rsid w:val="000B3DAF"/>
    <w:rsid w:val="000E52D9"/>
    <w:rsid w:val="00130E07"/>
    <w:rsid w:val="00134606"/>
    <w:rsid w:val="0015416E"/>
    <w:rsid w:val="002D5486"/>
    <w:rsid w:val="002E06C3"/>
    <w:rsid w:val="00392774"/>
    <w:rsid w:val="005716FF"/>
    <w:rsid w:val="00601921"/>
    <w:rsid w:val="006A7E7F"/>
    <w:rsid w:val="007B25A1"/>
    <w:rsid w:val="00886630"/>
    <w:rsid w:val="0098194F"/>
    <w:rsid w:val="00A020DA"/>
    <w:rsid w:val="00B3140B"/>
    <w:rsid w:val="00B426F8"/>
    <w:rsid w:val="00B42F83"/>
    <w:rsid w:val="00BA7463"/>
    <w:rsid w:val="00C10044"/>
    <w:rsid w:val="00C22C40"/>
    <w:rsid w:val="00C80825"/>
    <w:rsid w:val="00CD541C"/>
    <w:rsid w:val="00EA0603"/>
    <w:rsid w:val="00F05221"/>
    <w:rsid w:val="00FB67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A616C"/>
  <w15:chartTrackingRefBased/>
  <w15:docId w15:val="{33DD1E9B-D754-4DB2-9185-6C8F7F44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9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19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19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9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19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9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9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9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9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9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19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19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19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19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9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9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9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94F"/>
    <w:rPr>
      <w:rFonts w:eastAsiaTheme="majorEastAsia" w:cstheme="majorBidi"/>
      <w:color w:val="272727" w:themeColor="text1" w:themeTint="D8"/>
    </w:rPr>
  </w:style>
  <w:style w:type="paragraph" w:styleId="Title">
    <w:name w:val="Title"/>
    <w:basedOn w:val="Normal"/>
    <w:next w:val="Normal"/>
    <w:link w:val="TitleChar"/>
    <w:uiPriority w:val="10"/>
    <w:qFormat/>
    <w:rsid w:val="009819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9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9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9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94F"/>
    <w:pPr>
      <w:spacing w:before="160"/>
      <w:jc w:val="center"/>
    </w:pPr>
    <w:rPr>
      <w:i/>
      <w:iCs/>
      <w:color w:val="404040" w:themeColor="text1" w:themeTint="BF"/>
    </w:rPr>
  </w:style>
  <w:style w:type="character" w:customStyle="1" w:styleId="QuoteChar">
    <w:name w:val="Quote Char"/>
    <w:basedOn w:val="DefaultParagraphFont"/>
    <w:link w:val="Quote"/>
    <w:uiPriority w:val="29"/>
    <w:rsid w:val="0098194F"/>
    <w:rPr>
      <w:i/>
      <w:iCs/>
      <w:color w:val="404040" w:themeColor="text1" w:themeTint="BF"/>
    </w:rPr>
  </w:style>
  <w:style w:type="paragraph" w:styleId="ListParagraph">
    <w:name w:val="List Paragraph"/>
    <w:basedOn w:val="Normal"/>
    <w:uiPriority w:val="34"/>
    <w:qFormat/>
    <w:rsid w:val="0098194F"/>
    <w:pPr>
      <w:ind w:left="720"/>
      <w:contextualSpacing/>
    </w:pPr>
  </w:style>
  <w:style w:type="character" w:styleId="IntenseEmphasis">
    <w:name w:val="Intense Emphasis"/>
    <w:basedOn w:val="DefaultParagraphFont"/>
    <w:uiPriority w:val="21"/>
    <w:qFormat/>
    <w:rsid w:val="0098194F"/>
    <w:rPr>
      <w:i/>
      <w:iCs/>
      <w:color w:val="0F4761" w:themeColor="accent1" w:themeShade="BF"/>
    </w:rPr>
  </w:style>
  <w:style w:type="paragraph" w:styleId="IntenseQuote">
    <w:name w:val="Intense Quote"/>
    <w:basedOn w:val="Normal"/>
    <w:next w:val="Normal"/>
    <w:link w:val="IntenseQuoteChar"/>
    <w:uiPriority w:val="30"/>
    <w:qFormat/>
    <w:rsid w:val="009819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94F"/>
    <w:rPr>
      <w:i/>
      <w:iCs/>
      <w:color w:val="0F4761" w:themeColor="accent1" w:themeShade="BF"/>
    </w:rPr>
  </w:style>
  <w:style w:type="character" w:styleId="IntenseReference">
    <w:name w:val="Intense Reference"/>
    <w:basedOn w:val="DefaultParagraphFont"/>
    <w:uiPriority w:val="32"/>
    <w:qFormat/>
    <w:rsid w:val="0098194F"/>
    <w:rPr>
      <w:b/>
      <w:bCs/>
      <w:smallCaps/>
      <w:color w:val="0F4761" w:themeColor="accent1" w:themeShade="BF"/>
      <w:spacing w:val="5"/>
    </w:rPr>
  </w:style>
  <w:style w:type="paragraph" w:styleId="Header">
    <w:name w:val="header"/>
    <w:basedOn w:val="Normal"/>
    <w:link w:val="HeaderChar"/>
    <w:uiPriority w:val="99"/>
    <w:unhideWhenUsed/>
    <w:rsid w:val="00F052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5221"/>
  </w:style>
  <w:style w:type="paragraph" w:styleId="Footer">
    <w:name w:val="footer"/>
    <w:basedOn w:val="Normal"/>
    <w:link w:val="FooterChar"/>
    <w:uiPriority w:val="99"/>
    <w:unhideWhenUsed/>
    <w:rsid w:val="00F052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52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TotalTime>
  <Pages>8</Pages>
  <Words>1572</Words>
  <Characters>8963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Nicoleta Gianina Abiaboeru (2527024)</cp:lastModifiedBy>
  <cp:revision>11</cp:revision>
  <dcterms:created xsi:type="dcterms:W3CDTF">2026-06-25T10:21:00Z</dcterms:created>
  <dcterms:modified xsi:type="dcterms:W3CDTF">2026-07-18T09:41:00Z</dcterms:modified>
</cp:coreProperties>
</file>