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jpeg" ContentType="image/jpeg"/>
  <Override PartName="/word/header1.xml" ContentType="application/vnd.openxmlformats-officedocument.wordprocessingml.header+xml"/>
  <Override PartName="/word/theme/theme1.xml" ContentType="application/vnd.openxmlformats-officedocument.theme+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b/>
          <w:b/>
          <w:bCs/>
        </w:rPr>
      </w:pPr>
      <w:r>
        <w:rPr>
          <w:b/>
          <w:bCs/>
        </w:rPr>
      </w:r>
    </w:p>
    <w:p>
      <w:pPr>
        <w:pStyle w:val="Normal"/>
        <w:jc w:val="center"/>
        <w:rPr>
          <w:b/>
          <w:b/>
          <w:bCs/>
        </w:rPr>
      </w:pPr>
      <w:r>
        <w:rPr>
          <w:b/>
          <w:bCs/>
        </w:rPr>
      </w:r>
    </w:p>
    <w:p>
      <w:pPr>
        <w:pStyle w:val="Normal"/>
        <w:jc w:val="center"/>
        <w:rPr>
          <w:b/>
          <w:b/>
          <w:bCs/>
        </w:rPr>
      </w:pPr>
      <w:r>
        <w:rPr>
          <w:b/>
          <w:bCs/>
        </w:rPr>
      </w:r>
    </w:p>
    <w:p>
      <w:pPr>
        <w:pStyle w:val="Normal"/>
        <w:jc w:val="center"/>
        <w:rPr>
          <w:b/>
          <w:b/>
          <w:bCs/>
        </w:rPr>
      </w:pPr>
      <w:r>
        <w:rPr>
          <w:b/>
          <w:bCs/>
        </w:rPr>
      </w:r>
    </w:p>
    <w:p>
      <w:pPr>
        <w:pStyle w:val="TextBody"/>
        <w:spacing w:lineRule="auto" w:line="276"/>
        <w:jc w:val="center"/>
        <w:rPr>
          <w:b/>
          <w:b/>
          <w:bCs/>
        </w:rPr>
      </w:pPr>
      <w:r>
        <w:rPr>
          <w:b/>
          <w:bCs/>
        </w:rPr>
      </w:r>
    </w:p>
    <w:p>
      <w:pPr>
        <w:pStyle w:val="TextBody"/>
        <w:spacing w:lineRule="auto" w:line="276"/>
        <w:jc w:val="center"/>
        <w:rPr>
          <w:b/>
          <w:b/>
          <w:bCs/>
        </w:rPr>
      </w:pPr>
      <w:r>
        <w:rPr>
          <w:rFonts w:ascii="Liberation Serif" w:hAnsi="Liberation Serif"/>
          <w:b w:val="false"/>
          <w:bCs w:val="false"/>
          <w:sz w:val="36"/>
          <w:szCs w:val="36"/>
          <w:u w:val="none"/>
        </w:rPr>
        <w:t xml:space="preserve">Managing People </w:t>
      </w:r>
    </w:p>
    <w:p>
      <w:pPr>
        <w:pStyle w:val="TextBody"/>
        <w:spacing w:lineRule="auto" w:line="276"/>
        <w:jc w:val="center"/>
        <w:rPr>
          <w:b/>
          <w:b/>
          <w:bCs/>
        </w:rPr>
      </w:pPr>
      <w:r>
        <w:rPr>
          <w:rFonts w:ascii="Liberation Serif" w:hAnsi="Liberation Serif"/>
          <w:b w:val="false"/>
          <w:bCs w:val="false"/>
          <w:sz w:val="32"/>
          <w:szCs w:val="32"/>
          <w:u w:val="none"/>
        </w:rPr>
        <w:t xml:space="preserve">Assessment </w:t>
      </w:r>
      <w:r>
        <w:rPr>
          <w:rFonts w:ascii="Liberation Serif" w:hAnsi="Liberation Serif"/>
          <w:b w:val="false"/>
          <w:bCs w:val="false"/>
          <w:sz w:val="32"/>
          <w:szCs w:val="32"/>
          <w:u w:val="none"/>
        </w:rPr>
        <w:t>2</w:t>
      </w:r>
    </w:p>
    <w:p>
      <w:pPr>
        <w:pStyle w:val="TextBody"/>
        <w:spacing w:lineRule="auto" w:line="276"/>
        <w:jc w:val="center"/>
        <w:rPr>
          <w:b/>
          <w:b/>
          <w:bCs/>
        </w:rPr>
      </w:pPr>
      <w:r>
        <w:drawing>
          <wp:anchor behindDoc="0" distT="0" distB="0" distL="114935" distR="114935" simplePos="0" locked="0" layoutInCell="0" allowOverlap="1" relativeHeight="3">
            <wp:simplePos x="0" y="0"/>
            <wp:positionH relativeFrom="column">
              <wp:posOffset>2276475</wp:posOffset>
            </wp:positionH>
            <wp:positionV relativeFrom="paragraph">
              <wp:posOffset>4749165</wp:posOffset>
            </wp:positionV>
            <wp:extent cx="1466850" cy="611505"/>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1466850" cy="611505"/>
                    </a:xfrm>
                    <a:prstGeom prst="rect">
                      <a:avLst/>
                    </a:prstGeom>
                  </pic:spPr>
                </pic:pic>
              </a:graphicData>
            </a:graphic>
          </wp:anchor>
        </w:drawing>
      </w:r>
      <w:r>
        <w:rPr>
          <w:rFonts w:cs="Times New Roman" w:ascii="Liberation Serif" w:hAnsi="Liberation Serif"/>
          <w:b w:val="false"/>
          <w:bCs w:val="false"/>
          <w:i w:val="false"/>
          <w:color w:val="333333"/>
          <w:sz w:val="32"/>
          <w:szCs w:val="32"/>
          <w:u w:val="none"/>
          <w:shd w:fill="FFFFFF" w:val="clear"/>
        </w:rPr>
        <w:t>(LCBB5004)</w:t>
      </w:r>
    </w:p>
    <w:p>
      <w:pPr>
        <w:pStyle w:val="TextBody"/>
        <w:tabs>
          <w:tab w:val="clear" w:pos="709"/>
          <w:tab w:val="left" w:pos="5076" w:leader="none"/>
        </w:tabs>
        <w:spacing w:lineRule="auto" w:line="276"/>
        <w:jc w:val="left"/>
        <w:rPr>
          <w:b/>
          <w:b/>
          <w:bCs/>
        </w:rPr>
      </w:pPr>
      <w:r>
        <w:rPr>
          <w:rFonts w:ascii="Liberation Serif" w:hAnsi="Liberation Serif"/>
          <w:b w:val="false"/>
          <w:sz w:val="28"/>
          <w:szCs w:val="28"/>
        </w:rPr>
      </w:r>
    </w:p>
    <w:p>
      <w:pPr>
        <w:pStyle w:val="TextBody"/>
        <w:tabs>
          <w:tab w:val="clear" w:pos="709"/>
          <w:tab w:val="left" w:pos="5076" w:leader="none"/>
        </w:tabs>
        <w:spacing w:lineRule="auto" w:line="276"/>
        <w:jc w:val="left"/>
        <w:rPr>
          <w:b/>
          <w:b/>
          <w:bCs/>
        </w:rPr>
      </w:pPr>
      <w:r>
        <w:rPr>
          <w:rFonts w:ascii="Liberation Serif" w:hAnsi="Liberation Serif"/>
          <w:b w:val="false"/>
          <w:sz w:val="28"/>
          <w:szCs w:val="28"/>
        </w:rPr>
      </w:r>
    </w:p>
    <w:p>
      <w:pPr>
        <w:pStyle w:val="TextBody"/>
        <w:tabs>
          <w:tab w:val="clear" w:pos="709"/>
          <w:tab w:val="left" w:pos="5076" w:leader="none"/>
        </w:tabs>
        <w:spacing w:lineRule="auto" w:line="276"/>
        <w:jc w:val="left"/>
        <w:rPr>
          <w:b/>
          <w:b/>
          <w:bCs/>
        </w:rPr>
      </w:pPr>
      <w:r>
        <w:rPr>
          <w:rFonts w:ascii="Liberation Serif" w:hAnsi="Liberation Serif"/>
          <w:b w:val="false"/>
          <w:sz w:val="28"/>
          <w:szCs w:val="28"/>
        </w:rPr>
      </w:r>
    </w:p>
    <w:p>
      <w:pPr>
        <w:pStyle w:val="TextBody"/>
        <w:tabs>
          <w:tab w:val="clear" w:pos="709"/>
          <w:tab w:val="left" w:pos="5076" w:leader="none"/>
        </w:tabs>
        <w:spacing w:lineRule="auto" w:line="276"/>
        <w:jc w:val="left"/>
        <w:rPr>
          <w:b/>
          <w:b/>
          <w:bCs/>
        </w:rPr>
      </w:pPr>
      <w:r>
        <w:rPr>
          <w:rFonts w:ascii="Liberation Serif" w:hAnsi="Liberation Serif"/>
          <w:b w:val="false"/>
          <w:sz w:val="28"/>
          <w:szCs w:val="28"/>
        </w:rPr>
      </w:r>
    </w:p>
    <w:p>
      <w:pPr>
        <w:pStyle w:val="TextBody"/>
        <w:tabs>
          <w:tab w:val="clear" w:pos="709"/>
          <w:tab w:val="left" w:pos="5076" w:leader="none"/>
        </w:tabs>
        <w:spacing w:lineRule="auto" w:line="276"/>
        <w:jc w:val="left"/>
        <w:rPr>
          <w:b/>
          <w:b/>
          <w:bCs/>
        </w:rPr>
      </w:pPr>
      <w:r>
        <w:rPr>
          <w:rFonts w:ascii="Liberation Serif" w:hAnsi="Liberation Serif"/>
          <w:b w:val="false"/>
          <w:sz w:val="28"/>
          <w:szCs w:val="28"/>
        </w:rPr>
      </w:r>
    </w:p>
    <w:p>
      <w:pPr>
        <w:pStyle w:val="TextBody"/>
        <w:tabs>
          <w:tab w:val="clear" w:pos="709"/>
          <w:tab w:val="left" w:pos="5076" w:leader="none"/>
        </w:tabs>
        <w:spacing w:lineRule="auto" w:line="276"/>
        <w:jc w:val="left"/>
        <w:rPr>
          <w:b/>
          <w:b/>
          <w:bCs/>
        </w:rPr>
      </w:pPr>
      <w:r>
        <w:rPr>
          <w:rFonts w:ascii="Liberation Serif" w:hAnsi="Liberation Serif"/>
          <w:b w:val="false"/>
          <w:sz w:val="28"/>
          <w:szCs w:val="28"/>
        </w:rPr>
      </w:r>
    </w:p>
    <w:p>
      <w:pPr>
        <w:pStyle w:val="TextBody"/>
        <w:tabs>
          <w:tab w:val="clear" w:pos="709"/>
          <w:tab w:val="left" w:pos="5076" w:leader="none"/>
        </w:tabs>
        <w:spacing w:lineRule="auto" w:line="276"/>
        <w:jc w:val="left"/>
        <w:rPr>
          <w:b/>
          <w:b/>
          <w:bCs/>
        </w:rPr>
      </w:pPr>
      <w:r>
        <w:rPr>
          <w:rFonts w:ascii="Liberation Serif" w:hAnsi="Liberation Serif"/>
          <w:b w:val="false"/>
          <w:bCs w:val="false"/>
          <w:sz w:val="28"/>
          <w:szCs w:val="28"/>
          <w:u w:val="none"/>
        </w:rPr>
        <w:t xml:space="preserve">Mladen Dinev                               </w:t>
      </w:r>
      <w:r>
        <w:rPr>
          <w:rFonts w:ascii="Liberation Serif" w:hAnsi="Liberation Serif"/>
          <w:b w:val="false"/>
          <w:bCs w:val="false"/>
          <w:i w:val="false"/>
          <w:iCs w:val="false"/>
          <w:strike w:val="false"/>
          <w:dstrike w:val="false"/>
          <w:sz w:val="28"/>
          <w:szCs w:val="28"/>
          <w:u w:val="none"/>
        </w:rPr>
        <w:t xml:space="preserve">                                               Nishi Ramsurrun </w:t>
      </w:r>
    </w:p>
    <w:p>
      <w:pPr>
        <w:pStyle w:val="TextBody"/>
        <w:spacing w:lineRule="auto" w:line="276"/>
        <w:jc w:val="left"/>
        <w:rPr>
          <w:b/>
          <w:b/>
          <w:bCs/>
        </w:rPr>
      </w:pPr>
      <w:r>
        <w:rPr>
          <w:rFonts w:ascii="Liberation Serif" w:hAnsi="Liberation Serif"/>
          <w:b w:val="false"/>
          <w:bCs w:val="false"/>
          <w:sz w:val="28"/>
          <w:szCs w:val="28"/>
          <w:u w:val="none"/>
        </w:rPr>
        <w:t xml:space="preserve">(2022657)                                                                                     </w:t>
      </w:r>
      <w:r>
        <w:rPr>
          <w:rFonts w:eastAsia="Calibri" w:cs="Times New Roman" w:ascii="Liberation Serif" w:hAnsi="Liberation Serif"/>
          <w:b w:val="false"/>
          <w:bCs w:val="false"/>
          <w:color w:val="000000"/>
          <w:sz w:val="28"/>
          <w:szCs w:val="28"/>
          <w:u w:val="none"/>
        </w:rPr>
        <w:t>0</w:t>
      </w:r>
      <w:r>
        <w:rPr>
          <w:rFonts w:eastAsia="Calibri" w:cs="Times New Roman" w:ascii="Liberation Serif" w:hAnsi="Liberation Serif"/>
          <w:b w:val="false"/>
          <w:bCs w:val="false"/>
          <w:color w:val="000000"/>
          <w:sz w:val="28"/>
          <w:szCs w:val="28"/>
          <w:u w:val="none"/>
        </w:rPr>
        <w:t>9</w:t>
      </w:r>
      <w:r>
        <w:rPr>
          <w:rFonts w:ascii="Liberation Serif" w:hAnsi="Liberation Serif"/>
          <w:b w:val="false"/>
          <w:bCs w:val="false"/>
          <w:sz w:val="28"/>
          <w:szCs w:val="28"/>
          <w:u w:val="none"/>
        </w:rPr>
        <w:t>/</w:t>
      </w:r>
      <w:r>
        <w:rPr>
          <w:rFonts w:eastAsia="Calibri" w:cs="Times New Roman" w:ascii="Liberation Serif" w:hAnsi="Liberation Serif"/>
          <w:b w:val="false"/>
          <w:bCs w:val="false"/>
          <w:color w:val="000000"/>
          <w:sz w:val="28"/>
          <w:szCs w:val="28"/>
          <w:u w:val="none"/>
        </w:rPr>
        <w:t>05</w:t>
      </w:r>
      <w:r>
        <w:rPr>
          <w:rFonts w:ascii="Liberation Serif" w:hAnsi="Liberation Serif"/>
          <w:b w:val="false"/>
          <w:bCs w:val="false"/>
          <w:sz w:val="28"/>
          <w:szCs w:val="28"/>
          <w:u w:val="none"/>
        </w:rPr>
        <w:t xml:space="preserve">/2022                                                                                  </w:t>
      </w:r>
    </w:p>
    <w:p>
      <w:pPr>
        <w:pStyle w:val="TextBody"/>
        <w:spacing w:lineRule="auto" w:line="276"/>
        <w:ind w:left="0" w:right="0" w:hanging="0"/>
        <w:jc w:val="center"/>
        <w:rPr>
          <w:b/>
          <w:b/>
          <w:bCs/>
        </w:rPr>
      </w:pPr>
      <w:r>
        <w:rPr>
          <w:rFonts w:eastAsia="Calibri" w:cs="Times New Roman" w:ascii="mr-eaves-modern" w:hAnsi="mr-eaves-modern"/>
          <w:b w:val="false"/>
          <w:bCs w:val="false"/>
          <w:i w:val="false"/>
          <w:caps w:val="false"/>
          <w:smallCaps w:val="false"/>
          <w:color w:val="222222"/>
          <w:spacing w:val="0"/>
          <w:sz w:val="28"/>
          <w:szCs w:val="28"/>
          <w:u w:val="none"/>
        </w:rPr>
      </w:r>
    </w:p>
    <w:p>
      <w:pPr>
        <w:pStyle w:val="Normal"/>
        <w:spacing w:lineRule="auto" w:line="480"/>
        <w:jc w:val="center"/>
        <w:rPr>
          <w:b/>
          <w:b/>
          <w:bCs/>
        </w:rPr>
      </w:pPr>
      <w:r>
        <w:rPr>
          <w:rFonts w:cs="Times New Roman"/>
        </w:rPr>
      </w:r>
    </w:p>
    <w:p>
      <w:pPr>
        <w:pStyle w:val="Normal"/>
        <w:tabs>
          <w:tab w:val="clear" w:pos="709"/>
          <w:tab w:val="left" w:pos="7422" w:leader="none"/>
        </w:tabs>
        <w:spacing w:lineRule="auto" w:line="480"/>
        <w:jc w:val="left"/>
        <w:rPr>
          <w:b/>
          <w:b/>
          <w:bCs/>
        </w:rPr>
      </w:pPr>
      <w:r>
        <w:rPr>
          <w:rFonts w:cs="Times New Roman"/>
        </w:rPr>
        <w:tab/>
      </w:r>
    </w:p>
    <w:p>
      <w:pPr>
        <w:pStyle w:val="Normal"/>
        <w:spacing w:lineRule="auto" w:line="480"/>
        <w:jc w:val="center"/>
        <w:rPr>
          <w:b/>
          <w:b/>
          <w:bCs/>
        </w:rPr>
      </w:pPr>
      <w:r>
        <w:rPr>
          <w:rFonts w:cs="Times New Roman"/>
        </w:rPr>
      </w:r>
    </w:p>
    <w:p>
      <w:pPr>
        <w:pStyle w:val="Normal"/>
        <w:spacing w:lineRule="auto" w:line="360"/>
        <w:jc w:val="center"/>
        <w:rPr>
          <w:b/>
          <w:b/>
          <w:bCs/>
        </w:rPr>
      </w:pPr>
      <w:r>
        <w:rPr>
          <w:rFonts w:cs="Times New Roman"/>
        </w:rPr>
      </w:r>
    </w:p>
    <w:p>
      <w:pPr>
        <w:pStyle w:val="Normal"/>
        <w:spacing w:lineRule="auto" w:line="360"/>
        <w:rPr>
          <w:b/>
          <w:b/>
          <w:bCs/>
        </w:rPr>
      </w:pPr>
      <w:r>
        <w:rPr>
          <w:rFonts w:cs="Arial" w:ascii="Arial" w:hAnsi="Arial"/>
          <w:sz w:val="22"/>
        </w:rPr>
      </w:r>
    </w:p>
    <w:p>
      <w:pPr>
        <w:pStyle w:val="Normal"/>
        <w:spacing w:lineRule="auto" w:line="360"/>
        <w:rPr>
          <w:b/>
          <w:b/>
          <w:bCs/>
        </w:rPr>
      </w:pPr>
      <w:r>
        <w:rPr>
          <w:rFonts w:cs="Arial" w:ascii="Arial" w:hAnsi="Arial"/>
          <w:sz w:val="22"/>
        </w:rPr>
      </w:r>
    </w:p>
    <w:p>
      <w:pPr>
        <w:pStyle w:val="Normal"/>
        <w:jc w:val="center"/>
        <w:rPr>
          <w:b/>
          <w:b/>
          <w:bCs/>
        </w:rPr>
      </w:pPr>
      <w:r>
        <w:rPr>
          <w:b/>
          <w:bCs/>
        </w:rPr>
      </w:r>
    </w:p>
    <w:p>
      <w:pPr>
        <w:pStyle w:val="Normal"/>
        <w:jc w:val="center"/>
        <w:rPr>
          <w:b/>
          <w:b/>
          <w:bCs/>
        </w:rPr>
      </w:pPr>
      <w:r>
        <w:rPr>
          <w:b/>
          <w:bCs/>
        </w:rPr>
      </w:r>
    </w:p>
    <w:p>
      <w:pPr>
        <w:pStyle w:val="Normal"/>
        <w:jc w:val="center"/>
        <w:rPr>
          <w:b/>
          <w:b/>
          <w:bCs/>
        </w:rPr>
      </w:pPr>
      <w:r>
        <w:rPr>
          <w:b/>
          <w:bCs/>
        </w:rPr>
      </w:r>
    </w:p>
    <w:p>
      <w:pPr>
        <w:pStyle w:val="Normal"/>
        <w:jc w:val="center"/>
        <w:rPr>
          <w:b/>
          <w:b/>
          <w:bCs/>
        </w:rPr>
      </w:pPr>
      <w:r>
        <w:rPr>
          <w:b/>
          <w:bCs/>
        </w:rPr>
      </w:r>
    </w:p>
    <w:p>
      <w:pPr>
        <w:pStyle w:val="Normal"/>
        <w:jc w:val="center"/>
        <w:rPr>
          <w:b/>
          <w:b/>
          <w:bCs/>
        </w:rPr>
      </w:pPr>
      <w:r>
        <w:rPr>
          <w:b/>
          <w:bCs/>
        </w:rPr>
      </w:r>
    </w:p>
    <w:p>
      <w:pPr>
        <w:pStyle w:val="Normal"/>
        <w:jc w:val="center"/>
        <w:rPr>
          <w:b/>
          <w:b/>
          <w:bCs/>
        </w:rPr>
      </w:pPr>
      <w:r>
        <w:rPr>
          <w:b/>
          <w:bCs/>
        </w:rPr>
      </w:r>
    </w:p>
    <w:p>
      <w:pPr>
        <w:pStyle w:val="Normal"/>
        <w:jc w:val="center"/>
        <w:rPr>
          <w:rFonts w:ascii="Times New Roman" w:hAnsi="Times New Roman" w:cs="Times New Roman"/>
          <w:b/>
          <w:b/>
          <w:bCs/>
          <w:sz w:val="32"/>
          <w:szCs w:val="32"/>
        </w:rPr>
      </w:pPr>
      <w:r>
        <w:rPr>
          <w:rFonts w:cs="Times New Roman" w:ascii="Times New Roman" w:hAnsi="Times New Roman"/>
          <w:b/>
          <w:bCs/>
          <w:sz w:val="24"/>
          <w:szCs w:val="24"/>
        </w:rPr>
      </w:r>
    </w:p>
    <w:sdt>
      <w:sdtPr>
        <w:docPartObj>
          <w:docPartGallery w:val="Table of Contents"/>
          <w:docPartUnique w:val="true"/>
        </w:docPartObj>
      </w:sdtPr>
      <w:sdtContent>
        <w:p>
          <w:pPr>
            <w:pStyle w:val="TOCHeading"/>
            <w:rPr/>
          </w:pPr>
          <w:r>
            <w:br w:type="page"/>
          </w:r>
          <w:r>
            <w:rPr/>
            <w:t>Contents</w:t>
          </w:r>
        </w:p>
        <w:p>
          <w:pPr>
            <w:pStyle w:val="Contents1"/>
            <w:tabs>
              <w:tab w:val="clear" w:pos="709"/>
              <w:tab w:val="right" w:pos="9016" w:leader="dot"/>
            </w:tabs>
            <w:rPr/>
          </w:pPr>
          <w:r>
            <w:fldChar w:fldCharType="begin"/>
          </w:r>
          <w:r>
            <w:rPr>
              <w:webHidden/>
              <w:rStyle w:val="IndexLink"/>
              <w:b/>
              <w:bCs/>
            </w:rPr>
            <w:instrText> TOC \z \o "1-3" \u \h</w:instrText>
          </w:r>
          <w:r>
            <w:rPr>
              <w:webHidden/>
              <w:rStyle w:val="IndexLink"/>
              <w:b/>
              <w:bCs/>
            </w:rPr>
            <w:fldChar w:fldCharType="separate"/>
          </w:r>
          <w:hyperlink w:anchor="_Toc102190819">
            <w:r>
              <w:rPr>
                <w:webHidden/>
                <w:rStyle w:val="IndexLink"/>
                <w:b/>
                <w:bCs/>
              </w:rPr>
              <w:t>Introduction</w:t>
            </w:r>
            <w:r>
              <w:rPr>
                <w:webHidden/>
              </w:rPr>
              <w:fldChar w:fldCharType="begin"/>
            </w:r>
            <w:r>
              <w:rPr>
                <w:webHidden/>
              </w:rPr>
              <w:instrText>PAGEREF _Toc102190819 \h</w:instrText>
            </w:r>
            <w:r>
              <w:rPr>
                <w:webHidden/>
              </w:rPr>
              <w:fldChar w:fldCharType="separate"/>
            </w:r>
            <w:r>
              <w:rPr>
                <w:rStyle w:val="IndexLink"/>
                <w:vanish w:val="false"/>
              </w:rPr>
              <w:tab/>
              <w:t>4</w:t>
            </w:r>
            <w:r>
              <w:rPr>
                <w:webHidden/>
              </w:rPr>
              <w:fldChar w:fldCharType="end"/>
            </w:r>
          </w:hyperlink>
        </w:p>
        <w:p>
          <w:pPr>
            <w:pStyle w:val="Contents1"/>
            <w:tabs>
              <w:tab w:val="clear" w:pos="709"/>
              <w:tab w:val="right" w:pos="9016" w:leader="dot"/>
            </w:tabs>
            <w:rPr/>
          </w:pPr>
          <w:hyperlink w:anchor="_Toc102190820">
            <w:r>
              <w:rPr>
                <w:webHidden/>
                <w:rStyle w:val="IndexLink"/>
                <w:b/>
                <w:bCs/>
              </w:rPr>
              <w:t>The Concept and Drivers of Employee Engagement</w:t>
            </w:r>
            <w:r>
              <w:rPr>
                <w:webHidden/>
              </w:rPr>
              <w:fldChar w:fldCharType="begin"/>
            </w:r>
            <w:r>
              <w:rPr>
                <w:webHidden/>
              </w:rPr>
              <w:instrText>PAGEREF _Toc102190820 \h</w:instrText>
            </w:r>
            <w:r>
              <w:rPr>
                <w:webHidden/>
              </w:rPr>
              <w:fldChar w:fldCharType="separate"/>
            </w:r>
            <w:r>
              <w:rPr>
                <w:rStyle w:val="IndexLink"/>
                <w:vanish w:val="false"/>
              </w:rPr>
              <w:tab/>
              <w:t>4</w:t>
            </w:r>
            <w:r>
              <w:rPr>
                <w:webHidden/>
              </w:rPr>
              <w:fldChar w:fldCharType="end"/>
            </w:r>
          </w:hyperlink>
        </w:p>
        <w:p>
          <w:pPr>
            <w:pStyle w:val="Contents2"/>
            <w:tabs>
              <w:tab w:val="clear" w:pos="709"/>
              <w:tab w:val="right" w:pos="9016" w:leader="dot"/>
            </w:tabs>
            <w:rPr/>
          </w:pPr>
          <w:hyperlink w:anchor="_Toc102190821">
            <w:r>
              <w:rPr>
                <w:webHidden/>
                <w:rStyle w:val="IndexLink"/>
                <w:i/>
                <w:iCs/>
              </w:rPr>
              <w:t>Employee Engagement: Influencing Factors</w:t>
            </w:r>
            <w:r>
              <w:rPr>
                <w:webHidden/>
              </w:rPr>
              <w:fldChar w:fldCharType="begin"/>
            </w:r>
            <w:r>
              <w:rPr>
                <w:webHidden/>
              </w:rPr>
              <w:instrText>PAGEREF _Toc102190821 \h</w:instrText>
            </w:r>
            <w:r>
              <w:rPr>
                <w:webHidden/>
              </w:rPr>
              <w:fldChar w:fldCharType="separate"/>
            </w:r>
            <w:r>
              <w:rPr>
                <w:rStyle w:val="IndexLink"/>
                <w:vanish w:val="false"/>
              </w:rPr>
              <w:tab/>
              <w:t>5</w:t>
            </w:r>
            <w:r>
              <w:rPr>
                <w:webHidden/>
              </w:rPr>
              <w:fldChar w:fldCharType="end"/>
            </w:r>
          </w:hyperlink>
        </w:p>
        <w:p>
          <w:pPr>
            <w:pStyle w:val="Contents2"/>
            <w:tabs>
              <w:tab w:val="clear" w:pos="709"/>
              <w:tab w:val="right" w:pos="9016" w:leader="dot"/>
            </w:tabs>
            <w:rPr/>
          </w:pPr>
          <w:hyperlink w:anchor="_Toc102190822">
            <w:r>
              <w:rPr>
                <w:webHidden/>
                <w:rStyle w:val="IndexLink"/>
                <w:i/>
                <w:iCs/>
                <w:shd w:fill="FFFFFF" w:val="clear"/>
              </w:rPr>
              <w:t>Identify Drivers of Employee Engagement</w:t>
            </w:r>
            <w:r>
              <w:rPr>
                <w:webHidden/>
              </w:rPr>
              <w:fldChar w:fldCharType="begin"/>
            </w:r>
            <w:r>
              <w:rPr>
                <w:webHidden/>
              </w:rPr>
              <w:instrText>PAGEREF _Toc102190822 \h</w:instrText>
            </w:r>
            <w:r>
              <w:rPr>
                <w:webHidden/>
              </w:rPr>
              <w:fldChar w:fldCharType="separate"/>
            </w:r>
            <w:r>
              <w:rPr>
                <w:rStyle w:val="IndexLink"/>
                <w:vanish w:val="false"/>
              </w:rPr>
              <w:tab/>
              <w:t>6</w:t>
            </w:r>
            <w:r>
              <w:rPr>
                <w:webHidden/>
              </w:rPr>
              <w:fldChar w:fldCharType="end"/>
            </w:r>
          </w:hyperlink>
        </w:p>
        <w:p>
          <w:pPr>
            <w:pStyle w:val="Contents2"/>
            <w:tabs>
              <w:tab w:val="clear" w:pos="709"/>
              <w:tab w:val="right" w:pos="9016" w:leader="dot"/>
            </w:tabs>
            <w:rPr/>
          </w:pPr>
          <w:hyperlink w:anchor="_Toc102190823">
            <w:r>
              <w:rPr>
                <w:webHidden/>
                <w:rStyle w:val="IndexLink"/>
                <w:i/>
                <w:iCs/>
              </w:rPr>
              <w:t>Boost Employee Engagement</w:t>
            </w:r>
            <w:r>
              <w:rPr>
                <w:webHidden/>
              </w:rPr>
              <w:fldChar w:fldCharType="begin"/>
            </w:r>
            <w:r>
              <w:rPr>
                <w:webHidden/>
              </w:rPr>
              <w:instrText>PAGEREF _Toc102190823 \h</w:instrText>
            </w:r>
            <w:r>
              <w:rPr>
                <w:webHidden/>
              </w:rPr>
              <w:fldChar w:fldCharType="separate"/>
            </w:r>
            <w:r>
              <w:rPr>
                <w:rStyle w:val="IndexLink"/>
                <w:vanish w:val="false"/>
              </w:rPr>
              <w:tab/>
              <w:t>7</w:t>
            </w:r>
            <w:r>
              <w:rPr>
                <w:webHidden/>
              </w:rPr>
              <w:fldChar w:fldCharType="end"/>
            </w:r>
          </w:hyperlink>
        </w:p>
        <w:p>
          <w:pPr>
            <w:pStyle w:val="Contents1"/>
            <w:tabs>
              <w:tab w:val="clear" w:pos="709"/>
              <w:tab w:val="right" w:pos="9016" w:leader="dot"/>
            </w:tabs>
            <w:rPr/>
          </w:pPr>
          <w:hyperlink w:anchor="_Toc102190824">
            <w:r>
              <w:rPr>
                <w:webHidden/>
                <w:rStyle w:val="IndexLink"/>
                <w:b/>
                <w:bCs/>
                <w:shd w:fill="FFFFFF" w:val="clear"/>
              </w:rPr>
              <w:t>Diagnostic Tools to Measure Engagement</w:t>
            </w:r>
            <w:r>
              <w:rPr>
                <w:webHidden/>
              </w:rPr>
              <w:fldChar w:fldCharType="begin"/>
            </w:r>
            <w:r>
              <w:rPr>
                <w:webHidden/>
              </w:rPr>
              <w:instrText>PAGEREF _Toc102190824 \h</w:instrText>
            </w:r>
            <w:r>
              <w:rPr>
                <w:webHidden/>
              </w:rPr>
              <w:fldChar w:fldCharType="separate"/>
            </w:r>
            <w:r>
              <w:rPr>
                <w:rStyle w:val="IndexLink"/>
                <w:vanish w:val="false"/>
              </w:rPr>
              <w:tab/>
              <w:t>7</w:t>
            </w:r>
            <w:r>
              <w:rPr>
                <w:webHidden/>
              </w:rPr>
              <w:fldChar w:fldCharType="end"/>
            </w:r>
          </w:hyperlink>
        </w:p>
        <w:p>
          <w:pPr>
            <w:pStyle w:val="Contents2"/>
            <w:tabs>
              <w:tab w:val="clear" w:pos="709"/>
              <w:tab w:val="right" w:pos="9016" w:leader="dot"/>
            </w:tabs>
            <w:rPr/>
          </w:pPr>
          <w:hyperlink w:anchor="_Toc102190825">
            <w:r>
              <w:rPr>
                <w:webHidden/>
                <w:rStyle w:val="IndexLink"/>
                <w:i/>
                <w:iCs/>
              </w:rPr>
              <w:t>Employee Survey</w:t>
            </w:r>
            <w:r>
              <w:rPr>
                <w:webHidden/>
              </w:rPr>
              <w:fldChar w:fldCharType="begin"/>
            </w:r>
            <w:r>
              <w:rPr>
                <w:webHidden/>
              </w:rPr>
              <w:instrText>PAGEREF _Toc102190825 \h</w:instrText>
            </w:r>
            <w:r>
              <w:rPr>
                <w:webHidden/>
              </w:rPr>
              <w:fldChar w:fldCharType="separate"/>
            </w:r>
            <w:r>
              <w:rPr>
                <w:rStyle w:val="IndexLink"/>
                <w:vanish w:val="false"/>
              </w:rPr>
              <w:tab/>
              <w:t>7</w:t>
            </w:r>
            <w:r>
              <w:rPr>
                <w:webHidden/>
              </w:rPr>
              <w:fldChar w:fldCharType="end"/>
            </w:r>
          </w:hyperlink>
        </w:p>
        <w:p>
          <w:pPr>
            <w:pStyle w:val="Contents2"/>
            <w:tabs>
              <w:tab w:val="clear" w:pos="709"/>
              <w:tab w:val="right" w:pos="9016" w:leader="dot"/>
            </w:tabs>
            <w:rPr/>
          </w:pPr>
          <w:hyperlink w:anchor="_Toc102190826">
            <w:r>
              <w:rPr>
                <w:webHidden/>
                <w:rStyle w:val="IndexLink"/>
                <w:i/>
                <w:iCs/>
              </w:rPr>
              <w:t>HR Tools</w:t>
            </w:r>
            <w:r>
              <w:rPr>
                <w:webHidden/>
              </w:rPr>
              <w:fldChar w:fldCharType="begin"/>
            </w:r>
            <w:r>
              <w:rPr>
                <w:webHidden/>
              </w:rPr>
              <w:instrText>PAGEREF _Toc102190826 \h</w:instrText>
            </w:r>
            <w:r>
              <w:rPr>
                <w:webHidden/>
              </w:rPr>
              <w:fldChar w:fldCharType="separate"/>
            </w:r>
            <w:r>
              <w:rPr>
                <w:rStyle w:val="IndexLink"/>
                <w:vanish w:val="false"/>
              </w:rPr>
              <w:tab/>
              <w:t>7</w:t>
            </w:r>
            <w:r>
              <w:rPr>
                <w:webHidden/>
              </w:rPr>
              <w:fldChar w:fldCharType="end"/>
            </w:r>
          </w:hyperlink>
        </w:p>
        <w:p>
          <w:pPr>
            <w:pStyle w:val="Contents2"/>
            <w:tabs>
              <w:tab w:val="clear" w:pos="709"/>
              <w:tab w:val="right" w:pos="9016" w:leader="dot"/>
            </w:tabs>
            <w:rPr/>
          </w:pPr>
          <w:hyperlink w:anchor="_Toc102190827">
            <w:r>
              <w:rPr>
                <w:webHidden/>
                <w:rStyle w:val="IndexLink"/>
                <w:i/>
                <w:iCs/>
              </w:rPr>
              <w:t>Social Media</w:t>
            </w:r>
            <w:r>
              <w:rPr>
                <w:webHidden/>
              </w:rPr>
              <w:fldChar w:fldCharType="begin"/>
            </w:r>
            <w:r>
              <w:rPr>
                <w:webHidden/>
              </w:rPr>
              <w:instrText>PAGEREF _Toc102190827 \h</w:instrText>
            </w:r>
            <w:r>
              <w:rPr>
                <w:webHidden/>
              </w:rPr>
              <w:fldChar w:fldCharType="separate"/>
            </w:r>
            <w:r>
              <w:rPr>
                <w:rStyle w:val="IndexLink"/>
                <w:vanish w:val="false"/>
              </w:rPr>
              <w:tab/>
              <w:t>8</w:t>
            </w:r>
            <w:r>
              <w:rPr>
                <w:webHidden/>
              </w:rPr>
              <w:fldChar w:fldCharType="end"/>
            </w:r>
          </w:hyperlink>
        </w:p>
        <w:p>
          <w:pPr>
            <w:pStyle w:val="Contents2"/>
            <w:tabs>
              <w:tab w:val="clear" w:pos="709"/>
              <w:tab w:val="right" w:pos="9016" w:leader="dot"/>
            </w:tabs>
            <w:rPr/>
          </w:pPr>
          <w:hyperlink w:anchor="_Toc102190828">
            <w:r>
              <w:rPr>
                <w:webHidden/>
                <w:rStyle w:val="IndexLink"/>
                <w:i/>
                <w:iCs/>
              </w:rPr>
              <w:t>Exit Interviews</w:t>
            </w:r>
            <w:r>
              <w:rPr>
                <w:webHidden/>
              </w:rPr>
              <w:fldChar w:fldCharType="begin"/>
            </w:r>
            <w:r>
              <w:rPr>
                <w:webHidden/>
              </w:rPr>
              <w:instrText>PAGEREF _Toc102190828 \h</w:instrText>
            </w:r>
            <w:r>
              <w:rPr>
                <w:webHidden/>
              </w:rPr>
              <w:fldChar w:fldCharType="separate"/>
            </w:r>
            <w:r>
              <w:rPr>
                <w:rStyle w:val="IndexLink"/>
                <w:vanish w:val="false"/>
              </w:rPr>
              <w:tab/>
              <w:t>8</w:t>
            </w:r>
            <w:r>
              <w:rPr>
                <w:webHidden/>
              </w:rPr>
              <w:fldChar w:fldCharType="end"/>
            </w:r>
          </w:hyperlink>
        </w:p>
        <w:p>
          <w:pPr>
            <w:pStyle w:val="Contents1"/>
            <w:tabs>
              <w:tab w:val="clear" w:pos="709"/>
              <w:tab w:val="right" w:pos="9016" w:leader="dot"/>
            </w:tabs>
            <w:rPr/>
          </w:pPr>
          <w:hyperlink w:anchor="_Toc102190829">
            <w:r>
              <w:rPr>
                <w:webHidden/>
                <w:rStyle w:val="IndexLink"/>
                <w:b/>
                <w:bCs/>
              </w:rPr>
              <w:t>Employee Value Proposition</w:t>
            </w:r>
            <w:r>
              <w:rPr>
                <w:webHidden/>
              </w:rPr>
              <w:fldChar w:fldCharType="begin"/>
            </w:r>
            <w:r>
              <w:rPr>
                <w:webHidden/>
              </w:rPr>
              <w:instrText>PAGEREF _Toc102190829 \h</w:instrText>
            </w:r>
            <w:r>
              <w:rPr>
                <w:webHidden/>
              </w:rPr>
              <w:fldChar w:fldCharType="separate"/>
            </w:r>
            <w:r>
              <w:rPr>
                <w:rStyle w:val="IndexLink"/>
                <w:vanish w:val="false"/>
              </w:rPr>
              <w:tab/>
              <w:t>8</w:t>
            </w:r>
            <w:r>
              <w:rPr>
                <w:webHidden/>
              </w:rPr>
              <w:fldChar w:fldCharType="end"/>
            </w:r>
          </w:hyperlink>
        </w:p>
        <w:p>
          <w:pPr>
            <w:pStyle w:val="Contents2"/>
            <w:tabs>
              <w:tab w:val="clear" w:pos="709"/>
              <w:tab w:val="right" w:pos="9016" w:leader="dot"/>
            </w:tabs>
            <w:rPr/>
          </w:pPr>
          <w:hyperlink w:anchor="_Toc102190830">
            <w:r>
              <w:rPr>
                <w:webHidden/>
                <w:rStyle w:val="IndexLink"/>
                <w:i/>
                <w:iCs/>
              </w:rPr>
              <w:t>Attracting Top Talent</w:t>
            </w:r>
            <w:r>
              <w:rPr>
                <w:webHidden/>
              </w:rPr>
              <w:fldChar w:fldCharType="begin"/>
            </w:r>
            <w:r>
              <w:rPr>
                <w:webHidden/>
              </w:rPr>
              <w:instrText>PAGEREF _Toc102190830 \h</w:instrText>
            </w:r>
            <w:r>
              <w:rPr>
                <w:webHidden/>
              </w:rPr>
              <w:fldChar w:fldCharType="separate"/>
            </w:r>
            <w:r>
              <w:rPr>
                <w:rStyle w:val="IndexLink"/>
                <w:vanish w:val="false"/>
              </w:rPr>
              <w:tab/>
              <w:t>8</w:t>
            </w:r>
            <w:r>
              <w:rPr>
                <w:webHidden/>
              </w:rPr>
              <w:fldChar w:fldCharType="end"/>
            </w:r>
          </w:hyperlink>
        </w:p>
        <w:p>
          <w:pPr>
            <w:pStyle w:val="Contents2"/>
            <w:tabs>
              <w:tab w:val="clear" w:pos="709"/>
              <w:tab w:val="right" w:pos="9016" w:leader="dot"/>
            </w:tabs>
            <w:rPr/>
          </w:pPr>
          <w:hyperlink w:anchor="_Toc102190831">
            <w:r>
              <w:rPr>
                <w:webHidden/>
                <w:rStyle w:val="IndexLink"/>
                <w:i/>
                <w:iCs/>
              </w:rPr>
              <w:t>Retain Top Talent</w:t>
            </w:r>
            <w:r>
              <w:rPr>
                <w:webHidden/>
              </w:rPr>
              <w:fldChar w:fldCharType="begin"/>
            </w:r>
            <w:r>
              <w:rPr>
                <w:webHidden/>
              </w:rPr>
              <w:instrText>PAGEREF _Toc102190831 \h</w:instrText>
            </w:r>
            <w:r>
              <w:rPr>
                <w:webHidden/>
              </w:rPr>
              <w:fldChar w:fldCharType="separate"/>
            </w:r>
            <w:r>
              <w:rPr>
                <w:rStyle w:val="IndexLink"/>
                <w:vanish w:val="false"/>
              </w:rPr>
              <w:tab/>
              <w:t>9</w:t>
            </w:r>
            <w:r>
              <w:rPr>
                <w:webHidden/>
              </w:rPr>
              <w:fldChar w:fldCharType="end"/>
            </w:r>
          </w:hyperlink>
        </w:p>
        <w:p>
          <w:pPr>
            <w:pStyle w:val="Contents2"/>
            <w:tabs>
              <w:tab w:val="clear" w:pos="709"/>
              <w:tab w:val="right" w:pos="9016" w:leader="dot"/>
            </w:tabs>
            <w:rPr/>
          </w:pPr>
          <w:hyperlink w:anchor="_Toc102190832">
            <w:r>
              <w:rPr>
                <w:webHidden/>
                <w:rStyle w:val="IndexLink"/>
                <w:i/>
                <w:iCs/>
              </w:rPr>
              <w:t>Optimising Recruiting Expenses</w:t>
            </w:r>
            <w:r>
              <w:rPr>
                <w:webHidden/>
              </w:rPr>
              <w:fldChar w:fldCharType="begin"/>
            </w:r>
            <w:r>
              <w:rPr>
                <w:webHidden/>
              </w:rPr>
              <w:instrText>PAGEREF _Toc102190832 \h</w:instrText>
            </w:r>
            <w:r>
              <w:rPr>
                <w:webHidden/>
              </w:rPr>
              <w:fldChar w:fldCharType="separate"/>
            </w:r>
            <w:r>
              <w:rPr>
                <w:rStyle w:val="IndexLink"/>
                <w:vanish w:val="false"/>
              </w:rPr>
              <w:tab/>
              <w:t>9</w:t>
            </w:r>
            <w:r>
              <w:rPr>
                <w:webHidden/>
              </w:rPr>
              <w:fldChar w:fldCharType="end"/>
            </w:r>
          </w:hyperlink>
        </w:p>
        <w:p>
          <w:pPr>
            <w:pStyle w:val="Contents1"/>
            <w:tabs>
              <w:tab w:val="clear" w:pos="709"/>
              <w:tab w:val="right" w:pos="9016" w:leader="dot"/>
            </w:tabs>
            <w:rPr/>
          </w:pPr>
          <w:hyperlink w:anchor="_Toc102190833">
            <w:r>
              <w:rPr>
                <w:webHidden/>
                <w:rStyle w:val="IndexLink"/>
                <w:b/>
                <w:bCs/>
              </w:rPr>
              <w:t>Conclusion</w:t>
            </w:r>
            <w:r>
              <w:rPr>
                <w:webHidden/>
              </w:rPr>
              <w:fldChar w:fldCharType="begin"/>
            </w:r>
            <w:r>
              <w:rPr>
                <w:webHidden/>
              </w:rPr>
              <w:instrText>PAGEREF _Toc102190833 \h</w:instrText>
            </w:r>
            <w:r>
              <w:rPr>
                <w:webHidden/>
              </w:rPr>
              <w:fldChar w:fldCharType="separate"/>
            </w:r>
            <w:r>
              <w:rPr>
                <w:rStyle w:val="IndexLink"/>
                <w:vanish w:val="false"/>
              </w:rPr>
              <w:tab/>
              <w:t>10</w:t>
            </w:r>
            <w:r>
              <w:rPr>
                <w:webHidden/>
              </w:rPr>
              <w:fldChar w:fldCharType="end"/>
            </w:r>
          </w:hyperlink>
        </w:p>
        <w:p>
          <w:pPr>
            <w:pStyle w:val="Normal"/>
            <w:rPr/>
          </w:pPr>
          <w:r>
            <w:rPr/>
          </w:r>
          <w:r>
            <w:rPr/>
            <w:fldChar w:fldCharType="end"/>
          </w:r>
        </w:p>
      </w:sdtContent>
    </w:sdt>
    <w:p>
      <w:pPr>
        <w:pStyle w:val="Normal"/>
        <w:jc w:val="center"/>
        <w:rPr>
          <w:rFonts w:ascii="Times New Roman" w:hAnsi="Times New Roman" w:cs="Times New Roman"/>
          <w:b/>
          <w:b/>
          <w:bCs/>
          <w:sz w:val="32"/>
          <w:szCs w:val="32"/>
        </w:rPr>
      </w:pPr>
      <w:r>
        <w:rPr>
          <w:rFonts w:cs="Times New Roman" w:ascii="Times New Roman" w:hAnsi="Times New Roman"/>
          <w:b/>
          <w:bCs/>
          <w:sz w:val="32"/>
          <w:szCs w:val="32"/>
        </w:rPr>
      </w:r>
      <w:r>
        <w:br w:type="page"/>
      </w:r>
    </w:p>
    <w:p>
      <w:pPr>
        <w:pStyle w:val="Normal"/>
        <w:rPr>
          <w:rFonts w:ascii="Calibri Light" w:hAnsi="Calibri Light" w:eastAsia="" w:cs="" w:asciiTheme="majorHAnsi" w:cstheme="majorBidi" w:eastAsiaTheme="majorEastAsia" w:hAnsiTheme="majorHAnsi"/>
          <w:b/>
          <w:b/>
          <w:bCs/>
          <w:color w:val="2F5496" w:themeColor="accent1" w:themeShade="bf"/>
          <w:sz w:val="32"/>
          <w:szCs w:val="32"/>
        </w:rPr>
      </w:pPr>
      <w:r>
        <w:rPr>
          <w:rFonts w:eastAsia="" w:cs="" w:cstheme="majorBidi" w:eastAsiaTheme="majorEastAsia" w:ascii="Calibri Light" w:hAnsi="Calibri Light"/>
          <w:b/>
          <w:bCs/>
          <w:color w:val="2F5496" w:themeColor="accent1" w:themeShade="bf"/>
          <w:sz w:val="32"/>
          <w:szCs w:val="32"/>
        </w:rPr>
      </w:r>
    </w:p>
    <w:p>
      <w:pPr>
        <w:pStyle w:val="Heading1"/>
        <w:rPr>
          <w:b/>
          <w:b/>
          <w:bCs/>
        </w:rPr>
      </w:pPr>
      <w:bookmarkStart w:id="0" w:name="_Toc102190819"/>
      <w:r>
        <w:rPr>
          <w:b/>
          <w:bCs/>
        </w:rPr>
        <w:t>Introduction</w:t>
      </w:r>
      <w:bookmarkEnd w:id="0"/>
    </w:p>
    <w:p>
      <w:pPr>
        <w:pStyle w:val="Normal"/>
        <w:spacing w:lineRule="auto" w:line="360"/>
        <w:ind w:firstLine="360"/>
        <w:rPr>
          <w:rFonts w:ascii="Times New Roman" w:hAnsi="Times New Roman" w:cs="Times New Roman"/>
          <w:sz w:val="24"/>
          <w:szCs w:val="24"/>
        </w:rPr>
      </w:pPr>
      <w:r>
        <w:rPr>
          <w:rFonts w:cs="Times New Roman" w:ascii="Times New Roman" w:hAnsi="Times New Roman"/>
          <w:sz w:val="24"/>
          <w:szCs w:val="24"/>
        </w:rPr>
        <w:t xml:space="preserve">Company leaders are aware of the critical role played by their personnel. It is possible that a company's success is more influenced by its ability to manage its personnel than by its actual abilities. Human resources management is just as vital as having a well-trained staff. It is important, but what precisely is "people management?" Working remotely requires an understanding of how best to handle their co-workers. Boil it down to its essence, the goal of people management is to ensure that the workers have everything they need to do their jobs. There is a lot more to human resources than meets the eye. Showing the care about their well-being is the most important thing manager can do </w:t>
      </w:r>
      <w:sdt>
        <w:sdtPr>
          <w:citation/>
        </w:sdtPr>
        <w:sdtContent>
          <w:r>
            <w:rPr>
              <w:rFonts w:ascii="Times New Roman" w:hAnsi="Times New Roman"/>
              <w:sz w:val="24"/>
              <w:szCs w:val="24"/>
            </w:rPr>
            <w:fldChar w:fldCharType="begin"/>
          </w:r>
          <w:r>
            <w:rPr>
              <w:sz w:val="24"/>
              <w:szCs w:val="24"/>
              <w:rFonts w:ascii="Times New Roman" w:hAnsi="Times New Roman"/>
            </w:rPr>
            <w:instrText> CITATION Ler18 \l 1033 </w:instrText>
          </w:r>
          <w:r>
            <w:rPr>
              <w:sz w:val="24"/>
              <w:szCs w:val="24"/>
              <w:rFonts w:ascii="Times New Roman" w:hAnsi="Times New Roman"/>
            </w:rPr>
            <w:fldChar w:fldCharType="separate"/>
          </w:r>
          <w:r>
            <w:rPr>
              <w:sz w:val="24"/>
              <w:szCs w:val="24"/>
              <w:rFonts w:ascii="Times New Roman" w:hAnsi="Times New Roman"/>
            </w:rPr>
            <w:t>(Leroy, et al., 2018)</w:t>
          </w:r>
          <w:r>
            <w:rPr>
              <w:sz w:val="24"/>
              <w:szCs w:val="24"/>
              <w:rFonts w:ascii="Times New Roman" w:hAnsi="Times New Roman"/>
            </w:rPr>
            <w:fldChar w:fldCharType="end"/>
          </w:r>
        </w:sdtContent>
      </w:sdt>
      <w:r>
        <w:rPr>
          <w:rFonts w:cs="Times New Roman" w:ascii="Times New Roman" w:hAnsi="Times New Roman"/>
          <w:sz w:val="24"/>
          <w:szCs w:val="24"/>
        </w:rPr>
        <w:t xml:space="preserve">. </w:t>
      </w:r>
      <w:r>
        <w:rPr>
          <w:rFonts w:cs="Times New Roman" w:ascii="Times New Roman" w:hAnsi="Times New Roman"/>
          <w:sz w:val="24"/>
          <w:szCs w:val="24"/>
        </w:rPr>
        <w:t xml:space="preserve">It may mean attending to the physical and emotional well-being of the individual, providing compassionate assistance in overcoming challenges or inspiring them to achieve their professional and personal development goals to the best of their ability. It is uncommon for individuals to think of "people management" as having to do with things like hiring and training employees as well as evaluating and disciplining them </w:t>
      </w:r>
      <w:sdt>
        <w:sdtPr>
          <w:citation/>
        </w:sdtPr>
        <w:sdtContent>
          <w:r>
            <w:rPr>
              <w:rFonts w:ascii="Times New Roman" w:hAnsi="Times New Roman"/>
              <w:sz w:val="24"/>
              <w:szCs w:val="24"/>
            </w:rPr>
            <w:fldChar w:fldCharType="begin"/>
          </w:r>
          <w:r>
            <w:rPr>
              <w:sz w:val="24"/>
              <w:szCs w:val="24"/>
              <w:rFonts w:ascii="Times New Roman" w:hAnsi="Times New Roman"/>
            </w:rPr>
            <w:instrText> CITATION For20 \l 1033 </w:instrText>
          </w:r>
          <w:r>
            <w:rPr>
              <w:sz w:val="24"/>
              <w:szCs w:val="24"/>
              <w:rFonts w:ascii="Times New Roman" w:hAnsi="Times New Roman"/>
            </w:rPr>
            <w:fldChar w:fldCharType="separate"/>
          </w:r>
          <w:r>
            <w:rPr>
              <w:sz w:val="24"/>
              <w:szCs w:val="24"/>
              <w:rFonts w:ascii="Times New Roman" w:hAnsi="Times New Roman"/>
            </w:rPr>
            <w:t>(Forsyth, et al., 2020)</w:t>
          </w:r>
          <w:r>
            <w:rPr>
              <w:sz w:val="24"/>
              <w:szCs w:val="24"/>
              <w:rFonts w:ascii="Times New Roman" w:hAnsi="Times New Roman"/>
            </w:rPr>
            <w:fldChar w:fldCharType="end"/>
          </w:r>
        </w:sdtContent>
      </w:sdt>
      <w:r>
        <w:rPr>
          <w:rFonts w:cs="Times New Roman" w:ascii="Times New Roman" w:hAnsi="Times New Roman"/>
          <w:sz w:val="24"/>
          <w:szCs w:val="24"/>
        </w:rPr>
        <w:t>. Maintaining the health and well-being of others is a major responsibility that comes with this employment.</w:t>
      </w:r>
    </w:p>
    <w:p>
      <w:pPr>
        <w:pStyle w:val="ListParagraph"/>
        <w:numPr>
          <w:ilvl w:val="0"/>
          <w:numId w:val="3"/>
        </w:numPr>
        <w:spacing w:lineRule="auto" w:line="360"/>
        <w:rPr>
          <w:rFonts w:ascii="Times New Roman" w:hAnsi="Times New Roman" w:cs="Times New Roman"/>
          <w:sz w:val="24"/>
          <w:szCs w:val="24"/>
        </w:rPr>
      </w:pPr>
      <w:r>
        <w:rPr>
          <w:rFonts w:cs="Times New Roman" w:ascii="Times New Roman" w:hAnsi="Times New Roman"/>
          <w:sz w:val="24"/>
          <w:szCs w:val="24"/>
        </w:rPr>
        <w:t>Accurately compensating workers for their work</w:t>
      </w:r>
    </w:p>
    <w:p>
      <w:pPr>
        <w:pStyle w:val="ListParagraph"/>
        <w:numPr>
          <w:ilvl w:val="0"/>
          <w:numId w:val="3"/>
        </w:numPr>
        <w:spacing w:lineRule="auto" w:line="360"/>
        <w:rPr>
          <w:rFonts w:ascii="Times New Roman" w:hAnsi="Times New Roman" w:cs="Times New Roman"/>
          <w:sz w:val="24"/>
          <w:szCs w:val="24"/>
        </w:rPr>
      </w:pPr>
      <w:r>
        <w:rPr>
          <w:rFonts w:cs="Times New Roman" w:ascii="Times New Roman" w:hAnsi="Times New Roman"/>
          <w:sz w:val="24"/>
          <w:szCs w:val="24"/>
        </w:rPr>
        <w:t>Providing each individual and team with the resources they need to carry out their responsibilities (including having enough time to do what they are asked to, or enough team members with whom to share a workload)</w:t>
      </w:r>
    </w:p>
    <w:p>
      <w:pPr>
        <w:pStyle w:val="ListParagraph"/>
        <w:numPr>
          <w:ilvl w:val="0"/>
          <w:numId w:val="3"/>
        </w:numPr>
        <w:spacing w:lineRule="auto" w:line="360"/>
        <w:rPr>
          <w:rFonts w:ascii="Times New Roman" w:hAnsi="Times New Roman" w:cs="Times New Roman"/>
          <w:sz w:val="24"/>
          <w:szCs w:val="24"/>
        </w:rPr>
      </w:pPr>
      <w:r>
        <w:rPr>
          <w:rFonts w:cs="Times New Roman" w:ascii="Times New Roman" w:hAnsi="Times New Roman"/>
          <w:sz w:val="24"/>
          <w:szCs w:val="24"/>
        </w:rPr>
        <w:t>Maintaining a healthy work environment by providing workers with the tools they need to feel secure and happy (including, for example, listening and compassion from their manager when they are struggling)</w:t>
      </w:r>
    </w:p>
    <w:p>
      <w:pPr>
        <w:pStyle w:val="ListParagraph"/>
        <w:numPr>
          <w:ilvl w:val="0"/>
          <w:numId w:val="3"/>
        </w:numPr>
        <w:spacing w:lineRule="auto" w:line="360"/>
        <w:rPr>
          <w:rFonts w:ascii="Times New Roman" w:hAnsi="Times New Roman" w:cs="Times New Roman"/>
          <w:sz w:val="24"/>
          <w:szCs w:val="24"/>
        </w:rPr>
      </w:pPr>
      <w:r>
        <w:rPr>
          <w:rFonts w:cs="Times New Roman" w:ascii="Times New Roman" w:hAnsi="Times New Roman"/>
          <w:sz w:val="24"/>
          <w:szCs w:val="24"/>
        </w:rPr>
        <w:t>Conflict resolution amongst workers or on a team or better yet, establishing an open and cooperative atmosphere that doesn't foster conflict is what mediation is all about.</w:t>
      </w:r>
    </w:p>
    <w:p>
      <w:pPr>
        <w:pStyle w:val="ListParagraph"/>
        <w:numPr>
          <w:ilvl w:val="0"/>
          <w:numId w:val="3"/>
        </w:numPr>
        <w:spacing w:lineRule="auto" w:line="360"/>
        <w:rPr>
          <w:rFonts w:ascii="Times New Roman" w:hAnsi="Times New Roman" w:cs="Times New Roman"/>
          <w:sz w:val="24"/>
          <w:szCs w:val="24"/>
        </w:rPr>
      </w:pPr>
      <w:r>
        <w:rPr>
          <w:rFonts w:cs="Times New Roman" w:ascii="Times New Roman" w:hAnsi="Times New Roman"/>
          <w:sz w:val="24"/>
          <w:szCs w:val="24"/>
        </w:rPr>
        <w:t>Promoting employee self-esteem and motivation by providing more than just classroom instruction.</w:t>
      </w:r>
    </w:p>
    <w:p>
      <w:pPr>
        <w:pStyle w:val="ListParagraph"/>
        <w:numPr>
          <w:ilvl w:val="0"/>
          <w:numId w:val="3"/>
        </w:numPr>
        <w:spacing w:lineRule="auto" w:line="360"/>
        <w:rPr>
          <w:rFonts w:ascii="Times New Roman" w:hAnsi="Times New Roman" w:cs="Times New Roman"/>
          <w:sz w:val="24"/>
          <w:szCs w:val="24"/>
        </w:rPr>
      </w:pPr>
      <w:r>
        <w:rPr>
          <w:rFonts w:cs="Times New Roman" w:ascii="Times New Roman" w:hAnsi="Times New Roman"/>
          <w:sz w:val="24"/>
          <w:szCs w:val="24"/>
        </w:rPr>
        <w:t>Resolving issues that hinder staff productivity</w:t>
      </w:r>
    </w:p>
    <w:p>
      <w:pPr>
        <w:pStyle w:val="Heading1"/>
        <w:rPr>
          <w:b/>
          <w:b/>
          <w:bCs/>
        </w:rPr>
      </w:pPr>
      <w:bookmarkStart w:id="1" w:name="_Toc102190820"/>
      <w:r>
        <w:rPr>
          <w:b/>
          <w:bCs/>
        </w:rPr>
        <w:t>The Concept and Drivers of Employee Engagement</w:t>
      </w:r>
      <w:bookmarkEnd w:id="1"/>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Gaining a deeper knowledge of what motivates and engages employees is the first step in increasing employee morale and productivity. Employee happiness isn't influenced by a set of universal criteria </w:t>
      </w:r>
      <w:sdt>
        <w:sdtPr>
          <w:citation/>
        </w:sdtPr>
        <w:sdtContent>
          <w:r>
            <w:rPr>
              <w:rFonts w:ascii="Times New Roman" w:hAnsi="Times New Roman"/>
              <w:sz w:val="24"/>
              <w:szCs w:val="24"/>
            </w:rPr>
            <w:fldChar w:fldCharType="begin"/>
          </w:r>
          <w:r>
            <w:rPr>
              <w:sz w:val="24"/>
              <w:szCs w:val="24"/>
              <w:rFonts w:ascii="Times New Roman" w:hAnsi="Times New Roman"/>
            </w:rPr>
            <w:instrText> CITATION Tso18 \l 1033 </w:instrText>
          </w:r>
          <w:r>
            <w:rPr>
              <w:sz w:val="24"/>
              <w:szCs w:val="24"/>
              <w:rFonts w:ascii="Times New Roman" w:hAnsi="Times New Roman"/>
            </w:rPr>
            <w:fldChar w:fldCharType="separate"/>
          </w:r>
          <w:r>
            <w:rPr>
              <w:sz w:val="24"/>
              <w:szCs w:val="24"/>
              <w:rFonts w:ascii="Times New Roman" w:hAnsi="Times New Roman"/>
            </w:rPr>
            <w:t>(Tsourvakas &amp; Yfantidou, 2018)</w:t>
          </w:r>
          <w:r>
            <w:rPr>
              <w:sz w:val="24"/>
              <w:szCs w:val="24"/>
              <w:rFonts w:ascii="Times New Roman" w:hAnsi="Times New Roman"/>
            </w:rPr>
            <w:fldChar w:fldCharType="end"/>
          </w:r>
        </w:sdtContent>
      </w:sdt>
      <w:r>
        <w:rPr>
          <w:rFonts w:cs="Times New Roman" w:ascii="Times New Roman" w:hAnsi="Times New Roman"/>
          <w:sz w:val="24"/>
          <w:szCs w:val="24"/>
        </w:rPr>
        <w:t xml:space="preserve">. Companies, as well as groups of </w:t>
      </w:r>
      <w:r>
        <w:rPr>
          <w:rFonts w:cs="Times New Roman" w:ascii="Times New Roman" w:hAnsi="Times New Roman"/>
          <w:sz w:val="24"/>
          <w:szCs w:val="24"/>
        </w:rPr>
        <w:t xml:space="preserve">employees inside the same organisation, may have their own unique set of standards. It's possible that drivers' behaviours through time or because of environmental influences (like an economic depression or public health crisis). Back to basics may be especially advantageous in times of fast economic, social, and technological change since it helps individuals concentrate and perform at their best </w:t>
      </w:r>
      <w:sdt>
        <w:sdtPr>
          <w:citation/>
        </w:sdtPr>
        <w:sdtContent>
          <w:r>
            <w:rPr>
              <w:rFonts w:ascii="Times New Roman" w:hAnsi="Times New Roman"/>
              <w:sz w:val="24"/>
              <w:szCs w:val="24"/>
            </w:rPr>
            <w:fldChar w:fldCharType="begin"/>
          </w:r>
          <w:r>
            <w:rPr>
              <w:sz w:val="24"/>
              <w:szCs w:val="24"/>
              <w:rFonts w:ascii="Times New Roman" w:hAnsi="Times New Roman"/>
            </w:rPr>
            <w:instrText> CITATION Gar18 \l 1033 </w:instrText>
          </w:r>
          <w:r>
            <w:rPr>
              <w:sz w:val="24"/>
              <w:szCs w:val="24"/>
              <w:rFonts w:ascii="Times New Roman" w:hAnsi="Times New Roman"/>
            </w:rPr>
            <w:fldChar w:fldCharType="separate"/>
          </w:r>
          <w:r>
            <w:rPr>
              <w:sz w:val="24"/>
              <w:szCs w:val="24"/>
              <w:rFonts w:ascii="Times New Roman" w:hAnsi="Times New Roman"/>
            </w:rPr>
            <w:t>(Garg, et al., 2018)</w:t>
          </w:r>
          <w:r>
            <w:rPr>
              <w:sz w:val="24"/>
              <w:szCs w:val="24"/>
              <w:rFonts w:ascii="Times New Roman" w:hAnsi="Times New Roman"/>
            </w:rPr>
            <w:fldChar w:fldCharType="end"/>
          </w:r>
        </w:sdtContent>
      </w:sdt>
      <w:r>
        <w:rPr>
          <w:rFonts w:cs="Times New Roman" w:ascii="Times New Roman" w:hAnsi="Times New Roman"/>
          <w:sz w:val="24"/>
          <w:szCs w:val="24"/>
        </w:rPr>
        <w:t>.</w:t>
      </w:r>
      <w:r>
        <w:rPr>
          <w:rFonts w:cs="Times New Roman" w:ascii="Times New Roman" w:hAnsi="Times New Roman"/>
          <w:sz w:val="24"/>
          <w:szCs w:val="24"/>
        </w:rPr>
        <w:t xml:space="preserve"> Worker involvement is often fuelled by employees' desire to:</w:t>
      </w:r>
    </w:p>
    <w:p>
      <w:pPr>
        <w:pStyle w:val="ListParagraph"/>
        <w:numPr>
          <w:ilvl w:val="0"/>
          <w:numId w:val="1"/>
        </w:numPr>
        <w:spacing w:lineRule="auto" w:line="360"/>
        <w:ind w:left="0" w:firstLine="720"/>
        <w:rPr>
          <w:rFonts w:ascii="Times New Roman" w:hAnsi="Times New Roman" w:cs="Times New Roman"/>
          <w:sz w:val="24"/>
          <w:szCs w:val="24"/>
        </w:rPr>
      </w:pPr>
      <w:r>
        <w:rPr>
          <w:rFonts w:cs="Times New Roman" w:ascii="Times New Roman" w:hAnsi="Times New Roman"/>
          <w:sz w:val="24"/>
          <w:szCs w:val="24"/>
        </w:rPr>
        <w:t>Work on those matters</w:t>
      </w:r>
    </w:p>
    <w:p>
      <w:pPr>
        <w:pStyle w:val="ListParagraph"/>
        <w:numPr>
          <w:ilvl w:val="0"/>
          <w:numId w:val="1"/>
        </w:numPr>
        <w:spacing w:lineRule="auto" w:line="360"/>
        <w:ind w:left="0" w:firstLine="720"/>
        <w:rPr>
          <w:rFonts w:ascii="Times New Roman" w:hAnsi="Times New Roman" w:cs="Times New Roman"/>
          <w:sz w:val="24"/>
          <w:szCs w:val="24"/>
        </w:rPr>
      </w:pPr>
      <w:r>
        <w:rPr>
          <w:rFonts w:cs="Times New Roman" w:ascii="Times New Roman" w:hAnsi="Times New Roman"/>
          <w:sz w:val="24"/>
          <w:szCs w:val="24"/>
        </w:rPr>
        <w:t>Enhancing one's professional potential</w:t>
      </w:r>
    </w:p>
    <w:p>
      <w:pPr>
        <w:pStyle w:val="ListParagraph"/>
        <w:numPr>
          <w:ilvl w:val="0"/>
          <w:numId w:val="1"/>
        </w:numPr>
        <w:spacing w:lineRule="auto" w:line="360"/>
        <w:ind w:left="0" w:firstLine="720"/>
        <w:rPr>
          <w:rFonts w:ascii="Times New Roman" w:hAnsi="Times New Roman" w:cs="Times New Roman"/>
          <w:sz w:val="24"/>
          <w:szCs w:val="24"/>
        </w:rPr>
      </w:pPr>
      <w:r>
        <w:rPr>
          <w:rFonts w:cs="Times New Roman" w:ascii="Times New Roman" w:hAnsi="Times New Roman"/>
          <w:sz w:val="24"/>
          <w:szCs w:val="24"/>
        </w:rPr>
        <w:t>Empowerment</w:t>
      </w:r>
    </w:p>
    <w:p>
      <w:pPr>
        <w:pStyle w:val="ListParagraph"/>
        <w:numPr>
          <w:ilvl w:val="0"/>
          <w:numId w:val="1"/>
        </w:numPr>
        <w:spacing w:lineRule="auto" w:line="360"/>
        <w:ind w:left="0" w:firstLine="720"/>
        <w:rPr>
          <w:rFonts w:ascii="Times New Roman" w:hAnsi="Times New Roman" w:cs="Times New Roman"/>
          <w:sz w:val="24"/>
          <w:szCs w:val="24"/>
        </w:rPr>
      </w:pPr>
      <w:r>
        <w:rPr>
          <w:rFonts w:cs="Times New Roman" w:ascii="Times New Roman" w:hAnsi="Times New Roman"/>
          <w:sz w:val="24"/>
          <w:szCs w:val="24"/>
        </w:rPr>
        <w:t>Belonging \ recognition</w:t>
      </w:r>
    </w:p>
    <w:p>
      <w:pPr>
        <w:pStyle w:val="ListParagraph"/>
        <w:numPr>
          <w:ilvl w:val="0"/>
          <w:numId w:val="1"/>
        </w:numPr>
        <w:spacing w:lineRule="auto" w:line="360"/>
        <w:ind w:left="0" w:firstLine="720"/>
        <w:rPr>
          <w:rFonts w:ascii="Times New Roman" w:hAnsi="Times New Roman" w:cs="Times New Roman"/>
          <w:sz w:val="24"/>
          <w:szCs w:val="24"/>
        </w:rPr>
      </w:pPr>
      <w:r>
        <w:rPr>
          <w:rFonts w:cs="Times New Roman" w:ascii="Times New Roman" w:hAnsi="Times New Roman"/>
          <w:sz w:val="24"/>
          <w:szCs w:val="24"/>
        </w:rPr>
        <w:t>Creating a work environment in which everyone is happy</w:t>
      </w:r>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Even though technology and other contemporary practises have transformed the way organization work, traditional employee engagement factors have remained intact. A more personalised picture of these motivators is needed for a modern approach to employee engagement and human resources management </w:t>
      </w:r>
      <w:sdt>
        <w:sdtPr>
          <w:citation/>
        </w:sdtPr>
        <w:sdtContent>
          <w:r>
            <w:rPr>
              <w:rFonts w:ascii="Times New Roman" w:hAnsi="Times New Roman"/>
              <w:sz w:val="24"/>
              <w:szCs w:val="24"/>
            </w:rPr>
            <w:fldChar w:fldCharType="begin"/>
          </w:r>
          <w:r>
            <w:rPr>
              <w:sz w:val="24"/>
              <w:szCs w:val="24"/>
              <w:rFonts w:ascii="Times New Roman" w:hAnsi="Times New Roman"/>
            </w:rPr>
            <w:instrText> CITATION Bur19 \l 1033 </w:instrText>
          </w:r>
          <w:r>
            <w:rPr>
              <w:sz w:val="24"/>
              <w:szCs w:val="24"/>
              <w:rFonts w:ascii="Times New Roman" w:hAnsi="Times New Roman"/>
            </w:rPr>
            <w:fldChar w:fldCharType="separate"/>
          </w:r>
          <w:r>
            <w:rPr>
              <w:sz w:val="24"/>
              <w:szCs w:val="24"/>
              <w:rFonts w:ascii="Times New Roman" w:hAnsi="Times New Roman"/>
            </w:rPr>
            <w:t>(Burnett &amp; Lisk, 2019)</w:t>
          </w:r>
          <w:r>
            <w:rPr>
              <w:sz w:val="24"/>
              <w:szCs w:val="24"/>
              <w:rFonts w:ascii="Times New Roman" w:hAnsi="Times New Roman"/>
            </w:rPr>
            <w:fldChar w:fldCharType="end"/>
          </w:r>
        </w:sdtContent>
      </w:sdt>
      <w:r>
        <w:rPr>
          <w:rFonts w:cs="Times New Roman" w:ascii="Times New Roman" w:hAnsi="Times New Roman"/>
          <w:sz w:val="24"/>
          <w:szCs w:val="24"/>
        </w:rPr>
        <w:t xml:space="preserve">. </w:t>
      </w:r>
      <w:r>
        <w:rPr>
          <w:rFonts w:cs="Times New Roman" w:ascii="Times New Roman" w:hAnsi="Times New Roman"/>
          <w:sz w:val="24"/>
          <w:szCs w:val="24"/>
        </w:rPr>
        <w:t>Discuss the elements that influence employee engagement, how to identify the most critical ones for the company, and how to use that information to improve morale.</w:t>
      </w:r>
    </w:p>
    <w:p>
      <w:pPr>
        <w:pStyle w:val="Heading2"/>
        <w:rPr>
          <w:i/>
          <w:i/>
          <w:iCs/>
          <w:sz w:val="28"/>
          <w:szCs w:val="28"/>
        </w:rPr>
      </w:pPr>
      <w:bookmarkStart w:id="2" w:name="_Toc102190821"/>
      <w:r>
        <w:rPr>
          <w:i/>
          <w:iCs/>
          <w:sz w:val="28"/>
          <w:szCs w:val="28"/>
        </w:rPr>
        <w:t>Employee Engagement: Influencing Factors</w:t>
      </w:r>
      <w:bookmarkEnd w:id="2"/>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Many variables influence the elements that influence employee engagement, including:</w:t>
      </w:r>
    </w:p>
    <w:p>
      <w:pPr>
        <w:pStyle w:val="Normal"/>
        <w:rPr>
          <w:b/>
          <w:b/>
          <w:bCs/>
        </w:rPr>
      </w:pPr>
      <w:r>
        <w:rPr>
          <w:b/>
          <w:bCs/>
        </w:rPr>
        <w:t>Organizational Culture</w:t>
      </w:r>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The beliefs and practises that define an organization's culture are referred to as "the way things are done here." A company's culture and its leadership and management methods have a significant effect on employee engagement, which in turn affects both employee engagement and company culture </w:t>
      </w:r>
      <w:sdt>
        <w:sdtPr>
          <w:citation/>
        </w:sdtPr>
        <w:sdtContent>
          <w:r>
            <w:rPr>
              <w:rFonts w:ascii="Times New Roman" w:hAnsi="Times New Roman"/>
              <w:sz w:val="24"/>
              <w:szCs w:val="24"/>
            </w:rPr>
            <w:fldChar w:fldCharType="begin"/>
          </w:r>
          <w:r>
            <w:rPr>
              <w:sz w:val="24"/>
              <w:szCs w:val="24"/>
              <w:rFonts w:ascii="Times New Roman" w:hAnsi="Times New Roman"/>
            </w:rPr>
            <w:instrText> CITATION Sat21 \l 1033 </w:instrText>
          </w:r>
          <w:r>
            <w:rPr>
              <w:sz w:val="24"/>
              <w:szCs w:val="24"/>
              <w:rFonts w:ascii="Times New Roman" w:hAnsi="Times New Roman"/>
            </w:rPr>
            <w:fldChar w:fldCharType="separate"/>
          </w:r>
          <w:r>
            <w:rPr>
              <w:sz w:val="24"/>
              <w:szCs w:val="24"/>
              <w:rFonts w:ascii="Times New Roman" w:hAnsi="Times New Roman"/>
            </w:rPr>
            <w:t>(Satata, 2021)</w:t>
          </w:r>
          <w:r>
            <w:rPr>
              <w:sz w:val="24"/>
              <w:szCs w:val="24"/>
              <w:rFonts w:ascii="Times New Roman" w:hAnsi="Times New Roman"/>
            </w:rPr>
            <w:fldChar w:fldCharType="end"/>
          </w:r>
        </w:sdtContent>
      </w:sdt>
      <w:r>
        <w:rPr>
          <w:rFonts w:cs="Times New Roman" w:ascii="Times New Roman" w:hAnsi="Times New Roman"/>
          <w:sz w:val="24"/>
          <w:szCs w:val="24"/>
        </w:rPr>
        <w:t>. The opportunity to speak out and share fresh ideas may be a factor in employee engagement in a firm noted for innovation. As an alternative, an operationally efficient culture has engagement drivers that focus on teamwork and implementation.</w:t>
      </w:r>
    </w:p>
    <w:p>
      <w:pPr>
        <w:pStyle w:val="Normal"/>
        <w:rPr>
          <w:b/>
          <w:b/>
          <w:bCs/>
        </w:rPr>
      </w:pPr>
      <w:r>
        <w:rPr>
          <w:b/>
          <w:bCs/>
        </w:rPr>
        <w:t>Industry</w:t>
      </w:r>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It is possible to come up with two entirely distinct lists of what motivates workers in various businesses. Non-profit workers may need to feel that their job contributes to the greater good, for example, if they are to be motivated. Autoworkers, on the other hand, may put a greater emphasis on workplace safety and the well-being of their co-workers. Similarly to organisational culture, an employee's engagement drivers are influenced by their industry and the individuals they work with. In certain industries, workers may have the opportunity to become involved and become more invested in their job. Employees may learn new skills, meet new people, and showcase their expertise by attending conferences, trade exhibitions, and webinars in their industry </w:t>
      </w:r>
      <w:sdt>
        <w:sdtPr>
          <w:citation/>
        </w:sdtPr>
        <w:sdtContent>
          <w:r>
            <w:rPr>
              <w:rFonts w:ascii="Times New Roman" w:hAnsi="Times New Roman"/>
              <w:sz w:val="24"/>
              <w:szCs w:val="24"/>
            </w:rPr>
            <w:fldChar w:fldCharType="begin"/>
          </w:r>
          <w:r>
            <w:rPr>
              <w:sz w:val="24"/>
              <w:szCs w:val="24"/>
              <w:rFonts w:ascii="Times New Roman" w:hAnsi="Times New Roman"/>
            </w:rPr>
            <w:instrText> CITATION Ali21 \l 1033 </w:instrText>
          </w:r>
          <w:r>
            <w:rPr>
              <w:sz w:val="24"/>
              <w:szCs w:val="24"/>
              <w:rFonts w:ascii="Times New Roman" w:hAnsi="Times New Roman"/>
            </w:rPr>
            <w:fldChar w:fldCharType="separate"/>
          </w:r>
          <w:r>
            <w:rPr>
              <w:sz w:val="24"/>
              <w:szCs w:val="24"/>
              <w:rFonts w:ascii="Times New Roman" w:hAnsi="Times New Roman"/>
            </w:rPr>
            <w:t>(Ali &amp; Anwar, 2021)</w:t>
          </w:r>
          <w:r>
            <w:rPr>
              <w:sz w:val="24"/>
              <w:szCs w:val="24"/>
              <w:rFonts w:ascii="Times New Roman" w:hAnsi="Times New Roman"/>
            </w:rPr>
            <w:fldChar w:fldCharType="end"/>
          </w:r>
        </w:sdtContent>
      </w:sdt>
      <w:r>
        <w:rPr>
          <w:rFonts w:cs="Times New Roman" w:ascii="Times New Roman" w:hAnsi="Times New Roman"/>
          <w:sz w:val="24"/>
          <w:szCs w:val="24"/>
        </w:rPr>
        <w:t>.</w:t>
      </w:r>
      <w:r>
        <w:rPr>
          <w:rFonts w:cs="Times New Roman" w:ascii="Times New Roman" w:hAnsi="Times New Roman"/>
          <w:sz w:val="24"/>
          <w:szCs w:val="24"/>
        </w:rPr>
        <w:t xml:space="preserve"> Each sector has its own unique way of doing these events, but they all have a significant influence on employee engagement since they drive employees to learn more, display their abilities, or establish closer connections with their co-workers.</w:t>
      </w:r>
    </w:p>
    <w:p>
      <w:pPr>
        <w:pStyle w:val="Normal"/>
        <w:rPr>
          <w:b/>
          <w:b/>
          <w:bCs/>
        </w:rPr>
      </w:pPr>
      <w:r>
        <w:rPr>
          <w:b/>
          <w:bCs/>
        </w:rPr>
        <w:t>Job Function</w:t>
      </w:r>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An employee's motivation may be influenced by the character of their profession. Having a purposeful career might provide happiness to certain individuals. It is impossible to define the significance of work to a person, yet it is a significant driving element in the workplace. There are employees that have a strong sense of purpose in their work and think that they are making a difference in the world. They might be inspired by the extension of their responsibilities and the change in their priorities </w:t>
      </w:r>
      <w:sdt>
        <w:sdtPr>
          <w:citation/>
        </w:sdtPr>
        <w:sdtContent>
          <w:r>
            <w:rPr>
              <w:rFonts w:ascii="Times New Roman" w:hAnsi="Times New Roman"/>
              <w:sz w:val="24"/>
              <w:szCs w:val="24"/>
            </w:rPr>
            <w:fldChar w:fldCharType="begin"/>
          </w:r>
          <w:r>
            <w:rPr>
              <w:sz w:val="24"/>
              <w:szCs w:val="24"/>
              <w:rFonts w:ascii="Times New Roman" w:hAnsi="Times New Roman"/>
            </w:rPr>
            <w:instrText> CITATION Kar211 \l 1033 </w:instrText>
          </w:r>
          <w:r>
            <w:rPr>
              <w:sz w:val="24"/>
              <w:szCs w:val="24"/>
              <w:rFonts w:ascii="Times New Roman" w:hAnsi="Times New Roman"/>
            </w:rPr>
            <w:fldChar w:fldCharType="separate"/>
          </w:r>
          <w:r>
            <w:rPr>
              <w:sz w:val="24"/>
              <w:szCs w:val="24"/>
              <w:rFonts w:ascii="Times New Roman" w:hAnsi="Times New Roman"/>
            </w:rPr>
            <w:t>(Karatepe, et al., 2021)</w:t>
          </w:r>
          <w:r>
            <w:rPr>
              <w:sz w:val="24"/>
              <w:szCs w:val="24"/>
              <w:rFonts w:ascii="Times New Roman" w:hAnsi="Times New Roman"/>
            </w:rPr>
            <w:fldChar w:fldCharType="end"/>
          </w:r>
        </w:sdtContent>
      </w:sdt>
      <w:r>
        <w:rPr>
          <w:rFonts w:cs="Times New Roman" w:ascii="Times New Roman" w:hAnsi="Times New Roman"/>
          <w:sz w:val="24"/>
          <w:szCs w:val="24"/>
        </w:rPr>
        <w:t xml:space="preserve">. Increasing an employee's motivation may be done </w:t>
      </w:r>
      <w:r>
        <w:rPr>
          <w:rFonts w:cs="Times New Roman" w:ascii="Times New Roman" w:hAnsi="Times New Roman"/>
          <w:sz w:val="24"/>
          <w:szCs w:val="24"/>
        </w:rPr>
        <w:t>by giving them the freedom to focus on tasks that are more closely related to their own passions. Some workers are more motivated by their relationships with colleagues than by the task they are supposed to be doing. People are seeking a healthy work-life balance, stability at their current employer, or anything else wholly unrelated to their professional duties. Because of this, managers should pay attention to how distinctive job duties affect employee engagement in some areas but not in all.</w:t>
      </w:r>
    </w:p>
    <w:p>
      <w:pPr>
        <w:pStyle w:val="Heading2"/>
        <w:rPr>
          <w:i/>
          <w:i/>
          <w:iCs/>
          <w:sz w:val="28"/>
          <w:szCs w:val="28"/>
          <w:shd w:fill="FFFFFF" w:val="clear"/>
        </w:rPr>
      </w:pPr>
      <w:bookmarkStart w:id="3" w:name="_Toc102190822"/>
      <w:r>
        <w:rPr>
          <w:i/>
          <w:iCs/>
          <w:sz w:val="28"/>
          <w:szCs w:val="28"/>
          <w:shd w:fill="FFFFFF" w:val="clear"/>
        </w:rPr>
        <w:t xml:space="preserve">Identify Drivers of Employee Engagement </w:t>
      </w:r>
      <w:bookmarkEnd w:id="3"/>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When it comes to employee engagement in the modern workplace, understanding what drives people is essential. These characteristics can only be assessed and managed at scale and in real-time if you use a complete employee experience platform like People Success. In a people success platform, an effective employee engagement solution provides real-time and on-demand information rather than a massive annual data dump </w:t>
      </w:r>
      <w:sdt>
        <w:sdtPr>
          <w:citation/>
        </w:sdtPr>
        <w:sdtContent>
          <w:r>
            <w:rPr>
              <w:rFonts w:ascii="Times New Roman" w:hAnsi="Times New Roman"/>
              <w:sz w:val="24"/>
              <w:szCs w:val="24"/>
            </w:rPr>
            <w:fldChar w:fldCharType="begin"/>
          </w:r>
          <w:r>
            <w:rPr>
              <w:sz w:val="24"/>
              <w:szCs w:val="24"/>
              <w:rFonts w:ascii="Times New Roman" w:hAnsi="Times New Roman"/>
            </w:rPr>
            <w:instrText> CITATION Del21 \l 1033 </w:instrText>
          </w:r>
          <w:r>
            <w:rPr>
              <w:sz w:val="24"/>
              <w:szCs w:val="24"/>
              <w:rFonts w:ascii="Times New Roman" w:hAnsi="Times New Roman"/>
            </w:rPr>
            <w:fldChar w:fldCharType="separate"/>
          </w:r>
          <w:r>
            <w:rPr>
              <w:sz w:val="24"/>
              <w:szCs w:val="24"/>
              <w:rFonts w:ascii="Times New Roman" w:hAnsi="Times New Roman"/>
            </w:rPr>
            <w:t>(De-la-Calle-Durán &amp; Rodríguez-Sánchez, 2021)</w:t>
          </w:r>
          <w:r>
            <w:rPr>
              <w:sz w:val="24"/>
              <w:szCs w:val="24"/>
              <w:rFonts w:ascii="Times New Roman" w:hAnsi="Times New Roman"/>
            </w:rPr>
            <w:fldChar w:fldCharType="end"/>
          </w:r>
        </w:sdtContent>
      </w:sdt>
      <w:r>
        <w:rPr>
          <w:rFonts w:cs="Times New Roman" w:ascii="Times New Roman" w:hAnsi="Times New Roman"/>
          <w:sz w:val="24"/>
          <w:szCs w:val="24"/>
        </w:rPr>
        <w:t>.</w:t>
      </w:r>
      <w:r>
        <w:rPr>
          <w:rFonts w:cs="Times New Roman" w:ascii="Times New Roman" w:hAnsi="Times New Roman"/>
          <w:sz w:val="24"/>
          <w:szCs w:val="24"/>
        </w:rPr>
        <w:t xml:space="preserve"> Employee engagement is affected by a variety of variables, some of which are specific to a company's leadership and others that are more system wide. In Glint's Driver Impact Report, organisations may learn more about the variables that drive employee engagement for certain groups by combining the characteristics of these groups. " (such as job title and geographic region).</w:t>
      </w:r>
    </w:p>
    <w:p>
      <w:pPr>
        <w:pStyle w:val="Heading2"/>
        <w:rPr>
          <w:i/>
          <w:i/>
          <w:iCs/>
        </w:rPr>
      </w:pPr>
      <w:bookmarkStart w:id="4" w:name="_Toc102190823"/>
      <w:r>
        <w:rPr>
          <w:i/>
          <w:iCs/>
        </w:rPr>
        <w:t>Boost Employee Engagement</w:t>
      </w:r>
      <w:bookmarkEnd w:id="4"/>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Person engagement is driven by a variety of variables that differ from company to organisation and from employee to employee. Along with changes in management, culture, or external forces, drivers evolve as well. Using a people success platform, manager can actively seek out input from employees and use that information to track, monitor, and act on ways to boost morale and productivity </w:t>
      </w:r>
      <w:sdt>
        <w:sdtPr>
          <w:citation/>
        </w:sdtPr>
        <w:sdtContent>
          <w:r>
            <w:rPr>
              <w:rFonts w:ascii="Times New Roman" w:hAnsi="Times New Roman"/>
              <w:sz w:val="24"/>
              <w:szCs w:val="24"/>
            </w:rPr>
            <w:fldChar w:fldCharType="begin"/>
          </w:r>
          <w:r>
            <w:rPr>
              <w:sz w:val="24"/>
              <w:szCs w:val="24"/>
              <w:rFonts w:ascii="Times New Roman" w:hAnsi="Times New Roman"/>
            </w:rPr>
            <w:instrText> CITATION Cha21 \l 1033 </w:instrText>
          </w:r>
          <w:r>
            <w:rPr>
              <w:sz w:val="24"/>
              <w:szCs w:val="24"/>
              <w:rFonts w:ascii="Times New Roman" w:hAnsi="Times New Roman"/>
            </w:rPr>
            <w:fldChar w:fldCharType="separate"/>
          </w:r>
          <w:r>
            <w:rPr>
              <w:sz w:val="24"/>
              <w:szCs w:val="24"/>
              <w:rFonts w:ascii="Times New Roman" w:hAnsi="Times New Roman"/>
            </w:rPr>
            <w:t>(Chanana, 2021)</w:t>
          </w:r>
          <w:r>
            <w:rPr>
              <w:sz w:val="24"/>
              <w:szCs w:val="24"/>
              <w:rFonts w:ascii="Times New Roman" w:hAnsi="Times New Roman"/>
            </w:rPr>
            <w:fldChar w:fldCharType="end"/>
          </w:r>
        </w:sdtContent>
      </w:sdt>
      <w:r>
        <w:rPr>
          <w:rFonts w:cs="Times New Roman" w:ascii="Times New Roman" w:hAnsi="Times New Roman"/>
          <w:sz w:val="24"/>
          <w:szCs w:val="24"/>
        </w:rPr>
        <w:t>.</w:t>
      </w:r>
    </w:p>
    <w:p>
      <w:pPr>
        <w:pStyle w:val="Heading1"/>
        <w:rPr>
          <w:b/>
          <w:b/>
          <w:bCs/>
          <w:shd w:fill="FFFFFF" w:val="clear"/>
        </w:rPr>
      </w:pPr>
      <w:bookmarkStart w:id="5" w:name="_Toc102190824"/>
      <w:r>
        <w:rPr>
          <w:b/>
          <w:bCs/>
          <w:shd w:fill="FFFFFF" w:val="clear"/>
        </w:rPr>
        <w:t>Diagnostic Tools to Measure Engagement</w:t>
      </w:r>
      <w:bookmarkEnd w:id="5"/>
    </w:p>
    <w:p>
      <w:pPr>
        <w:pStyle w:val="Heading2"/>
        <w:rPr>
          <w:i/>
          <w:i/>
          <w:iCs/>
          <w:sz w:val="28"/>
          <w:szCs w:val="28"/>
        </w:rPr>
      </w:pPr>
      <w:bookmarkStart w:id="6" w:name="_Toc102190825"/>
      <w:r>
        <w:rPr>
          <w:i/>
          <w:iCs/>
          <w:sz w:val="28"/>
          <w:szCs w:val="28"/>
        </w:rPr>
        <w:t>Employee Survey</w:t>
      </w:r>
      <w:bookmarkEnd w:id="6"/>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To gather information on employee attitudes and sentiments, surveys are the most widely utilised technique for gauging employee engagement. Employees are more likely to participate in surveys when they can remain anonymous while completing the forms and submitting them </w:t>
      </w:r>
      <w:sdt>
        <w:sdtPr>
          <w:citation/>
        </w:sdtPr>
        <w:sdtContent>
          <w:r>
            <w:rPr>
              <w:rFonts w:ascii="Times New Roman" w:hAnsi="Times New Roman"/>
              <w:sz w:val="24"/>
              <w:szCs w:val="24"/>
            </w:rPr>
            <w:fldChar w:fldCharType="begin"/>
          </w:r>
          <w:r>
            <w:rPr>
              <w:sz w:val="24"/>
              <w:szCs w:val="24"/>
              <w:rFonts w:ascii="Times New Roman" w:hAnsi="Times New Roman"/>
            </w:rPr>
            <w:instrText> CITATION Inn21 \l 1033 </w:instrText>
          </w:r>
          <w:r>
            <w:rPr>
              <w:sz w:val="24"/>
              <w:szCs w:val="24"/>
              <w:rFonts w:ascii="Times New Roman" w:hAnsi="Times New Roman"/>
            </w:rPr>
            <w:fldChar w:fldCharType="separate"/>
          </w:r>
          <w:r>
            <w:rPr>
              <w:sz w:val="24"/>
              <w:szCs w:val="24"/>
              <w:rFonts w:ascii="Times New Roman" w:hAnsi="Times New Roman"/>
            </w:rPr>
            <w:t>(Innes, et al., 2021)</w:t>
          </w:r>
          <w:r>
            <w:rPr>
              <w:sz w:val="24"/>
              <w:szCs w:val="24"/>
              <w:rFonts w:ascii="Times New Roman" w:hAnsi="Times New Roman"/>
            </w:rPr>
            <w:fldChar w:fldCharType="end"/>
          </w:r>
        </w:sdtContent>
      </w:sdt>
      <w:r>
        <w:rPr>
          <w:rFonts w:cs="Times New Roman" w:ascii="Times New Roman" w:hAnsi="Times New Roman"/>
          <w:sz w:val="24"/>
          <w:szCs w:val="24"/>
        </w:rPr>
        <w:t>.</w:t>
      </w:r>
      <w:r>
        <w:rPr>
          <w:rFonts w:cs="Times New Roman" w:ascii="Times New Roman" w:hAnsi="Times New Roman"/>
          <w:sz w:val="24"/>
          <w:szCs w:val="24"/>
        </w:rPr>
        <w:t xml:space="preserve"> An added benefit of using a third-party administrator (such as Survey Monkey) is that workers may express themselves more freely without fear of repercussions.</w:t>
      </w:r>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With the use of survey questions like these, managers may get an idea of how engaged their team is.</w:t>
      </w:r>
    </w:p>
    <w:p>
      <w:pPr>
        <w:pStyle w:val="ListParagraph"/>
        <w:numPr>
          <w:ilvl w:val="0"/>
          <w:numId w:val="2"/>
        </w:numPr>
        <w:spacing w:lineRule="auto" w:line="360"/>
        <w:ind w:left="0" w:firstLine="720"/>
        <w:rPr>
          <w:rFonts w:ascii="Times New Roman" w:hAnsi="Times New Roman" w:cs="Times New Roman"/>
          <w:sz w:val="24"/>
          <w:szCs w:val="24"/>
        </w:rPr>
      </w:pPr>
      <w:r>
        <w:rPr>
          <w:rFonts w:cs="Times New Roman" w:ascii="Times New Roman" w:hAnsi="Times New Roman"/>
          <w:sz w:val="24"/>
          <w:szCs w:val="24"/>
        </w:rPr>
        <w:t>How committed are they to bringing their A-game to work every day?</w:t>
      </w:r>
    </w:p>
    <w:p>
      <w:pPr>
        <w:pStyle w:val="ListParagraph"/>
        <w:numPr>
          <w:ilvl w:val="0"/>
          <w:numId w:val="2"/>
        </w:numPr>
        <w:spacing w:lineRule="auto" w:line="360"/>
        <w:ind w:left="0" w:firstLine="720"/>
        <w:rPr>
          <w:rFonts w:ascii="Times New Roman" w:hAnsi="Times New Roman" w:cs="Times New Roman"/>
          <w:sz w:val="24"/>
          <w:szCs w:val="24"/>
        </w:rPr>
      </w:pPr>
      <w:r>
        <w:rPr>
          <w:rFonts w:cs="Times New Roman" w:ascii="Times New Roman" w:hAnsi="Times New Roman"/>
          <w:sz w:val="24"/>
          <w:szCs w:val="24"/>
        </w:rPr>
        <w:t>Are they happy with the work environment's culture?</w:t>
      </w:r>
    </w:p>
    <w:p>
      <w:pPr>
        <w:pStyle w:val="ListParagraph"/>
        <w:numPr>
          <w:ilvl w:val="0"/>
          <w:numId w:val="2"/>
        </w:numPr>
        <w:spacing w:lineRule="auto" w:line="360"/>
        <w:ind w:left="0" w:firstLine="720"/>
        <w:rPr>
          <w:rFonts w:ascii="Times New Roman" w:hAnsi="Times New Roman" w:cs="Times New Roman"/>
          <w:sz w:val="24"/>
          <w:szCs w:val="24"/>
        </w:rPr>
      </w:pPr>
      <w:r>
        <w:rPr>
          <w:rFonts w:cs="Times New Roman" w:ascii="Times New Roman" w:hAnsi="Times New Roman"/>
          <w:sz w:val="24"/>
          <w:szCs w:val="24"/>
        </w:rPr>
        <w:t>Does their job directly contribute to the company's objectives?</w:t>
      </w:r>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Employees' motivations, interests, job happiness, and quality of work relationships may all be gleaned through a good survey. When it comes to monetary incentives, workers are generally driven by professional progress, work/life balance as well as community participation, for example.</w:t>
      </w:r>
    </w:p>
    <w:p>
      <w:pPr>
        <w:pStyle w:val="Heading2"/>
        <w:rPr>
          <w:i/>
          <w:i/>
          <w:iCs/>
          <w:sz w:val="28"/>
          <w:szCs w:val="28"/>
        </w:rPr>
      </w:pPr>
      <w:bookmarkStart w:id="7" w:name="_Toc102190826"/>
      <w:r>
        <w:rPr>
          <w:i/>
          <w:iCs/>
          <w:sz w:val="28"/>
          <w:szCs w:val="28"/>
        </w:rPr>
        <w:t>HR Tools</w:t>
      </w:r>
      <w:bookmarkEnd w:id="7"/>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There are advantages and disadvantages to surveying the workforce once or twice a year, but they do not give real-time feedback or a comprehensive view of the business. As a result, firms are increasingly using flexible software solutions to collect and measure employee engagement year-round in addition to traditional quarterly surveys. By keeping survey findings in one central location, modern HR technologies make it easy to gather feedback and gauge employee happiness. Managers and staff may benefit greatly from more regular communication and feedback thanks to performance management software </w:t>
      </w:r>
      <w:sdt>
        <w:sdtPr>
          <w:citation/>
        </w:sdtPr>
        <w:sdtContent>
          <w:r>
            <w:rPr>
              <w:rFonts w:ascii="Times New Roman" w:hAnsi="Times New Roman"/>
              <w:sz w:val="24"/>
              <w:szCs w:val="24"/>
            </w:rPr>
            <w:fldChar w:fldCharType="begin"/>
          </w:r>
          <w:r>
            <w:rPr>
              <w:sz w:val="24"/>
              <w:szCs w:val="24"/>
              <w:rFonts w:ascii="Times New Roman" w:hAnsi="Times New Roman"/>
            </w:rPr>
            <w:instrText> CITATION Zom21 \l 1033 </w:instrText>
          </w:r>
          <w:r>
            <w:rPr>
              <w:sz w:val="24"/>
              <w:szCs w:val="24"/>
              <w:rFonts w:ascii="Times New Roman" w:hAnsi="Times New Roman"/>
            </w:rPr>
            <w:fldChar w:fldCharType="separate"/>
          </w:r>
          <w:r>
            <w:rPr>
              <w:sz w:val="24"/>
              <w:szCs w:val="24"/>
              <w:rFonts w:ascii="Times New Roman" w:hAnsi="Times New Roman"/>
            </w:rPr>
            <w:t>(Zomerlei, et al., 2021)</w:t>
          </w:r>
          <w:r>
            <w:rPr>
              <w:sz w:val="24"/>
              <w:szCs w:val="24"/>
              <w:rFonts w:ascii="Times New Roman" w:hAnsi="Times New Roman"/>
            </w:rPr>
            <w:fldChar w:fldCharType="end"/>
          </w:r>
        </w:sdtContent>
      </w:sdt>
      <w:r>
        <w:rPr>
          <w:rFonts w:cs="Times New Roman" w:ascii="Times New Roman" w:hAnsi="Times New Roman"/>
          <w:sz w:val="24"/>
          <w:szCs w:val="24"/>
        </w:rPr>
        <w:t>. This ensures that everyone is pleased, on track, and working together to achieve individual, department, and company-wide objectives.</w:t>
      </w:r>
    </w:p>
    <w:p>
      <w:pPr>
        <w:pStyle w:val="Heading2"/>
        <w:rPr>
          <w:i/>
          <w:i/>
          <w:iCs/>
          <w:sz w:val="28"/>
          <w:szCs w:val="28"/>
        </w:rPr>
      </w:pPr>
      <w:bookmarkStart w:id="8" w:name="_Toc102190827"/>
      <w:r>
        <w:rPr>
          <w:i/>
          <w:iCs/>
          <w:sz w:val="28"/>
          <w:szCs w:val="28"/>
        </w:rPr>
        <w:t>Social Media</w:t>
      </w:r>
      <w:bookmarkEnd w:id="8"/>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As social media use grows, businesses now have another effective weapon at their disposal. Using Glassdoor reviews and ratings as an example, organisations may gauge employee opinion. Even if they do not have an internal social media network like the workplace intranet, may still benefit from it. Managers may learn more about their teams and the company's culture via these exercises.</w:t>
      </w:r>
    </w:p>
    <w:p>
      <w:pPr>
        <w:pStyle w:val="Heading2"/>
        <w:rPr>
          <w:i/>
          <w:i/>
          <w:iCs/>
          <w:sz w:val="28"/>
          <w:szCs w:val="28"/>
        </w:rPr>
      </w:pPr>
      <w:bookmarkStart w:id="9" w:name="_Toc102190828"/>
      <w:r>
        <w:rPr>
          <w:i/>
          <w:iCs/>
          <w:sz w:val="28"/>
          <w:szCs w:val="28"/>
        </w:rPr>
        <w:t>Exit Interviews</w:t>
      </w:r>
      <w:bookmarkEnd w:id="9"/>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Using a well-designed engagement survey is vital, but it is also important to ask difficult questions about why high-performing individuals leave the organisation. To recruit and keep the greatest, fully engaged superstar workers, this important input may be used to identify areas of improvement Exit interviews and, if feasible, follow-up phone calls a month or longer after the employee leaves are two common recommendations from experts </w:t>
      </w:r>
      <w:sdt>
        <w:sdtPr>
          <w:citation/>
        </w:sdtPr>
        <w:sdtContent>
          <w:r>
            <w:rPr>
              <w:rFonts w:ascii="Times New Roman" w:hAnsi="Times New Roman"/>
              <w:sz w:val="24"/>
              <w:szCs w:val="24"/>
            </w:rPr>
            <w:fldChar w:fldCharType="begin"/>
          </w:r>
          <w:r>
            <w:rPr>
              <w:sz w:val="24"/>
              <w:szCs w:val="24"/>
              <w:rFonts w:ascii="Times New Roman" w:hAnsi="Times New Roman"/>
            </w:rPr>
            <w:instrText> CITATION Mic211 \l 1033 </w:instrText>
          </w:r>
          <w:r>
            <w:rPr>
              <w:sz w:val="24"/>
              <w:szCs w:val="24"/>
              <w:rFonts w:ascii="Times New Roman" w:hAnsi="Times New Roman"/>
            </w:rPr>
            <w:fldChar w:fldCharType="separate"/>
          </w:r>
          <w:r>
            <w:rPr>
              <w:sz w:val="24"/>
              <w:szCs w:val="24"/>
              <w:rFonts w:ascii="Times New Roman" w:hAnsi="Times New Roman"/>
            </w:rPr>
            <w:t>(Michelsen, 2021)</w:t>
          </w:r>
          <w:r>
            <w:rPr>
              <w:sz w:val="24"/>
              <w:szCs w:val="24"/>
              <w:rFonts w:ascii="Times New Roman" w:hAnsi="Times New Roman"/>
            </w:rPr>
            <w:fldChar w:fldCharType="end"/>
          </w:r>
        </w:sdtContent>
      </w:sdt>
      <w:r>
        <w:rPr>
          <w:rFonts w:cs="Times New Roman" w:ascii="Times New Roman" w:hAnsi="Times New Roman"/>
          <w:sz w:val="24"/>
          <w:szCs w:val="24"/>
        </w:rPr>
        <w:t>. Both are conducted during the individual's last week of employment.</w:t>
      </w:r>
    </w:p>
    <w:p>
      <w:pPr>
        <w:pStyle w:val="Heading1"/>
        <w:rPr>
          <w:b/>
          <w:b/>
          <w:bCs/>
        </w:rPr>
      </w:pPr>
      <w:bookmarkStart w:id="10" w:name="_Toc102190829"/>
      <w:r>
        <w:rPr>
          <w:b/>
          <w:bCs/>
        </w:rPr>
        <w:t>Employee Value Proposition</w:t>
      </w:r>
      <w:bookmarkEnd w:id="10"/>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For a company to recruit the best employees, it is essential to have a strong employer brand. One of the most important questions a company may ask is, "Why should someone with exceptional skill choose to work with us?" A distinctive EVP will help to attract and retain top employees, providing with a distinct advantage over the rivals in the marketplace </w:t>
      </w:r>
      <w:sdt>
        <w:sdtPr>
          <w:citation/>
        </w:sdtPr>
        <w:sdtContent>
          <w:r>
            <w:rPr>
              <w:rFonts w:ascii="Times New Roman" w:hAnsi="Times New Roman"/>
              <w:sz w:val="24"/>
              <w:szCs w:val="24"/>
            </w:rPr>
            <w:fldChar w:fldCharType="begin"/>
          </w:r>
          <w:r>
            <w:rPr>
              <w:sz w:val="24"/>
              <w:szCs w:val="24"/>
              <w:rFonts w:ascii="Times New Roman" w:hAnsi="Times New Roman"/>
            </w:rPr>
            <w:instrText> CITATION Ari21 \l 1033 </w:instrText>
          </w:r>
          <w:r>
            <w:rPr>
              <w:sz w:val="24"/>
              <w:szCs w:val="24"/>
              <w:rFonts w:ascii="Times New Roman" w:hAnsi="Times New Roman"/>
            </w:rPr>
            <w:fldChar w:fldCharType="separate"/>
          </w:r>
          <w:r>
            <w:rPr>
              <w:sz w:val="24"/>
              <w:szCs w:val="24"/>
              <w:rFonts w:ascii="Times New Roman" w:hAnsi="Times New Roman"/>
            </w:rPr>
            <w:t>(Ariyanto &amp; Kustini, 2021)</w:t>
          </w:r>
          <w:r>
            <w:rPr>
              <w:sz w:val="24"/>
              <w:szCs w:val="24"/>
              <w:rFonts w:ascii="Times New Roman" w:hAnsi="Times New Roman"/>
            </w:rPr>
            <w:fldChar w:fldCharType="end"/>
          </w:r>
        </w:sdtContent>
      </w:sdt>
      <w:r>
        <w:rPr>
          <w:rFonts w:cs="Times New Roman" w:ascii="Times New Roman" w:hAnsi="Times New Roman"/>
          <w:sz w:val="24"/>
          <w:szCs w:val="24"/>
        </w:rPr>
        <w:t>.</w:t>
      </w:r>
      <w:r>
        <w:rPr>
          <w:rFonts w:cs="Times New Roman" w:ascii="Times New Roman" w:hAnsi="Times New Roman"/>
          <w:sz w:val="24"/>
          <w:szCs w:val="24"/>
        </w:rPr>
        <w:t xml:space="preserve"> Even if the manager is attempting to recruit passive applicants, it makes talent management simple.</w:t>
      </w:r>
    </w:p>
    <w:p>
      <w:pPr>
        <w:pStyle w:val="Heading2"/>
        <w:rPr>
          <w:i/>
          <w:i/>
          <w:iCs/>
          <w:sz w:val="28"/>
          <w:szCs w:val="28"/>
        </w:rPr>
      </w:pPr>
      <w:bookmarkStart w:id="11" w:name="_Toc102190830"/>
      <w:r>
        <w:rPr>
          <w:i/>
          <w:iCs/>
          <w:sz w:val="28"/>
          <w:szCs w:val="28"/>
        </w:rPr>
        <w:t>Attracting Top Talent</w:t>
      </w:r>
      <w:bookmarkEnd w:id="11"/>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Recruitment marketing has seen a dramatic shift in recent years. Prospective workers are getting more and more discriminating in their quest for new employment opportunities. Recruitment-marketing-and-employee-value-proposition </w:t>
      </w:r>
      <w:sdt>
        <w:sdtPr>
          <w:citation/>
        </w:sdtPr>
        <w:sdtContent>
          <w:r>
            <w:rPr>
              <w:rFonts w:ascii="Times New Roman" w:hAnsi="Times New Roman"/>
              <w:sz w:val="24"/>
              <w:szCs w:val="24"/>
            </w:rPr>
            <w:fldChar w:fldCharType="begin"/>
          </w:r>
          <w:r>
            <w:rPr>
              <w:sz w:val="24"/>
              <w:szCs w:val="24"/>
              <w:rFonts w:ascii="Times New Roman" w:hAnsi="Times New Roman"/>
            </w:rPr>
            <w:instrText> CITATION Hus22 \l 1033 </w:instrText>
          </w:r>
          <w:r>
            <w:rPr>
              <w:sz w:val="24"/>
              <w:szCs w:val="24"/>
              <w:rFonts w:ascii="Times New Roman" w:hAnsi="Times New Roman"/>
            </w:rPr>
            <w:fldChar w:fldCharType="separate"/>
          </w:r>
          <w:r>
            <w:rPr>
              <w:sz w:val="24"/>
              <w:szCs w:val="24"/>
              <w:rFonts w:ascii="Times New Roman" w:hAnsi="Times New Roman"/>
            </w:rPr>
            <w:t>(Hussein, et al., 2022)</w:t>
          </w:r>
          <w:r>
            <w:rPr>
              <w:sz w:val="24"/>
              <w:szCs w:val="24"/>
              <w:rFonts w:ascii="Times New Roman" w:hAnsi="Times New Roman"/>
            </w:rPr>
            <w:fldChar w:fldCharType="end"/>
          </w:r>
        </w:sdtContent>
      </w:sdt>
      <w:r>
        <w:rPr>
          <w:rFonts w:cs="Times New Roman" w:ascii="Times New Roman" w:hAnsi="Times New Roman"/>
          <w:sz w:val="24"/>
          <w:szCs w:val="24"/>
        </w:rPr>
        <w:t xml:space="preserve">. </w:t>
      </w:r>
      <w:r>
        <w:rPr>
          <w:rFonts w:cs="Times New Roman" w:ascii="Times New Roman" w:hAnsi="Times New Roman"/>
          <w:sz w:val="24"/>
          <w:szCs w:val="24"/>
        </w:rPr>
        <w:t>Remote work possibilities, for example, have exploded in recent years, making it easier for job seekers to discover higher-paying positions that simultaneously provide greater work-life balance.</w:t>
      </w:r>
    </w:p>
    <w:p>
      <w:pPr>
        <w:pStyle w:val="Normal"/>
        <w:keepNext w:val="true"/>
        <w:rPr/>
      </w:pPr>
      <w:r>
        <w:rPr/>
        <w:drawing>
          <wp:inline distT="0" distB="0" distL="0" distR="0">
            <wp:extent cx="5731510" cy="3763010"/>
            <wp:effectExtent l="0" t="0" r="0" b="0"/>
            <wp:docPr id="2" name="Picture 1" descr="recruitment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recruitment marketing"/>
                    <pic:cNvPicPr>
                      <a:picLocks noChangeAspect="1" noChangeArrowheads="1"/>
                    </pic:cNvPicPr>
                  </pic:nvPicPr>
                  <pic:blipFill>
                    <a:blip r:embed="rId3"/>
                    <a:stretch>
                      <a:fillRect/>
                    </a:stretch>
                  </pic:blipFill>
                  <pic:spPr bwMode="auto">
                    <a:xfrm>
                      <a:off x="0" y="0"/>
                      <a:ext cx="5731510" cy="3763010"/>
                    </a:xfrm>
                    <a:prstGeom prst="rect">
                      <a:avLst/>
                    </a:prstGeom>
                  </pic:spPr>
                </pic:pic>
              </a:graphicData>
            </a:graphic>
          </wp:inline>
        </w:drawing>
      </w:r>
    </w:p>
    <w:p>
      <w:pPr>
        <w:pStyle w:val="Caption1"/>
        <w:jc w:val="center"/>
        <w:rPr>
          <w:rStyle w:val="Emphasis"/>
          <w:rFonts w:ascii="Arial" w:hAnsi="Arial" w:cs="Arial"/>
          <w:color w:val="000000" w:themeColor="text1"/>
          <w:shd w:fill="FFFFFF" w:val="clear"/>
        </w:rPr>
      </w:pPr>
      <w:r>
        <w:rPr>
          <w:color w:val="000000" w:themeColor="text1"/>
        </w:rPr>
        <w:t xml:space="preserve">Figure </w:t>
      </w:r>
      <w:r>
        <w:rPr>
          <w:color w:val="000000" w:themeColor="text1"/>
        </w:rPr>
        <w:fldChar w:fldCharType="begin"/>
      </w:r>
      <w:r>
        <w:rPr>
          <w:color w:val="000000"/>
        </w:rPr>
        <w:instrText> SEQ Figure \* ARABIC </w:instrText>
      </w:r>
      <w:r>
        <w:rPr>
          <w:color w:val="000000"/>
        </w:rPr>
        <w:fldChar w:fldCharType="separate"/>
      </w:r>
      <w:r>
        <w:rPr>
          <w:color w:val="000000"/>
        </w:rPr>
        <w:t>1</w:t>
      </w:r>
      <w:r>
        <w:rPr>
          <w:color w:val="000000"/>
        </w:rPr>
        <w:fldChar w:fldCharType="end"/>
      </w:r>
      <w:r>
        <w:rPr>
          <w:color w:val="000000" w:themeColor="text1"/>
        </w:rPr>
        <w:t xml:space="preserve">: </w:t>
      </w:r>
      <w:hyperlink r:id="rId4" w:tgtFrame="_blank">
        <w:r>
          <w:rPr>
            <w:rStyle w:val="InternetLink"/>
            <w:rFonts w:cs="Arial" w:ascii="inherit" w:hAnsi="inherit"/>
            <w:b/>
            <w:bCs/>
            <w:i w:val="false"/>
            <w:iCs w:val="false"/>
            <w:color w:val="000000" w:themeColor="text1"/>
          </w:rPr>
          <w:t>Business 2 Community</w:t>
        </w:r>
      </w:hyperlink>
    </w:p>
    <w:p>
      <w:pPr>
        <w:pStyle w:val="Normal"/>
        <w:rPr/>
      </w:pPr>
      <w:r>
        <w:rPr/>
      </w:r>
    </w:p>
    <w:p>
      <w:pPr>
        <w:pStyle w:val="Normal"/>
        <w:rPr/>
      </w:pPr>
      <w:r>
        <w:rPr/>
      </w:r>
    </w:p>
    <w:p>
      <w:pPr>
        <w:pStyle w:val="Heading2"/>
        <w:rPr>
          <w:i/>
          <w:i/>
          <w:iCs/>
          <w:sz w:val="28"/>
          <w:szCs w:val="28"/>
        </w:rPr>
      </w:pPr>
      <w:bookmarkStart w:id="12" w:name="_Toc102190831"/>
      <w:r>
        <w:rPr>
          <w:i/>
          <w:iCs/>
          <w:sz w:val="28"/>
          <w:szCs w:val="28"/>
        </w:rPr>
        <w:t>Retain Top Talent</w:t>
      </w:r>
      <w:bookmarkEnd w:id="12"/>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It is critical in today's competitive industry to entice the proper kind of employees. However, it is just as, if not more, critical to keep top performers. Improve-employee-retention. Talented personnel are hard to replace, so losing them is a costly mistake. It takes a long time and costs a lot of money </w:t>
      </w:r>
      <w:sdt>
        <w:sdtPr>
          <w:citation/>
        </w:sdtPr>
        <w:sdtContent>
          <w:r>
            <w:rPr>
              <w:rFonts w:ascii="Times New Roman" w:hAnsi="Times New Roman"/>
              <w:sz w:val="24"/>
              <w:szCs w:val="24"/>
            </w:rPr>
            <w:fldChar w:fldCharType="begin"/>
          </w:r>
          <w:r>
            <w:rPr>
              <w:sz w:val="24"/>
              <w:szCs w:val="24"/>
              <w:rFonts w:ascii="Times New Roman" w:hAnsi="Times New Roman"/>
            </w:rPr>
            <w:instrText> CITATION Ani21 \l 1033 </w:instrText>
          </w:r>
          <w:r>
            <w:rPr>
              <w:sz w:val="24"/>
              <w:szCs w:val="24"/>
              <w:rFonts w:ascii="Times New Roman" w:hAnsi="Times New Roman"/>
            </w:rPr>
            <w:fldChar w:fldCharType="separate"/>
          </w:r>
          <w:r>
            <w:rPr>
              <w:sz w:val="24"/>
              <w:szCs w:val="24"/>
              <w:rFonts w:ascii="Times New Roman" w:hAnsi="Times New Roman"/>
            </w:rPr>
            <w:t>(Anita, et al., 2021)</w:t>
          </w:r>
          <w:r>
            <w:rPr>
              <w:sz w:val="24"/>
              <w:szCs w:val="24"/>
              <w:rFonts w:ascii="Times New Roman" w:hAnsi="Times New Roman"/>
            </w:rPr>
            <w:fldChar w:fldCharType="end"/>
          </w:r>
        </w:sdtContent>
      </w:sdt>
      <w:r>
        <w:rPr>
          <w:rFonts w:cs="Times New Roman" w:ascii="Times New Roman" w:hAnsi="Times New Roman"/>
          <w:sz w:val="24"/>
          <w:szCs w:val="24"/>
        </w:rPr>
        <w:t>. Because of this, Fortune 500 firms go to great lengths to retain their best employees.</w:t>
      </w:r>
    </w:p>
    <w:p>
      <w:pPr>
        <w:pStyle w:val="Heading2"/>
        <w:rPr>
          <w:i/>
          <w:i/>
          <w:iCs/>
          <w:sz w:val="28"/>
          <w:szCs w:val="28"/>
        </w:rPr>
      </w:pPr>
      <w:bookmarkStart w:id="13" w:name="_Toc102190832"/>
      <w:r>
        <w:rPr>
          <w:i/>
          <w:iCs/>
          <w:sz w:val="28"/>
          <w:szCs w:val="28"/>
        </w:rPr>
        <w:t>Optimising Recruiting Expenses</w:t>
      </w:r>
      <w:bookmarkEnd w:id="13"/>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 xml:space="preserve">In the first place, bright people will apply to the organisation if the employee value offer is intriguing. It will also save money on hiring agencies, job postings, and other methods of attracting new employees by using these less expensive methods. Essentially, it will show a decrease in the cost of each hire. It also saves on recruiting and training expenditures since an EVP helps to retain top employees </w:t>
      </w:r>
      <w:sdt>
        <w:sdtPr>
          <w:citation/>
        </w:sdtPr>
        <w:sdtContent>
          <w:r>
            <w:rPr>
              <w:rFonts w:ascii="Times New Roman" w:hAnsi="Times New Roman"/>
              <w:sz w:val="24"/>
              <w:szCs w:val="24"/>
            </w:rPr>
            <w:fldChar w:fldCharType="begin"/>
          </w:r>
          <w:r>
            <w:rPr>
              <w:sz w:val="24"/>
              <w:szCs w:val="24"/>
              <w:rFonts w:ascii="Times New Roman" w:hAnsi="Times New Roman"/>
            </w:rPr>
            <w:instrText> CITATION Thi21 \l 1033 </w:instrText>
          </w:r>
          <w:r>
            <w:rPr>
              <w:sz w:val="24"/>
              <w:szCs w:val="24"/>
              <w:rFonts w:ascii="Times New Roman" w:hAnsi="Times New Roman"/>
            </w:rPr>
            <w:fldChar w:fldCharType="separate"/>
          </w:r>
          <w:r>
            <w:rPr>
              <w:sz w:val="24"/>
              <w:szCs w:val="24"/>
              <w:rFonts w:ascii="Times New Roman" w:hAnsi="Times New Roman"/>
            </w:rPr>
            <w:t>(Thiensiri, 2021)</w:t>
          </w:r>
          <w:r>
            <w:rPr>
              <w:sz w:val="24"/>
              <w:szCs w:val="24"/>
              <w:rFonts w:ascii="Times New Roman" w:hAnsi="Times New Roman"/>
            </w:rPr>
            <w:fldChar w:fldCharType="end"/>
          </w:r>
        </w:sdtContent>
      </w:sdt>
      <w:r>
        <w:rPr>
          <w:rFonts w:cs="Times New Roman" w:ascii="Times New Roman" w:hAnsi="Times New Roman"/>
          <w:sz w:val="24"/>
          <w:szCs w:val="24"/>
        </w:rPr>
        <w:t>. Because so many firm resources are dedicated to preparing and training new employees, this adds up quickly.</w:t>
      </w:r>
    </w:p>
    <w:p>
      <w:pPr>
        <w:pStyle w:val="Heading1"/>
        <w:rPr>
          <w:b/>
          <w:b/>
          <w:bCs/>
        </w:rPr>
      </w:pPr>
      <w:bookmarkStart w:id="14" w:name="_Toc102190833"/>
      <w:r>
        <w:rPr>
          <w:b/>
          <w:bCs/>
        </w:rPr>
        <w:t>Conclusion</w:t>
      </w:r>
      <w:bookmarkEnd w:id="14"/>
    </w:p>
    <w:p>
      <w:pPr>
        <w:pStyle w:val="Normal"/>
        <w:spacing w:lineRule="auto" w:line="360"/>
        <w:ind w:firstLine="720"/>
        <w:rPr>
          <w:rFonts w:ascii="Times New Roman" w:hAnsi="Times New Roman" w:cs="Times New Roman"/>
          <w:sz w:val="24"/>
          <w:szCs w:val="24"/>
        </w:rPr>
      </w:pPr>
      <w:r>
        <w:rPr>
          <w:rFonts w:cs="Times New Roman" w:ascii="Times New Roman" w:hAnsi="Times New Roman"/>
          <w:sz w:val="24"/>
          <w:szCs w:val="24"/>
        </w:rPr>
        <w:t>Personnel management seems to be a basic procedure for ensuring that personnel have the resources they need to do their jobs. However, this is not the case. A company's capacity to fulfil its objectives of efficiency, customer happiness, and product innovation is dependent on the ability to manage its people effectively. Effective management of people is more than a function, though. Good people management requires effective communication (especially criticism) and a culture that sees problem-solving as a learning opportunity, among other things. Overseeing people from a distance is difficult, but not impossible. Human resource professionals must be open and flexible in their communication with their employees if they are to assist them in navigating these difficult economic times.</w:t>
      </w:r>
    </w:p>
    <w:p>
      <w:pPr>
        <w:pStyle w:val="Normal"/>
        <w:rPr>
          <w:rFonts w:ascii="Times New Roman" w:hAnsi="Times New Roman" w:cs="Times New Roman"/>
          <w:sz w:val="24"/>
          <w:szCs w:val="24"/>
        </w:rPr>
      </w:pPr>
      <w:r>
        <w:rPr>
          <w:rFonts w:cs="Times New Roman" w:ascii="Times New Roman" w:hAnsi="Times New Roman"/>
          <w:sz w:val="24"/>
          <w:szCs w:val="24"/>
        </w:rPr>
      </w:r>
      <w:r>
        <w:br w:type="page"/>
      </w:r>
    </w:p>
    <w:sdt>
      <w:sdtPr>
        <w:docPartObj>
          <w:docPartGallery w:val="Bibliographies"/>
          <w:docPartUnique w:val="true"/>
        </w:docPartObj>
        <w:id w:val="1738343859"/>
      </w:sdtPr>
      <w:sdtContent>
        <w:p>
          <w:pPr>
            <w:pStyle w:val="Heading1"/>
            <w:rPr>
              <w:b/>
              <w:b/>
              <w:bCs/>
            </w:rPr>
          </w:pPr>
          <w:r>
            <w:rPr>
              <w:b/>
              <w:bCs/>
            </w:rPr>
            <w:t>References</w:t>
          </w:r>
        </w:p>
        <w:p>
          <w:pPr>
            <w:pStyle w:val="Bibliography"/>
            <w:rPr>
              <w:rFonts w:ascii="Times New Roman" w:hAnsi="Times New Roman" w:cs="Times New Roman"/>
              <w:sz w:val="24"/>
              <w:szCs w:val="24"/>
            </w:rPr>
          </w:pPr>
          <w:r>
            <w:fldChar w:fldCharType="begin"/>
          </w:r>
          <w:r>
            <w:rPr>
              <w:sz w:val="24"/>
              <w:szCs w:val="24"/>
              <w:rFonts w:cs="Times New Roman" w:ascii="Times New Roman" w:hAnsi="Times New Roman"/>
            </w:rPr>
            <w:instrText> BIBLIOGRAPHY </w:instrText>
          </w:r>
          <w:r>
            <w:rPr>
              <w:sz w:val="24"/>
              <w:szCs w:val="24"/>
              <w:rFonts w:cs="Times New Roman" w:ascii="Times New Roman" w:hAnsi="Times New Roman"/>
            </w:rPr>
            <w:fldChar w:fldCharType="separate"/>
          </w:r>
          <w:r>
            <w:rPr>
              <w:rFonts w:cs="Times New Roman" w:ascii="Times New Roman" w:hAnsi="Times New Roman"/>
              <w:sz w:val="24"/>
              <w:szCs w:val="24"/>
            </w:rPr>
            <w:t xml:space="preserve">Ali, B. &amp; Anwar, G., 2021. Corporate Social Responsibility: The Influence of Employee Engagement on Corporate Social Responsibility. Ali, BJ, &amp; Anwar, G.(2021). Corporate Social Responsibility: The Influence of Employee Engagement on Corporate Social Responsibility.. </w:t>
          </w:r>
          <w:r>
            <w:rPr>
              <w:rFonts w:cs="Times New Roman" w:ascii="Times New Roman" w:hAnsi="Times New Roman"/>
              <w:i/>
              <w:iCs/>
              <w:sz w:val="24"/>
              <w:szCs w:val="24"/>
            </w:rPr>
            <w:t>Journal of Humanities and Education Development, 3(3), pp.77-83..</w:t>
          </w:r>
        </w:p>
        <w:p>
          <w:pPr>
            <w:pStyle w:val="Bibliography"/>
            <w:rPr>
              <w:rFonts w:ascii="Times New Roman" w:hAnsi="Times New Roman" w:cs="Times New Roman"/>
              <w:sz w:val="24"/>
              <w:szCs w:val="24"/>
            </w:rPr>
          </w:pPr>
          <w:r>
            <w:rPr>
              <w:rFonts w:cs="Times New Roman" w:ascii="Times New Roman" w:hAnsi="Times New Roman"/>
              <w:sz w:val="24"/>
              <w:szCs w:val="24"/>
            </w:rPr>
            <w:t xml:space="preserve">Anita, T., Kusumo, E. &amp; Anggiani, S., 2021. Impact of Employee Value Proposition on Hotel’s Employee. </w:t>
          </w:r>
          <w:r>
            <w:rPr>
              <w:rFonts w:cs="Times New Roman" w:ascii="Times New Roman" w:hAnsi="Times New Roman"/>
              <w:i/>
              <w:iCs/>
              <w:sz w:val="24"/>
              <w:szCs w:val="24"/>
            </w:rPr>
            <w:t>Jurnal Bisnis dan Manajemen, 8(2), pp.197-201..</w:t>
          </w:r>
        </w:p>
        <w:p>
          <w:pPr>
            <w:pStyle w:val="Bibliography"/>
            <w:spacing w:lineRule="auto" w:line="360"/>
            <w:rPr>
              <w:rFonts w:ascii="Times New Roman" w:hAnsi="Times New Roman" w:cs="Times New Roman"/>
              <w:sz w:val="24"/>
              <w:szCs w:val="24"/>
            </w:rPr>
          </w:pPr>
          <w:r>
            <w:rPr>
              <w:rFonts w:cs="Times New Roman" w:ascii="Times New Roman" w:hAnsi="Times New Roman"/>
              <w:sz w:val="24"/>
              <w:szCs w:val="24"/>
            </w:rPr>
            <w:t xml:space="preserve">Ariyanto, R. &amp; Kustini, K., 2021. Employer branding and employee value proposition: The key success of startup companies in attracting potential employee candidates.. </w:t>
          </w:r>
          <w:r>
            <w:rPr>
              <w:rFonts w:cs="Times New Roman" w:ascii="Times New Roman" w:hAnsi="Times New Roman"/>
              <w:i/>
              <w:iCs/>
              <w:sz w:val="24"/>
              <w:szCs w:val="24"/>
            </w:rPr>
            <w:t>Annals of Human Resource Management Research, 1(2), pp.113-125..</w:t>
          </w:r>
        </w:p>
        <w:p>
          <w:pPr>
            <w:pStyle w:val="Bibliography"/>
            <w:rPr>
              <w:rFonts w:ascii="Times New Roman" w:hAnsi="Times New Roman" w:cs="Times New Roman"/>
              <w:sz w:val="24"/>
              <w:szCs w:val="24"/>
            </w:rPr>
          </w:pPr>
          <w:r>
            <w:rPr>
              <w:rFonts w:cs="Times New Roman" w:ascii="Times New Roman" w:hAnsi="Times New Roman"/>
              <w:sz w:val="24"/>
              <w:szCs w:val="24"/>
            </w:rPr>
            <w:t xml:space="preserve">Burnett, J. &amp; Lisk, T., 2019. The future of employee engagement: Real-time monitoring and digital tools for engaging a workforce.. </w:t>
          </w:r>
          <w:r>
            <w:rPr>
              <w:rFonts w:cs="Times New Roman" w:ascii="Times New Roman" w:hAnsi="Times New Roman"/>
              <w:i/>
              <w:iCs/>
              <w:sz w:val="24"/>
              <w:szCs w:val="24"/>
            </w:rPr>
            <w:t>International Studies of Management &amp; Organization, 49(1), pp.108-119..</w:t>
          </w:r>
        </w:p>
        <w:p>
          <w:pPr>
            <w:pStyle w:val="Bibliography"/>
            <w:rPr>
              <w:rFonts w:ascii="Times New Roman" w:hAnsi="Times New Roman" w:cs="Times New Roman"/>
              <w:sz w:val="24"/>
              <w:szCs w:val="24"/>
            </w:rPr>
          </w:pPr>
          <w:r>
            <w:rPr>
              <w:rFonts w:cs="Times New Roman" w:ascii="Times New Roman" w:hAnsi="Times New Roman"/>
              <w:sz w:val="24"/>
              <w:szCs w:val="24"/>
            </w:rPr>
            <w:t xml:space="preserve">Chanana, N., 2021. Employee engagement practices during COVID‐19 lockdown.. </w:t>
          </w:r>
          <w:r>
            <w:rPr>
              <w:rFonts w:cs="Times New Roman" w:ascii="Times New Roman" w:hAnsi="Times New Roman"/>
              <w:i/>
              <w:iCs/>
              <w:sz w:val="24"/>
              <w:szCs w:val="24"/>
            </w:rPr>
            <w:t>Journal of public affairs, 21(4), p.e2508..</w:t>
          </w:r>
        </w:p>
        <w:p>
          <w:pPr>
            <w:pStyle w:val="Bibliography"/>
            <w:rPr>
              <w:rFonts w:ascii="Times New Roman" w:hAnsi="Times New Roman" w:cs="Times New Roman"/>
              <w:sz w:val="24"/>
              <w:szCs w:val="24"/>
            </w:rPr>
          </w:pPr>
          <w:r>
            <w:rPr>
              <w:rFonts w:cs="Times New Roman" w:ascii="Times New Roman" w:hAnsi="Times New Roman"/>
              <w:sz w:val="24"/>
              <w:szCs w:val="24"/>
            </w:rPr>
            <w:t xml:space="preserve">De-la-Calle-Durán, M. &amp; Rodríguez-Sánchez, J., 2021. Employee engagement and wellbeing in times of COVID-19: a proposal of the 5Cs model.. </w:t>
          </w:r>
          <w:r>
            <w:rPr>
              <w:rFonts w:cs="Times New Roman" w:ascii="Times New Roman" w:hAnsi="Times New Roman"/>
              <w:i/>
              <w:iCs/>
              <w:sz w:val="24"/>
              <w:szCs w:val="24"/>
            </w:rPr>
            <w:t>International Journal of Environmental Research and Public Health, 18(10), p.5470..</w:t>
          </w:r>
        </w:p>
        <w:p>
          <w:pPr>
            <w:pStyle w:val="Bibliography"/>
            <w:rPr>
              <w:rFonts w:ascii="Times New Roman" w:hAnsi="Times New Roman" w:cs="Times New Roman"/>
              <w:sz w:val="24"/>
              <w:szCs w:val="24"/>
            </w:rPr>
          </w:pPr>
          <w:r>
            <w:rPr>
              <w:rFonts w:cs="Times New Roman" w:ascii="Times New Roman" w:hAnsi="Times New Roman"/>
              <w:sz w:val="24"/>
              <w:szCs w:val="24"/>
            </w:rPr>
            <w:t xml:space="preserve">Forsyth, A., Blamey, G., Lobet, S. &amp; McLaughlin, P., 2020. Practical guidance for non-specialist physical therapists managing people with hemophilia and musculoskeletal complications. </w:t>
          </w:r>
          <w:r>
            <w:rPr>
              <w:rFonts w:cs="Times New Roman" w:ascii="Times New Roman" w:hAnsi="Times New Roman"/>
              <w:i/>
              <w:iCs/>
              <w:sz w:val="24"/>
              <w:szCs w:val="24"/>
            </w:rPr>
            <w:t>Health, 12(2), pp.158-179..</w:t>
          </w:r>
        </w:p>
        <w:p>
          <w:pPr>
            <w:pStyle w:val="Bibliography"/>
            <w:rPr>
              <w:rFonts w:ascii="Times New Roman" w:hAnsi="Times New Roman" w:cs="Times New Roman"/>
              <w:sz w:val="24"/>
              <w:szCs w:val="24"/>
            </w:rPr>
          </w:pPr>
          <w:r>
            <w:rPr>
              <w:rFonts w:cs="Times New Roman" w:ascii="Times New Roman" w:hAnsi="Times New Roman"/>
              <w:sz w:val="24"/>
              <w:szCs w:val="24"/>
            </w:rPr>
            <w:t xml:space="preserve">Garg, K., Dar, I. &amp; Mishra, M., 2018. Job satisfaction and work engagement: A study using private sector bank managers.. </w:t>
          </w:r>
          <w:r>
            <w:rPr>
              <w:rFonts w:cs="Times New Roman" w:ascii="Times New Roman" w:hAnsi="Times New Roman"/>
              <w:i/>
              <w:iCs/>
              <w:sz w:val="24"/>
              <w:szCs w:val="24"/>
            </w:rPr>
            <w:t>Advances in Developing Human Resources, 20(1), pp.58-71..</w:t>
          </w:r>
        </w:p>
        <w:p>
          <w:pPr>
            <w:pStyle w:val="Bibliography"/>
            <w:rPr>
              <w:rFonts w:ascii="Times New Roman" w:hAnsi="Times New Roman" w:cs="Times New Roman"/>
              <w:sz w:val="24"/>
              <w:szCs w:val="24"/>
            </w:rPr>
          </w:pPr>
          <w:r>
            <w:rPr>
              <w:rFonts w:cs="Times New Roman" w:ascii="Times New Roman" w:hAnsi="Times New Roman"/>
              <w:sz w:val="24"/>
              <w:szCs w:val="24"/>
            </w:rPr>
            <w:t xml:space="preserve">Hussein, A., Al-Jubori, I. &amp; Mahdi, A., 2022. The Mediating Role of Organizational Reputation in Promoting the impact of Employee Value Proposition on Organizational Commitment.. </w:t>
          </w:r>
          <w:r>
            <w:rPr>
              <w:rFonts w:cs="Times New Roman" w:ascii="Times New Roman" w:hAnsi="Times New Roman"/>
              <w:i/>
              <w:iCs/>
              <w:sz w:val="24"/>
              <w:szCs w:val="24"/>
            </w:rPr>
            <w:t>Webology, 19(1)..</w:t>
          </w:r>
        </w:p>
        <w:p>
          <w:pPr>
            <w:pStyle w:val="Bibliography"/>
            <w:rPr>
              <w:rFonts w:ascii="Times New Roman" w:hAnsi="Times New Roman" w:cs="Times New Roman"/>
              <w:sz w:val="24"/>
              <w:szCs w:val="24"/>
            </w:rPr>
          </w:pPr>
          <w:r>
            <w:rPr>
              <w:rFonts w:cs="Times New Roman" w:ascii="Times New Roman" w:hAnsi="Times New Roman"/>
              <w:sz w:val="24"/>
              <w:szCs w:val="24"/>
            </w:rPr>
            <w:t xml:space="preserve">Innes, A., Smith, S. &amp; Bushell, S., 2021. Dementia friendly care: Methods to improve stakeholder engagement and decision making.. </w:t>
          </w:r>
          <w:r>
            <w:rPr>
              <w:rFonts w:cs="Times New Roman" w:ascii="Times New Roman" w:hAnsi="Times New Roman"/>
              <w:i/>
              <w:iCs/>
              <w:sz w:val="24"/>
              <w:szCs w:val="24"/>
            </w:rPr>
            <w:t>Journal of Healthcare Leadership, 13, p.183..</w:t>
          </w:r>
        </w:p>
        <w:p>
          <w:pPr>
            <w:pStyle w:val="Bibliography"/>
            <w:rPr>
              <w:rFonts w:ascii="Times New Roman" w:hAnsi="Times New Roman" w:cs="Times New Roman"/>
              <w:sz w:val="24"/>
              <w:szCs w:val="24"/>
            </w:rPr>
          </w:pPr>
          <w:r>
            <w:rPr>
              <w:rFonts w:cs="Times New Roman" w:ascii="Times New Roman" w:hAnsi="Times New Roman"/>
              <w:sz w:val="24"/>
              <w:szCs w:val="24"/>
            </w:rPr>
            <w:t xml:space="preserve">Karatepe, O., Rezapouraghdam, H. &amp; Hassannia, R., 2021. Does employee engagement mediate the influence of psychological contract breach on pro-environmental behaviors and intent to remain with the organization in the hotel industry?.. </w:t>
          </w:r>
          <w:r>
            <w:rPr>
              <w:rFonts w:cs="Times New Roman" w:ascii="Times New Roman" w:hAnsi="Times New Roman"/>
              <w:i/>
              <w:iCs/>
              <w:sz w:val="24"/>
              <w:szCs w:val="24"/>
            </w:rPr>
            <w:t>Journal of Hospitality Marketing &amp; Management, 30(3), pp.326-353..</w:t>
          </w:r>
        </w:p>
        <w:p>
          <w:pPr>
            <w:pStyle w:val="Bibliography"/>
            <w:rPr>
              <w:rFonts w:ascii="Times New Roman" w:hAnsi="Times New Roman" w:cs="Times New Roman"/>
              <w:sz w:val="24"/>
              <w:szCs w:val="24"/>
            </w:rPr>
          </w:pPr>
          <w:r>
            <w:rPr>
              <w:rFonts w:cs="Times New Roman" w:ascii="Times New Roman" w:hAnsi="Times New Roman"/>
              <w:sz w:val="24"/>
              <w:szCs w:val="24"/>
            </w:rPr>
            <w:t xml:space="preserve">Leroy, H., Segers, J., Van Dierendonck, D. &amp; Den Hartog, D., 2018. Managing people in organizations: Integrating the study of HRM and leadership.. </w:t>
          </w:r>
          <w:r>
            <w:rPr>
              <w:rFonts w:cs="Times New Roman" w:ascii="Times New Roman" w:hAnsi="Times New Roman"/>
              <w:i/>
              <w:iCs/>
              <w:sz w:val="24"/>
              <w:szCs w:val="24"/>
            </w:rPr>
            <w:t>Human Resource Management Review, 28(3), pp.249-257..</w:t>
          </w:r>
        </w:p>
        <w:p>
          <w:pPr>
            <w:pStyle w:val="Bibliography"/>
            <w:rPr>
              <w:rFonts w:ascii="Times New Roman" w:hAnsi="Times New Roman" w:cs="Times New Roman"/>
              <w:sz w:val="24"/>
              <w:szCs w:val="24"/>
            </w:rPr>
          </w:pPr>
          <w:r>
            <w:rPr>
              <w:rFonts w:cs="Times New Roman" w:ascii="Times New Roman" w:hAnsi="Times New Roman"/>
              <w:sz w:val="24"/>
              <w:szCs w:val="24"/>
            </w:rPr>
            <w:t xml:space="preserve">Michelsen, C., 2021. Empowerment for Participation: Measuring Motivation, Stress, Defense Routines and Engagement.. </w:t>
          </w:r>
          <w:r>
            <w:rPr>
              <w:rFonts w:cs="Times New Roman" w:ascii="Times New Roman" w:hAnsi="Times New Roman"/>
              <w:i/>
              <w:iCs/>
              <w:sz w:val="24"/>
              <w:szCs w:val="24"/>
            </w:rPr>
            <w:t>Psychology, 12(04), p.511..</w:t>
          </w:r>
        </w:p>
        <w:p>
          <w:pPr>
            <w:pStyle w:val="Bibliography"/>
            <w:rPr>
              <w:rFonts w:ascii="Times New Roman" w:hAnsi="Times New Roman" w:cs="Times New Roman"/>
              <w:sz w:val="24"/>
              <w:szCs w:val="24"/>
            </w:rPr>
          </w:pPr>
          <w:r>
            <w:rPr>
              <w:rFonts w:cs="Times New Roman" w:ascii="Times New Roman" w:hAnsi="Times New Roman"/>
              <w:sz w:val="24"/>
              <w:szCs w:val="24"/>
            </w:rPr>
            <w:t xml:space="preserve">Satata, D., 2021. Employee engagement as an effort to improve work performance: literature review. Ilomata. </w:t>
          </w:r>
          <w:r>
            <w:rPr>
              <w:rFonts w:cs="Times New Roman" w:ascii="Times New Roman" w:hAnsi="Times New Roman"/>
              <w:i/>
              <w:iCs/>
              <w:sz w:val="24"/>
              <w:szCs w:val="24"/>
            </w:rPr>
            <w:t>International Journal of Social Science, 2(1), pp.41-49..</w:t>
          </w:r>
        </w:p>
        <w:p>
          <w:pPr>
            <w:pStyle w:val="Bibliography"/>
            <w:rPr>
              <w:rFonts w:ascii="Times New Roman" w:hAnsi="Times New Roman" w:cs="Times New Roman"/>
              <w:sz w:val="24"/>
              <w:szCs w:val="24"/>
            </w:rPr>
          </w:pPr>
          <w:r>
            <w:rPr>
              <w:rFonts w:cs="Times New Roman" w:ascii="Times New Roman" w:hAnsi="Times New Roman"/>
              <w:sz w:val="24"/>
              <w:szCs w:val="24"/>
            </w:rPr>
            <w:t xml:space="preserve">Thiensiri, P., 2021. Vital role of leader as employee value proposition for employee engagement in Thai perspective.. </w:t>
          </w:r>
          <w:r>
            <w:rPr>
              <w:rFonts w:cs="Times New Roman" w:ascii="Times New Roman" w:hAnsi="Times New Roman"/>
              <w:i/>
              <w:iCs/>
              <w:sz w:val="24"/>
              <w:szCs w:val="24"/>
            </w:rPr>
            <w:t>Kasetsart Journal of Social Sciences, 42(3), pp.489-494..</w:t>
          </w:r>
        </w:p>
        <w:p>
          <w:pPr>
            <w:pStyle w:val="Bibliography"/>
            <w:rPr>
              <w:rFonts w:ascii="Times New Roman" w:hAnsi="Times New Roman" w:cs="Times New Roman"/>
              <w:sz w:val="24"/>
              <w:szCs w:val="24"/>
            </w:rPr>
          </w:pPr>
          <w:r>
            <w:rPr>
              <w:rFonts w:cs="Times New Roman" w:ascii="Times New Roman" w:hAnsi="Times New Roman"/>
              <w:sz w:val="24"/>
              <w:szCs w:val="24"/>
            </w:rPr>
            <w:t xml:space="preserve">Tsourvakas, G. &amp; Yfantidou, I., 2018. Corporate social responsibility influences employee engagement.. </w:t>
          </w:r>
          <w:r>
            <w:rPr>
              <w:rFonts w:cs="Times New Roman" w:ascii="Times New Roman" w:hAnsi="Times New Roman"/>
              <w:i/>
              <w:iCs/>
              <w:sz w:val="24"/>
              <w:szCs w:val="24"/>
            </w:rPr>
            <w:t>Social Responsibility Journal..</w:t>
          </w:r>
        </w:p>
        <w:p>
          <w:pPr>
            <w:pStyle w:val="Bibliography"/>
            <w:rPr>
              <w:rFonts w:ascii="Times New Roman" w:hAnsi="Times New Roman" w:cs="Times New Roman"/>
              <w:sz w:val="24"/>
              <w:szCs w:val="24"/>
            </w:rPr>
          </w:pPr>
          <w:r>
            <w:rPr>
              <w:rFonts w:cs="Times New Roman" w:ascii="Times New Roman" w:hAnsi="Times New Roman"/>
              <w:sz w:val="24"/>
              <w:szCs w:val="24"/>
            </w:rPr>
            <w:t xml:space="preserve">Zomerlei, T. et al., 2021. When no news is bad news: Improving diagnostic testing communication through patient engagement.. </w:t>
          </w:r>
          <w:r>
            <w:rPr>
              <w:rFonts w:cs="Times New Roman" w:ascii="Times New Roman" w:hAnsi="Times New Roman"/>
              <w:i/>
              <w:iCs/>
              <w:sz w:val="24"/>
              <w:szCs w:val="24"/>
            </w:rPr>
            <w:t>Journal of Patient Safety and Risk Management, 26(5), pp.221-224..</w:t>
          </w:r>
        </w:p>
        <w:p>
          <w:pPr>
            <w:pStyle w:val="Normal"/>
            <w:rPr/>
          </w:pPr>
          <w:r>
            <w:rPr/>
          </w:r>
          <w:r>
            <w:rPr/>
            <w:fldChar w:fldCharType="end"/>
          </w:r>
        </w:p>
      </w:sdtContent>
    </w:sdt>
    <w:p>
      <w:pPr>
        <w:pStyle w:val="Normal"/>
        <w:spacing w:lineRule="auto" w:line="360"/>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sz w:val="24"/>
          <w:szCs w:val="24"/>
        </w:rPr>
      </w:r>
      <w:r>
        <w:br w:type="page"/>
      </w:r>
    </w:p>
    <w:p>
      <w:pPr>
        <w:pStyle w:val="Normal"/>
        <w:spacing w:lineRule="auto" w:line="360" w:before="0" w:after="160"/>
        <w:rPr>
          <w:rFonts w:ascii="Times New Roman" w:hAnsi="Times New Roman" w:cs="Times New Roman"/>
          <w:sz w:val="24"/>
          <w:szCs w:val="24"/>
        </w:rPr>
      </w:pPr>
      <w:r>
        <w:rPr/>
      </w:r>
    </w:p>
    <w:sectPr>
      <w:headerReference w:type="default" r:id="rId5"/>
      <w:type w:val="nextPage"/>
      <w:pgSz w:w="11906" w:h="16838"/>
      <w:pgMar w:left="1440" w:right="1440" w:header="708"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mr-eaves-modern">
    <w:charset w:val="00"/>
    <w:family w:val="roman"/>
    <w:pitch w:val="variable"/>
  </w:font>
  <w:font w:name="Arial">
    <w:charset w:val="00"/>
    <w:family w:val="roman"/>
    <w:pitch w:val="variable"/>
  </w:font>
  <w:font w:name="inherit">
    <w:charset w:val="00"/>
    <w:family w:val="roman"/>
    <w:pitch w:val="variable"/>
  </w:font>
  <w:font w:name="Courier New">
    <w:charset w:val="01"/>
    <w:family w:val="modern"/>
    <w:pitch w:val="fixed"/>
  </w:font>
  <w:font w:name="Wingdings">
    <w:charset w:val="02"/>
    <w:family w:val="auto"/>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947651069"/>
    </w:sdtPr>
    <w:sdtContent>
      <w:p>
        <w:pPr>
          <w:pStyle w:val="Header"/>
          <w:jc w:val="right"/>
          <w:rPr/>
        </w:pPr>
        <w:r>
          <w:rPr/>
          <w:fldChar w:fldCharType="begin"/>
        </w:r>
        <w:r>
          <w:rPr/>
          <w:instrText> PAGE </w:instrText>
        </w:r>
        <w:r>
          <w:rPr/>
          <w:fldChar w:fldCharType="separate"/>
        </w:r>
        <w:r>
          <w:rPr/>
          <w:t>13</w:t>
        </w:r>
        <w:r>
          <w:rPr/>
          <w:fldChar w:fldCharType="end"/>
        </w:r>
      </w:p>
    </w:sdtContent>
  </w:sdt>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PK"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false"/>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797a14"/>
    <w:pPr>
      <w:keepNext w:val="true"/>
      <w:keepLines/>
      <w:spacing w:before="240" w:after="0"/>
      <w:outlineLvl w:val="0"/>
    </w:pPr>
    <w:rPr>
      <w:rFonts w:ascii="Calibri Light" w:hAnsi="Calibri Light" w:eastAsia="" w:cs="" w:asciiTheme="majorHAnsi" w:cstheme="majorBidi" w:eastAsiaTheme="majorEastAsia" w:hAnsiTheme="majorHAnsi"/>
      <w:color w:val="2F5496" w:themeColor="accent1" w:themeShade="bf"/>
      <w:sz w:val="32"/>
      <w:szCs w:val="32"/>
    </w:rPr>
  </w:style>
  <w:style w:type="paragraph" w:styleId="Heading2">
    <w:name w:val="Heading 2"/>
    <w:basedOn w:val="Normal"/>
    <w:next w:val="Normal"/>
    <w:link w:val="Heading2Char"/>
    <w:uiPriority w:val="9"/>
    <w:unhideWhenUsed/>
    <w:qFormat/>
    <w:rsid w:val="0045388d"/>
    <w:pPr>
      <w:keepNext w:val="true"/>
      <w:keepLines/>
      <w:spacing w:before="40" w:after="0"/>
      <w:outlineLvl w:val="1"/>
    </w:pPr>
    <w:rPr>
      <w:rFonts w:ascii="Calibri Light" w:hAnsi="Calibri Light" w:eastAsia="" w:cs="" w:asciiTheme="majorHAnsi" w:cstheme="majorBidi" w:eastAsiaTheme="majorEastAsia" w:hAnsiTheme="majorHAnsi"/>
      <w:color w:val="2F5496" w:themeColor="accent1" w:themeShade="bf"/>
      <w:sz w:val="26"/>
      <w:szCs w:val="26"/>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797a14"/>
    <w:rPr>
      <w:rFonts w:ascii="Calibri Light" w:hAnsi="Calibri Light" w:eastAsia="" w:cs="" w:asciiTheme="majorHAnsi" w:cstheme="majorBidi" w:eastAsiaTheme="majorEastAsia" w:hAnsiTheme="majorHAnsi"/>
      <w:color w:val="2F5496" w:themeColor="accent1" w:themeShade="bf"/>
      <w:sz w:val="32"/>
      <w:szCs w:val="32"/>
      <w:lang w:val="en-GB"/>
    </w:rPr>
  </w:style>
  <w:style w:type="character" w:styleId="Heading2Char" w:customStyle="1">
    <w:name w:val="Heading 2 Char"/>
    <w:basedOn w:val="DefaultParagraphFont"/>
    <w:link w:val="Heading2"/>
    <w:uiPriority w:val="9"/>
    <w:qFormat/>
    <w:rsid w:val="0045388d"/>
    <w:rPr>
      <w:rFonts w:ascii="Calibri Light" w:hAnsi="Calibri Light" w:eastAsia="" w:cs="" w:asciiTheme="majorHAnsi" w:cstheme="majorBidi" w:eastAsiaTheme="majorEastAsia" w:hAnsiTheme="majorHAnsi"/>
      <w:color w:val="2F5496" w:themeColor="accent1" w:themeShade="bf"/>
      <w:sz w:val="26"/>
      <w:szCs w:val="26"/>
      <w:lang w:val="en-GB"/>
    </w:rPr>
  </w:style>
  <w:style w:type="character" w:styleId="InternetLink">
    <w:name w:val="Hyperlink"/>
    <w:basedOn w:val="DefaultParagraphFont"/>
    <w:uiPriority w:val="99"/>
    <w:unhideWhenUsed/>
    <w:rsid w:val="00ab3c03"/>
    <w:rPr>
      <w:color w:val="0563C1" w:themeColor="hyperlink"/>
      <w:u w:val="single"/>
    </w:rPr>
  </w:style>
  <w:style w:type="character" w:styleId="UnresolvedMention">
    <w:name w:val="Unresolved Mention"/>
    <w:basedOn w:val="DefaultParagraphFont"/>
    <w:uiPriority w:val="99"/>
    <w:semiHidden/>
    <w:unhideWhenUsed/>
    <w:qFormat/>
    <w:rsid w:val="00ab3c03"/>
    <w:rPr>
      <w:color w:val="605E5C"/>
      <w:shd w:fill="E1DFDD" w:val="clear"/>
    </w:rPr>
  </w:style>
  <w:style w:type="character" w:styleId="Emphasis">
    <w:name w:val="Emphasis"/>
    <w:basedOn w:val="DefaultParagraphFont"/>
    <w:uiPriority w:val="20"/>
    <w:qFormat/>
    <w:rsid w:val="00ab3c03"/>
    <w:rPr>
      <w:i/>
      <w:iCs/>
    </w:rPr>
  </w:style>
  <w:style w:type="character" w:styleId="HeaderChar" w:customStyle="1">
    <w:name w:val="Header Char"/>
    <w:basedOn w:val="DefaultParagraphFont"/>
    <w:link w:val="Header"/>
    <w:uiPriority w:val="99"/>
    <w:qFormat/>
    <w:rsid w:val="004622a7"/>
    <w:rPr>
      <w:lang w:val="en-GB"/>
    </w:rPr>
  </w:style>
  <w:style w:type="character" w:styleId="FooterChar" w:customStyle="1">
    <w:name w:val="Footer Char"/>
    <w:basedOn w:val="DefaultParagraphFont"/>
    <w:link w:val="Footer"/>
    <w:uiPriority w:val="99"/>
    <w:qFormat/>
    <w:rsid w:val="004622a7"/>
    <w:rPr>
      <w:lang w:val="en-GB"/>
    </w:rPr>
  </w:style>
  <w:style w:type="character" w:styleId="IndexLink">
    <w:name w:val="Index Link"/>
    <w:qFormat/>
    <w:rPr/>
  </w:style>
  <w:style w:type="character" w:styleId="Heading4Char">
    <w:name w:val="Heading 4 Char"/>
    <w:qFormat/>
    <w:rPr>
      <w:rFonts w:ascii="Times New Roman" w:hAnsi="Times New Roman" w:cs="0"/>
      <w:b/>
      <w:iCs/>
    </w:rPr>
  </w:style>
  <w:style w:type="character" w:styleId="Selectable">
    <w:name w:val="selectable"/>
    <w:qFormat/>
    <w:rPr/>
  </w:style>
  <w:style w:type="character" w:styleId="Heading3Char">
    <w:name w:val="Heading 3 Char"/>
    <w:qFormat/>
    <w:rPr>
      <w:rFonts w:ascii="Times New Roman" w:hAnsi="Times New Roman" w:cs="0"/>
      <w:b/>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45388d"/>
    <w:pPr>
      <w:spacing w:before="0" w:after="160"/>
      <w:ind w:left="720" w:hanging="0"/>
      <w:contextualSpacing/>
    </w:pPr>
    <w:rPr/>
  </w:style>
  <w:style w:type="paragraph" w:styleId="Caption1">
    <w:name w:val="caption"/>
    <w:basedOn w:val="Normal"/>
    <w:next w:val="Normal"/>
    <w:uiPriority w:val="35"/>
    <w:unhideWhenUsed/>
    <w:qFormat/>
    <w:rsid w:val="00ab3c03"/>
    <w:pPr>
      <w:spacing w:lineRule="auto" w:line="240" w:before="0" w:after="200"/>
    </w:pPr>
    <w:rPr>
      <w:i/>
      <w:iCs/>
      <w:color w:val="44546A" w:themeColor="text2"/>
      <w:sz w:val="18"/>
      <w:szCs w:val="18"/>
    </w:rPr>
  </w:style>
  <w:style w:type="paragraph" w:styleId="TOCHeading">
    <w:name w:val="TOC Heading"/>
    <w:basedOn w:val="Heading1"/>
    <w:next w:val="Normal"/>
    <w:uiPriority w:val="39"/>
    <w:unhideWhenUsed/>
    <w:qFormat/>
    <w:rsid w:val="004622a7"/>
    <w:pPr/>
    <w:rPr>
      <w:lang w:val="en-US"/>
    </w:rPr>
  </w:style>
  <w:style w:type="paragraph" w:styleId="Contents1">
    <w:name w:val="TOC 1"/>
    <w:basedOn w:val="Normal"/>
    <w:next w:val="Normal"/>
    <w:autoRedefine/>
    <w:uiPriority w:val="39"/>
    <w:unhideWhenUsed/>
    <w:rsid w:val="004622a7"/>
    <w:pPr>
      <w:spacing w:before="0" w:after="100"/>
    </w:pPr>
    <w:rPr/>
  </w:style>
  <w:style w:type="paragraph" w:styleId="Contents2">
    <w:name w:val="TOC 2"/>
    <w:basedOn w:val="Normal"/>
    <w:next w:val="Normal"/>
    <w:autoRedefine/>
    <w:uiPriority w:val="39"/>
    <w:unhideWhenUsed/>
    <w:rsid w:val="004622a7"/>
    <w:pPr>
      <w:spacing w:before="0" w:after="100"/>
      <w:ind w:left="220" w:hanging="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4622a7"/>
    <w:pPr>
      <w:tabs>
        <w:tab w:val="clear" w:pos="709"/>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22a7"/>
    <w:pPr>
      <w:tabs>
        <w:tab w:val="clear" w:pos="709"/>
        <w:tab w:val="center" w:pos="4513" w:leader="none"/>
        <w:tab w:val="right" w:pos="9026" w:leader="none"/>
      </w:tabs>
      <w:spacing w:lineRule="auto" w:line="240" w:before="0" w:after="0"/>
    </w:pPr>
    <w:rPr/>
  </w:style>
  <w:style w:type="paragraph" w:styleId="Bibliography">
    <w:name w:val="Bibliography"/>
    <w:basedOn w:val="Normal"/>
    <w:next w:val="Normal"/>
    <w:uiPriority w:val="37"/>
    <w:unhideWhenUsed/>
    <w:qFormat/>
    <w:rsid w:val="00af1a8f"/>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hyperlink" Target="https://www.business2community.com/marketing/recruitment-marketing-guide-innovative-recruiters-01753312" TargetMode="External"/><Relationship Id="rId5" Type="http://schemas.openxmlformats.org/officeDocument/2006/relationships/header" Target="header1.xml"/><Relationship Id="rId6" Type="http://schemas.openxmlformats.org/officeDocument/2006/relationships/numbering" Target="numbering.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Ler18</b:Tag>
    <b:SourceType>JournalArticle</b:SourceType>
    <b:Guid>{1102AA14-74F2-4545-A47C-3A5F2C3E756C}</b:Guid>
    <b:Author>
      <b:Author>
        <b:NameList>
          <b:Person>
            <b:Last>Leroy</b:Last>
            <b:First>H.,</b:First>
          </b:Person>
          <b:Person>
            <b:Last>Segers</b:Last>
            <b:First>J.,</b:First>
          </b:Person>
          <b:Person>
            <b:Last>Van Dierendonck</b:Last>
            <b:First>D.</b:First>
          </b:Person>
          <b:Person>
            <b:Last>Den Hartog</b:Last>
            <b:First>D.,</b:First>
          </b:Person>
        </b:NameList>
      </b:Author>
    </b:Author>
    <b:Title>Managing people in organizations: Integrating the study of HRM and leadership.</b:Title>
    <b:JournalName> Human Resource Management Review, 28(3), pp.249-257.</b:JournalName>
    <b:Year>2018</b:Year>
    <b:RefOrder>1</b:RefOrder>
  </b:Source>
  <b:Source>
    <b:Tag>For20</b:Tag>
    <b:SourceType>JournalArticle</b:SourceType>
    <b:Guid>{E1B421E1-C7C3-496E-B67A-FF6CED81C91C}</b:Guid>
    <b:Author>
      <b:Author>
        <b:NameList>
          <b:Person>
            <b:Last>Forsyth</b:Last>
            <b:First>A.,</b:First>
          </b:Person>
          <b:Person>
            <b:Last>Blamey</b:Last>
            <b:First>G.,</b:First>
          </b:Person>
          <b:Person>
            <b:Last>Lobet</b:Last>
            <b:First>S.</b:First>
          </b:Person>
          <b:Person>
            <b:Last>McLaughlin</b:Last>
            <b:First>P.</b:First>
          </b:Person>
        </b:NameList>
      </b:Author>
    </b:Author>
    <b:Title>Practical guidance for non-specialist physical therapists managing people with hemophilia and musculoskeletal complications</b:Title>
    <b:JournalName> Health, 12(2), pp.158-179.</b:JournalName>
    <b:Year>2020</b:Year>
    <b:RefOrder>2</b:RefOrder>
  </b:Source>
  <b:Source>
    <b:Tag>Tso18</b:Tag>
    <b:SourceType>JournalArticle</b:SourceType>
    <b:Guid>{699DD3B2-51A1-4049-BD9C-ECB360BD5BC0}</b:Guid>
    <b:Author>
      <b:Author>
        <b:NameList>
          <b:Person>
            <b:Last>Tsourvakas</b:Last>
            <b:First>G.</b:First>
          </b:Person>
          <b:Person>
            <b:Last>Yfantidou</b:Last>
            <b:First>I.</b:First>
          </b:Person>
        </b:NameList>
      </b:Author>
    </b:Author>
    <b:Title>Corporate social responsibility influences employee engagement. </b:Title>
    <b:JournalName>Social Responsibility Journal.</b:JournalName>
    <b:Year>2018</b:Year>
    <b:RefOrder>3</b:RefOrder>
  </b:Source>
  <b:Source>
    <b:Tag>Gar18</b:Tag>
    <b:SourceType>JournalArticle</b:SourceType>
    <b:Guid>{32097466-826F-4B66-B331-B9EE80110165}</b:Guid>
    <b:Author>
      <b:Author>
        <b:NameList>
          <b:Person>
            <b:Last>Garg</b:Last>
            <b:First>K.,</b:First>
          </b:Person>
          <b:Person>
            <b:Last>Dar</b:Last>
            <b:First>I.A.</b:First>
          </b:Person>
          <b:Person>
            <b:Last>Mishra</b:Last>
            <b:First>M.</b:First>
          </b:Person>
        </b:NameList>
      </b:Author>
    </b:Author>
    <b:Title>Job satisfaction and work engagement: A study using private sector bank managers. </b:Title>
    <b:JournalName>Advances in Developing Human Resources, 20(1), pp.58-71.</b:JournalName>
    <b:Year>2018</b:Year>
    <b:RefOrder>4</b:RefOrder>
  </b:Source>
  <b:Source>
    <b:Tag>Bur19</b:Tag>
    <b:SourceType>JournalArticle</b:SourceType>
    <b:Guid>{93825E65-E70F-4D2D-B086-5E279E7AD260}</b:Guid>
    <b:Author>
      <b:Author>
        <b:NameList>
          <b:Person>
            <b:Last>Burnett</b:Last>
            <b:First>J.R.</b:First>
          </b:Person>
          <b:Person>
            <b:Last>Lisk</b:Last>
            <b:First>T.C.,</b:First>
          </b:Person>
        </b:NameList>
      </b:Author>
    </b:Author>
    <b:Title>The future of employee engagement: Real-time monitoring and digital tools for engaging a workforce.</b:Title>
    <b:JournalName> International Studies of Management &amp; Organization, 49(1), pp.108-119.</b:JournalName>
    <b:Year>2019</b:Year>
    <b:RefOrder>5</b:RefOrder>
  </b:Source>
  <b:Source>
    <b:Tag>Sat21</b:Tag>
    <b:SourceType>JournalArticle</b:SourceType>
    <b:Guid>{88B48CA4-23A3-4774-AEA2-47A3C352E58E}</b:Guid>
    <b:Author>
      <b:Author>
        <b:NameList>
          <b:Person>
            <b:Last>Satata</b:Last>
            <b:First>D.B.M.,</b:First>
          </b:Person>
        </b:NameList>
      </b:Author>
    </b:Author>
    <b:Title>Employee engagement as an effort to improve work performance: literature review. Ilomata</b:Title>
    <b:JournalName>International Journal of Social Science, 2(1), pp.41-49.</b:JournalName>
    <b:Year>2021</b:Year>
    <b:RefOrder>6</b:RefOrder>
  </b:Source>
  <b:Source>
    <b:Tag>Ali21</b:Tag>
    <b:SourceType>JournalArticle</b:SourceType>
    <b:Guid>{271D70E4-8B34-49C4-8672-E4A761CC5C14}</b:Guid>
    <b:Author>
      <b:Author>
        <b:NameList>
          <b:Person>
            <b:Last>Ali</b:Last>
            <b:First>B.J.</b:First>
          </b:Person>
          <b:Person>
            <b:Last>Anwar</b:Last>
            <b:First>G.,</b:First>
          </b:Person>
        </b:NameList>
      </b:Author>
    </b:Author>
    <b:Title>Corporate Social Responsibility: The Influence of Employee Engagement on Corporate Social Responsibility. Ali, BJ, &amp; Anwar, G.(2021). Corporate Social Responsibility: The Influence of Employee Engagement on Corporate Social Responsibility. </b:Title>
    <b:JournalName> Journal of Humanities and Education Development, 3(3), pp.77-83.</b:JournalName>
    <b:Year>2021</b:Year>
    <b:RefOrder>7</b:RefOrder>
  </b:Source>
  <b:Source>
    <b:Tag>Kar211</b:Tag>
    <b:SourceType>JournalArticle</b:SourceType>
    <b:Guid>{B39058A6-95B8-4E72-974D-51F8456CBF4A}</b:Guid>
    <b:Author>
      <b:Author>
        <b:NameList>
          <b:Person>
            <b:Last>Karatepe</b:Last>
            <b:First>O.M.,</b:First>
          </b:Person>
          <b:Person>
            <b:Last>Rezapouraghdam</b:Last>
            <b:First>H.</b:First>
          </b:Person>
          <b:Person>
            <b:Last>Hassannia</b:Last>
            <b:First>R.,</b:First>
          </b:Person>
        </b:NameList>
      </b:Author>
    </b:Author>
    <b:Title>Does employee engagement mediate the influence of psychological contract breach on pro-environmental behaviors and intent to remain with the organization in the hotel industry?.</b:Title>
    <b:JournalName>Journal of Hospitality Marketing &amp; Management, 30(3), pp.326-353.</b:JournalName>
    <b:Year>2021</b:Year>
    <b:RefOrder>8</b:RefOrder>
  </b:Source>
  <b:Source>
    <b:Tag>Del21</b:Tag>
    <b:SourceType>JournalArticle</b:SourceType>
    <b:Guid>{BDB1E8EF-A062-4E35-AFA0-40CA20D5E6F1}</b:Guid>
    <b:Author>
      <b:Author>
        <b:NameList>
          <b:Person>
            <b:Last>De-la-Calle-Durán</b:Last>
            <b:First>M.C.</b:First>
          </b:Person>
          <b:Person>
            <b:Last>Rodríguez-Sánchez</b:Last>
            <b:First>J.L.,</b:First>
          </b:Person>
        </b:NameList>
      </b:Author>
    </b:Author>
    <b:Title>Employee engagement and wellbeing in times of COVID-19: a proposal of the 5Cs model. </b:Title>
    <b:JournalName>International Journal of Environmental Research and Public Health, 18(10), p.5470.</b:JournalName>
    <b:Year>2021</b:Year>
    <b:RefOrder>9</b:RefOrder>
  </b:Source>
  <b:Source>
    <b:Tag>Cha21</b:Tag>
    <b:SourceType>JournalArticle</b:SourceType>
    <b:Guid>{4A82623C-B111-4DC1-95A6-46437C42CF46}</b:Guid>
    <b:Author>
      <b:Author>
        <b:NameList>
          <b:Person>
            <b:Last>Chanana</b:Last>
            <b:First>N.,</b:First>
          </b:Person>
        </b:NameList>
      </b:Author>
    </b:Author>
    <b:Title>Employee engagement practices during COVID‐19 lockdown. </b:Title>
    <b:JournalName>Journal of public affairs, 21(4), p.e2508.</b:JournalName>
    <b:Year>2021</b:Year>
    <b:RefOrder>10</b:RefOrder>
  </b:Source>
  <b:Source>
    <b:Tag>Inn21</b:Tag>
    <b:SourceType>JournalArticle</b:SourceType>
    <b:Guid>{1CA51464-7C78-4800-BE9A-BB39451303AC}</b:Guid>
    <b:Author>
      <b:Author>
        <b:NameList>
          <b:Person>
            <b:Last>Innes</b:Last>
            <b:First>A.,</b:First>
          </b:Person>
          <b:Person>
            <b:Last>Smith</b:Last>
            <b:First>S.K.</b:First>
          </b:Person>
          <b:Person>
            <b:Last>Bushell</b:Last>
            <b:First>S.,</b:First>
          </b:Person>
        </b:NameList>
      </b:Author>
    </b:Author>
    <b:Title>Dementia friendly care: Methods to improve stakeholder engagement and decision making.</b:Title>
    <b:JournalName> Journal of Healthcare Leadership, 13, p.183.</b:JournalName>
    <b:Year>2021</b:Year>
    <b:RefOrder>11</b:RefOrder>
  </b:Source>
  <b:Source>
    <b:Tag>Zom21</b:Tag>
    <b:SourceType>JournalArticle</b:SourceType>
    <b:Guid>{E97B3E7B-0863-4286-871B-1B4C7577D86A}</b:Guid>
    <b:Author>
      <b:Author>
        <b:NameList>
          <b:Person>
            <b:Last>Zomerlei</b:Last>
            <b:First>T.,</b:First>
          </b:Person>
          <b:Person>
            <b:Last>Carraher</b:Last>
            <b:First>A.,</b:First>
          </b:Person>
          <b:Person>
            <b:Last>Chao</b:Last>
            <b:First>A.,</b:First>
          </b:Person>
          <b:Person>
            <b:Last>Vink</b:Last>
            <b:First>S.</b:First>
          </b:Person>
          <b:Person>
            <b:Last>Chandawarkar</b:Last>
            <b:First>R.</b:First>
          </b:Person>
        </b:NameList>
      </b:Author>
    </b:Author>
    <b:Title>When no news is bad news: Improving diagnostic testing communication through patient engagement.</b:Title>
    <b:JournalName>Journal of Patient Safety and Risk Management, 26(5), pp.221-224.</b:JournalName>
    <b:Year>2021</b:Year>
    <b:RefOrder>12</b:RefOrder>
  </b:Source>
  <b:Source>
    <b:Tag>Mic211</b:Tag>
    <b:SourceType>JournalArticle</b:SourceType>
    <b:Guid>{CD5E7EF5-46BE-4BD3-A20A-8A7475D1A128}</b:Guid>
    <b:Author>
      <b:Author>
        <b:NameList>
          <b:Person>
            <b:Last>Michelsen</b:Last>
            <b:First>C.,</b:First>
          </b:Person>
        </b:NameList>
      </b:Author>
    </b:Author>
    <b:Title>Empowerment for Participation: Measuring Motivation, Stress, Defense Routines and Engagement. </b:Title>
    <b:JournalName>Psychology, 12(04), p.511.</b:JournalName>
    <b:Year>2021</b:Year>
    <b:RefOrder>13</b:RefOrder>
  </b:Source>
  <b:Source>
    <b:Tag>Ari21</b:Tag>
    <b:SourceType>JournalArticle</b:SourceType>
    <b:Guid>{8EBF05B8-722E-452B-8382-B51A6A680E94}</b:Guid>
    <b:Author>
      <b:Author>
        <b:NameList>
          <b:Person>
            <b:Last>Ariyanto</b:Last>
            <b:First>R.</b:First>
          </b:Person>
          <b:Person>
            <b:Last>Kustini</b:Last>
            <b:First>K.,</b:First>
          </b:Person>
        </b:NameList>
      </b:Author>
    </b:Author>
    <b:Title>Employer branding and employee value proposition: The key success of startup companies in attracting potential employee candidates.</b:Title>
    <b:JournalName>Annals of Human Resource Management Research, 1(2), pp.113-125.</b:JournalName>
    <b:Year>2021</b:Year>
    <b:RefOrder>14</b:RefOrder>
  </b:Source>
  <b:Source>
    <b:Tag>Hus22</b:Tag>
    <b:SourceType>JournalArticle</b:SourceType>
    <b:Guid>{E79C4DCE-52C1-4FB0-B4A8-30602EEEC6FA}</b:Guid>
    <b:Author>
      <b:Author>
        <b:NameList>
          <b:Person>
            <b:Last>Hussein</b:Last>
            <b:First>A.M.,</b:First>
          </b:Person>
          <b:Person>
            <b:Last>Al-Jubori</b:Last>
            <b:First>I.A.M.</b:First>
          </b:Person>
          <b:Person>
            <b:Last>Mahdi</b:Last>
            <b:First>A.A.K.</b:First>
          </b:Person>
        </b:NameList>
      </b:Author>
    </b:Author>
    <b:Title> The Mediating Role of Organizational Reputation in Promoting the impact of Employee Value Proposition on Organizational Commitment. </b:Title>
    <b:JournalName> Webology, 19(1).</b:JournalName>
    <b:Year>2022</b:Year>
    <b:RefOrder>15</b:RefOrder>
  </b:Source>
  <b:Source>
    <b:Tag>Ani21</b:Tag>
    <b:SourceType>JournalArticle</b:SourceType>
    <b:Guid>{BAFC319E-6AC7-4987-876C-878E261346C3}</b:Guid>
    <b:Author>
      <b:Author>
        <b:NameList>
          <b:Person>
            <b:Last>Anita</b:Last>
            <b:First>T.L.,</b:First>
          </b:Person>
          <b:Person>
            <b:Last>Kusumo</b:Last>
            <b:First>E.</b:First>
          </b:Person>
          <b:Person>
            <b:Last>Anggiani</b:Last>
            <b:First>S.,</b:First>
          </b:Person>
        </b:NameList>
      </b:Author>
    </b:Author>
    <b:Title>Impact of Employee Value Proposition on Hotel’s Employee</b:Title>
    <b:JournalName>Jurnal Bisnis dan Manajemen, 8(2), pp.197-201.</b:JournalName>
    <b:Year>2021</b:Year>
    <b:RefOrder>16</b:RefOrder>
  </b:Source>
  <b:Source>
    <b:Tag>Thi21</b:Tag>
    <b:SourceType>JournalArticle</b:SourceType>
    <b:Guid>{8FEB41A1-A94E-4EE9-9DDB-FA66441AEA28}</b:Guid>
    <b:Author>
      <b:Author>
        <b:NameList>
          <b:Person>
            <b:Last>Thiensiri</b:Last>
            <b:First>P.,</b:First>
          </b:Person>
        </b:NameList>
      </b:Author>
    </b:Author>
    <b:Title>Vital role of leader as employee value proposition for employee engagement in Thai perspective.</b:Title>
    <b:JournalName>Kasetsart Journal of Social Sciences, 42(3), pp.489-494.</b:JournalName>
    <b:Year>2021</b:Year>
    <b:RefOrder>17</b:RefOrder>
  </b:Source>
</b:Sources>
</file>

<file path=customXml/itemProps1.xml><?xml version="1.0" encoding="utf-8"?>
<ds:datastoreItem xmlns:ds="http://schemas.openxmlformats.org/officeDocument/2006/customXml" ds:itemID="{A634C9C2-318A-4349-9555-E8360FFBF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Application>LibreOffice/7.1.2.2$Windows_X86_64 LibreOffice_project/8a45595d069ef5570103caea1b71cc9d82b2aae4</Application>
  <AppVersion>15.0000</AppVersion>
  <Pages>13</Pages>
  <Words>2557</Words>
  <Characters>14584</Characters>
  <CharactersWithSpaces>17281</CharactersWithSpaces>
  <Paragraphs>95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NABEEL USAMANI</dc:creator>
  <dc:description/>
  <dc:language>en-US</dc:language>
  <cp:lastModifiedBy/>
  <dcterms:modified xsi:type="dcterms:W3CDTF">2022-05-09T12:58:15Z</dcterms:modified>
  <cp:revision>4</cp:revision>
  <dc:subject/>
  <dc:title/>
</cp:coreProperties>
</file>

<file path=docProps/custom.xml><?xml version="1.0" encoding="utf-8"?>
<Properties xmlns="http://schemas.openxmlformats.org/officeDocument/2006/custom-properties" xmlns:vt="http://schemas.openxmlformats.org/officeDocument/2006/docPropsVTypes"/>
</file>