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D35F4" w14:textId="77777777" w:rsidR="004E6750" w:rsidRDefault="004E6750" w:rsidP="004E6750">
      <w:pPr>
        <w:spacing w:line="360" w:lineRule="auto"/>
        <w:jc w:val="both"/>
        <w:rPr>
          <w:rFonts w:ascii="Arial" w:hAnsi="Arial" w:cs="Arial"/>
          <w:sz w:val="22"/>
          <w:szCs w:val="22"/>
        </w:rPr>
      </w:pPr>
      <w:r w:rsidRPr="00F76790">
        <w:rPr>
          <w:rFonts w:ascii="Arial" w:hAnsi="Arial" w:cs="Arial"/>
          <w:noProof/>
          <w:sz w:val="22"/>
          <w:szCs w:val="22"/>
        </w:rPr>
        <w:drawing>
          <wp:anchor distT="0" distB="0" distL="114300" distR="114300" simplePos="0" relativeHeight="251659264" behindDoc="1" locked="0" layoutInCell="1" allowOverlap="1" wp14:anchorId="63D10580" wp14:editId="64CCE267">
            <wp:simplePos x="0" y="0"/>
            <wp:positionH relativeFrom="column">
              <wp:posOffset>-536028</wp:posOffset>
            </wp:positionH>
            <wp:positionV relativeFrom="paragraph">
              <wp:posOffset>-547</wp:posOffset>
            </wp:positionV>
            <wp:extent cx="3830955" cy="1597025"/>
            <wp:effectExtent l="0" t="0" r="4445" b="3175"/>
            <wp:wrapTight wrapText="bothSides">
              <wp:wrapPolygon edited="0">
                <wp:start x="0" y="0"/>
                <wp:lineTo x="0" y="21471"/>
                <wp:lineTo x="21553" y="21471"/>
                <wp:lineTo x="21553" y="0"/>
                <wp:lineTo x="0" y="0"/>
              </wp:wrapPolygon>
            </wp:wrapTight>
            <wp:docPr id="1" name="Picture 1"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ont, logo, symbo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30955" cy="1597025"/>
                    </a:xfrm>
                    <a:prstGeom prst="rect">
                      <a:avLst/>
                    </a:prstGeom>
                  </pic:spPr>
                </pic:pic>
              </a:graphicData>
            </a:graphic>
            <wp14:sizeRelH relativeFrom="page">
              <wp14:pctWidth>0</wp14:pctWidth>
            </wp14:sizeRelH>
            <wp14:sizeRelV relativeFrom="page">
              <wp14:pctHeight>0</wp14:pctHeight>
            </wp14:sizeRelV>
          </wp:anchor>
        </w:drawing>
      </w:r>
    </w:p>
    <w:p w14:paraId="14ABCC4D" w14:textId="77777777" w:rsidR="004E6750" w:rsidRDefault="004E6750" w:rsidP="004E6750">
      <w:pPr>
        <w:spacing w:line="360" w:lineRule="auto"/>
        <w:jc w:val="both"/>
        <w:rPr>
          <w:rFonts w:ascii="Arial" w:hAnsi="Arial" w:cs="Arial"/>
          <w:sz w:val="22"/>
          <w:szCs w:val="22"/>
        </w:rPr>
      </w:pPr>
    </w:p>
    <w:p w14:paraId="1DC966CA" w14:textId="77777777" w:rsidR="004E6750" w:rsidRDefault="004E6750" w:rsidP="004E6750">
      <w:pPr>
        <w:spacing w:line="360" w:lineRule="auto"/>
        <w:jc w:val="both"/>
        <w:rPr>
          <w:rFonts w:ascii="Arial" w:hAnsi="Arial" w:cs="Arial"/>
          <w:sz w:val="22"/>
          <w:szCs w:val="22"/>
        </w:rPr>
      </w:pPr>
    </w:p>
    <w:p w14:paraId="52790B6E" w14:textId="77777777" w:rsidR="004E6750" w:rsidRDefault="004E6750" w:rsidP="004E6750">
      <w:pPr>
        <w:spacing w:line="360" w:lineRule="auto"/>
        <w:jc w:val="both"/>
        <w:rPr>
          <w:rFonts w:ascii="Arial" w:hAnsi="Arial" w:cs="Arial"/>
          <w:sz w:val="22"/>
          <w:szCs w:val="22"/>
        </w:rPr>
      </w:pPr>
    </w:p>
    <w:p w14:paraId="08B84FB5" w14:textId="77777777" w:rsidR="004E6750" w:rsidRPr="00F76790" w:rsidRDefault="004E6750" w:rsidP="004E6750">
      <w:pPr>
        <w:spacing w:line="480" w:lineRule="auto"/>
        <w:jc w:val="center"/>
        <w:rPr>
          <w:rFonts w:ascii="Arial" w:hAnsi="Arial" w:cs="Arial"/>
          <w:b/>
          <w:bCs/>
          <w:sz w:val="32"/>
          <w:szCs w:val="32"/>
        </w:rPr>
      </w:pPr>
    </w:p>
    <w:p w14:paraId="21D696F1" w14:textId="77777777" w:rsidR="004E6750" w:rsidRDefault="004E6750" w:rsidP="004E6750">
      <w:pPr>
        <w:spacing w:line="480" w:lineRule="auto"/>
        <w:jc w:val="center"/>
        <w:rPr>
          <w:rFonts w:ascii="Arial" w:hAnsi="Arial" w:cs="Arial"/>
          <w:b/>
          <w:bCs/>
          <w:sz w:val="32"/>
          <w:szCs w:val="32"/>
        </w:rPr>
      </w:pPr>
    </w:p>
    <w:p w14:paraId="40695A44" w14:textId="77777777" w:rsidR="004E6750" w:rsidRDefault="004E6750" w:rsidP="004E6750">
      <w:pPr>
        <w:spacing w:line="480" w:lineRule="auto"/>
        <w:jc w:val="center"/>
        <w:rPr>
          <w:rFonts w:ascii="Arial" w:hAnsi="Arial" w:cs="Arial"/>
          <w:b/>
          <w:bCs/>
          <w:sz w:val="32"/>
          <w:szCs w:val="32"/>
        </w:rPr>
      </w:pPr>
    </w:p>
    <w:p w14:paraId="24B8BDD1" w14:textId="77777777" w:rsidR="004E6750" w:rsidRPr="00F76790" w:rsidRDefault="004E6750" w:rsidP="004E6750">
      <w:pPr>
        <w:spacing w:line="480" w:lineRule="auto"/>
        <w:jc w:val="center"/>
        <w:rPr>
          <w:rFonts w:ascii="Arial" w:hAnsi="Arial" w:cs="Arial"/>
          <w:b/>
          <w:bCs/>
          <w:sz w:val="32"/>
          <w:szCs w:val="32"/>
        </w:rPr>
      </w:pPr>
      <w:r w:rsidRPr="00F76790">
        <w:rPr>
          <w:rFonts w:ascii="Arial" w:hAnsi="Arial" w:cs="Arial"/>
          <w:b/>
          <w:bCs/>
          <w:sz w:val="32"/>
          <w:szCs w:val="32"/>
        </w:rPr>
        <w:t>Student Name:</w:t>
      </w:r>
      <w:r>
        <w:rPr>
          <w:rFonts w:ascii="Arial" w:hAnsi="Arial" w:cs="Arial"/>
          <w:b/>
          <w:bCs/>
          <w:sz w:val="32"/>
          <w:szCs w:val="32"/>
        </w:rPr>
        <w:t xml:space="preserve"> </w:t>
      </w:r>
      <w:r w:rsidRPr="002D49E3">
        <w:rPr>
          <w:rFonts w:ascii="Arial" w:hAnsi="Arial" w:cs="Arial"/>
          <w:sz w:val="32"/>
          <w:szCs w:val="32"/>
        </w:rPr>
        <w:t>Andreea</w:t>
      </w:r>
      <w:r>
        <w:rPr>
          <w:rFonts w:ascii="Arial" w:hAnsi="Arial" w:cs="Arial"/>
          <w:b/>
          <w:bCs/>
          <w:sz w:val="32"/>
          <w:szCs w:val="32"/>
        </w:rPr>
        <w:t xml:space="preserve"> </w:t>
      </w:r>
      <w:r w:rsidRPr="002D49E3">
        <w:rPr>
          <w:rFonts w:ascii="Arial" w:hAnsi="Arial" w:cs="Arial"/>
          <w:sz w:val="32"/>
          <w:szCs w:val="32"/>
        </w:rPr>
        <w:t>Tamba</w:t>
      </w:r>
      <w:r>
        <w:rPr>
          <w:rFonts w:ascii="Arial" w:hAnsi="Arial" w:cs="Arial"/>
          <w:b/>
          <w:bCs/>
          <w:sz w:val="32"/>
          <w:szCs w:val="32"/>
        </w:rPr>
        <w:t xml:space="preserve"> </w:t>
      </w:r>
    </w:p>
    <w:p w14:paraId="5E56CFF8" w14:textId="5C04B97E" w:rsidR="004E6750" w:rsidRPr="00F76790" w:rsidRDefault="004E6750" w:rsidP="004E6750">
      <w:pPr>
        <w:spacing w:line="480" w:lineRule="auto"/>
        <w:jc w:val="center"/>
        <w:rPr>
          <w:rFonts w:ascii="Arial" w:hAnsi="Arial" w:cs="Arial"/>
          <w:b/>
          <w:bCs/>
          <w:sz w:val="32"/>
          <w:szCs w:val="32"/>
        </w:rPr>
      </w:pPr>
      <w:r w:rsidRPr="00F76790">
        <w:rPr>
          <w:rFonts w:ascii="Arial" w:hAnsi="Arial" w:cs="Arial"/>
          <w:b/>
          <w:bCs/>
          <w:sz w:val="32"/>
          <w:szCs w:val="32"/>
        </w:rPr>
        <w:t>Student ID:</w:t>
      </w:r>
      <w:r w:rsidR="007E1D88">
        <w:rPr>
          <w:rFonts w:ascii="Arial" w:hAnsi="Arial" w:cs="Arial"/>
          <w:b/>
          <w:bCs/>
          <w:sz w:val="32"/>
          <w:szCs w:val="32"/>
        </w:rPr>
        <w:t>2112920</w:t>
      </w:r>
    </w:p>
    <w:p w14:paraId="43753D27" w14:textId="6E7C6E32" w:rsidR="004E6750" w:rsidRDefault="004E6750" w:rsidP="004E6750">
      <w:pPr>
        <w:spacing w:line="480" w:lineRule="auto"/>
        <w:jc w:val="center"/>
        <w:rPr>
          <w:rFonts w:ascii="Arial" w:hAnsi="Arial" w:cs="Arial"/>
          <w:sz w:val="32"/>
          <w:szCs w:val="32"/>
        </w:rPr>
      </w:pPr>
      <w:r w:rsidRPr="00F76790">
        <w:rPr>
          <w:rFonts w:ascii="Arial" w:hAnsi="Arial" w:cs="Arial"/>
          <w:b/>
          <w:bCs/>
          <w:sz w:val="32"/>
          <w:szCs w:val="32"/>
        </w:rPr>
        <w:t>Module Name:</w:t>
      </w:r>
      <w:r>
        <w:rPr>
          <w:rFonts w:ascii="Arial" w:hAnsi="Arial" w:cs="Arial"/>
          <w:b/>
          <w:bCs/>
          <w:sz w:val="32"/>
          <w:szCs w:val="32"/>
        </w:rPr>
        <w:t xml:space="preserve"> </w:t>
      </w:r>
      <w:r w:rsidRPr="002D49E3">
        <w:rPr>
          <w:rFonts w:ascii="Arial" w:hAnsi="Arial" w:cs="Arial"/>
          <w:sz w:val="32"/>
          <w:szCs w:val="32"/>
        </w:rPr>
        <w:t>Community</w:t>
      </w:r>
      <w:r>
        <w:rPr>
          <w:rFonts w:ascii="Arial" w:hAnsi="Arial" w:cs="Arial"/>
          <w:b/>
          <w:bCs/>
          <w:sz w:val="32"/>
          <w:szCs w:val="32"/>
        </w:rPr>
        <w:t xml:space="preserve"> </w:t>
      </w:r>
      <w:r w:rsidRPr="002D49E3">
        <w:rPr>
          <w:rFonts w:ascii="Arial" w:hAnsi="Arial" w:cs="Arial"/>
          <w:sz w:val="32"/>
          <w:szCs w:val="32"/>
        </w:rPr>
        <w:t>Engagement</w:t>
      </w:r>
    </w:p>
    <w:p w14:paraId="369C68C1" w14:textId="296B7FDE" w:rsidR="007F142E" w:rsidRDefault="007F142E" w:rsidP="004E6750">
      <w:pPr>
        <w:spacing w:line="480" w:lineRule="auto"/>
        <w:jc w:val="center"/>
        <w:rPr>
          <w:rFonts w:ascii="Arial" w:hAnsi="Arial" w:cs="Arial"/>
          <w:sz w:val="32"/>
          <w:szCs w:val="32"/>
        </w:rPr>
      </w:pPr>
    </w:p>
    <w:p w14:paraId="1C1533A1" w14:textId="24D75E6B" w:rsidR="007F142E" w:rsidRPr="00F76790" w:rsidRDefault="007F142E" w:rsidP="004E6750">
      <w:pPr>
        <w:spacing w:line="480" w:lineRule="auto"/>
        <w:jc w:val="center"/>
        <w:rPr>
          <w:rFonts w:ascii="Arial" w:hAnsi="Arial" w:cs="Arial"/>
          <w:b/>
          <w:bCs/>
          <w:sz w:val="32"/>
          <w:szCs w:val="32"/>
        </w:rPr>
      </w:pPr>
      <w:r>
        <w:rPr>
          <w:rFonts w:ascii="Arial" w:hAnsi="Arial" w:cs="Arial"/>
          <w:sz w:val="32"/>
          <w:szCs w:val="32"/>
        </w:rPr>
        <w:t>Assignment Two</w:t>
      </w:r>
    </w:p>
    <w:p w14:paraId="03B7D5C4" w14:textId="77777777" w:rsidR="004E6750" w:rsidRPr="00F76790" w:rsidRDefault="004E6750" w:rsidP="004E6750">
      <w:pPr>
        <w:spacing w:line="480" w:lineRule="auto"/>
        <w:jc w:val="center"/>
        <w:rPr>
          <w:rFonts w:ascii="Arial" w:hAnsi="Arial" w:cs="Arial"/>
          <w:b/>
          <w:bCs/>
          <w:sz w:val="32"/>
          <w:szCs w:val="32"/>
        </w:rPr>
      </w:pPr>
    </w:p>
    <w:p w14:paraId="3E907674" w14:textId="77777777" w:rsidR="004E6750" w:rsidRPr="00F76790" w:rsidRDefault="004E6750" w:rsidP="004E6750">
      <w:pPr>
        <w:spacing w:line="480" w:lineRule="auto"/>
        <w:jc w:val="center"/>
        <w:rPr>
          <w:rFonts w:ascii="Arial" w:hAnsi="Arial" w:cs="Arial"/>
          <w:b/>
          <w:bCs/>
          <w:sz w:val="32"/>
          <w:szCs w:val="32"/>
        </w:rPr>
      </w:pPr>
    </w:p>
    <w:p w14:paraId="471D0719" w14:textId="77777777" w:rsidR="004E6750" w:rsidRPr="00F76790" w:rsidRDefault="004E6750" w:rsidP="004E6750">
      <w:pPr>
        <w:spacing w:line="480" w:lineRule="auto"/>
        <w:jc w:val="center"/>
        <w:rPr>
          <w:rFonts w:ascii="Arial" w:hAnsi="Arial" w:cs="Arial"/>
          <w:b/>
          <w:bCs/>
          <w:sz w:val="32"/>
          <w:szCs w:val="32"/>
        </w:rPr>
      </w:pPr>
    </w:p>
    <w:p w14:paraId="11DEFDF9" w14:textId="231680A2" w:rsidR="00C306F2" w:rsidRDefault="00C306F2" w:rsidP="00C306F2">
      <w:pPr>
        <w:spacing w:line="360" w:lineRule="auto"/>
        <w:jc w:val="both"/>
        <w:rPr>
          <w:rFonts w:ascii="Arial" w:hAnsi="Arial" w:cs="Arial"/>
          <w:b/>
          <w:bCs/>
          <w:sz w:val="32"/>
          <w:szCs w:val="32"/>
        </w:rPr>
      </w:pPr>
    </w:p>
    <w:p w14:paraId="315179F4" w14:textId="1DC05AD6" w:rsidR="004E6750" w:rsidRDefault="004E6750" w:rsidP="00C306F2">
      <w:pPr>
        <w:spacing w:line="360" w:lineRule="auto"/>
        <w:jc w:val="both"/>
        <w:rPr>
          <w:rFonts w:ascii="Arial" w:hAnsi="Arial" w:cs="Arial"/>
          <w:b/>
          <w:bCs/>
          <w:sz w:val="32"/>
          <w:szCs w:val="32"/>
        </w:rPr>
      </w:pPr>
    </w:p>
    <w:p w14:paraId="77698B5F" w14:textId="2714AE3B" w:rsidR="004E6750" w:rsidRDefault="004E6750" w:rsidP="00C306F2">
      <w:pPr>
        <w:spacing w:line="360" w:lineRule="auto"/>
        <w:jc w:val="both"/>
        <w:rPr>
          <w:rFonts w:ascii="Arial" w:hAnsi="Arial" w:cs="Arial"/>
          <w:b/>
          <w:bCs/>
          <w:sz w:val="32"/>
          <w:szCs w:val="32"/>
        </w:rPr>
      </w:pPr>
    </w:p>
    <w:p w14:paraId="5F6CC481" w14:textId="6ABB761B" w:rsidR="004E6750" w:rsidRDefault="004E6750" w:rsidP="00C306F2">
      <w:pPr>
        <w:spacing w:line="360" w:lineRule="auto"/>
        <w:jc w:val="both"/>
        <w:rPr>
          <w:rFonts w:ascii="Arial" w:hAnsi="Arial" w:cs="Arial"/>
          <w:b/>
          <w:bCs/>
          <w:sz w:val="32"/>
          <w:szCs w:val="32"/>
        </w:rPr>
      </w:pPr>
    </w:p>
    <w:p w14:paraId="34AEE391" w14:textId="345D11E2" w:rsidR="004E6750" w:rsidRDefault="004E6750" w:rsidP="00C306F2">
      <w:pPr>
        <w:spacing w:line="360" w:lineRule="auto"/>
        <w:jc w:val="both"/>
        <w:rPr>
          <w:rFonts w:ascii="Arial" w:hAnsi="Arial" w:cs="Arial"/>
          <w:b/>
          <w:bCs/>
          <w:sz w:val="32"/>
          <w:szCs w:val="32"/>
        </w:rPr>
      </w:pPr>
    </w:p>
    <w:p w14:paraId="7183EDA1" w14:textId="6D403438" w:rsidR="004E6750" w:rsidRDefault="004E6750" w:rsidP="00C306F2">
      <w:pPr>
        <w:spacing w:line="360" w:lineRule="auto"/>
        <w:jc w:val="both"/>
        <w:rPr>
          <w:rFonts w:ascii="Arial" w:hAnsi="Arial" w:cs="Arial"/>
          <w:b/>
          <w:bCs/>
          <w:sz w:val="32"/>
          <w:szCs w:val="32"/>
        </w:rPr>
      </w:pPr>
    </w:p>
    <w:p w14:paraId="53203690" w14:textId="15DA13A6" w:rsidR="004E6750" w:rsidRDefault="004E6750" w:rsidP="00C306F2">
      <w:pPr>
        <w:spacing w:line="360" w:lineRule="auto"/>
        <w:jc w:val="both"/>
        <w:rPr>
          <w:rFonts w:ascii="Arial" w:hAnsi="Arial" w:cs="Arial"/>
          <w:b/>
          <w:bCs/>
          <w:sz w:val="32"/>
          <w:szCs w:val="32"/>
        </w:rPr>
      </w:pPr>
    </w:p>
    <w:p w14:paraId="6A3078E8" w14:textId="609B3F8F" w:rsidR="004E6750" w:rsidRDefault="004E6750" w:rsidP="00C306F2">
      <w:pPr>
        <w:spacing w:line="360" w:lineRule="auto"/>
        <w:jc w:val="both"/>
        <w:rPr>
          <w:rFonts w:ascii="Arial" w:hAnsi="Arial" w:cs="Arial"/>
          <w:b/>
          <w:bCs/>
          <w:sz w:val="32"/>
          <w:szCs w:val="32"/>
        </w:rPr>
      </w:pPr>
    </w:p>
    <w:p w14:paraId="3EE244A4" w14:textId="09700C71" w:rsidR="004E6750" w:rsidRDefault="004E6750" w:rsidP="00C306F2">
      <w:pPr>
        <w:spacing w:line="360" w:lineRule="auto"/>
        <w:jc w:val="both"/>
        <w:rPr>
          <w:rFonts w:ascii="Arial" w:hAnsi="Arial" w:cs="Arial"/>
          <w:b/>
          <w:bCs/>
          <w:sz w:val="32"/>
          <w:szCs w:val="32"/>
        </w:rPr>
      </w:pPr>
    </w:p>
    <w:p w14:paraId="2A99FBC1" w14:textId="705BF77F" w:rsidR="004E6750" w:rsidRDefault="004E6750" w:rsidP="00C306F2">
      <w:pPr>
        <w:spacing w:line="360" w:lineRule="auto"/>
        <w:jc w:val="both"/>
        <w:rPr>
          <w:rFonts w:ascii="Arial" w:hAnsi="Arial" w:cs="Arial"/>
          <w:b/>
          <w:bCs/>
          <w:sz w:val="32"/>
          <w:szCs w:val="32"/>
        </w:rPr>
      </w:pPr>
    </w:p>
    <w:p w14:paraId="1332C1EB" w14:textId="1D4614BD" w:rsidR="004E6750" w:rsidRDefault="004E6750" w:rsidP="00C306F2">
      <w:pPr>
        <w:spacing w:line="360" w:lineRule="auto"/>
        <w:jc w:val="both"/>
        <w:rPr>
          <w:rFonts w:ascii="Arial" w:hAnsi="Arial" w:cs="Arial"/>
          <w:b/>
          <w:bCs/>
          <w:sz w:val="32"/>
          <w:szCs w:val="32"/>
        </w:rPr>
      </w:pPr>
    </w:p>
    <w:p w14:paraId="24964B43" w14:textId="34D21073" w:rsidR="004E6750" w:rsidRDefault="004E6750" w:rsidP="00C306F2">
      <w:pPr>
        <w:spacing w:line="360" w:lineRule="auto"/>
        <w:jc w:val="both"/>
        <w:rPr>
          <w:rFonts w:ascii="Arial" w:hAnsi="Arial" w:cs="Arial"/>
          <w:b/>
          <w:bCs/>
          <w:sz w:val="32"/>
          <w:szCs w:val="32"/>
        </w:rPr>
      </w:pPr>
    </w:p>
    <w:sdt>
      <w:sdtPr>
        <w:rPr>
          <w:rFonts w:asciiTheme="minorHAnsi" w:eastAsiaTheme="minorHAnsi" w:hAnsiTheme="minorHAnsi" w:cstheme="minorBidi"/>
          <w:b w:val="0"/>
          <w:bCs w:val="0"/>
          <w:color w:val="auto"/>
          <w:sz w:val="24"/>
          <w:szCs w:val="24"/>
          <w:lang w:val="en-GB"/>
        </w:rPr>
        <w:id w:val="-1556625977"/>
        <w:docPartObj>
          <w:docPartGallery w:val="Table of Contents"/>
          <w:docPartUnique/>
        </w:docPartObj>
      </w:sdtPr>
      <w:sdtEndPr>
        <w:rPr>
          <w:noProof/>
        </w:rPr>
      </w:sdtEndPr>
      <w:sdtContent>
        <w:p w14:paraId="4E8E4C62" w14:textId="77820236" w:rsidR="004E6750" w:rsidRDefault="004E6750">
          <w:pPr>
            <w:pStyle w:val="Titlucuprins"/>
          </w:pPr>
          <w:r>
            <w:t>Table of Contents</w:t>
          </w:r>
        </w:p>
        <w:p w14:paraId="1659A45E" w14:textId="6877593E" w:rsidR="004E6750" w:rsidRDefault="004E6750">
          <w:pPr>
            <w:pStyle w:val="Cuprins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40702774" w:history="1">
            <w:r w:rsidRPr="00BF2058">
              <w:rPr>
                <w:rStyle w:val="Hyperlink"/>
                <w:noProof/>
              </w:rPr>
              <w:t>Introduction</w:t>
            </w:r>
            <w:r>
              <w:rPr>
                <w:noProof/>
                <w:webHidden/>
              </w:rPr>
              <w:tab/>
            </w:r>
            <w:r>
              <w:rPr>
                <w:noProof/>
                <w:webHidden/>
              </w:rPr>
              <w:fldChar w:fldCharType="begin"/>
            </w:r>
            <w:r>
              <w:rPr>
                <w:noProof/>
                <w:webHidden/>
              </w:rPr>
              <w:instrText xml:space="preserve"> PAGEREF _Toc140702774 \h </w:instrText>
            </w:r>
            <w:r>
              <w:rPr>
                <w:noProof/>
                <w:webHidden/>
              </w:rPr>
            </w:r>
            <w:r>
              <w:rPr>
                <w:noProof/>
                <w:webHidden/>
              </w:rPr>
              <w:fldChar w:fldCharType="separate"/>
            </w:r>
            <w:r>
              <w:rPr>
                <w:noProof/>
                <w:webHidden/>
              </w:rPr>
              <w:t>2</w:t>
            </w:r>
            <w:r>
              <w:rPr>
                <w:noProof/>
                <w:webHidden/>
              </w:rPr>
              <w:fldChar w:fldCharType="end"/>
            </w:r>
          </w:hyperlink>
        </w:p>
        <w:p w14:paraId="08036FE9" w14:textId="64E514E7" w:rsidR="004E6750" w:rsidRDefault="007E1D88">
          <w:pPr>
            <w:pStyle w:val="Cuprins1"/>
            <w:tabs>
              <w:tab w:val="right" w:leader="dot" w:pos="9016"/>
            </w:tabs>
            <w:rPr>
              <w:noProof/>
            </w:rPr>
          </w:pPr>
          <w:hyperlink w:anchor="_Toc140702775" w:history="1">
            <w:r w:rsidR="004E6750" w:rsidRPr="00BF2058">
              <w:rPr>
                <w:rStyle w:val="Hyperlink"/>
                <w:noProof/>
              </w:rPr>
              <w:t>Effective Principles for Community Engagement</w:t>
            </w:r>
            <w:r w:rsidR="004E6750">
              <w:rPr>
                <w:noProof/>
                <w:webHidden/>
              </w:rPr>
              <w:tab/>
            </w:r>
            <w:r w:rsidR="004E6750">
              <w:rPr>
                <w:noProof/>
                <w:webHidden/>
              </w:rPr>
              <w:fldChar w:fldCharType="begin"/>
            </w:r>
            <w:r w:rsidR="004E6750">
              <w:rPr>
                <w:noProof/>
                <w:webHidden/>
              </w:rPr>
              <w:instrText xml:space="preserve"> PAGEREF _Toc140702775 \h </w:instrText>
            </w:r>
            <w:r w:rsidR="004E6750">
              <w:rPr>
                <w:noProof/>
                <w:webHidden/>
              </w:rPr>
            </w:r>
            <w:r w:rsidR="004E6750">
              <w:rPr>
                <w:noProof/>
                <w:webHidden/>
              </w:rPr>
              <w:fldChar w:fldCharType="separate"/>
            </w:r>
            <w:r w:rsidR="004E6750">
              <w:rPr>
                <w:noProof/>
                <w:webHidden/>
              </w:rPr>
              <w:t>2</w:t>
            </w:r>
            <w:r w:rsidR="004E6750">
              <w:rPr>
                <w:noProof/>
                <w:webHidden/>
              </w:rPr>
              <w:fldChar w:fldCharType="end"/>
            </w:r>
          </w:hyperlink>
        </w:p>
        <w:p w14:paraId="06E8F53F" w14:textId="1349050A" w:rsidR="004E6750" w:rsidRDefault="007E1D88">
          <w:pPr>
            <w:pStyle w:val="Cuprins1"/>
            <w:tabs>
              <w:tab w:val="right" w:leader="dot" w:pos="9016"/>
            </w:tabs>
            <w:rPr>
              <w:noProof/>
            </w:rPr>
          </w:pPr>
          <w:hyperlink w:anchor="_Toc140702776" w:history="1">
            <w:r w:rsidR="004E6750" w:rsidRPr="00BF2058">
              <w:rPr>
                <w:rStyle w:val="Hyperlink"/>
                <w:noProof/>
              </w:rPr>
              <w:t>Design Process and Approach</w:t>
            </w:r>
            <w:r w:rsidR="004E6750">
              <w:rPr>
                <w:noProof/>
                <w:webHidden/>
              </w:rPr>
              <w:tab/>
            </w:r>
            <w:r w:rsidR="004E6750">
              <w:rPr>
                <w:noProof/>
                <w:webHidden/>
              </w:rPr>
              <w:fldChar w:fldCharType="begin"/>
            </w:r>
            <w:r w:rsidR="004E6750">
              <w:rPr>
                <w:noProof/>
                <w:webHidden/>
              </w:rPr>
              <w:instrText xml:space="preserve"> PAGEREF _Toc140702776 \h </w:instrText>
            </w:r>
            <w:r w:rsidR="004E6750">
              <w:rPr>
                <w:noProof/>
                <w:webHidden/>
              </w:rPr>
            </w:r>
            <w:r w:rsidR="004E6750">
              <w:rPr>
                <w:noProof/>
                <w:webHidden/>
              </w:rPr>
              <w:fldChar w:fldCharType="separate"/>
            </w:r>
            <w:r w:rsidR="004E6750">
              <w:rPr>
                <w:noProof/>
                <w:webHidden/>
              </w:rPr>
              <w:t>3</w:t>
            </w:r>
            <w:r w:rsidR="004E6750">
              <w:rPr>
                <w:noProof/>
                <w:webHidden/>
              </w:rPr>
              <w:fldChar w:fldCharType="end"/>
            </w:r>
          </w:hyperlink>
        </w:p>
        <w:p w14:paraId="32151CD2" w14:textId="706FB9E6" w:rsidR="004E6750" w:rsidRDefault="007E1D88">
          <w:pPr>
            <w:pStyle w:val="Cuprins1"/>
            <w:tabs>
              <w:tab w:val="right" w:leader="dot" w:pos="9016"/>
            </w:tabs>
            <w:rPr>
              <w:noProof/>
            </w:rPr>
          </w:pPr>
          <w:hyperlink w:anchor="_Toc140702777" w:history="1">
            <w:r w:rsidR="004E6750" w:rsidRPr="00BF2058">
              <w:rPr>
                <w:rStyle w:val="Hyperlink"/>
                <w:noProof/>
              </w:rPr>
              <w:t>Standards and Evaluation Methods</w:t>
            </w:r>
            <w:r w:rsidR="004E6750">
              <w:rPr>
                <w:noProof/>
                <w:webHidden/>
              </w:rPr>
              <w:tab/>
            </w:r>
            <w:r w:rsidR="004E6750">
              <w:rPr>
                <w:noProof/>
                <w:webHidden/>
              </w:rPr>
              <w:fldChar w:fldCharType="begin"/>
            </w:r>
            <w:r w:rsidR="004E6750">
              <w:rPr>
                <w:noProof/>
                <w:webHidden/>
              </w:rPr>
              <w:instrText xml:space="preserve"> PAGEREF _Toc140702777 \h </w:instrText>
            </w:r>
            <w:r w:rsidR="004E6750">
              <w:rPr>
                <w:noProof/>
                <w:webHidden/>
              </w:rPr>
            </w:r>
            <w:r w:rsidR="004E6750">
              <w:rPr>
                <w:noProof/>
                <w:webHidden/>
              </w:rPr>
              <w:fldChar w:fldCharType="separate"/>
            </w:r>
            <w:r w:rsidR="004E6750">
              <w:rPr>
                <w:noProof/>
                <w:webHidden/>
              </w:rPr>
              <w:t>3</w:t>
            </w:r>
            <w:r w:rsidR="004E6750">
              <w:rPr>
                <w:noProof/>
                <w:webHidden/>
              </w:rPr>
              <w:fldChar w:fldCharType="end"/>
            </w:r>
          </w:hyperlink>
        </w:p>
        <w:p w14:paraId="6EFF8133" w14:textId="43D7EFF1" w:rsidR="004E6750" w:rsidRDefault="007E1D88">
          <w:pPr>
            <w:pStyle w:val="Cuprins1"/>
            <w:tabs>
              <w:tab w:val="right" w:leader="dot" w:pos="9016"/>
            </w:tabs>
            <w:rPr>
              <w:noProof/>
            </w:rPr>
          </w:pPr>
          <w:hyperlink w:anchor="_Toc140702778" w:history="1">
            <w:r w:rsidR="004E6750" w:rsidRPr="00BF2058">
              <w:rPr>
                <w:rStyle w:val="Hyperlink"/>
                <w:noProof/>
              </w:rPr>
              <w:t>Applying the Learned Concepts into potential future projects</w:t>
            </w:r>
            <w:r w:rsidR="004E6750">
              <w:rPr>
                <w:noProof/>
                <w:webHidden/>
              </w:rPr>
              <w:tab/>
            </w:r>
            <w:r w:rsidR="004E6750">
              <w:rPr>
                <w:noProof/>
                <w:webHidden/>
              </w:rPr>
              <w:fldChar w:fldCharType="begin"/>
            </w:r>
            <w:r w:rsidR="004E6750">
              <w:rPr>
                <w:noProof/>
                <w:webHidden/>
              </w:rPr>
              <w:instrText xml:space="preserve"> PAGEREF _Toc140702778 \h </w:instrText>
            </w:r>
            <w:r w:rsidR="004E6750">
              <w:rPr>
                <w:noProof/>
                <w:webHidden/>
              </w:rPr>
            </w:r>
            <w:r w:rsidR="004E6750">
              <w:rPr>
                <w:noProof/>
                <w:webHidden/>
              </w:rPr>
              <w:fldChar w:fldCharType="separate"/>
            </w:r>
            <w:r w:rsidR="004E6750">
              <w:rPr>
                <w:noProof/>
                <w:webHidden/>
              </w:rPr>
              <w:t>4</w:t>
            </w:r>
            <w:r w:rsidR="004E6750">
              <w:rPr>
                <w:noProof/>
                <w:webHidden/>
              </w:rPr>
              <w:fldChar w:fldCharType="end"/>
            </w:r>
          </w:hyperlink>
        </w:p>
        <w:p w14:paraId="5B0C645B" w14:textId="71797E0A" w:rsidR="004E6750" w:rsidRDefault="007E1D88">
          <w:pPr>
            <w:pStyle w:val="Cuprins1"/>
            <w:tabs>
              <w:tab w:val="right" w:leader="dot" w:pos="9016"/>
            </w:tabs>
            <w:rPr>
              <w:noProof/>
            </w:rPr>
          </w:pPr>
          <w:hyperlink w:anchor="_Toc140702779" w:history="1">
            <w:r w:rsidR="004E6750" w:rsidRPr="00BF2058">
              <w:rPr>
                <w:rStyle w:val="Hyperlink"/>
                <w:noProof/>
              </w:rPr>
              <w:t>Recommendations to enhance future projects</w:t>
            </w:r>
            <w:r w:rsidR="004E6750">
              <w:rPr>
                <w:noProof/>
                <w:webHidden/>
              </w:rPr>
              <w:tab/>
            </w:r>
            <w:r w:rsidR="004E6750">
              <w:rPr>
                <w:noProof/>
                <w:webHidden/>
              </w:rPr>
              <w:fldChar w:fldCharType="begin"/>
            </w:r>
            <w:r w:rsidR="004E6750">
              <w:rPr>
                <w:noProof/>
                <w:webHidden/>
              </w:rPr>
              <w:instrText xml:space="preserve"> PAGEREF _Toc140702779 \h </w:instrText>
            </w:r>
            <w:r w:rsidR="004E6750">
              <w:rPr>
                <w:noProof/>
                <w:webHidden/>
              </w:rPr>
            </w:r>
            <w:r w:rsidR="004E6750">
              <w:rPr>
                <w:noProof/>
                <w:webHidden/>
              </w:rPr>
              <w:fldChar w:fldCharType="separate"/>
            </w:r>
            <w:r w:rsidR="004E6750">
              <w:rPr>
                <w:noProof/>
                <w:webHidden/>
              </w:rPr>
              <w:t>5</w:t>
            </w:r>
            <w:r w:rsidR="004E6750">
              <w:rPr>
                <w:noProof/>
                <w:webHidden/>
              </w:rPr>
              <w:fldChar w:fldCharType="end"/>
            </w:r>
          </w:hyperlink>
        </w:p>
        <w:p w14:paraId="0572E761" w14:textId="73B1AE98" w:rsidR="004E6750" w:rsidRDefault="007E1D88">
          <w:pPr>
            <w:pStyle w:val="Cuprins1"/>
            <w:tabs>
              <w:tab w:val="right" w:leader="dot" w:pos="9016"/>
            </w:tabs>
            <w:rPr>
              <w:noProof/>
            </w:rPr>
          </w:pPr>
          <w:hyperlink w:anchor="_Toc140702780" w:history="1">
            <w:r w:rsidR="004E6750" w:rsidRPr="00BF2058">
              <w:rPr>
                <w:rStyle w:val="Hyperlink"/>
                <w:noProof/>
              </w:rPr>
              <w:t>Conclusion</w:t>
            </w:r>
            <w:r w:rsidR="004E6750">
              <w:rPr>
                <w:noProof/>
                <w:webHidden/>
              </w:rPr>
              <w:tab/>
            </w:r>
            <w:r w:rsidR="004E6750">
              <w:rPr>
                <w:noProof/>
                <w:webHidden/>
              </w:rPr>
              <w:fldChar w:fldCharType="begin"/>
            </w:r>
            <w:r w:rsidR="004E6750">
              <w:rPr>
                <w:noProof/>
                <w:webHidden/>
              </w:rPr>
              <w:instrText xml:space="preserve"> PAGEREF _Toc140702780 \h </w:instrText>
            </w:r>
            <w:r w:rsidR="004E6750">
              <w:rPr>
                <w:noProof/>
                <w:webHidden/>
              </w:rPr>
            </w:r>
            <w:r w:rsidR="004E6750">
              <w:rPr>
                <w:noProof/>
                <w:webHidden/>
              </w:rPr>
              <w:fldChar w:fldCharType="separate"/>
            </w:r>
            <w:r w:rsidR="004E6750">
              <w:rPr>
                <w:noProof/>
                <w:webHidden/>
              </w:rPr>
              <w:t>6</w:t>
            </w:r>
            <w:r w:rsidR="004E6750">
              <w:rPr>
                <w:noProof/>
                <w:webHidden/>
              </w:rPr>
              <w:fldChar w:fldCharType="end"/>
            </w:r>
          </w:hyperlink>
        </w:p>
        <w:p w14:paraId="2423326E" w14:textId="60FDEA82" w:rsidR="004E6750" w:rsidRDefault="007E1D88">
          <w:pPr>
            <w:pStyle w:val="Cuprins1"/>
            <w:tabs>
              <w:tab w:val="right" w:leader="dot" w:pos="9016"/>
            </w:tabs>
            <w:rPr>
              <w:noProof/>
            </w:rPr>
          </w:pPr>
          <w:hyperlink w:anchor="_Toc140702781" w:history="1">
            <w:r w:rsidR="004E6750" w:rsidRPr="00BF2058">
              <w:rPr>
                <w:rStyle w:val="Hyperlink"/>
                <w:noProof/>
              </w:rPr>
              <w:t>List of References</w:t>
            </w:r>
            <w:r w:rsidR="004E6750">
              <w:rPr>
                <w:noProof/>
                <w:webHidden/>
              </w:rPr>
              <w:tab/>
            </w:r>
            <w:r w:rsidR="004E6750">
              <w:rPr>
                <w:noProof/>
                <w:webHidden/>
              </w:rPr>
              <w:fldChar w:fldCharType="begin"/>
            </w:r>
            <w:r w:rsidR="004E6750">
              <w:rPr>
                <w:noProof/>
                <w:webHidden/>
              </w:rPr>
              <w:instrText xml:space="preserve"> PAGEREF _Toc140702781 \h </w:instrText>
            </w:r>
            <w:r w:rsidR="004E6750">
              <w:rPr>
                <w:noProof/>
                <w:webHidden/>
              </w:rPr>
            </w:r>
            <w:r w:rsidR="004E6750">
              <w:rPr>
                <w:noProof/>
                <w:webHidden/>
              </w:rPr>
              <w:fldChar w:fldCharType="separate"/>
            </w:r>
            <w:r w:rsidR="004E6750">
              <w:rPr>
                <w:noProof/>
                <w:webHidden/>
              </w:rPr>
              <w:t>7</w:t>
            </w:r>
            <w:r w:rsidR="004E6750">
              <w:rPr>
                <w:noProof/>
                <w:webHidden/>
              </w:rPr>
              <w:fldChar w:fldCharType="end"/>
            </w:r>
          </w:hyperlink>
        </w:p>
        <w:p w14:paraId="441526A4" w14:textId="081A642F" w:rsidR="004E6750" w:rsidRDefault="004E6750">
          <w:r>
            <w:rPr>
              <w:b/>
              <w:bCs/>
              <w:noProof/>
            </w:rPr>
            <w:fldChar w:fldCharType="end"/>
          </w:r>
        </w:p>
      </w:sdtContent>
    </w:sdt>
    <w:p w14:paraId="79CDCDB6" w14:textId="61707426" w:rsidR="004E6750" w:rsidRDefault="004E6750" w:rsidP="00C306F2">
      <w:pPr>
        <w:spacing w:line="360" w:lineRule="auto"/>
        <w:jc w:val="both"/>
      </w:pPr>
    </w:p>
    <w:p w14:paraId="3224C85F" w14:textId="4827B3EF" w:rsidR="004E6750" w:rsidRDefault="004E6750" w:rsidP="00C306F2">
      <w:pPr>
        <w:spacing w:line="360" w:lineRule="auto"/>
        <w:jc w:val="both"/>
      </w:pPr>
    </w:p>
    <w:p w14:paraId="362EC658" w14:textId="3B7BF4BC" w:rsidR="004E6750" w:rsidRDefault="004E6750" w:rsidP="00C306F2">
      <w:pPr>
        <w:spacing w:line="360" w:lineRule="auto"/>
        <w:jc w:val="both"/>
      </w:pPr>
    </w:p>
    <w:p w14:paraId="1D68B72D" w14:textId="5547FBE2" w:rsidR="004E6750" w:rsidRDefault="004E6750" w:rsidP="00C306F2">
      <w:pPr>
        <w:spacing w:line="360" w:lineRule="auto"/>
        <w:jc w:val="both"/>
      </w:pPr>
    </w:p>
    <w:p w14:paraId="4596F254" w14:textId="4ADB6991" w:rsidR="004E6750" w:rsidRDefault="004E6750" w:rsidP="00C306F2">
      <w:pPr>
        <w:spacing w:line="360" w:lineRule="auto"/>
        <w:jc w:val="both"/>
      </w:pPr>
    </w:p>
    <w:p w14:paraId="5E6DAC7A" w14:textId="307EA521" w:rsidR="004E6750" w:rsidRDefault="004E6750" w:rsidP="00C306F2">
      <w:pPr>
        <w:spacing w:line="360" w:lineRule="auto"/>
        <w:jc w:val="both"/>
      </w:pPr>
    </w:p>
    <w:p w14:paraId="0591B08B" w14:textId="412E77E6" w:rsidR="004E6750" w:rsidRDefault="004E6750" w:rsidP="00C306F2">
      <w:pPr>
        <w:spacing w:line="360" w:lineRule="auto"/>
        <w:jc w:val="both"/>
      </w:pPr>
    </w:p>
    <w:p w14:paraId="2EBA7D42" w14:textId="43642A7D" w:rsidR="004E6750" w:rsidRDefault="004E6750" w:rsidP="00C306F2">
      <w:pPr>
        <w:spacing w:line="360" w:lineRule="auto"/>
        <w:jc w:val="both"/>
      </w:pPr>
    </w:p>
    <w:p w14:paraId="74BECB42" w14:textId="2272C2B1" w:rsidR="004E6750" w:rsidRDefault="004E6750" w:rsidP="00C306F2">
      <w:pPr>
        <w:spacing w:line="360" w:lineRule="auto"/>
        <w:jc w:val="both"/>
      </w:pPr>
    </w:p>
    <w:p w14:paraId="27A3B7F9" w14:textId="77777777" w:rsidR="004E6750" w:rsidRDefault="004E6750" w:rsidP="00C306F2">
      <w:pPr>
        <w:spacing w:line="360" w:lineRule="auto"/>
        <w:jc w:val="both"/>
      </w:pPr>
    </w:p>
    <w:p w14:paraId="51539FC4" w14:textId="10250F27" w:rsidR="004E6750" w:rsidRDefault="004E6750" w:rsidP="00C306F2">
      <w:pPr>
        <w:spacing w:line="360" w:lineRule="auto"/>
        <w:jc w:val="both"/>
      </w:pPr>
    </w:p>
    <w:p w14:paraId="78C302B0" w14:textId="6C4B0AA1" w:rsidR="004E6750" w:rsidRDefault="004E6750" w:rsidP="00C306F2">
      <w:pPr>
        <w:spacing w:line="360" w:lineRule="auto"/>
        <w:jc w:val="both"/>
      </w:pPr>
    </w:p>
    <w:p w14:paraId="15E3A386" w14:textId="590507D9" w:rsidR="004E6750" w:rsidRDefault="004E6750" w:rsidP="00C306F2">
      <w:pPr>
        <w:spacing w:line="360" w:lineRule="auto"/>
        <w:jc w:val="both"/>
      </w:pPr>
    </w:p>
    <w:p w14:paraId="310AE434" w14:textId="77777777" w:rsidR="004E6750" w:rsidRDefault="004E6750" w:rsidP="00C306F2">
      <w:pPr>
        <w:spacing w:line="360" w:lineRule="auto"/>
        <w:jc w:val="both"/>
      </w:pPr>
    </w:p>
    <w:p w14:paraId="58883202" w14:textId="77777777" w:rsidR="00C306F2" w:rsidRDefault="00C306F2" w:rsidP="00C306F2">
      <w:pPr>
        <w:spacing w:line="360" w:lineRule="auto"/>
        <w:jc w:val="both"/>
      </w:pPr>
    </w:p>
    <w:p w14:paraId="778C7B4C" w14:textId="77777777" w:rsidR="00C306F2" w:rsidRDefault="00C306F2" w:rsidP="00C306F2">
      <w:pPr>
        <w:spacing w:line="360" w:lineRule="auto"/>
        <w:jc w:val="both"/>
      </w:pPr>
    </w:p>
    <w:p w14:paraId="0CBC15C7" w14:textId="2D8C18CB" w:rsidR="00C306F2" w:rsidRDefault="00C306F2" w:rsidP="00C306F2">
      <w:pPr>
        <w:pStyle w:val="Titlu1"/>
        <w:rPr>
          <w:b/>
          <w:bCs/>
          <w:sz w:val="28"/>
          <w:szCs w:val="28"/>
          <w:u w:val="single"/>
        </w:rPr>
      </w:pPr>
      <w:bookmarkStart w:id="0" w:name="_Toc140702774"/>
      <w:r w:rsidRPr="004E6750">
        <w:rPr>
          <w:b/>
          <w:bCs/>
          <w:sz w:val="28"/>
          <w:szCs w:val="28"/>
          <w:u w:val="single"/>
        </w:rPr>
        <w:t>Introduction</w:t>
      </w:r>
      <w:bookmarkEnd w:id="0"/>
    </w:p>
    <w:p w14:paraId="729FEA40" w14:textId="77777777" w:rsidR="004E6750" w:rsidRPr="004E6750" w:rsidRDefault="004E6750" w:rsidP="004E6750"/>
    <w:p w14:paraId="56EC9047" w14:textId="77777777" w:rsidR="00C74EFD" w:rsidRDefault="00C74EFD" w:rsidP="00C74EFD">
      <w:pPr>
        <w:spacing w:line="360" w:lineRule="auto"/>
        <w:jc w:val="both"/>
      </w:pPr>
      <w:r>
        <w:t>Local area commitment is an imperative part of advancing social union, further developing local area prosperity, and cultivating feasible turn of events. To successfully facilitate a local area commitment program, it is essential to take on a vital and comprehensive methodology that energizes dynamic cooperation and coordinated effort from all partners. A successful community engagement program that brings together diverse voices, encourages empowerment, and drives positive change will be outlined in this essay's key steps and strategies.</w:t>
      </w:r>
    </w:p>
    <w:p w14:paraId="4C67E5FC" w14:textId="77777777" w:rsidR="00C74EFD" w:rsidRDefault="00C74EFD" w:rsidP="00C74EFD">
      <w:pPr>
        <w:spacing w:line="360" w:lineRule="auto"/>
        <w:jc w:val="both"/>
      </w:pPr>
    </w:p>
    <w:p w14:paraId="50263E20" w14:textId="377D04C9" w:rsidR="00C306F2" w:rsidRDefault="00C74EFD" w:rsidP="00C306F2">
      <w:pPr>
        <w:spacing w:line="360" w:lineRule="auto"/>
        <w:jc w:val="both"/>
      </w:pPr>
      <w:r>
        <w:t>I have gained valuable insights into best practices, models, techniques, and principles for organizing successful community engagement projects as I reflect on my experiences and learning in the community engagement module. This report frames how I might interpret viable standards, plan cycles, principles, and assessment techniques that I mean to apply in organizing a future local area commitment program. Furthermore, I will propose a thought for a local area commitment project that lines up with my inclinations and examine how I will use the information procured during the module to effectively execute it</w:t>
      </w:r>
      <w:r w:rsidR="00C306F2">
        <w:t>.</w:t>
      </w:r>
    </w:p>
    <w:p w14:paraId="662A2E89" w14:textId="3D8DDB81" w:rsidR="00C306F2" w:rsidRDefault="00C306F2" w:rsidP="00C306F2">
      <w:pPr>
        <w:pStyle w:val="Titlu1"/>
        <w:rPr>
          <w:b/>
          <w:bCs/>
          <w:sz w:val="28"/>
          <w:szCs w:val="28"/>
          <w:u w:val="single"/>
        </w:rPr>
      </w:pPr>
      <w:bookmarkStart w:id="1" w:name="_Toc140702775"/>
      <w:r w:rsidRPr="004E6750">
        <w:rPr>
          <w:b/>
          <w:bCs/>
          <w:sz w:val="28"/>
          <w:szCs w:val="28"/>
          <w:u w:val="single"/>
        </w:rPr>
        <w:t>Effective Principles for Community Engagement</w:t>
      </w:r>
      <w:bookmarkEnd w:id="1"/>
    </w:p>
    <w:p w14:paraId="062AA86D" w14:textId="77777777" w:rsidR="004E6750" w:rsidRPr="004E6750" w:rsidRDefault="004E6750" w:rsidP="004E6750"/>
    <w:p w14:paraId="2FAE51D0" w14:textId="2DD1EDE1" w:rsidR="00C306F2" w:rsidRDefault="00C74EFD" w:rsidP="00C306F2">
      <w:pPr>
        <w:spacing w:line="360" w:lineRule="auto"/>
        <w:jc w:val="both"/>
      </w:pPr>
      <w:r w:rsidRPr="00C74EFD">
        <w:t>Principles that promote inclusivity, empowerment, transparency, adaptability, sustainability, and respect for local knowledge ought to serve as the foundation for community engagement. Inclusivity and variety are pivotal to establishing a climate where all local area individuals feel esteemed and heard, guaranteeing assorted points of view add to the venture's prosperity. Strengthening empowers dynamic cooperation, empowering local area individuals to take responsibility for drive, making them bound to put resources into its results. Straightforwardness during the cycle fabricates trust, explaining objectives and results, and exhibiting a promise to transparency. Versatility permits the undertaking to answer advancing local area needs and inclinations, guaranteeing significance and effect. Maintainability includes thinking about the drawn out benefits for the local area, zeroing in on enduring positive results. Also, regard for neighborhood information perceives and incorporates the aptitude and social experiences of local area individuals into the venture's plan and execution, advancing significant and relevantly proper commitment</w:t>
      </w:r>
      <w:r w:rsidR="00C306F2">
        <w:t>.</w:t>
      </w:r>
    </w:p>
    <w:p w14:paraId="3542E563" w14:textId="34424D85" w:rsidR="00C306F2" w:rsidRDefault="00C306F2" w:rsidP="00C306F2">
      <w:pPr>
        <w:pStyle w:val="Titlu1"/>
        <w:rPr>
          <w:b/>
          <w:bCs/>
          <w:sz w:val="28"/>
          <w:szCs w:val="28"/>
          <w:u w:val="single"/>
        </w:rPr>
      </w:pPr>
      <w:bookmarkStart w:id="2" w:name="_Toc140702776"/>
      <w:r w:rsidRPr="004E6750">
        <w:rPr>
          <w:b/>
          <w:bCs/>
          <w:sz w:val="28"/>
          <w:szCs w:val="28"/>
          <w:u w:val="single"/>
        </w:rPr>
        <w:t>Design Process and Approach</w:t>
      </w:r>
      <w:bookmarkEnd w:id="2"/>
    </w:p>
    <w:p w14:paraId="6EA4A654" w14:textId="77777777" w:rsidR="004E6750" w:rsidRPr="004E6750" w:rsidRDefault="004E6750" w:rsidP="004E6750"/>
    <w:p w14:paraId="2121211F" w14:textId="562E149E" w:rsidR="00C306F2" w:rsidRDefault="00C74EFD" w:rsidP="00C306F2">
      <w:pPr>
        <w:spacing w:line="360" w:lineRule="auto"/>
        <w:jc w:val="both"/>
      </w:pPr>
      <w:r w:rsidRPr="00C74EFD">
        <w:t>An effective local area commitment project requires a very much organized plan interaction and approach. Directing a complete necessities evaluation is the initial step, distinguishing local area prerequisites and needs, guaranteeing the undertaking resolves main problems. In order to foster a sense of ownership and buy-in, collaborative planning involves involving key stakeholders and community representatives in the co-creation of project objectives and strategies. Asset assembly is fundamental for secure sufficient financing, volunteers, and materials essential for the undertaking's a positive outcome. Commitment channels, like municipal events, web-based entertainment, and bulletins, assist with contacting a wide crowd and energize support. Executing a hearty nonstop assessment framework empowers observing of undertaking progress, distinguishing regions for development and guaranteeing the task stays on target. Criticism systems, similar to overviews and open discussions, lay out correspondence circles, permitting local area input, and elevating responsiveness to their ideas</w:t>
      </w:r>
      <w:r w:rsidR="00C306F2">
        <w:t>.</w:t>
      </w:r>
    </w:p>
    <w:p w14:paraId="0F005D9C" w14:textId="59206ED6" w:rsidR="00C306F2" w:rsidRDefault="00C306F2" w:rsidP="00C306F2">
      <w:pPr>
        <w:pStyle w:val="Titlu1"/>
        <w:rPr>
          <w:b/>
          <w:bCs/>
          <w:sz w:val="28"/>
          <w:szCs w:val="28"/>
          <w:u w:val="single"/>
        </w:rPr>
      </w:pPr>
      <w:bookmarkStart w:id="3" w:name="_Toc140702777"/>
      <w:r w:rsidRPr="004E6750">
        <w:rPr>
          <w:b/>
          <w:bCs/>
          <w:sz w:val="28"/>
          <w:szCs w:val="28"/>
          <w:u w:val="single"/>
        </w:rPr>
        <w:t>Standards and Evaluation Methods</w:t>
      </w:r>
      <w:bookmarkEnd w:id="3"/>
    </w:p>
    <w:p w14:paraId="4C48FD3B" w14:textId="77777777" w:rsidR="004E6750" w:rsidRPr="004E6750" w:rsidRDefault="004E6750" w:rsidP="004E6750"/>
    <w:p w14:paraId="32BDAB3D" w14:textId="3772503D" w:rsidR="00C306F2" w:rsidRDefault="00C74EFD" w:rsidP="00C306F2">
      <w:pPr>
        <w:spacing w:line="360" w:lineRule="auto"/>
        <w:jc w:val="both"/>
      </w:pPr>
      <w:r w:rsidRPr="00C74EFD">
        <w:t>Keeping up with high moral norms all through the commitment cycle is principal. Moral rules focus on the prosperity and pride of local area individuals, defending their privileges. Estimating the undertaking's effect through subjective and quantitative pointers is pivotal for successful assessment. Member fulfillment studies and spotlight bunches accumulate input on the general insight and take into account changes. Careful investigation of local area criticism recognizes victories and regions for development. Project outcomes and lessons learned are communicated to stakeholders and the general public through documentation and reporting, which aids in future engagement efforts</w:t>
      </w:r>
      <w:r w:rsidR="00C306F2">
        <w:t>.</w:t>
      </w:r>
    </w:p>
    <w:p w14:paraId="0B38C7ED" w14:textId="08EFF630" w:rsidR="00C306F2" w:rsidRPr="004E6750" w:rsidRDefault="00C306F2" w:rsidP="00C306F2">
      <w:pPr>
        <w:pStyle w:val="Titlu1"/>
        <w:rPr>
          <w:b/>
          <w:bCs/>
          <w:sz w:val="28"/>
          <w:szCs w:val="28"/>
          <w:u w:val="single"/>
        </w:rPr>
      </w:pPr>
      <w:bookmarkStart w:id="4" w:name="_Toc140702778"/>
      <w:r w:rsidRPr="004E6750">
        <w:rPr>
          <w:b/>
          <w:bCs/>
          <w:sz w:val="28"/>
          <w:szCs w:val="28"/>
          <w:u w:val="single"/>
        </w:rPr>
        <w:t>Applying the Learned Concepts into potential future projects</w:t>
      </w:r>
      <w:bookmarkEnd w:id="4"/>
    </w:p>
    <w:p w14:paraId="78C4325A" w14:textId="77777777" w:rsidR="004E6750" w:rsidRPr="004E6750" w:rsidRDefault="004E6750" w:rsidP="004E6750"/>
    <w:p w14:paraId="27154BAF" w14:textId="77777777" w:rsidR="00C74EFD" w:rsidRDefault="00C74EFD" w:rsidP="00C74EFD">
      <w:pPr>
        <w:spacing w:line="360" w:lineRule="auto"/>
        <w:jc w:val="both"/>
      </w:pPr>
      <w:r>
        <w:t>To execute the potential future ventures I will be engaged with, I will apply the accompanying learned ideas:</w:t>
      </w:r>
    </w:p>
    <w:p w14:paraId="770530B1" w14:textId="77777777" w:rsidR="00C74EFD" w:rsidRDefault="00C74EFD" w:rsidP="00C74EFD">
      <w:pPr>
        <w:spacing w:line="360" w:lineRule="auto"/>
        <w:jc w:val="both"/>
      </w:pPr>
    </w:p>
    <w:p w14:paraId="1D29F861" w14:textId="77777777" w:rsidR="00C74EFD" w:rsidRDefault="00C74EFD" w:rsidP="00C74EFD">
      <w:pPr>
        <w:spacing w:line="360" w:lineRule="auto"/>
        <w:jc w:val="both"/>
      </w:pPr>
      <w:r>
        <w:t>1. Conducting an In-Depth Evaluation of Needs: Understanding the particular necessities and needs of the local area is fundamental to fitting the "The Possible Undertaking" to successfully address their ecological worries. Through a necessities evaluation study, we will assemble information on the local area's ongoing information and practices connected with natural supportability. This will empower us to recognize key regions for development and center our endeavors where they are generally required.</w:t>
      </w:r>
    </w:p>
    <w:p w14:paraId="6E2A614D" w14:textId="77777777" w:rsidR="00C74EFD" w:rsidRDefault="00C74EFD" w:rsidP="00C74EFD">
      <w:pPr>
        <w:spacing w:line="360" w:lineRule="auto"/>
        <w:jc w:val="both"/>
      </w:pPr>
      <w:r>
        <w:t>2. Cultivating Inclusivity and Variety: We will actively involve residents from various age groups, professions, and cultural backgrounds to ensure that "The Potential Project" represents the entire community. We can develop a comprehensive strategy that takes into account a variety of points of view and life experiences if we promote inclusivity. Including minimized gatherings will be really important to guarantee their voices are heard and their natural necessities are tended to.</w:t>
      </w:r>
    </w:p>
    <w:p w14:paraId="6AE3AC6C" w14:textId="77777777" w:rsidR="00C74EFD" w:rsidRDefault="00C74EFD" w:rsidP="00C74EFD">
      <w:pPr>
        <w:spacing w:line="360" w:lineRule="auto"/>
        <w:jc w:val="both"/>
      </w:pPr>
      <w:r>
        <w:t>3. Using Drawing in Correspondence Channels: To motivate members of the community to adopt sustainable practices and inspire them to do so, effective communication is essential. Using different commitment channels, for example, virtual entertainment missions, studios, and intelligent occasions, we can instruct inhabitants about the advantages of eco-accommodating practices and empower their dynamic support. Web-based entertainment will be an amazing asset to contact a wide crowd, while studios and occasions will give involved encounters and valuable open doors for direct communication.</w:t>
      </w:r>
    </w:p>
    <w:p w14:paraId="3B5AA957" w14:textId="77777777" w:rsidR="00C74EFD" w:rsidRDefault="00C74EFD" w:rsidP="00C74EFD">
      <w:pPr>
        <w:spacing w:line="360" w:lineRule="auto"/>
        <w:jc w:val="both"/>
      </w:pPr>
      <w:r>
        <w:t>4. Cooperative Preparation with Key Partners: Connecting with nearby ecological associations, schools, and local area pioneers in the preparation and execution of the "The Possible Venture" will be instrumental in utilizing their skill and assets. The project's credibility will rise as a result of the contributions of these stakeholders, as will its impact on the community. The initiative's alignment with other environmental initiatives and its potential for success are maximized through collaborative planning.</w:t>
      </w:r>
    </w:p>
    <w:p w14:paraId="201F3D0F" w14:textId="77777777" w:rsidR="00C74EFD" w:rsidRDefault="00C74EFD" w:rsidP="00C74EFD">
      <w:pPr>
        <w:spacing w:line="360" w:lineRule="auto"/>
        <w:jc w:val="both"/>
      </w:pPr>
      <w:r>
        <w:t>5. Developing Effective Feedback Systems: Persistent people group input is pivotal for the achievement and manageability of the "The Possible Task." By making a web-based stage and carrying out other criticism systems, occupants will be urged to share their advancement, difficulties, and ideas. This cultivates a feeling of local area and common help, empowering members to gain from one another and beat obstructions by and large. The criticism gathered will illuminate changes and enhancements all through the venture's span.</w:t>
      </w:r>
    </w:p>
    <w:p w14:paraId="697622BE" w14:textId="77777777" w:rsidR="00C74EFD" w:rsidRDefault="00C74EFD" w:rsidP="00C74EFD">
      <w:pPr>
        <w:spacing w:line="360" w:lineRule="auto"/>
        <w:jc w:val="both"/>
      </w:pPr>
    </w:p>
    <w:p w14:paraId="3B15F5A6" w14:textId="741FB8FF" w:rsidR="00C306F2" w:rsidRDefault="00C74EFD" w:rsidP="00C74EFD">
      <w:pPr>
        <w:spacing w:line="360" w:lineRule="auto"/>
        <w:jc w:val="both"/>
      </w:pPr>
      <w:r>
        <w:t>By applying these ideas in the plan and execution of the "The Possible Undertaking," we expect to make a local area commitment program that reverberates with the local area, achieves positive ecological changes, and encourages a more profound feeling of natural obligation among its occupants. Through coordinated effort, inclusivity, and powerful correspondence, we will motivate feasible practices that lastingly affect both the area and the more extensive local area</w:t>
      </w:r>
      <w:r w:rsidR="00C306F2">
        <w:t>.</w:t>
      </w:r>
    </w:p>
    <w:p w14:paraId="2EAE6596" w14:textId="1C55C448" w:rsidR="00C306F2" w:rsidRPr="004E6750" w:rsidRDefault="00C306F2" w:rsidP="00C306F2">
      <w:pPr>
        <w:pStyle w:val="Titlu1"/>
        <w:rPr>
          <w:b/>
          <w:bCs/>
          <w:sz w:val="28"/>
          <w:szCs w:val="28"/>
          <w:u w:val="single"/>
        </w:rPr>
      </w:pPr>
      <w:bookmarkStart w:id="5" w:name="_Toc140702779"/>
      <w:r w:rsidRPr="004E6750">
        <w:rPr>
          <w:b/>
          <w:bCs/>
          <w:sz w:val="28"/>
          <w:szCs w:val="28"/>
          <w:u w:val="single"/>
        </w:rPr>
        <w:t>Recommendations to enhance future projects</w:t>
      </w:r>
      <w:bookmarkEnd w:id="5"/>
      <w:r w:rsidRPr="004E6750">
        <w:rPr>
          <w:b/>
          <w:bCs/>
          <w:sz w:val="28"/>
          <w:szCs w:val="28"/>
          <w:u w:val="single"/>
        </w:rPr>
        <w:t xml:space="preserve"> </w:t>
      </w:r>
    </w:p>
    <w:p w14:paraId="2157B96D" w14:textId="77777777" w:rsidR="00C306F2" w:rsidRPr="00C306F2" w:rsidRDefault="00C306F2" w:rsidP="00C306F2"/>
    <w:p w14:paraId="4EE07A3A" w14:textId="77777777" w:rsidR="00C74EFD" w:rsidRDefault="00C74EFD" w:rsidP="00C74EFD">
      <w:pPr>
        <w:spacing w:line="360" w:lineRule="auto"/>
        <w:jc w:val="both"/>
      </w:pPr>
      <w:r>
        <w:t>The outcome of the "The Expected Undertaking" depends on viable preparation, commitment, and supportability. To amplify the effect of the task and guarantee its drawn out progress, I propose the accompanying proposals:</w:t>
      </w:r>
    </w:p>
    <w:p w14:paraId="14BDE9A6" w14:textId="77777777" w:rsidR="00C74EFD" w:rsidRDefault="00C74EFD" w:rsidP="00C74EFD">
      <w:pPr>
        <w:spacing w:line="360" w:lineRule="auto"/>
        <w:jc w:val="both"/>
      </w:pPr>
      <w:r>
        <w:t>1. Advance Early Commitment: Building expectation and producing interest in the undertaking is vital and subsequently, I would ensure that it begins well ahead of the task's send off. By publicizing the drive through different correspondence channels, like virtual entertainment, local area pamphlets, and nearby occasions, we can make mindfulness and fervor inside the local area. Early commitment will urge local area individuals to write in their schedules and set aside a few minutes for taking part in the venture, bringing about higher participation and dynamic contribution. This proposal is likewise motivated from the "Green Spaces for</w:t>
      </w:r>
    </w:p>
    <w:p w14:paraId="54B95254" w14:textId="77777777" w:rsidR="00C74EFD" w:rsidRDefault="00C74EFD" w:rsidP="00C74EFD">
      <w:pPr>
        <w:spacing w:line="360" w:lineRule="auto"/>
        <w:jc w:val="both"/>
      </w:pPr>
      <w:r>
        <w:t>2. Offer Limit Building Open doors: To furnish local area individuals with the information and abilities expected to embrace feasible practices, limit building open doors ought to be a necessary piece of the "The Likely Task." Studios, instructional meetings, and instructive materials on squander decrease, energy protection, and reasonable transportation can engage inhabitants to pursue informed decisions. Additionally, practical implementation of sustainable practices will be made possible by providing access to resources like compost bins, energy-saving devices, and recycling facilities.</w:t>
      </w:r>
    </w:p>
    <w:p w14:paraId="6498563A" w14:textId="77777777" w:rsidR="00C74EFD" w:rsidRDefault="00C74EFD" w:rsidP="00C74EFD">
      <w:pPr>
        <w:spacing w:line="360" w:lineRule="auto"/>
        <w:jc w:val="both"/>
      </w:pPr>
      <w:r>
        <w:t>3. Use incentives and recognition: Not only will it honor the efforts of people who care about the environment, but it will also encourage others to do the same by recognizing exceptional sustainable practices in the community. Carrying out an acknowledgment program, for example, "Green Neighbor of the Month," can feature model feasible activities and ways of behaving. Freely recognizing and compensating such endeavors through declarations, plaques, or little impetuses can cultivate a deep satisfaction and inspire others to take on eco-accommodating practices too.</w:t>
      </w:r>
    </w:p>
    <w:p w14:paraId="3350B8DF" w14:textId="4330D69F" w:rsidR="00C306F2" w:rsidRPr="00C306F2" w:rsidRDefault="00C74EFD" w:rsidP="00C74EFD">
      <w:pPr>
        <w:spacing w:line="360" w:lineRule="auto"/>
        <w:jc w:val="both"/>
      </w:pPr>
      <w:r>
        <w:t>4. Look for Associations with Neighborhood Organizations and Government Offices: Joint effort with neighborhood organizations and government organizations can altogether enhance the effect of the "The Expected Venture." Nearby organizations can offer help through sponsorships, in-kind commitments, or facilitating maintainability related occasions. Government organizations might offer skill, admittance to assets, and open doors for the drive to be incorporated into more extensive local area drives. By shaping vital associations, the drive can profit from expanded reach, believability, and maintainability past its underlying execution</w:t>
      </w:r>
      <w:r w:rsidR="00C306F2" w:rsidRPr="00C306F2">
        <w:t>.</w:t>
      </w:r>
    </w:p>
    <w:p w14:paraId="39B706B3" w14:textId="404CA3B3" w:rsidR="00C306F2" w:rsidRDefault="00C306F2" w:rsidP="00C306F2">
      <w:pPr>
        <w:pStyle w:val="Titlu1"/>
        <w:rPr>
          <w:b/>
          <w:bCs/>
          <w:u w:val="single"/>
        </w:rPr>
      </w:pPr>
      <w:bookmarkStart w:id="6" w:name="_Toc140702780"/>
      <w:r w:rsidRPr="00C306F2">
        <w:rPr>
          <w:b/>
          <w:bCs/>
          <w:u w:val="single"/>
        </w:rPr>
        <w:t>Conclusion</w:t>
      </w:r>
      <w:bookmarkEnd w:id="6"/>
    </w:p>
    <w:p w14:paraId="5730D8DA" w14:textId="77777777" w:rsidR="00C306F2" w:rsidRPr="00C306F2" w:rsidRDefault="00C306F2" w:rsidP="00C306F2"/>
    <w:p w14:paraId="679C39A2" w14:textId="77777777" w:rsidR="00C74EFD" w:rsidRDefault="00C74EFD" w:rsidP="00C74EFD">
      <w:pPr>
        <w:spacing w:line="360" w:lineRule="auto"/>
        <w:jc w:val="both"/>
      </w:pPr>
      <w:r>
        <w:t>The "The Potential Project" is successful because it successfully applies learned concepts and thoughtfully implemented recommendations. By advancing early commitment, offering limit building open doors, executing acknowledgment and impetuses, and looking for organizations, the drive can get momentum, prepare local area investment, and encourage an enduring effect on natural manageability.</w:t>
      </w:r>
    </w:p>
    <w:p w14:paraId="6F5BDB3C" w14:textId="77777777" w:rsidR="00C74EFD" w:rsidRDefault="00C74EFD" w:rsidP="00C74EFD">
      <w:pPr>
        <w:spacing w:line="360" w:lineRule="auto"/>
        <w:jc w:val="both"/>
      </w:pPr>
    </w:p>
    <w:p w14:paraId="31F66F67" w14:textId="77777777" w:rsidR="00C74EFD" w:rsidRDefault="00C74EFD" w:rsidP="00C74EFD">
      <w:pPr>
        <w:spacing w:line="360" w:lineRule="auto"/>
        <w:jc w:val="both"/>
      </w:pPr>
      <w:r>
        <w:t>Connecting with inhabitants of all foundations and ages, the activities will establish a comprehensive climate where supportable practices are embraced and celebrated. By engaging local area individuals with the vital information and assets, we can change detached observers into dynamic change specialists for a greener future.</w:t>
      </w:r>
    </w:p>
    <w:p w14:paraId="561C9DC1" w14:textId="77777777" w:rsidR="00C74EFD" w:rsidRDefault="00C74EFD" w:rsidP="00C74EFD">
      <w:pPr>
        <w:spacing w:line="360" w:lineRule="auto"/>
        <w:jc w:val="both"/>
      </w:pPr>
    </w:p>
    <w:p w14:paraId="26E00930" w14:textId="4E5F41F6" w:rsidR="00B11E52" w:rsidRDefault="00C74EFD" w:rsidP="00C74EFD">
      <w:pPr>
        <w:spacing w:line="360" w:lineRule="auto"/>
        <w:jc w:val="both"/>
      </w:pPr>
      <w:r>
        <w:t>Through associations with neighbourhood organizations and government offices, the drive can use aggregate assets, skill, and impact, guaranteeing its true capacity for long haul manageability and extension. By moving a feeling of ecological stewardship and aggregate liability, the "The Expected Venture" will act as an impetus for more extensive local area commitment and drive good natural change past the undertaking's degree</w:t>
      </w:r>
      <w:r w:rsidR="00C306F2" w:rsidRPr="00C306F2">
        <w:t>.</w:t>
      </w:r>
    </w:p>
    <w:p w14:paraId="30686DD4" w14:textId="314A3E4D" w:rsidR="00731DC6" w:rsidRDefault="00731DC6" w:rsidP="00C306F2">
      <w:pPr>
        <w:spacing w:line="360" w:lineRule="auto"/>
        <w:jc w:val="both"/>
      </w:pPr>
    </w:p>
    <w:p w14:paraId="72B00FD2" w14:textId="5D874864" w:rsidR="00731DC6" w:rsidRDefault="00731DC6" w:rsidP="00C306F2">
      <w:pPr>
        <w:spacing w:line="360" w:lineRule="auto"/>
        <w:jc w:val="both"/>
      </w:pPr>
    </w:p>
    <w:p w14:paraId="29F1080F" w14:textId="754E07CF" w:rsidR="00731DC6" w:rsidRDefault="00731DC6" w:rsidP="00C306F2">
      <w:pPr>
        <w:spacing w:line="360" w:lineRule="auto"/>
        <w:jc w:val="both"/>
      </w:pPr>
    </w:p>
    <w:p w14:paraId="4D8E8157" w14:textId="77777777" w:rsidR="007F142E" w:rsidRDefault="007F142E" w:rsidP="00C306F2">
      <w:pPr>
        <w:spacing w:line="360" w:lineRule="auto"/>
        <w:jc w:val="both"/>
      </w:pPr>
    </w:p>
    <w:p w14:paraId="5FF2E08C" w14:textId="2BC858B0" w:rsidR="004E6750" w:rsidRPr="004E6750" w:rsidRDefault="004E6750" w:rsidP="004E6750">
      <w:pPr>
        <w:pStyle w:val="Titlu1"/>
        <w:rPr>
          <w:b/>
          <w:bCs/>
          <w:u w:val="single"/>
        </w:rPr>
      </w:pPr>
      <w:bookmarkStart w:id="7" w:name="_Toc140702781"/>
      <w:r w:rsidRPr="004E6750">
        <w:rPr>
          <w:b/>
          <w:bCs/>
          <w:u w:val="single"/>
        </w:rPr>
        <w:t>List of References</w:t>
      </w:r>
      <w:bookmarkEnd w:id="7"/>
    </w:p>
    <w:p w14:paraId="2822D359" w14:textId="77777777" w:rsidR="004E6750" w:rsidRDefault="004E6750" w:rsidP="004E6750">
      <w:pPr>
        <w:jc w:val="both"/>
      </w:pPr>
    </w:p>
    <w:p w14:paraId="2B352DF4" w14:textId="00ADD722" w:rsidR="004E6750" w:rsidRDefault="004E6750" w:rsidP="004E6750">
      <w:pPr>
        <w:jc w:val="both"/>
      </w:pPr>
      <w:r w:rsidRPr="004E6750">
        <w:t>Alasdair, R. S. 2005. “Spin Control and Freedom of Information: Lessons for the United Kingdom from Canada”. </w:t>
      </w:r>
      <w:r w:rsidRPr="004E6750">
        <w:rPr>
          <w:i/>
          <w:iCs/>
        </w:rPr>
        <w:t>Public Administration</w:t>
      </w:r>
      <w:r w:rsidRPr="004E6750">
        <w:t>, 83: 1.</w:t>
      </w:r>
    </w:p>
    <w:p w14:paraId="69ADC9FC" w14:textId="77777777" w:rsidR="004E6750" w:rsidRPr="004E6750" w:rsidRDefault="004E6750" w:rsidP="004E6750">
      <w:pPr>
        <w:jc w:val="both"/>
      </w:pPr>
    </w:p>
    <w:p w14:paraId="3230B099" w14:textId="4B2AB9D7" w:rsidR="004E6750" w:rsidRDefault="004E6750" w:rsidP="004E6750">
      <w:pPr>
        <w:jc w:val="both"/>
      </w:pPr>
      <w:r w:rsidRPr="004E6750">
        <w:t>CDC., 1997. </w:t>
      </w:r>
      <w:r w:rsidRPr="004E6750">
        <w:rPr>
          <w:i/>
          <w:iCs/>
        </w:rPr>
        <w:t>Principles of Community Engagement.</w:t>
      </w:r>
      <w:r w:rsidRPr="004E6750">
        <w:t> Atlanta, GA: Centers of Disease Control and Prevention. [online] Available at: &lt;</w:t>
      </w:r>
      <w:hyperlink r:id="rId8" w:tgtFrame="_blank" w:history="1">
        <w:r w:rsidRPr="004E6750">
          <w:rPr>
            <w:rStyle w:val="Hyperlink"/>
          </w:rPr>
          <w:t>https://www.atsdr.cdc.gov/communityengagement/pdf/PCE_Report_508_FINAL.pdf</w:t>
        </w:r>
      </w:hyperlink>
      <w:r w:rsidRPr="004E6750">
        <w:t>&gt; .</w:t>
      </w:r>
    </w:p>
    <w:p w14:paraId="41283928" w14:textId="77777777" w:rsidR="004E6750" w:rsidRPr="004E6750" w:rsidRDefault="004E6750" w:rsidP="004E6750">
      <w:pPr>
        <w:jc w:val="both"/>
      </w:pPr>
    </w:p>
    <w:p w14:paraId="10F3B7F3" w14:textId="3F259B62" w:rsidR="004E6750" w:rsidRDefault="004E6750" w:rsidP="004E6750">
      <w:pPr>
        <w:jc w:val="both"/>
      </w:pPr>
      <w:r w:rsidRPr="004E6750">
        <w:t>Gastil, J. and Levine, P., 2005. </w:t>
      </w:r>
      <w:r w:rsidRPr="004E6750">
        <w:rPr>
          <w:i/>
          <w:iCs/>
        </w:rPr>
        <w:t>The deliberative democracy and handbook: strategies for effective civil engagement in the twenty first centuries</w:t>
      </w:r>
      <w:r w:rsidRPr="004E6750">
        <w:t>, San Francisco: Jossey- Bass.</w:t>
      </w:r>
    </w:p>
    <w:p w14:paraId="20C6CF00" w14:textId="77777777" w:rsidR="004E6750" w:rsidRPr="004E6750" w:rsidRDefault="004E6750" w:rsidP="004E6750">
      <w:pPr>
        <w:jc w:val="both"/>
      </w:pPr>
    </w:p>
    <w:p w14:paraId="70E49B00" w14:textId="06000906" w:rsidR="004E6750" w:rsidRDefault="004E6750" w:rsidP="004E6750">
      <w:pPr>
        <w:jc w:val="both"/>
      </w:pPr>
      <w:r w:rsidRPr="004E6750">
        <w:t>Goldlust, J.,1996. </w:t>
      </w:r>
      <w:r w:rsidRPr="004E6750">
        <w:rPr>
          <w:i/>
          <w:iCs/>
        </w:rPr>
        <w:t>Understanding citizenship in Australia, Bureau of immigration, multicultural and population research</w:t>
      </w:r>
      <w:r w:rsidRPr="004E6750">
        <w:t>. London: Australian Government Publishing service.</w:t>
      </w:r>
    </w:p>
    <w:p w14:paraId="4A66CC5F" w14:textId="097E4567" w:rsidR="004E6750" w:rsidRDefault="004E6750" w:rsidP="004E6750">
      <w:pPr>
        <w:jc w:val="both"/>
      </w:pPr>
    </w:p>
    <w:p w14:paraId="4505D7BB" w14:textId="77777777" w:rsidR="004E6750" w:rsidRPr="004E6750" w:rsidRDefault="004E6750" w:rsidP="004E6750">
      <w:pPr>
        <w:jc w:val="both"/>
      </w:pPr>
      <w:r w:rsidRPr="004E6750">
        <w:t>Iroz-Elardo N. Health impact assessment as community participation. Community Development Journal. 2015;50(2):280–95.</w:t>
      </w:r>
    </w:p>
    <w:p w14:paraId="4C393A1D" w14:textId="77777777" w:rsidR="004E6750" w:rsidRDefault="004E6750" w:rsidP="004E6750">
      <w:pPr>
        <w:jc w:val="both"/>
      </w:pPr>
    </w:p>
    <w:p w14:paraId="757D4341" w14:textId="77777777" w:rsidR="004E6750" w:rsidRPr="004E6750" w:rsidRDefault="004E6750" w:rsidP="004E6750">
      <w:pPr>
        <w:jc w:val="both"/>
      </w:pPr>
      <w:r w:rsidRPr="004E6750">
        <w:t>Milton B, Attree P, French B, et al. The impact of community engagement on health and social outcomes: a systematic review. Community Development Journal. 2011;47(3):316–34.</w:t>
      </w:r>
    </w:p>
    <w:p w14:paraId="24F62E44" w14:textId="77777777" w:rsidR="004E6750" w:rsidRDefault="004E6750" w:rsidP="004E6750">
      <w:pPr>
        <w:jc w:val="both"/>
      </w:pPr>
    </w:p>
    <w:p w14:paraId="557985CA" w14:textId="77777777" w:rsidR="004E6750" w:rsidRPr="004E6750" w:rsidRDefault="004E6750" w:rsidP="004E6750">
      <w:pPr>
        <w:jc w:val="both"/>
      </w:pPr>
      <w:r w:rsidRPr="004E6750">
        <w:t>O’Neill K, Williams KJ, Reznik V. Engaging Latino residents to build a healthier community in mid-City san Diego. Am J Prev Med. 2008;34(3):S36–41.</w:t>
      </w:r>
    </w:p>
    <w:p w14:paraId="424820F7" w14:textId="77777777" w:rsidR="004E6750" w:rsidRPr="004E6750" w:rsidRDefault="004E6750" w:rsidP="004E6750">
      <w:pPr>
        <w:jc w:val="both"/>
      </w:pPr>
    </w:p>
    <w:p w14:paraId="0D1B31E9" w14:textId="743D71CC" w:rsidR="004E6750" w:rsidRDefault="004E6750" w:rsidP="004E6750">
      <w:pPr>
        <w:jc w:val="both"/>
      </w:pPr>
      <w:r w:rsidRPr="004E6750">
        <w:t>Sarkissian, W., Hofer, N., Shore, Y, Vajda, S. and Wilkinson, C., 2009. </w:t>
      </w:r>
      <w:r w:rsidRPr="004E6750">
        <w:rPr>
          <w:i/>
          <w:iCs/>
        </w:rPr>
        <w:t>Kitchen stable sustainability: practical recipes for community engagement with sustainability</w:t>
      </w:r>
      <w:r w:rsidRPr="004E6750">
        <w:t>. Earthscan: London.</w:t>
      </w:r>
    </w:p>
    <w:p w14:paraId="74439831" w14:textId="60327E05" w:rsidR="004E6750" w:rsidRDefault="004E6750" w:rsidP="004E6750">
      <w:pPr>
        <w:jc w:val="both"/>
      </w:pPr>
    </w:p>
    <w:p w14:paraId="0C196727" w14:textId="78DE3BEC" w:rsidR="004E6750" w:rsidRDefault="004E6750" w:rsidP="004E6750">
      <w:pPr>
        <w:jc w:val="both"/>
      </w:pPr>
      <w:r w:rsidRPr="004E6750">
        <w:t>Shortell SM, Wu FM, Lewis VA, et al. A taxonomy of accountable care organizations for policy and practice. Health Serv Res. 2014;49(6):1883–99.</w:t>
      </w:r>
    </w:p>
    <w:p w14:paraId="7F367974" w14:textId="77777777" w:rsidR="004E6750" w:rsidRPr="004E6750" w:rsidRDefault="004E6750" w:rsidP="004E6750">
      <w:pPr>
        <w:jc w:val="both"/>
      </w:pPr>
    </w:p>
    <w:p w14:paraId="67566220" w14:textId="67DE6367" w:rsidR="004E6750" w:rsidRDefault="004E6750" w:rsidP="004E6750">
      <w:pPr>
        <w:jc w:val="both"/>
      </w:pPr>
      <w:r w:rsidRPr="004E6750">
        <w:t>Superstone, A., 2009. </w:t>
      </w:r>
      <w:r w:rsidRPr="004E6750">
        <w:rPr>
          <w:i/>
          <w:iCs/>
        </w:rPr>
        <w:t>The Moral Skeptic</w:t>
      </w:r>
      <w:r w:rsidRPr="004E6750">
        <w:t>. New York: Oxford University Press.</w:t>
      </w:r>
    </w:p>
    <w:p w14:paraId="599867D1" w14:textId="77777777" w:rsidR="004E6750" w:rsidRPr="004E6750" w:rsidRDefault="004E6750" w:rsidP="004E6750">
      <w:pPr>
        <w:jc w:val="both"/>
      </w:pPr>
    </w:p>
    <w:p w14:paraId="77FF6573" w14:textId="77777777" w:rsidR="004E6750" w:rsidRPr="004E6750" w:rsidRDefault="004E6750" w:rsidP="004E6750">
      <w:pPr>
        <w:jc w:val="both"/>
      </w:pPr>
      <w:r w:rsidRPr="004E6750">
        <w:t>Vandenberg, A., 2000. </w:t>
      </w:r>
      <w:r w:rsidRPr="004E6750">
        <w:rPr>
          <w:i/>
          <w:iCs/>
        </w:rPr>
        <w:t>Citizenship and democracy in a global era.</w:t>
      </w:r>
      <w:r w:rsidRPr="004E6750">
        <w:t> London: St Martins Press.</w:t>
      </w:r>
    </w:p>
    <w:p w14:paraId="3FFF1322" w14:textId="77777777" w:rsidR="004E6750" w:rsidRDefault="004E6750" w:rsidP="00C306F2">
      <w:pPr>
        <w:spacing w:line="360" w:lineRule="auto"/>
        <w:jc w:val="both"/>
      </w:pPr>
    </w:p>
    <w:sectPr w:rsidR="004E6750">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B1FDB" w14:textId="77777777" w:rsidR="00E821AF" w:rsidRDefault="00E821AF" w:rsidP="004E6750">
      <w:r>
        <w:separator/>
      </w:r>
    </w:p>
  </w:endnote>
  <w:endnote w:type="continuationSeparator" w:id="0">
    <w:p w14:paraId="62A54C54" w14:textId="77777777" w:rsidR="00E821AF" w:rsidRDefault="00E821AF" w:rsidP="004E6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2037878785"/>
      <w:docPartObj>
        <w:docPartGallery w:val="Page Numbers (Bottom of Page)"/>
        <w:docPartUnique/>
      </w:docPartObj>
    </w:sdtPr>
    <w:sdtEndPr>
      <w:rPr>
        <w:rStyle w:val="Numrdepagin"/>
      </w:rPr>
    </w:sdtEndPr>
    <w:sdtContent>
      <w:p w14:paraId="52F21263" w14:textId="54831189" w:rsidR="004E6750" w:rsidRDefault="004E6750" w:rsidP="00760FA0">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29DB08EC" w14:textId="77777777" w:rsidR="004E6750" w:rsidRDefault="004E6750" w:rsidP="004E6750">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284169550"/>
      <w:docPartObj>
        <w:docPartGallery w:val="Page Numbers (Bottom of Page)"/>
        <w:docPartUnique/>
      </w:docPartObj>
    </w:sdtPr>
    <w:sdtEndPr>
      <w:rPr>
        <w:rStyle w:val="Numrdepagin"/>
      </w:rPr>
    </w:sdtEndPr>
    <w:sdtContent>
      <w:p w14:paraId="19443F13" w14:textId="3A4C76B5" w:rsidR="004E6750" w:rsidRDefault="004E6750" w:rsidP="00760FA0">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14:paraId="6C3A726A" w14:textId="77777777" w:rsidR="004E6750" w:rsidRDefault="004E6750" w:rsidP="004E6750">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E385B" w14:textId="77777777" w:rsidR="00E821AF" w:rsidRDefault="00E821AF" w:rsidP="004E6750">
      <w:r>
        <w:separator/>
      </w:r>
    </w:p>
  </w:footnote>
  <w:footnote w:type="continuationSeparator" w:id="0">
    <w:p w14:paraId="2274BF78" w14:textId="77777777" w:rsidR="00E821AF" w:rsidRDefault="00E821AF" w:rsidP="004E67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6F2"/>
    <w:rsid w:val="004E6750"/>
    <w:rsid w:val="005156E9"/>
    <w:rsid w:val="005220FB"/>
    <w:rsid w:val="00731DC6"/>
    <w:rsid w:val="007E1D88"/>
    <w:rsid w:val="007F142E"/>
    <w:rsid w:val="009B0B03"/>
    <w:rsid w:val="00B11E52"/>
    <w:rsid w:val="00C306F2"/>
    <w:rsid w:val="00C74EFD"/>
    <w:rsid w:val="00E82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0976ED"/>
  <w15:chartTrackingRefBased/>
  <w15:docId w15:val="{67347529-7E16-3343-B4E4-8C6DB887E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C306F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306F2"/>
    <w:rPr>
      <w:rFonts w:asciiTheme="majorHAnsi" w:eastAsiaTheme="majorEastAsia" w:hAnsiTheme="majorHAnsi" w:cstheme="majorBidi"/>
      <w:color w:val="2F5496" w:themeColor="accent1" w:themeShade="BF"/>
      <w:sz w:val="32"/>
      <w:szCs w:val="32"/>
    </w:rPr>
  </w:style>
  <w:style w:type="character" w:styleId="Hyperlink">
    <w:name w:val="Hyperlink"/>
    <w:basedOn w:val="Fontdeparagrafimplicit"/>
    <w:uiPriority w:val="99"/>
    <w:unhideWhenUsed/>
    <w:rsid w:val="004E6750"/>
    <w:rPr>
      <w:color w:val="0563C1" w:themeColor="hyperlink"/>
      <w:u w:val="single"/>
    </w:rPr>
  </w:style>
  <w:style w:type="character" w:styleId="MeniuneNerezolvat">
    <w:name w:val="Unresolved Mention"/>
    <w:basedOn w:val="Fontdeparagrafimplicit"/>
    <w:uiPriority w:val="99"/>
    <w:semiHidden/>
    <w:unhideWhenUsed/>
    <w:rsid w:val="004E6750"/>
    <w:rPr>
      <w:color w:val="605E5C"/>
      <w:shd w:val="clear" w:color="auto" w:fill="E1DFDD"/>
    </w:rPr>
  </w:style>
  <w:style w:type="paragraph" w:styleId="Titlucuprins">
    <w:name w:val="TOC Heading"/>
    <w:basedOn w:val="Titlu1"/>
    <w:next w:val="Normal"/>
    <w:uiPriority w:val="39"/>
    <w:unhideWhenUsed/>
    <w:qFormat/>
    <w:rsid w:val="004E6750"/>
    <w:pPr>
      <w:spacing w:before="480" w:line="276" w:lineRule="auto"/>
      <w:outlineLvl w:val="9"/>
    </w:pPr>
    <w:rPr>
      <w:b/>
      <w:bCs/>
      <w:sz w:val="28"/>
      <w:szCs w:val="28"/>
      <w:lang w:val="en-US"/>
    </w:rPr>
  </w:style>
  <w:style w:type="paragraph" w:styleId="Cuprins1">
    <w:name w:val="toc 1"/>
    <w:basedOn w:val="Normal"/>
    <w:next w:val="Normal"/>
    <w:autoRedefine/>
    <w:uiPriority w:val="39"/>
    <w:unhideWhenUsed/>
    <w:rsid w:val="004E6750"/>
    <w:pPr>
      <w:spacing w:before="120"/>
    </w:pPr>
    <w:rPr>
      <w:rFonts w:cstheme="minorHAnsi"/>
      <w:b/>
      <w:bCs/>
      <w:i/>
      <w:iCs/>
    </w:rPr>
  </w:style>
  <w:style w:type="paragraph" w:styleId="Cuprins2">
    <w:name w:val="toc 2"/>
    <w:basedOn w:val="Normal"/>
    <w:next w:val="Normal"/>
    <w:autoRedefine/>
    <w:uiPriority w:val="39"/>
    <w:semiHidden/>
    <w:unhideWhenUsed/>
    <w:rsid w:val="004E6750"/>
    <w:pPr>
      <w:spacing w:before="120"/>
      <w:ind w:left="240"/>
    </w:pPr>
    <w:rPr>
      <w:rFonts w:cstheme="minorHAnsi"/>
      <w:b/>
      <w:bCs/>
      <w:sz w:val="22"/>
      <w:szCs w:val="22"/>
    </w:rPr>
  </w:style>
  <w:style w:type="paragraph" w:styleId="Cuprins3">
    <w:name w:val="toc 3"/>
    <w:basedOn w:val="Normal"/>
    <w:next w:val="Normal"/>
    <w:autoRedefine/>
    <w:uiPriority w:val="39"/>
    <w:semiHidden/>
    <w:unhideWhenUsed/>
    <w:rsid w:val="004E6750"/>
    <w:pPr>
      <w:ind w:left="480"/>
    </w:pPr>
    <w:rPr>
      <w:rFonts w:cstheme="minorHAnsi"/>
      <w:sz w:val="20"/>
      <w:szCs w:val="20"/>
    </w:rPr>
  </w:style>
  <w:style w:type="paragraph" w:styleId="Cuprins4">
    <w:name w:val="toc 4"/>
    <w:basedOn w:val="Normal"/>
    <w:next w:val="Normal"/>
    <w:autoRedefine/>
    <w:uiPriority w:val="39"/>
    <w:semiHidden/>
    <w:unhideWhenUsed/>
    <w:rsid w:val="004E6750"/>
    <w:pPr>
      <w:ind w:left="720"/>
    </w:pPr>
    <w:rPr>
      <w:rFonts w:cstheme="minorHAnsi"/>
      <w:sz w:val="20"/>
      <w:szCs w:val="20"/>
    </w:rPr>
  </w:style>
  <w:style w:type="paragraph" w:styleId="Cuprins5">
    <w:name w:val="toc 5"/>
    <w:basedOn w:val="Normal"/>
    <w:next w:val="Normal"/>
    <w:autoRedefine/>
    <w:uiPriority w:val="39"/>
    <w:semiHidden/>
    <w:unhideWhenUsed/>
    <w:rsid w:val="004E6750"/>
    <w:pPr>
      <w:ind w:left="960"/>
    </w:pPr>
    <w:rPr>
      <w:rFonts w:cstheme="minorHAnsi"/>
      <w:sz w:val="20"/>
      <w:szCs w:val="20"/>
    </w:rPr>
  </w:style>
  <w:style w:type="paragraph" w:styleId="Cuprins6">
    <w:name w:val="toc 6"/>
    <w:basedOn w:val="Normal"/>
    <w:next w:val="Normal"/>
    <w:autoRedefine/>
    <w:uiPriority w:val="39"/>
    <w:semiHidden/>
    <w:unhideWhenUsed/>
    <w:rsid w:val="004E6750"/>
    <w:pPr>
      <w:ind w:left="1200"/>
    </w:pPr>
    <w:rPr>
      <w:rFonts w:cstheme="minorHAnsi"/>
      <w:sz w:val="20"/>
      <w:szCs w:val="20"/>
    </w:rPr>
  </w:style>
  <w:style w:type="paragraph" w:styleId="Cuprins7">
    <w:name w:val="toc 7"/>
    <w:basedOn w:val="Normal"/>
    <w:next w:val="Normal"/>
    <w:autoRedefine/>
    <w:uiPriority w:val="39"/>
    <w:semiHidden/>
    <w:unhideWhenUsed/>
    <w:rsid w:val="004E6750"/>
    <w:pPr>
      <w:ind w:left="1440"/>
    </w:pPr>
    <w:rPr>
      <w:rFonts w:cstheme="minorHAnsi"/>
      <w:sz w:val="20"/>
      <w:szCs w:val="20"/>
    </w:rPr>
  </w:style>
  <w:style w:type="paragraph" w:styleId="Cuprins8">
    <w:name w:val="toc 8"/>
    <w:basedOn w:val="Normal"/>
    <w:next w:val="Normal"/>
    <w:autoRedefine/>
    <w:uiPriority w:val="39"/>
    <w:semiHidden/>
    <w:unhideWhenUsed/>
    <w:rsid w:val="004E6750"/>
    <w:pPr>
      <w:ind w:left="1680"/>
    </w:pPr>
    <w:rPr>
      <w:rFonts w:cstheme="minorHAnsi"/>
      <w:sz w:val="20"/>
      <w:szCs w:val="20"/>
    </w:rPr>
  </w:style>
  <w:style w:type="paragraph" w:styleId="Cuprins9">
    <w:name w:val="toc 9"/>
    <w:basedOn w:val="Normal"/>
    <w:next w:val="Normal"/>
    <w:autoRedefine/>
    <w:uiPriority w:val="39"/>
    <w:semiHidden/>
    <w:unhideWhenUsed/>
    <w:rsid w:val="004E6750"/>
    <w:pPr>
      <w:ind w:left="1920"/>
    </w:pPr>
    <w:rPr>
      <w:rFonts w:cstheme="minorHAnsi"/>
      <w:sz w:val="20"/>
      <w:szCs w:val="20"/>
    </w:rPr>
  </w:style>
  <w:style w:type="paragraph" w:styleId="Subsol">
    <w:name w:val="footer"/>
    <w:basedOn w:val="Normal"/>
    <w:link w:val="SubsolCaracter"/>
    <w:uiPriority w:val="99"/>
    <w:unhideWhenUsed/>
    <w:rsid w:val="004E6750"/>
    <w:pPr>
      <w:tabs>
        <w:tab w:val="center" w:pos="4513"/>
        <w:tab w:val="right" w:pos="9026"/>
      </w:tabs>
    </w:pPr>
  </w:style>
  <w:style w:type="character" w:customStyle="1" w:styleId="SubsolCaracter">
    <w:name w:val="Subsol Caracter"/>
    <w:basedOn w:val="Fontdeparagrafimplicit"/>
    <w:link w:val="Subsol"/>
    <w:uiPriority w:val="99"/>
    <w:rsid w:val="004E6750"/>
  </w:style>
  <w:style w:type="character" w:styleId="Numrdepagin">
    <w:name w:val="page number"/>
    <w:basedOn w:val="Fontdeparagrafimplicit"/>
    <w:uiPriority w:val="99"/>
    <w:semiHidden/>
    <w:unhideWhenUsed/>
    <w:rsid w:val="004E67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82916">
      <w:bodyDiv w:val="1"/>
      <w:marLeft w:val="0"/>
      <w:marRight w:val="0"/>
      <w:marTop w:val="0"/>
      <w:marBottom w:val="0"/>
      <w:divBdr>
        <w:top w:val="none" w:sz="0" w:space="0" w:color="auto"/>
        <w:left w:val="none" w:sz="0" w:space="0" w:color="auto"/>
        <w:bottom w:val="none" w:sz="0" w:space="0" w:color="auto"/>
        <w:right w:val="none" w:sz="0" w:space="0" w:color="auto"/>
      </w:divBdr>
    </w:div>
    <w:div w:id="158162640">
      <w:bodyDiv w:val="1"/>
      <w:marLeft w:val="0"/>
      <w:marRight w:val="0"/>
      <w:marTop w:val="0"/>
      <w:marBottom w:val="0"/>
      <w:divBdr>
        <w:top w:val="none" w:sz="0" w:space="0" w:color="auto"/>
        <w:left w:val="none" w:sz="0" w:space="0" w:color="auto"/>
        <w:bottom w:val="none" w:sz="0" w:space="0" w:color="auto"/>
        <w:right w:val="none" w:sz="0" w:space="0" w:color="auto"/>
      </w:divBdr>
    </w:div>
    <w:div w:id="391277614">
      <w:bodyDiv w:val="1"/>
      <w:marLeft w:val="0"/>
      <w:marRight w:val="0"/>
      <w:marTop w:val="0"/>
      <w:marBottom w:val="0"/>
      <w:divBdr>
        <w:top w:val="none" w:sz="0" w:space="0" w:color="auto"/>
        <w:left w:val="none" w:sz="0" w:space="0" w:color="auto"/>
        <w:bottom w:val="none" w:sz="0" w:space="0" w:color="auto"/>
        <w:right w:val="none" w:sz="0" w:space="0" w:color="auto"/>
      </w:divBdr>
    </w:div>
    <w:div w:id="503403085">
      <w:bodyDiv w:val="1"/>
      <w:marLeft w:val="0"/>
      <w:marRight w:val="0"/>
      <w:marTop w:val="0"/>
      <w:marBottom w:val="0"/>
      <w:divBdr>
        <w:top w:val="none" w:sz="0" w:space="0" w:color="auto"/>
        <w:left w:val="none" w:sz="0" w:space="0" w:color="auto"/>
        <w:bottom w:val="none" w:sz="0" w:space="0" w:color="auto"/>
        <w:right w:val="none" w:sz="0" w:space="0" w:color="auto"/>
      </w:divBdr>
    </w:div>
    <w:div w:id="509442570">
      <w:bodyDiv w:val="1"/>
      <w:marLeft w:val="0"/>
      <w:marRight w:val="0"/>
      <w:marTop w:val="0"/>
      <w:marBottom w:val="0"/>
      <w:divBdr>
        <w:top w:val="none" w:sz="0" w:space="0" w:color="auto"/>
        <w:left w:val="none" w:sz="0" w:space="0" w:color="auto"/>
        <w:bottom w:val="none" w:sz="0" w:space="0" w:color="auto"/>
        <w:right w:val="none" w:sz="0" w:space="0" w:color="auto"/>
      </w:divBdr>
    </w:div>
    <w:div w:id="762410370">
      <w:bodyDiv w:val="1"/>
      <w:marLeft w:val="0"/>
      <w:marRight w:val="0"/>
      <w:marTop w:val="0"/>
      <w:marBottom w:val="0"/>
      <w:divBdr>
        <w:top w:val="none" w:sz="0" w:space="0" w:color="auto"/>
        <w:left w:val="none" w:sz="0" w:space="0" w:color="auto"/>
        <w:bottom w:val="none" w:sz="0" w:space="0" w:color="auto"/>
        <w:right w:val="none" w:sz="0" w:space="0" w:color="auto"/>
      </w:divBdr>
    </w:div>
    <w:div w:id="862279506">
      <w:bodyDiv w:val="1"/>
      <w:marLeft w:val="0"/>
      <w:marRight w:val="0"/>
      <w:marTop w:val="0"/>
      <w:marBottom w:val="0"/>
      <w:divBdr>
        <w:top w:val="none" w:sz="0" w:space="0" w:color="auto"/>
        <w:left w:val="none" w:sz="0" w:space="0" w:color="auto"/>
        <w:bottom w:val="none" w:sz="0" w:space="0" w:color="auto"/>
        <w:right w:val="none" w:sz="0" w:space="0" w:color="auto"/>
      </w:divBdr>
    </w:div>
    <w:div w:id="926423139">
      <w:bodyDiv w:val="1"/>
      <w:marLeft w:val="0"/>
      <w:marRight w:val="0"/>
      <w:marTop w:val="0"/>
      <w:marBottom w:val="0"/>
      <w:divBdr>
        <w:top w:val="none" w:sz="0" w:space="0" w:color="auto"/>
        <w:left w:val="none" w:sz="0" w:space="0" w:color="auto"/>
        <w:bottom w:val="none" w:sz="0" w:space="0" w:color="auto"/>
        <w:right w:val="none" w:sz="0" w:space="0" w:color="auto"/>
      </w:divBdr>
    </w:div>
    <w:div w:id="963542070">
      <w:bodyDiv w:val="1"/>
      <w:marLeft w:val="0"/>
      <w:marRight w:val="0"/>
      <w:marTop w:val="0"/>
      <w:marBottom w:val="0"/>
      <w:divBdr>
        <w:top w:val="none" w:sz="0" w:space="0" w:color="auto"/>
        <w:left w:val="none" w:sz="0" w:space="0" w:color="auto"/>
        <w:bottom w:val="none" w:sz="0" w:space="0" w:color="auto"/>
        <w:right w:val="none" w:sz="0" w:space="0" w:color="auto"/>
      </w:divBdr>
    </w:div>
    <w:div w:id="1126118033">
      <w:bodyDiv w:val="1"/>
      <w:marLeft w:val="0"/>
      <w:marRight w:val="0"/>
      <w:marTop w:val="0"/>
      <w:marBottom w:val="0"/>
      <w:divBdr>
        <w:top w:val="none" w:sz="0" w:space="0" w:color="auto"/>
        <w:left w:val="none" w:sz="0" w:space="0" w:color="auto"/>
        <w:bottom w:val="none" w:sz="0" w:space="0" w:color="auto"/>
        <w:right w:val="none" w:sz="0" w:space="0" w:color="auto"/>
      </w:divBdr>
    </w:div>
    <w:div w:id="1234513567">
      <w:bodyDiv w:val="1"/>
      <w:marLeft w:val="0"/>
      <w:marRight w:val="0"/>
      <w:marTop w:val="0"/>
      <w:marBottom w:val="0"/>
      <w:divBdr>
        <w:top w:val="none" w:sz="0" w:space="0" w:color="auto"/>
        <w:left w:val="none" w:sz="0" w:space="0" w:color="auto"/>
        <w:bottom w:val="none" w:sz="0" w:space="0" w:color="auto"/>
        <w:right w:val="none" w:sz="0" w:space="0" w:color="auto"/>
      </w:divBdr>
    </w:div>
    <w:div w:id="1453743258">
      <w:bodyDiv w:val="1"/>
      <w:marLeft w:val="0"/>
      <w:marRight w:val="0"/>
      <w:marTop w:val="0"/>
      <w:marBottom w:val="0"/>
      <w:divBdr>
        <w:top w:val="none" w:sz="0" w:space="0" w:color="auto"/>
        <w:left w:val="none" w:sz="0" w:space="0" w:color="auto"/>
        <w:bottom w:val="none" w:sz="0" w:space="0" w:color="auto"/>
        <w:right w:val="none" w:sz="0" w:space="0" w:color="auto"/>
      </w:divBdr>
    </w:div>
    <w:div w:id="1559976917">
      <w:bodyDiv w:val="1"/>
      <w:marLeft w:val="0"/>
      <w:marRight w:val="0"/>
      <w:marTop w:val="0"/>
      <w:marBottom w:val="0"/>
      <w:divBdr>
        <w:top w:val="none" w:sz="0" w:space="0" w:color="auto"/>
        <w:left w:val="none" w:sz="0" w:space="0" w:color="auto"/>
        <w:bottom w:val="none" w:sz="0" w:space="0" w:color="auto"/>
        <w:right w:val="none" w:sz="0" w:space="0" w:color="auto"/>
      </w:divBdr>
    </w:div>
    <w:div w:id="1615164669">
      <w:bodyDiv w:val="1"/>
      <w:marLeft w:val="0"/>
      <w:marRight w:val="0"/>
      <w:marTop w:val="0"/>
      <w:marBottom w:val="0"/>
      <w:divBdr>
        <w:top w:val="none" w:sz="0" w:space="0" w:color="auto"/>
        <w:left w:val="none" w:sz="0" w:space="0" w:color="auto"/>
        <w:bottom w:val="none" w:sz="0" w:space="0" w:color="auto"/>
        <w:right w:val="none" w:sz="0" w:space="0" w:color="auto"/>
      </w:divBdr>
    </w:div>
    <w:div w:id="1719083882">
      <w:bodyDiv w:val="1"/>
      <w:marLeft w:val="0"/>
      <w:marRight w:val="0"/>
      <w:marTop w:val="0"/>
      <w:marBottom w:val="0"/>
      <w:divBdr>
        <w:top w:val="none" w:sz="0" w:space="0" w:color="auto"/>
        <w:left w:val="none" w:sz="0" w:space="0" w:color="auto"/>
        <w:bottom w:val="none" w:sz="0" w:space="0" w:color="auto"/>
        <w:right w:val="none" w:sz="0" w:space="0" w:color="auto"/>
      </w:divBdr>
    </w:div>
    <w:div w:id="1722635868">
      <w:bodyDiv w:val="1"/>
      <w:marLeft w:val="0"/>
      <w:marRight w:val="0"/>
      <w:marTop w:val="0"/>
      <w:marBottom w:val="0"/>
      <w:divBdr>
        <w:top w:val="none" w:sz="0" w:space="0" w:color="auto"/>
        <w:left w:val="none" w:sz="0" w:space="0" w:color="auto"/>
        <w:bottom w:val="none" w:sz="0" w:space="0" w:color="auto"/>
        <w:right w:val="none" w:sz="0" w:space="0" w:color="auto"/>
      </w:divBdr>
    </w:div>
    <w:div w:id="1776710285">
      <w:bodyDiv w:val="1"/>
      <w:marLeft w:val="0"/>
      <w:marRight w:val="0"/>
      <w:marTop w:val="0"/>
      <w:marBottom w:val="0"/>
      <w:divBdr>
        <w:top w:val="none" w:sz="0" w:space="0" w:color="auto"/>
        <w:left w:val="none" w:sz="0" w:space="0" w:color="auto"/>
        <w:bottom w:val="none" w:sz="0" w:space="0" w:color="auto"/>
        <w:right w:val="none" w:sz="0" w:space="0" w:color="auto"/>
      </w:divBdr>
    </w:div>
    <w:div w:id="1970084623">
      <w:bodyDiv w:val="1"/>
      <w:marLeft w:val="0"/>
      <w:marRight w:val="0"/>
      <w:marTop w:val="0"/>
      <w:marBottom w:val="0"/>
      <w:divBdr>
        <w:top w:val="none" w:sz="0" w:space="0" w:color="auto"/>
        <w:left w:val="none" w:sz="0" w:space="0" w:color="auto"/>
        <w:bottom w:val="none" w:sz="0" w:space="0" w:color="auto"/>
        <w:right w:val="none" w:sz="0" w:space="0" w:color="auto"/>
      </w:divBdr>
    </w:div>
    <w:div w:id="2070226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tsdr.cdc.gov/communityengagement/pdf/PCE_Report_508_FINAL.pdf"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318FF-D04E-C44A-A325-A1B2AF0F93C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2073</Words>
  <Characters>12026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Andreea Tamba (2112920)</cp:lastModifiedBy>
  <cp:revision>2</cp:revision>
  <dcterms:created xsi:type="dcterms:W3CDTF">2023-07-20T10:59:00Z</dcterms:created>
  <dcterms:modified xsi:type="dcterms:W3CDTF">2023-07-20T10:59:00Z</dcterms:modified>
</cp:coreProperties>
</file>