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268D6" w14:textId="77777777" w:rsidR="00E303D6" w:rsidRPr="00866EDF" w:rsidRDefault="00E303D6" w:rsidP="00E303D6">
      <w:pPr>
        <w:pStyle w:val="NoSpacing"/>
        <w:jc w:val="center"/>
        <w:rPr>
          <w:sz w:val="32"/>
          <w:szCs w:val="32"/>
          <w:u w:val="single"/>
        </w:rPr>
      </w:pPr>
      <w:r w:rsidRPr="00866EDF">
        <w:rPr>
          <w:sz w:val="32"/>
          <w:szCs w:val="32"/>
          <w:u w:val="single"/>
        </w:rPr>
        <w:t>Primary Source Analysis,</w:t>
      </w:r>
    </w:p>
    <w:p w14:paraId="07FCC7AA" w14:textId="77777777" w:rsidR="00E303D6" w:rsidRPr="00866EDF" w:rsidRDefault="00E303D6" w:rsidP="00E303D6">
      <w:pPr>
        <w:pStyle w:val="NoSpacing"/>
        <w:jc w:val="center"/>
        <w:rPr>
          <w:sz w:val="32"/>
          <w:szCs w:val="32"/>
          <w:u w:val="single"/>
        </w:rPr>
      </w:pPr>
      <w:r w:rsidRPr="00866EDF">
        <w:rPr>
          <w:sz w:val="32"/>
          <w:szCs w:val="32"/>
          <w:u w:val="single"/>
        </w:rPr>
        <w:t>Bayeux Tapestry, Scene 23,</w:t>
      </w:r>
    </w:p>
    <w:p w14:paraId="07848A25" w14:textId="21E098A9" w:rsidR="00E303D6" w:rsidRDefault="00E303D6" w:rsidP="00E303D6">
      <w:pPr>
        <w:pStyle w:val="NoSpacing"/>
        <w:jc w:val="center"/>
        <w:rPr>
          <w:sz w:val="32"/>
          <w:szCs w:val="32"/>
          <w:u w:val="single"/>
        </w:rPr>
      </w:pPr>
      <w:r w:rsidRPr="00866EDF">
        <w:rPr>
          <w:sz w:val="32"/>
          <w:szCs w:val="32"/>
          <w:u w:val="single"/>
        </w:rPr>
        <w:t xml:space="preserve">Harold Swears </w:t>
      </w:r>
      <w:r w:rsidR="00AF5EEF">
        <w:rPr>
          <w:sz w:val="32"/>
          <w:szCs w:val="32"/>
          <w:u w:val="single"/>
        </w:rPr>
        <w:t>an</w:t>
      </w:r>
      <w:r w:rsidRPr="00866EDF">
        <w:rPr>
          <w:sz w:val="32"/>
          <w:szCs w:val="32"/>
          <w:u w:val="single"/>
        </w:rPr>
        <w:t xml:space="preserve"> Oath.</w:t>
      </w:r>
    </w:p>
    <w:p w14:paraId="02B46890" w14:textId="77777777" w:rsidR="00E303D6" w:rsidRDefault="00E303D6" w:rsidP="00E303D6">
      <w:pPr>
        <w:pStyle w:val="NoSpacing"/>
        <w:jc w:val="right"/>
        <w:rPr>
          <w:sz w:val="14"/>
          <w:szCs w:val="14"/>
          <w:u w:val="single"/>
        </w:rPr>
      </w:pPr>
    </w:p>
    <w:p w14:paraId="5E1C1BDA" w14:textId="77777777" w:rsidR="00E303D6" w:rsidRPr="00866EDF" w:rsidRDefault="00E303D6" w:rsidP="00E303D6">
      <w:pPr>
        <w:pStyle w:val="NoSpacing"/>
        <w:jc w:val="right"/>
        <w:rPr>
          <w:sz w:val="14"/>
          <w:szCs w:val="14"/>
          <w:u w:val="single"/>
        </w:rPr>
      </w:pPr>
      <w:r w:rsidRPr="00866EDF">
        <w:rPr>
          <w:sz w:val="14"/>
          <w:szCs w:val="14"/>
          <w:u w:val="single"/>
        </w:rPr>
        <w:t>Darren Tierney</w:t>
      </w:r>
    </w:p>
    <w:p w14:paraId="7765553C" w14:textId="77777777" w:rsidR="00E303D6" w:rsidRPr="00866EDF" w:rsidRDefault="00E303D6" w:rsidP="00E303D6">
      <w:pPr>
        <w:pStyle w:val="NoSpacing"/>
        <w:jc w:val="right"/>
        <w:rPr>
          <w:sz w:val="14"/>
          <w:szCs w:val="14"/>
          <w:u w:val="single"/>
        </w:rPr>
      </w:pPr>
      <w:r w:rsidRPr="00866EDF">
        <w:rPr>
          <w:sz w:val="14"/>
          <w:szCs w:val="14"/>
          <w:u w:val="single"/>
        </w:rPr>
        <w:t>Level 5</w:t>
      </w:r>
    </w:p>
    <w:p w14:paraId="0583C3E1" w14:textId="68351750" w:rsidR="00E303D6" w:rsidRDefault="00E303D6" w:rsidP="00E303D6">
      <w:pPr>
        <w:pStyle w:val="NoSpacing"/>
        <w:jc w:val="right"/>
        <w:rPr>
          <w:sz w:val="14"/>
          <w:szCs w:val="14"/>
          <w:u w:val="single"/>
        </w:rPr>
      </w:pPr>
      <w:r w:rsidRPr="00866EDF">
        <w:rPr>
          <w:sz w:val="14"/>
          <w:szCs w:val="14"/>
          <w:u w:val="single"/>
        </w:rPr>
        <w:t>31/01/2023</w:t>
      </w:r>
    </w:p>
    <w:p w14:paraId="57CC345F" w14:textId="50021852" w:rsidR="00BC5830" w:rsidRDefault="00BC5830" w:rsidP="00E303D6">
      <w:pPr>
        <w:pStyle w:val="NoSpacing"/>
        <w:jc w:val="right"/>
        <w:rPr>
          <w:sz w:val="14"/>
          <w:szCs w:val="14"/>
          <w:u w:val="single"/>
        </w:rPr>
      </w:pPr>
    </w:p>
    <w:p w14:paraId="7B6BECA2" w14:textId="77777777" w:rsidR="00BC5830" w:rsidRDefault="00BC5830" w:rsidP="00E303D6">
      <w:pPr>
        <w:pStyle w:val="NoSpacing"/>
        <w:jc w:val="right"/>
        <w:rPr>
          <w:sz w:val="16"/>
          <w:szCs w:val="16"/>
          <w:u w:val="single"/>
        </w:rPr>
      </w:pPr>
    </w:p>
    <w:p w14:paraId="62C781A3" w14:textId="0C665F56" w:rsidR="006F1D09" w:rsidRDefault="006F1D09" w:rsidP="006F1D09">
      <w:r>
        <w:rPr>
          <w:noProof/>
        </w:rPr>
        <w:drawing>
          <wp:inline distT="0" distB="0" distL="0" distR="0" wp14:anchorId="1C2707CD" wp14:editId="20630D21">
            <wp:extent cx="5727700" cy="2421255"/>
            <wp:effectExtent l="0" t="0" r="635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3AB0">
        <w:rPr>
          <w:sz w:val="16"/>
          <w:szCs w:val="16"/>
        </w:rPr>
        <w:footnoteReference w:id="1"/>
      </w:r>
    </w:p>
    <w:p w14:paraId="7D2BD655" w14:textId="7AA1B98B" w:rsidR="006F1D09" w:rsidRDefault="006F1D09" w:rsidP="00185A8C">
      <w:bookmarkStart w:id="0" w:name="_Hlk126176506"/>
      <w:bookmarkStart w:id="1" w:name="_Hlk126177719"/>
      <w:bookmarkStart w:id="2" w:name="_Hlk126177836"/>
      <w:bookmarkStart w:id="3" w:name="_Hlk126181482"/>
      <w:r>
        <w:t>The Source is taken from a</w:t>
      </w:r>
      <w:r w:rsidR="00A57184">
        <w:t>n</w:t>
      </w:r>
      <w:r>
        <w:t xml:space="preserve"> 11</w:t>
      </w:r>
      <w:r w:rsidRPr="00291E53">
        <w:rPr>
          <w:vertAlign w:val="superscript"/>
        </w:rPr>
        <w:t>th</w:t>
      </w:r>
      <w:r>
        <w:t xml:space="preserve"> century embroidery of </w:t>
      </w:r>
      <w:r w:rsidR="00A64E3E">
        <w:t xml:space="preserve">the Norman conquest of England </w:t>
      </w:r>
      <w:r w:rsidR="00283391">
        <w:t>referred to as</w:t>
      </w:r>
      <w:r w:rsidR="00A64E3E">
        <w:t xml:space="preserve"> </w:t>
      </w:r>
      <w:r w:rsidR="00283391" w:rsidRPr="00283391">
        <w:rPr>
          <w:i/>
          <w:iCs/>
        </w:rPr>
        <w:t>‘T</w:t>
      </w:r>
      <w:r w:rsidR="00A64E3E" w:rsidRPr="00283391">
        <w:rPr>
          <w:i/>
          <w:iCs/>
        </w:rPr>
        <w:t>he Bayeux Tapestry</w:t>
      </w:r>
      <w:r w:rsidR="00283391" w:rsidRPr="00283391">
        <w:rPr>
          <w:i/>
          <w:iCs/>
        </w:rPr>
        <w:t>’</w:t>
      </w:r>
      <w:r>
        <w:t>, though not technically a tapestry</w:t>
      </w:r>
      <w:r w:rsidR="00A64E3E">
        <w:t>,</w:t>
      </w:r>
      <w:r>
        <w:t xml:space="preserve"> popular culture has solidified it as such.</w:t>
      </w:r>
      <w:r>
        <w:rPr>
          <w:rStyle w:val="FootnoteReference"/>
        </w:rPr>
        <w:footnoteReference w:id="2"/>
      </w:r>
      <w:r>
        <w:t xml:space="preserve"> There are many </w:t>
      </w:r>
      <w:r w:rsidR="00B40B30">
        <w:t>hypothesis</w:t>
      </w:r>
      <w:r>
        <w:t xml:space="preserve"> </w:t>
      </w:r>
      <w:r w:rsidR="00B40B30">
        <w:t>surrounding</w:t>
      </w:r>
      <w:r>
        <w:t xml:space="preserve"> the origins of this work of art, all</w:t>
      </w:r>
      <w:r w:rsidR="00A64E3E">
        <w:t xml:space="preserve"> theories are</w:t>
      </w:r>
      <w:r>
        <w:t xml:space="preserve"> vastly different, bu</w:t>
      </w:r>
      <w:r w:rsidR="00283391">
        <w:t>t the general consensus is</w:t>
      </w:r>
      <w:r>
        <w:t xml:space="preserve"> that it was not made in Bayeux, but somewhere in England</w:t>
      </w:r>
      <w:r w:rsidR="007C24D7">
        <w:t>.</w:t>
      </w:r>
      <w:r w:rsidR="007C24D7">
        <w:rPr>
          <w:rStyle w:val="FootnoteReference"/>
        </w:rPr>
        <w:footnoteReference w:id="3"/>
      </w:r>
      <w:r w:rsidR="007C24D7">
        <w:t xml:space="preserve"> </w:t>
      </w:r>
      <w:r w:rsidR="00082B86">
        <w:t>Some</w:t>
      </w:r>
      <w:r>
        <w:t xml:space="preserve"> scholars suggest Canterbury</w:t>
      </w:r>
      <w:r w:rsidR="00A6099A">
        <w:t xml:space="preserve"> as the origin</w:t>
      </w:r>
      <w:r>
        <w:t xml:space="preserve">, St Augustine’s Abbey </w:t>
      </w:r>
      <w:r w:rsidR="007C24D7">
        <w:t>by a group of nuns</w:t>
      </w:r>
      <w:r w:rsidR="00A6099A">
        <w:t xml:space="preserve"> to be precise</w:t>
      </w:r>
      <w:r>
        <w:t>.</w:t>
      </w:r>
      <w:r>
        <w:rPr>
          <w:rStyle w:val="FootnoteReference"/>
        </w:rPr>
        <w:footnoteReference w:id="4"/>
      </w:r>
      <w:r>
        <w:t xml:space="preserve"> </w:t>
      </w:r>
    </w:p>
    <w:p w14:paraId="15CA6641" w14:textId="746EE381" w:rsidR="006F1D09" w:rsidRDefault="006F1D09" w:rsidP="006F1D09">
      <w:r>
        <w:tab/>
      </w:r>
      <w:r w:rsidR="00185A8C">
        <w:t>The House of Normandy most likely commissioned the embroidery</w:t>
      </w:r>
      <w:r>
        <w:t xml:space="preserve">, with </w:t>
      </w:r>
      <w:r w:rsidR="007C24D7">
        <w:t>William’s</w:t>
      </w:r>
      <w:r>
        <w:t xml:space="preserve"> brother</w:t>
      </w:r>
      <w:r w:rsidR="00AF5EEF">
        <w:t xml:space="preserve"> bishop</w:t>
      </w:r>
      <w:r>
        <w:t xml:space="preserve"> Odo as a good candidate</w:t>
      </w:r>
      <w:r w:rsidR="00A64E3E">
        <w:t>,</w:t>
      </w:r>
      <w:r>
        <w:t xml:space="preserve"> although some favour th</w:t>
      </w:r>
      <w:r w:rsidR="00027C45">
        <w:t>e embroidery</w:t>
      </w:r>
      <w:r>
        <w:t xml:space="preserve"> being patronaged by</w:t>
      </w:r>
      <w:r w:rsidR="00A64E3E">
        <w:t xml:space="preserve"> </w:t>
      </w:r>
      <w:r w:rsidR="00283391">
        <w:t xml:space="preserve">Harold </w:t>
      </w:r>
      <w:r w:rsidR="008F5641">
        <w:t>E</w:t>
      </w:r>
      <w:r w:rsidR="00283391">
        <w:t>arl of Wessex sister</w:t>
      </w:r>
      <w:r w:rsidR="00283391">
        <w:t xml:space="preserve">, </w:t>
      </w:r>
      <w:r w:rsidR="00A64E3E">
        <w:t>the widowed</w:t>
      </w:r>
      <w:r>
        <w:t xml:space="preserve"> Queen Edith</w:t>
      </w:r>
      <w:r w:rsidR="00283391">
        <w:t>.</w:t>
      </w:r>
      <w:r w:rsidR="00283391">
        <w:rPr>
          <w:rStyle w:val="FootnoteReference"/>
        </w:rPr>
        <w:footnoteReference w:id="5"/>
      </w:r>
      <w:r w:rsidR="00A64E3E">
        <w:t xml:space="preserve"> All theories are possible, but</w:t>
      </w:r>
      <w:r>
        <w:t xml:space="preserve"> </w:t>
      </w:r>
      <w:r w:rsidR="00A64E3E">
        <w:t>t</w:t>
      </w:r>
      <w:r>
        <w:t>he house of Normandy seems</w:t>
      </w:r>
      <w:r>
        <w:t xml:space="preserve"> the likely </w:t>
      </w:r>
      <w:r w:rsidR="00A64E3E">
        <w:t>source</w:t>
      </w:r>
      <w:r>
        <w:t>. Although this embroidery may have been commissioned to perhaps legitimise Williams claim to the throne and perhaps as a piece of propaganda, we can see that there is a semblance of sympathy in the way Harold is portrayed</w:t>
      </w:r>
      <w:r w:rsidR="00283391">
        <w:t xml:space="preserve">, pointing to a local </w:t>
      </w:r>
      <w:r w:rsidR="00BD3AB0">
        <w:t>origin</w:t>
      </w:r>
      <w:r>
        <w:t>.</w:t>
      </w:r>
      <w:r>
        <w:rPr>
          <w:rStyle w:val="FootnoteReference"/>
        </w:rPr>
        <w:footnoteReference w:id="6"/>
      </w:r>
    </w:p>
    <w:p w14:paraId="78BCC302" w14:textId="3D486840" w:rsidR="00994E07" w:rsidRDefault="006F1D09" w:rsidP="006F1D09">
      <w:r>
        <w:tab/>
      </w:r>
      <w:r w:rsidR="00BD3AB0">
        <w:t>This</w:t>
      </w:r>
      <w:r>
        <w:t xml:space="preserve"> </w:t>
      </w:r>
      <w:r w:rsidR="00027C45">
        <w:t>embroidery</w:t>
      </w:r>
      <w:r>
        <w:t xml:space="preserve"> is depicting Harold </w:t>
      </w:r>
      <w:r w:rsidR="008F5641">
        <w:t>E</w:t>
      </w:r>
      <w:r>
        <w:t>arl of Wessex</w:t>
      </w:r>
      <w:r w:rsidR="00A64E3E">
        <w:t>,</w:t>
      </w:r>
      <w:r>
        <w:t xml:space="preserve"> touching holy reliquaries, swearing an oath of allegiance to William Duke of Normandy</w:t>
      </w:r>
      <w:r w:rsidR="006770E7">
        <w:t>,</w:t>
      </w:r>
      <w:r w:rsidR="00283391">
        <w:t xml:space="preserve"> with Norman witnesses</w:t>
      </w:r>
      <w:r>
        <w:t>.</w:t>
      </w:r>
      <w:r w:rsidR="00A64E3E">
        <w:rPr>
          <w:rStyle w:val="FootnoteReference"/>
        </w:rPr>
        <w:footnoteReference w:id="7"/>
      </w:r>
      <w:r>
        <w:t xml:space="preserve"> This </w:t>
      </w:r>
      <w:r w:rsidR="00283391">
        <w:t>i</w:t>
      </w:r>
      <w:r>
        <w:t>s all following the capture of Harold by Guy</w:t>
      </w:r>
      <w:r w:rsidR="00996CA3">
        <w:t xml:space="preserve"> I</w:t>
      </w:r>
      <w:r>
        <w:t xml:space="preserve">, Count of </w:t>
      </w:r>
      <w:r w:rsidR="00996CA3">
        <w:t>Ponthieu</w:t>
      </w:r>
      <w:r w:rsidR="00A64E3E">
        <w:t>.</w:t>
      </w:r>
      <w:r>
        <w:t xml:space="preserve"> William </w:t>
      </w:r>
      <w:r w:rsidR="00A64E3E">
        <w:t>arrives to rescue</w:t>
      </w:r>
      <w:r>
        <w:t xml:space="preserve"> him from his </w:t>
      </w:r>
      <w:r w:rsidR="00AF7C5D">
        <w:t xml:space="preserve">incarceration </w:t>
      </w:r>
      <w:r w:rsidR="00B263CB">
        <w:t>and</w:t>
      </w:r>
      <w:r>
        <w:t xml:space="preserve"> </w:t>
      </w:r>
      <w:r w:rsidR="00AF7C5D">
        <w:t>returns</w:t>
      </w:r>
      <w:r>
        <w:t xml:space="preserve"> him back to his court</w:t>
      </w:r>
      <w:r w:rsidR="00B263CB">
        <w:t xml:space="preserve"> within</w:t>
      </w:r>
      <w:r>
        <w:t xml:space="preserve"> the </w:t>
      </w:r>
      <w:r w:rsidR="00AF7C5D">
        <w:t>comfort</w:t>
      </w:r>
      <w:r>
        <w:t xml:space="preserve"> of Williams dukedom. Following this</w:t>
      </w:r>
      <w:r w:rsidR="00A64E3E">
        <w:t>,</w:t>
      </w:r>
      <w:r>
        <w:t xml:space="preserve"> Harold </w:t>
      </w:r>
      <w:r>
        <w:lastRenderedPageBreak/>
        <w:t>goes o</w:t>
      </w:r>
      <w:r w:rsidR="00283391">
        <w:t xml:space="preserve">n </w:t>
      </w:r>
      <w:r w:rsidR="006A322C">
        <w:t xml:space="preserve">an </w:t>
      </w:r>
      <w:r w:rsidR="006A322C" w:rsidRPr="006A322C">
        <w:rPr>
          <w:i/>
          <w:iCs/>
        </w:rPr>
        <w:t>‘expedition against the Bretons’</w:t>
      </w:r>
      <w:r w:rsidR="006A322C">
        <w:t xml:space="preserve"> with William</w:t>
      </w:r>
      <w:r w:rsidR="00A64E3E">
        <w:t>,</w:t>
      </w:r>
      <w:r w:rsidR="006A322C">
        <w:rPr>
          <w:rStyle w:val="FootnoteReference"/>
        </w:rPr>
        <w:footnoteReference w:id="8"/>
      </w:r>
      <w:r>
        <w:t xml:space="preserve"> then returns to Williams lands and finally pledges his oath</w:t>
      </w:r>
      <w:r w:rsidR="00027C45">
        <w:t>.</w:t>
      </w:r>
      <w:r>
        <w:t xml:space="preserve"> </w:t>
      </w:r>
      <w:r w:rsidR="00027C45">
        <w:t>T</w:t>
      </w:r>
      <w:r>
        <w:t>hese events are thought to be dated from around November-December 1065</w:t>
      </w:r>
      <w:r w:rsidR="00283391">
        <w:t>CE</w:t>
      </w:r>
      <w:r>
        <w:t>.</w:t>
      </w:r>
      <w:r w:rsidRPr="004B41FF">
        <w:rPr>
          <w:rStyle w:val="FootnoteReference"/>
        </w:rPr>
        <w:t xml:space="preserve"> </w:t>
      </w:r>
      <w:r>
        <w:rPr>
          <w:rStyle w:val="FootnoteReference"/>
        </w:rPr>
        <w:footnoteReference w:id="9"/>
      </w:r>
      <w:r>
        <w:t xml:space="preserve"> The scene that we are </w:t>
      </w:r>
      <w:r w:rsidR="00AF7C5D">
        <w:t>analysing</w:t>
      </w:r>
      <w:r w:rsidR="00B263CB">
        <w:t>,</w:t>
      </w:r>
      <w:r>
        <w:t xml:space="preserve"> although short and not informative</w:t>
      </w:r>
      <w:r w:rsidR="00B263CB">
        <w:t>,</w:t>
      </w:r>
      <w:r>
        <w:t xml:space="preserve"> i</w:t>
      </w:r>
      <w:r w:rsidR="00B263CB">
        <w:t>s</w:t>
      </w:r>
      <w:r>
        <w:t xml:space="preserve"> simply essential to Williams claim to the throne, which seems </w:t>
      </w:r>
      <w:r w:rsidR="00AF7C5D">
        <w:t>bizarre</w:t>
      </w:r>
      <w:r>
        <w:t xml:space="preserve"> considering the lack of detail</w:t>
      </w:r>
      <w:r w:rsidR="00B263CB">
        <w:t>.</w:t>
      </w:r>
      <w:r>
        <w:t xml:space="preserve"> </w:t>
      </w:r>
      <w:r w:rsidR="00B263CB">
        <w:t>T</w:t>
      </w:r>
      <w:r>
        <w:t xml:space="preserve">he </w:t>
      </w:r>
      <w:r w:rsidR="00027C45">
        <w:t>concept</w:t>
      </w:r>
      <w:r>
        <w:t xml:space="preserve"> of Harold giving William his oath</w:t>
      </w:r>
      <w:r w:rsidR="00B263CB">
        <w:t xml:space="preserve"> suggest</w:t>
      </w:r>
      <w:r w:rsidR="00027C45">
        <w:t>s that</w:t>
      </w:r>
      <w:r>
        <w:t xml:space="preserve"> Harold</w:t>
      </w:r>
      <w:r w:rsidR="00B263CB">
        <w:t xml:space="preserve"> </w:t>
      </w:r>
      <w:r w:rsidR="00027C45">
        <w:t>could be</w:t>
      </w:r>
      <w:r w:rsidR="00B263CB">
        <w:t xml:space="preserve"> considered</w:t>
      </w:r>
      <w:r>
        <w:t xml:space="preserve"> a vassal </w:t>
      </w:r>
      <w:r w:rsidR="00B263CB">
        <w:t>of sorts by William</w:t>
      </w:r>
      <w:r w:rsidR="00027C45">
        <w:t xml:space="preserve"> legally</w:t>
      </w:r>
      <w:r>
        <w:t>,</w:t>
      </w:r>
      <w:r w:rsidR="00B263CB">
        <w:t xml:space="preserve"> </w:t>
      </w:r>
      <w:r w:rsidR="00433E48">
        <w:t>which due to Harold’s high standing and power in the Anglo-Saxon world would be a strange flow of events</w:t>
      </w:r>
      <w:r>
        <w:t>.</w:t>
      </w:r>
      <w:r>
        <w:rPr>
          <w:rStyle w:val="FootnoteReference"/>
        </w:rPr>
        <w:footnoteReference w:id="10"/>
      </w:r>
      <w:r w:rsidRPr="00077A5E">
        <w:t xml:space="preserve"> </w:t>
      </w:r>
      <w:r w:rsidR="00BD3AB0">
        <w:t>W</w:t>
      </w:r>
      <w:r>
        <w:t>hy Harol</w:t>
      </w:r>
      <w:r w:rsidR="00B263CB">
        <w:t>d</w:t>
      </w:r>
      <w:r>
        <w:t xml:space="preserve"> visit</w:t>
      </w:r>
      <w:r w:rsidR="00BD3AB0">
        <w:t>ed</w:t>
      </w:r>
      <w:r>
        <w:t xml:space="preserve"> Normandy</w:t>
      </w:r>
      <w:r w:rsidR="00B263CB">
        <w:t xml:space="preserve"> </w:t>
      </w:r>
      <w:r w:rsidR="00BD3AB0">
        <w:t>is debated,</w:t>
      </w:r>
      <w:r>
        <w:t xml:space="preserve"> </w:t>
      </w:r>
      <w:r w:rsidR="00BD3AB0">
        <w:t>i</w:t>
      </w:r>
      <w:r>
        <w:t xml:space="preserve">t seems we find a multitude of </w:t>
      </w:r>
      <w:r w:rsidR="00433E48">
        <w:t>scholars</w:t>
      </w:r>
      <w:r>
        <w:t xml:space="preserve"> that disagree on the matter at hand</w:t>
      </w:r>
      <w:r w:rsidR="00433E48">
        <w:t xml:space="preserve"> and a number of sources that disagree with each other</w:t>
      </w:r>
      <w:r w:rsidR="00027C45">
        <w:t>.</w:t>
      </w:r>
      <w:r>
        <w:t xml:space="preserve"> </w:t>
      </w:r>
      <w:r w:rsidR="00027C45">
        <w:t>S</w:t>
      </w:r>
      <w:r>
        <w:t>ome say he was fishing with armed men,</w:t>
      </w:r>
      <w:r w:rsidR="00B263CB">
        <w:t xml:space="preserve"> other say he came to confer with William of his inheritance,</w:t>
      </w:r>
      <w:r>
        <w:t xml:space="preserve"> others say </w:t>
      </w:r>
      <w:r w:rsidR="00B263CB">
        <w:t>this is simply a fabrication</w:t>
      </w:r>
      <w:r w:rsidR="00082B86">
        <w:t>.</w:t>
      </w:r>
      <w:r w:rsidR="00082B86">
        <w:rPr>
          <w:rStyle w:val="FootnoteReference"/>
        </w:rPr>
        <w:footnoteReference w:id="11"/>
      </w:r>
      <w:r w:rsidR="006A322C">
        <w:t xml:space="preserve"> William of </w:t>
      </w:r>
      <w:r w:rsidR="007F346C">
        <w:t>Jumièges</w:t>
      </w:r>
      <w:r w:rsidR="006A322C">
        <w:t xml:space="preserve"> writes, ‘</w:t>
      </w:r>
      <w:r w:rsidR="006A322C">
        <w:rPr>
          <w:i/>
          <w:iCs/>
        </w:rPr>
        <w:t>Edward , king of the English… sent to him Harold’</w:t>
      </w:r>
      <w:r w:rsidR="00BD3AB0">
        <w:rPr>
          <w:i/>
          <w:iCs/>
        </w:rPr>
        <w:t xml:space="preserve"> </w:t>
      </w:r>
      <w:r w:rsidR="00BD3AB0">
        <w:t>to confirm his inheritance</w:t>
      </w:r>
      <w:r w:rsidR="00082B86">
        <w:t>.</w:t>
      </w:r>
      <w:r w:rsidR="00082B86">
        <w:rPr>
          <w:rStyle w:val="FootnoteReference"/>
        </w:rPr>
        <w:footnoteReference w:id="12"/>
      </w:r>
      <w:r w:rsidR="002E5D95">
        <w:t xml:space="preserve"> </w:t>
      </w:r>
      <w:r w:rsidR="006A322C">
        <w:t>E.</w:t>
      </w:r>
      <w:r w:rsidR="00B91AF2">
        <w:t xml:space="preserve"> </w:t>
      </w:r>
      <w:r w:rsidR="00B263CB">
        <w:t>John writes</w:t>
      </w:r>
      <w:r w:rsidR="00B263CB">
        <w:t>,</w:t>
      </w:r>
    </w:p>
    <w:p w14:paraId="10C18A55" w14:textId="285EF728" w:rsidR="006F1D09" w:rsidRDefault="00B263CB" w:rsidP="00994E07">
      <w:pPr>
        <w:jc w:val="center"/>
      </w:pPr>
      <w:r w:rsidRPr="00C10C0C">
        <w:rPr>
          <w:i/>
          <w:iCs/>
        </w:rPr>
        <w:t>‘Harold can only have gone unwilling</w:t>
      </w:r>
      <w:r w:rsidR="00082B86" w:rsidRPr="00C10C0C">
        <w:rPr>
          <w:i/>
          <w:iCs/>
        </w:rPr>
        <w:t>.’</w:t>
      </w:r>
      <w:r>
        <w:rPr>
          <w:rStyle w:val="FootnoteReference"/>
        </w:rPr>
        <w:footnoteReference w:id="13"/>
      </w:r>
    </w:p>
    <w:p w14:paraId="7DAE58AF" w14:textId="77777777" w:rsidR="00994E07" w:rsidRDefault="006F1D09" w:rsidP="006F1D09">
      <w:r>
        <w:tab/>
      </w:r>
    </w:p>
    <w:p w14:paraId="6BE493A0" w14:textId="1776CC13" w:rsidR="006F1D09" w:rsidRPr="009074DE" w:rsidRDefault="00BD3AB0" w:rsidP="00994E07">
      <w:pPr>
        <w:ind w:firstLine="720"/>
        <w:rPr>
          <w:i/>
          <w:iCs/>
        </w:rPr>
      </w:pPr>
      <w:r>
        <w:t>The only information we are given is</w:t>
      </w:r>
      <w:r w:rsidR="007F346C">
        <w:t xml:space="preserve"> </w:t>
      </w:r>
      <w:r>
        <w:rPr>
          <w:i/>
          <w:iCs/>
        </w:rPr>
        <w:t>‘</w:t>
      </w:r>
      <w:r w:rsidR="006F1D09" w:rsidRPr="009A2A0E">
        <w:rPr>
          <w:i/>
          <w:iCs/>
        </w:rPr>
        <w:t xml:space="preserve">Ubi Harold sacramentum fecit </w:t>
      </w:r>
      <w:r w:rsidR="009074DE">
        <w:rPr>
          <w:i/>
          <w:iCs/>
        </w:rPr>
        <w:t>vv</w:t>
      </w:r>
      <w:r w:rsidR="006F1D09" w:rsidRPr="009A2A0E">
        <w:rPr>
          <w:i/>
          <w:iCs/>
        </w:rPr>
        <w:t xml:space="preserve">ilelmo </w:t>
      </w:r>
      <w:r w:rsidR="009074DE">
        <w:rPr>
          <w:i/>
          <w:iCs/>
        </w:rPr>
        <w:t>d</w:t>
      </w:r>
      <w:r w:rsidR="006F1D09" w:rsidRPr="009A2A0E">
        <w:rPr>
          <w:i/>
          <w:iCs/>
        </w:rPr>
        <w:t>uci’</w:t>
      </w:r>
      <w:r w:rsidR="00B263CB">
        <w:rPr>
          <w:i/>
          <w:iCs/>
        </w:rPr>
        <w:t>,</w:t>
      </w:r>
      <w:r w:rsidR="006F1D09">
        <w:t xml:space="preserve"> or ‘Where Harold swore a sacred oath to Duke William’.</w:t>
      </w:r>
      <w:r w:rsidR="006F1D09">
        <w:rPr>
          <w:rStyle w:val="FootnoteReference"/>
        </w:rPr>
        <w:footnoteReference w:id="14"/>
      </w:r>
      <w:r w:rsidR="006F1D09">
        <w:t xml:space="preserve"> </w:t>
      </w:r>
      <w:r>
        <w:t>W</w:t>
      </w:r>
      <w:r w:rsidR="006F1D09">
        <w:t>e can defer that this statement does</w:t>
      </w:r>
      <w:r w:rsidR="00433E48">
        <w:t xml:space="preserve"> </w:t>
      </w:r>
      <w:r w:rsidR="006F1D09">
        <w:t>n</w:t>
      </w:r>
      <w:r w:rsidR="00433E48">
        <w:t>o</w:t>
      </w:r>
      <w:r w:rsidR="006F1D09">
        <w:t xml:space="preserve">t necessarily </w:t>
      </w:r>
      <w:r w:rsidR="0010612B">
        <w:t>suggest</w:t>
      </w:r>
      <w:r w:rsidR="006F1D09">
        <w:t xml:space="preserve"> </w:t>
      </w:r>
      <w:r w:rsidR="0010612B">
        <w:t>the</w:t>
      </w:r>
      <w:r w:rsidR="006F1D09">
        <w:t xml:space="preserve"> oath </w:t>
      </w:r>
      <w:r w:rsidR="0010612B">
        <w:t>was made by Harold’s own free will</w:t>
      </w:r>
      <w:r w:rsidR="006F1D09">
        <w:t xml:space="preserve">, or </w:t>
      </w:r>
      <w:r w:rsidR="0010612B">
        <w:t>even what the oath was concerning</w:t>
      </w:r>
      <w:r>
        <w:t>.</w:t>
      </w:r>
      <w:r w:rsidR="006A322C">
        <w:t xml:space="preserve"> William of </w:t>
      </w:r>
      <w:r>
        <w:t>Jumi</w:t>
      </w:r>
      <w:r w:rsidR="007F346C">
        <w:t>è</w:t>
      </w:r>
      <w:r>
        <w:t>ges</w:t>
      </w:r>
      <w:r w:rsidR="006A322C">
        <w:t xml:space="preserve"> goes as far as to</w:t>
      </w:r>
      <w:r w:rsidR="00BC04C4">
        <w:t xml:space="preserve"> state</w:t>
      </w:r>
      <w:r w:rsidR="006A322C">
        <w:t xml:space="preserve"> the breaking of the oath</w:t>
      </w:r>
      <w:r w:rsidR="00BC04C4">
        <w:t xml:space="preserve"> was</w:t>
      </w:r>
      <w:r w:rsidR="006A322C">
        <w:t xml:space="preserve"> </w:t>
      </w:r>
      <w:r w:rsidR="00027C45">
        <w:t xml:space="preserve">a </w:t>
      </w:r>
      <w:r w:rsidR="006A322C">
        <w:t>‘Perjuring of fealty’</w:t>
      </w:r>
      <w:r w:rsidR="00027C45">
        <w:t>,</w:t>
      </w:r>
      <w:r w:rsidR="006A322C">
        <w:t xml:space="preserve"> which in context makes it seem like it had legal binding</w:t>
      </w:r>
      <w:r w:rsidR="006F1D09">
        <w:t>.</w:t>
      </w:r>
      <w:r w:rsidR="006A322C">
        <w:rPr>
          <w:rStyle w:val="FootnoteReference"/>
        </w:rPr>
        <w:footnoteReference w:id="15"/>
      </w:r>
      <w:r w:rsidR="006F1D09">
        <w:t xml:space="preserve"> </w:t>
      </w:r>
      <w:r w:rsidR="00BC2408">
        <w:t xml:space="preserve">In </w:t>
      </w:r>
      <w:r>
        <w:t>William of Jumi</w:t>
      </w:r>
      <w:r w:rsidR="007F346C">
        <w:t>è</w:t>
      </w:r>
      <w:r>
        <w:t>ges</w:t>
      </w:r>
      <w:r w:rsidR="00BC2408">
        <w:t xml:space="preserve"> manuscript </w:t>
      </w:r>
      <w:r>
        <w:t xml:space="preserve">we </w:t>
      </w:r>
      <w:r w:rsidR="00BC2408">
        <w:t xml:space="preserve">have a dialogue between Tostig Harold’s brother and Harold himself, Tostig </w:t>
      </w:r>
      <w:r w:rsidR="00BC04C4">
        <w:t>beseeches</w:t>
      </w:r>
      <w:r w:rsidR="00BC2408">
        <w:t xml:space="preserve"> Harold to keep to his oath and not to bring shame to the family and land.</w:t>
      </w:r>
      <w:r w:rsidR="00BC2408">
        <w:rPr>
          <w:rStyle w:val="FootnoteReference"/>
        </w:rPr>
        <w:footnoteReference w:id="16"/>
      </w:r>
      <w:r w:rsidR="00BC2408">
        <w:t xml:space="preserve"> </w:t>
      </w:r>
      <w:r w:rsidR="006F1D09">
        <w:t xml:space="preserve">Considering </w:t>
      </w:r>
      <w:r w:rsidR="0010612B">
        <w:t>this section of</w:t>
      </w:r>
      <w:r w:rsidR="006F1D09">
        <w:t xml:space="preserve"> the </w:t>
      </w:r>
      <w:r w:rsidR="00027C45">
        <w:t>embroidery</w:t>
      </w:r>
      <w:r w:rsidR="006F1D09">
        <w:t xml:space="preserve"> was such an </w:t>
      </w:r>
      <w:r w:rsidR="00BC04C4">
        <w:t>essential</w:t>
      </w:r>
      <w:r w:rsidR="006F1D09">
        <w:t xml:space="preserve"> moment</w:t>
      </w:r>
      <w:r w:rsidR="0010612B">
        <w:t>, and</w:t>
      </w:r>
      <w:r w:rsidR="006F1D09">
        <w:t xml:space="preserve"> </w:t>
      </w:r>
      <w:r>
        <w:t>was</w:t>
      </w:r>
      <w:r w:rsidR="006F1D09">
        <w:t xml:space="preserve"> a point of </w:t>
      </w:r>
      <w:r w:rsidR="0010612B">
        <w:t>legitimacy,</w:t>
      </w:r>
      <w:r w:rsidR="006F1D09">
        <w:t xml:space="preserve"> there are many shortcomings</w:t>
      </w:r>
      <w:r w:rsidR="00B263CB">
        <w:t>.</w:t>
      </w:r>
      <w:r w:rsidR="006F1D09">
        <w:t xml:space="preserve"> </w:t>
      </w:r>
      <w:r w:rsidR="00B263CB">
        <w:t>T</w:t>
      </w:r>
      <w:r w:rsidR="006F1D09">
        <w:t>here is no sign in the</w:t>
      </w:r>
      <w:r w:rsidR="00027C45">
        <w:t xml:space="preserve"> source</w:t>
      </w:r>
      <w:r w:rsidR="006F1D09">
        <w:t xml:space="preserve"> that this oath was </w:t>
      </w:r>
      <w:r w:rsidR="00BC04C4">
        <w:t>voluntary</w:t>
      </w:r>
      <w:r w:rsidR="006F1D09">
        <w:t>, it may have even been coerced from Harold by</w:t>
      </w:r>
      <w:r w:rsidR="00996CA3">
        <w:t xml:space="preserve"> the way of </w:t>
      </w:r>
      <w:r w:rsidR="00BC04C4">
        <w:t>intimidation</w:t>
      </w:r>
      <w:r w:rsidR="006F1D09">
        <w:t>.</w:t>
      </w:r>
      <w:r w:rsidR="006F1D09">
        <w:rPr>
          <w:rStyle w:val="FootnoteReference"/>
        </w:rPr>
        <w:footnoteReference w:id="17"/>
      </w:r>
    </w:p>
    <w:p w14:paraId="50EF530E" w14:textId="07090806" w:rsidR="00423CF6" w:rsidRDefault="006F1D09" w:rsidP="006F1D09">
      <w:r>
        <w:tab/>
        <w:t xml:space="preserve">The inheritance rights in England at the time </w:t>
      </w:r>
      <w:r w:rsidR="0010612B">
        <w:t xml:space="preserve">before the </w:t>
      </w:r>
      <w:r w:rsidR="00BD3AB0">
        <w:t>conquest were elective</w:t>
      </w:r>
      <w:r w:rsidR="0010612B">
        <w:t>.</w:t>
      </w:r>
      <w:r>
        <w:t xml:space="preserve"> </w:t>
      </w:r>
      <w:r w:rsidR="0010612B">
        <w:t>The</w:t>
      </w:r>
      <w:r>
        <w:t xml:space="preserve"> </w:t>
      </w:r>
      <w:r w:rsidR="0010612B">
        <w:t>Normans</w:t>
      </w:r>
      <w:r>
        <w:t xml:space="preserve"> </w:t>
      </w:r>
      <w:r w:rsidR="0010612B">
        <w:t>must</w:t>
      </w:r>
      <w:r>
        <w:t xml:space="preserve"> have </w:t>
      </w:r>
      <w:r w:rsidR="00425694">
        <w:t xml:space="preserve">been conscious </w:t>
      </w:r>
      <w:r>
        <w:t>of t</w:t>
      </w:r>
      <w:r w:rsidR="0010612B">
        <w:t xml:space="preserve">his to </w:t>
      </w:r>
      <w:r w:rsidR="004A6545">
        <w:t>a</w:t>
      </w:r>
      <w:r w:rsidR="0010612B">
        <w:t xml:space="preserve"> degree. </w:t>
      </w:r>
      <w:r w:rsidR="00433E48">
        <w:t xml:space="preserve">P. Bouet and F. Neveux write that </w:t>
      </w:r>
      <w:r>
        <w:t>‘</w:t>
      </w:r>
      <w:r w:rsidRPr="000C670E">
        <w:rPr>
          <w:i/>
          <w:iCs/>
        </w:rPr>
        <w:t>It is obvious that in the first years following the Battle of Hastings the Normans did not dispute Harold’s legitimacy as king</w:t>
      </w:r>
      <w:r>
        <w:rPr>
          <w:i/>
          <w:iCs/>
        </w:rPr>
        <w:t>’</w:t>
      </w:r>
      <w:r>
        <w:t>.</w:t>
      </w:r>
      <w:r>
        <w:rPr>
          <w:rStyle w:val="FootnoteReference"/>
        </w:rPr>
        <w:footnoteReference w:id="18"/>
      </w:r>
      <w:r>
        <w:t xml:space="preserve"> Although Harold was not blood related to Edward</w:t>
      </w:r>
      <w:r w:rsidR="0010612B">
        <w:t>,</w:t>
      </w:r>
      <w:r>
        <w:t xml:space="preserve"> it </w:t>
      </w:r>
      <w:r w:rsidR="00A467D8">
        <w:t>was insubstantial</w:t>
      </w:r>
      <w:r w:rsidR="0010612B">
        <w:t>.</w:t>
      </w:r>
      <w:r>
        <w:t xml:space="preserve"> </w:t>
      </w:r>
      <w:r w:rsidR="0010612B">
        <w:t>T</w:t>
      </w:r>
      <w:r>
        <w:t xml:space="preserve">his was not a primogeniture </w:t>
      </w:r>
      <w:r w:rsidR="0010612B">
        <w:t>inheritance-based</w:t>
      </w:r>
      <w:r>
        <w:t xml:space="preserve"> kingdom, and if a man was chosen the </w:t>
      </w:r>
      <w:r w:rsidR="00A467D8">
        <w:t>monarch</w:t>
      </w:r>
      <w:r>
        <w:t xml:space="preserve"> could simply </w:t>
      </w:r>
      <w:r w:rsidR="00BC04C4">
        <w:t>reconsider</w:t>
      </w:r>
      <w:r w:rsidR="0010612B">
        <w:t>.</w:t>
      </w:r>
      <w:r>
        <w:t xml:space="preserve"> </w:t>
      </w:r>
      <w:r w:rsidR="0010612B">
        <w:t>This seemed</w:t>
      </w:r>
      <w:r>
        <w:t xml:space="preserve"> to be a</w:t>
      </w:r>
      <w:r w:rsidR="00A467D8">
        <w:t xml:space="preserve"> treasured</w:t>
      </w:r>
      <w:r>
        <w:t xml:space="preserve"> </w:t>
      </w:r>
      <w:r w:rsidR="00A467D8">
        <w:t>avocation</w:t>
      </w:r>
      <w:r>
        <w:t xml:space="preserve"> of Edward the Confessor </w:t>
      </w:r>
      <w:r w:rsidR="00A467D8">
        <w:t>considering</w:t>
      </w:r>
      <w:r>
        <w:t xml:space="preserve"> many claimants to the throne had used this to their advantage.</w:t>
      </w:r>
      <w:r w:rsidRPr="00C22C7B">
        <w:rPr>
          <w:rStyle w:val="FootnoteReference"/>
        </w:rPr>
        <w:t xml:space="preserve"> </w:t>
      </w:r>
      <w:r>
        <w:rPr>
          <w:rStyle w:val="FootnoteReference"/>
        </w:rPr>
        <w:footnoteReference w:id="19"/>
      </w:r>
      <w:r w:rsidR="00B91AF2">
        <w:t xml:space="preserve"> </w:t>
      </w:r>
      <w:r w:rsidR="00027C45">
        <w:t xml:space="preserve">E. </w:t>
      </w:r>
      <w:r w:rsidR="00B91AF2">
        <w:t xml:space="preserve">John </w:t>
      </w:r>
      <w:r w:rsidR="00B91AF2">
        <w:t xml:space="preserve">suggests that the ending of the </w:t>
      </w:r>
      <w:r w:rsidR="00B91AF2">
        <w:lastRenderedPageBreak/>
        <w:t xml:space="preserve">Viking invasions was of the utmost importance to the Anglo-Saxons, this may have been the </w:t>
      </w:r>
      <w:r w:rsidR="00A467D8">
        <w:t>mainstay</w:t>
      </w:r>
      <w:r w:rsidR="00B91AF2">
        <w:t xml:space="preserve"> concerning why Edward wanted a Norman on the throne.</w:t>
      </w:r>
      <w:r w:rsidR="00B91AF2">
        <w:rPr>
          <w:rStyle w:val="FootnoteReference"/>
        </w:rPr>
        <w:footnoteReference w:id="20"/>
      </w:r>
      <w:r>
        <w:t xml:space="preserve"> </w:t>
      </w:r>
    </w:p>
    <w:p w14:paraId="72AD7916" w14:textId="789A871F" w:rsidR="00994E07" w:rsidRDefault="00B91AF2" w:rsidP="00994E07">
      <w:pPr>
        <w:ind w:firstLine="720"/>
      </w:pPr>
      <w:r>
        <w:t>T</w:t>
      </w:r>
      <w:r w:rsidR="006F1D09">
        <w:t>he promise of inheritance was given on</w:t>
      </w:r>
      <w:r w:rsidR="00355463">
        <w:t xml:space="preserve"> Edward’s</w:t>
      </w:r>
      <w:r w:rsidR="006F1D09">
        <w:t xml:space="preserve"> death bed, </w:t>
      </w:r>
      <w:r w:rsidR="00A3749A">
        <w:t>and</w:t>
      </w:r>
      <w:r w:rsidR="006F1D09">
        <w:t xml:space="preserve"> Edwards issues with the Godwinson’s </w:t>
      </w:r>
      <w:r w:rsidR="00BD3AB0">
        <w:t>cause</w:t>
      </w:r>
      <w:r w:rsidR="006F1D09">
        <w:t xml:space="preserve"> scholars</w:t>
      </w:r>
      <w:r w:rsidR="00BD3AB0">
        <w:t xml:space="preserve"> to be</w:t>
      </w:r>
      <w:r w:rsidR="006F1D09">
        <w:t xml:space="preserve"> sceptical of</w:t>
      </w:r>
      <w:r w:rsidR="0010612B">
        <w:t xml:space="preserve"> the legitimacy of Harold’s claim</w:t>
      </w:r>
      <w:r w:rsidR="006F1D09">
        <w:t>.</w:t>
      </w:r>
      <w:r w:rsidR="006F1D09">
        <w:rPr>
          <w:rStyle w:val="FootnoteReference"/>
        </w:rPr>
        <w:footnoteReference w:id="21"/>
      </w:r>
      <w:r w:rsidR="006F1D09">
        <w:t xml:space="preserve"> But in</w:t>
      </w:r>
      <w:r w:rsidR="00EF2A3F">
        <w:t xml:space="preserve"> the</w:t>
      </w:r>
      <w:r w:rsidR="006F1D09">
        <w:t xml:space="preserve"> Anglo-Saxon culture</w:t>
      </w:r>
      <w:r w:rsidR="00EF2A3F">
        <w:t>,</w:t>
      </w:r>
      <w:r w:rsidR="006F1D09">
        <w:t xml:space="preserve"> the </w:t>
      </w:r>
      <w:r w:rsidR="00A3749A">
        <w:t>w</w:t>
      </w:r>
      <w:r w:rsidR="006F1D09">
        <w:t xml:space="preserve">itan had the </w:t>
      </w:r>
      <w:r w:rsidR="00A467D8">
        <w:t>valediction</w:t>
      </w:r>
      <w:r w:rsidR="006F1D09">
        <w:t xml:space="preserve"> </w:t>
      </w:r>
      <w:r w:rsidR="00EF2A3F">
        <w:t>when it c</w:t>
      </w:r>
      <w:r w:rsidR="00A3749A">
        <w:t>ame</w:t>
      </w:r>
      <w:r w:rsidR="00EF2A3F">
        <w:t xml:space="preserve"> to inheritance</w:t>
      </w:r>
      <w:r w:rsidR="006F1D09">
        <w:t>, tradition stated that they h</w:t>
      </w:r>
      <w:r w:rsidR="00A3749A">
        <w:t>eld</w:t>
      </w:r>
      <w:r w:rsidR="006F1D09">
        <w:t xml:space="preserve"> the </w:t>
      </w:r>
      <w:r w:rsidR="00A3749A">
        <w:t>decision</w:t>
      </w:r>
      <w:r w:rsidR="006F1D09">
        <w:t xml:space="preserve"> on who was king</w:t>
      </w:r>
      <w:r w:rsidR="00BD3AB0">
        <w:t xml:space="preserve"> and</w:t>
      </w:r>
      <w:r w:rsidR="00A3749A">
        <w:t xml:space="preserve"> scholars agree that at</w:t>
      </w:r>
      <w:r w:rsidR="003577D7">
        <w:t xml:space="preserve"> one point the witan</w:t>
      </w:r>
      <w:r w:rsidR="007F346C">
        <w:t xml:space="preserve"> may have</w:t>
      </w:r>
      <w:r w:rsidR="003577D7">
        <w:t xml:space="preserve"> supported William</w:t>
      </w:r>
      <w:r w:rsidR="00EF2A3F">
        <w:t>.</w:t>
      </w:r>
      <w:r w:rsidR="003577D7">
        <w:rPr>
          <w:rStyle w:val="FootnoteReference"/>
        </w:rPr>
        <w:footnoteReference w:id="22"/>
      </w:r>
      <w:r w:rsidR="006F1D09">
        <w:t xml:space="preserve"> In the Heimskringla</w:t>
      </w:r>
      <w:r w:rsidR="00EF2A3F">
        <w:t>,</w:t>
      </w:r>
      <w:r w:rsidR="006F1D09">
        <w:t xml:space="preserve"> Snorri</w:t>
      </w:r>
      <w:r w:rsidR="00994E07">
        <w:t xml:space="preserve"> Sturlason</w:t>
      </w:r>
      <w:r w:rsidR="006F1D09">
        <w:t xml:space="preserve"> </w:t>
      </w:r>
      <w:r w:rsidR="00EF2A3F">
        <w:t xml:space="preserve">simply </w:t>
      </w:r>
      <w:r w:rsidR="006F1D09">
        <w:t>writes</w:t>
      </w:r>
      <w:r w:rsidR="00994E07">
        <w:t xml:space="preserve"> </w:t>
      </w:r>
      <w:r w:rsidR="00C75B5F">
        <w:t>concerning Williams claim</w:t>
      </w:r>
      <w:r w:rsidR="00994E07">
        <w:t>,</w:t>
      </w:r>
    </w:p>
    <w:p w14:paraId="3B005C88" w14:textId="240F0D03" w:rsidR="006F1D09" w:rsidRDefault="006F1D09" w:rsidP="00994E07">
      <w:pPr>
        <w:ind w:firstLine="720"/>
        <w:jc w:val="center"/>
      </w:pPr>
      <w:r w:rsidRPr="00B71607">
        <w:rPr>
          <w:i/>
          <w:iCs/>
        </w:rPr>
        <w:t>‘</w:t>
      </w:r>
      <w:r w:rsidR="00994E07">
        <w:rPr>
          <w:i/>
          <w:iCs/>
        </w:rPr>
        <w:t>H</w:t>
      </w:r>
      <w:r w:rsidRPr="00B71607">
        <w:rPr>
          <w:i/>
          <w:iCs/>
        </w:rPr>
        <w:t>ad a better right to the kingdom of England than Harald, by reason of the relationship between him and King Edward’</w:t>
      </w:r>
      <w:r w:rsidR="00994E07">
        <w:t>.</w:t>
      </w:r>
      <w:r>
        <w:rPr>
          <w:rStyle w:val="FootnoteReference"/>
        </w:rPr>
        <w:footnoteReference w:id="23"/>
      </w:r>
    </w:p>
    <w:p w14:paraId="7A545CAE" w14:textId="373E2A10" w:rsidR="00994E07" w:rsidRDefault="006F1D09" w:rsidP="006F1D09">
      <w:r>
        <w:tab/>
        <w:t xml:space="preserve">The larger development at hand is </w:t>
      </w:r>
      <w:r w:rsidR="00A467D8">
        <w:t>a recurrent</w:t>
      </w:r>
      <w:r>
        <w:t xml:space="preserve"> occurrence we find with the Norman culture, legitimisation.</w:t>
      </w:r>
      <w:r>
        <w:rPr>
          <w:rStyle w:val="FootnoteReference"/>
        </w:rPr>
        <w:footnoteReference w:id="24"/>
      </w:r>
      <w:r w:rsidR="00EF2A3F">
        <w:t xml:space="preserve"> The Normans</w:t>
      </w:r>
      <w:r>
        <w:t xml:space="preserve"> </w:t>
      </w:r>
      <w:r w:rsidR="00EF2A3F">
        <w:t>desire</w:t>
      </w:r>
      <w:r>
        <w:t xml:space="preserve"> stability</w:t>
      </w:r>
      <w:r w:rsidR="00EF2A3F">
        <w:t xml:space="preserve">, and they commonly used documents and art works to </w:t>
      </w:r>
      <w:r w:rsidR="00A467D8">
        <w:t xml:space="preserve">aid </w:t>
      </w:r>
      <w:r w:rsidR="00EF2A3F">
        <w:t xml:space="preserve">their </w:t>
      </w:r>
      <w:r w:rsidR="00A467D8">
        <w:t>intent</w:t>
      </w:r>
      <w:r>
        <w:t>.</w:t>
      </w:r>
      <w:r>
        <w:rPr>
          <w:rStyle w:val="FootnoteReference"/>
        </w:rPr>
        <w:footnoteReference w:id="25"/>
      </w:r>
      <w:r>
        <w:t xml:space="preserve"> They found many a scribe to write down their deeds and their fortunes given to them by</w:t>
      </w:r>
      <w:r w:rsidR="005B56B6">
        <w:t xml:space="preserve"> divine intervention, William of Jumi</w:t>
      </w:r>
      <w:r w:rsidR="007F346C">
        <w:t>è</w:t>
      </w:r>
      <w:r w:rsidR="005B56B6">
        <w:t xml:space="preserve">ges writes that God set William free of his fear of the threat of the enemy, he was given the courage to do this by the </w:t>
      </w:r>
      <w:r w:rsidR="00A467D8">
        <w:t>divine</w:t>
      </w:r>
      <w:r w:rsidR="005B56B6">
        <w:t xml:space="preserve">, and Harold is </w:t>
      </w:r>
      <w:r w:rsidR="007F346C">
        <w:t>referred to</w:t>
      </w:r>
      <w:r w:rsidR="005B56B6">
        <w:t xml:space="preserve"> as ‘the enemy’</w:t>
      </w:r>
      <w:r w:rsidR="00EF2A3F">
        <w:t>.</w:t>
      </w:r>
      <w:r w:rsidR="005B56B6">
        <w:rPr>
          <w:rStyle w:val="FootnoteReference"/>
        </w:rPr>
        <w:footnoteReference w:id="26"/>
      </w:r>
      <w:r>
        <w:t xml:space="preserve"> Within a decade</w:t>
      </w:r>
      <w:r w:rsidR="00EF2A3F">
        <w:t xml:space="preserve"> of the conquest,</w:t>
      </w:r>
      <w:r>
        <w:t xml:space="preserve"> English rebels were painted as traitors, </w:t>
      </w:r>
      <w:r w:rsidR="00994E07">
        <w:t>t</w:t>
      </w:r>
      <w:r>
        <w:t xml:space="preserve">his </w:t>
      </w:r>
      <w:r w:rsidR="00027C45">
        <w:t>embroidery</w:t>
      </w:r>
      <w:r>
        <w:t xml:space="preserve"> was created to congratulate the newly crowned king of England</w:t>
      </w:r>
      <w:r w:rsidR="00EF2A3F">
        <w:t>,</w:t>
      </w:r>
      <w:r>
        <w:t xml:space="preserve"> a</w:t>
      </w:r>
      <w:r w:rsidR="00EF2A3F">
        <w:t>s well as</w:t>
      </w:r>
      <w:r>
        <w:t xml:space="preserve"> his just war for his rightful claim to the throne under the same </w:t>
      </w:r>
      <w:r w:rsidR="00EF2A3F">
        <w:t>divine proposition</w:t>
      </w:r>
      <w:r>
        <w:t>.</w:t>
      </w:r>
      <w:r>
        <w:rPr>
          <w:rStyle w:val="FootnoteReference"/>
        </w:rPr>
        <w:footnoteReference w:id="27"/>
      </w:r>
      <w:r w:rsidR="00994E07" w:rsidRPr="00994E07">
        <w:t xml:space="preserve"> </w:t>
      </w:r>
      <w:r w:rsidR="00994E07">
        <w:t>L. Ashe writes</w:t>
      </w:r>
      <w:r w:rsidR="00994E07">
        <w:t>,</w:t>
      </w:r>
      <w:r w:rsidR="00994E07">
        <w:t xml:space="preserve">  </w:t>
      </w:r>
    </w:p>
    <w:p w14:paraId="3EDE24F2" w14:textId="28F58520" w:rsidR="00994E07" w:rsidRDefault="00994E07" w:rsidP="00994E07">
      <w:pPr>
        <w:jc w:val="center"/>
      </w:pPr>
      <w:r>
        <w:t>‘</w:t>
      </w:r>
      <w:r w:rsidRPr="00C8026E">
        <w:rPr>
          <w:i/>
          <w:iCs/>
        </w:rPr>
        <w:t>God had given England to the Normans’</w:t>
      </w:r>
      <w:r>
        <w:t>.</w:t>
      </w:r>
      <w:r>
        <w:rPr>
          <w:rStyle w:val="FootnoteReference"/>
        </w:rPr>
        <w:footnoteReference w:id="28"/>
      </w:r>
    </w:p>
    <w:p w14:paraId="318F77DC" w14:textId="77777777" w:rsidR="00994E07" w:rsidRDefault="00994E07" w:rsidP="00994E07">
      <w:pPr>
        <w:ind w:firstLine="720"/>
      </w:pPr>
    </w:p>
    <w:p w14:paraId="211062B3" w14:textId="10051796" w:rsidR="006F1D09" w:rsidRDefault="00355463" w:rsidP="00994E07">
      <w:pPr>
        <w:ind w:firstLine="720"/>
      </w:pPr>
      <w:r>
        <w:t xml:space="preserve">The </w:t>
      </w:r>
      <w:r w:rsidR="006F1D09">
        <w:t>Norman</w:t>
      </w:r>
      <w:r>
        <w:t xml:space="preserve"> conquest</w:t>
      </w:r>
      <w:r w:rsidR="006F1D09">
        <w:t xml:space="preserve"> had</w:t>
      </w:r>
      <w:r w:rsidR="00EF2A3F">
        <w:t xml:space="preserve"> at this time</w:t>
      </w:r>
      <w:r w:rsidR="006F1D09">
        <w:t xml:space="preserve"> </w:t>
      </w:r>
      <w:r w:rsidR="00A467D8">
        <w:t>appeared</w:t>
      </w:r>
      <w:r w:rsidR="006F1D09">
        <w:t xml:space="preserve"> to stem from </w:t>
      </w:r>
      <w:r w:rsidR="00A467D8">
        <w:t>disregard</w:t>
      </w:r>
      <w:r>
        <w:t xml:space="preserve"> </w:t>
      </w:r>
      <w:r w:rsidR="00A467D8">
        <w:t>for</w:t>
      </w:r>
      <w:r>
        <w:t xml:space="preserve"> tradition</w:t>
      </w:r>
      <w:r w:rsidR="00EF2A3F">
        <w:t>,</w:t>
      </w:r>
      <w:r w:rsidR="006F1D09">
        <w:t xml:space="preserve"> </w:t>
      </w:r>
      <w:r w:rsidR="00A467D8">
        <w:t>but may</w:t>
      </w:r>
      <w:r>
        <w:t xml:space="preserve"> have been a calculated set of </w:t>
      </w:r>
      <w:r w:rsidR="00A467D8">
        <w:t>shrewd</w:t>
      </w:r>
      <w:r>
        <w:t xml:space="preserve"> movements made by William and his </w:t>
      </w:r>
      <w:r w:rsidR="00A467D8">
        <w:t>entourage</w:t>
      </w:r>
      <w:r w:rsidR="006F1D09">
        <w:t>. In the people’s eyes no one wanted to provoke them enough to become the next target, especially with the papacy at their side.</w:t>
      </w:r>
      <w:r w:rsidR="006F1D09">
        <w:rPr>
          <w:rStyle w:val="FootnoteReference"/>
        </w:rPr>
        <w:footnoteReference w:id="29"/>
      </w:r>
      <w:r w:rsidR="006F1D09">
        <w:t xml:space="preserve"> </w:t>
      </w:r>
      <w:r w:rsidR="005B56B6">
        <w:t xml:space="preserve"> It seems the </w:t>
      </w:r>
      <w:r w:rsidR="006F1D09">
        <w:t xml:space="preserve">European kingdoms </w:t>
      </w:r>
      <w:r w:rsidR="005B56B6">
        <w:t xml:space="preserve">generally </w:t>
      </w:r>
      <w:r w:rsidR="006F1D09">
        <w:t xml:space="preserve">agreed with </w:t>
      </w:r>
      <w:r w:rsidR="00996CA3">
        <w:t>William’s</w:t>
      </w:r>
      <w:r w:rsidR="006F1D09">
        <w:t xml:space="preserve"> invasion of England</w:t>
      </w:r>
      <w:r w:rsidR="00BD3AB0">
        <w:t xml:space="preserve"> as Van Houts details in her research</w:t>
      </w:r>
      <w:r w:rsidR="006F1D09">
        <w:t xml:space="preserve">, and it would seem as soon as the pope backs a claimant or a party, they are </w:t>
      </w:r>
      <w:r w:rsidR="00F72B15">
        <w:t>predominantly</w:t>
      </w:r>
      <w:r w:rsidR="006F1D09">
        <w:t xml:space="preserve"> positively </w:t>
      </w:r>
      <w:r w:rsidR="00A467D8">
        <w:t>advocated</w:t>
      </w:r>
      <w:r>
        <w:t xml:space="preserve"> for fear of repercussions</w:t>
      </w:r>
      <w:r w:rsidR="006F1D09">
        <w:t>.</w:t>
      </w:r>
      <w:r w:rsidR="006F1D09">
        <w:rPr>
          <w:rStyle w:val="FootnoteReference"/>
        </w:rPr>
        <w:footnoteReference w:id="30"/>
      </w:r>
    </w:p>
    <w:p w14:paraId="25E92CF1" w14:textId="6F434E83" w:rsidR="00994E07" w:rsidRDefault="006F1D09" w:rsidP="006F1D09">
      <w:r>
        <w:tab/>
        <w:t>Some could say Edward the Confessors lack of decisiveness</w:t>
      </w:r>
      <w:r w:rsidR="007D404A">
        <w:t xml:space="preserve"> in choosing an heir</w:t>
      </w:r>
      <w:r>
        <w:t xml:space="preserve"> had a strong part to play in the Godwinson’s demise, he </w:t>
      </w:r>
      <w:r w:rsidR="00EF2A3F">
        <w:t>had a</w:t>
      </w:r>
      <w:r w:rsidR="007D404A">
        <w:t>n</w:t>
      </w:r>
      <w:r w:rsidR="00EF2A3F">
        <w:t xml:space="preserve"> </w:t>
      </w:r>
      <w:r w:rsidR="007D404A">
        <w:t xml:space="preserve">aggressive history with the Godwinson’s, and </w:t>
      </w:r>
      <w:r w:rsidR="003577D7">
        <w:t xml:space="preserve">Edward </w:t>
      </w:r>
      <w:r w:rsidR="008D72CF">
        <w:t>directly</w:t>
      </w:r>
      <w:r w:rsidR="00355463">
        <w:t xml:space="preserve"> involved in the</w:t>
      </w:r>
      <w:r w:rsidR="003577D7">
        <w:t xml:space="preserve"> exil</w:t>
      </w:r>
      <w:r w:rsidR="00355463">
        <w:t>e of</w:t>
      </w:r>
      <w:r w:rsidR="008D72CF">
        <w:t xml:space="preserve"> </w:t>
      </w:r>
      <w:r w:rsidR="00A3749A">
        <w:t>Godwin and his family</w:t>
      </w:r>
      <w:r w:rsidR="007D404A">
        <w:t>.</w:t>
      </w:r>
      <w:r w:rsidR="007D404A">
        <w:rPr>
          <w:rStyle w:val="FootnoteReference"/>
        </w:rPr>
        <w:footnoteReference w:id="31"/>
      </w:r>
      <w:r w:rsidR="007D404A">
        <w:t xml:space="preserve"> </w:t>
      </w:r>
      <w:r>
        <w:t xml:space="preserve">Harold </w:t>
      </w:r>
      <w:r w:rsidR="007D404A">
        <w:t>had been</w:t>
      </w:r>
      <w:r>
        <w:t xml:space="preserve"> burdened with a newly inherited mass of issues</w:t>
      </w:r>
      <w:r w:rsidR="007D404A">
        <w:t xml:space="preserve"> at the time of Edwards death</w:t>
      </w:r>
      <w:r>
        <w:t xml:space="preserve">. </w:t>
      </w:r>
      <w:r>
        <w:rPr>
          <w:rStyle w:val="FootnoteReference"/>
        </w:rPr>
        <w:footnoteReference w:id="32"/>
      </w:r>
      <w:r w:rsidR="00996CA3">
        <w:t xml:space="preserve"> </w:t>
      </w:r>
      <w:r>
        <w:t xml:space="preserve">E. John writes, </w:t>
      </w:r>
      <w:r w:rsidRPr="00C10C0C">
        <w:rPr>
          <w:i/>
          <w:iCs/>
        </w:rPr>
        <w:t>‘Duke William's succession meant ruin to the Godwines; that was one thing Edward and Earl Godwine were agreed on and perfectly right they were’</w:t>
      </w:r>
      <w:r>
        <w:t>.</w:t>
      </w:r>
      <w:r>
        <w:rPr>
          <w:rStyle w:val="FootnoteReference"/>
        </w:rPr>
        <w:footnoteReference w:id="33"/>
      </w:r>
      <w:r>
        <w:t xml:space="preserve"> It was to such an extent</w:t>
      </w:r>
      <w:r w:rsidR="007D404A">
        <w:t>,</w:t>
      </w:r>
      <w:r>
        <w:t xml:space="preserve"> that people portray him as a villain or weak in many of their narratives</w:t>
      </w:r>
      <w:r w:rsidR="007D404A">
        <w:t xml:space="preserve"> such as</w:t>
      </w:r>
      <w:r>
        <w:t xml:space="preserve"> the scene </w:t>
      </w:r>
      <w:r w:rsidR="00C75B5F">
        <w:t>in the Bayeux Tapestry</w:t>
      </w:r>
      <w:r w:rsidR="002573E9">
        <w:t>.</w:t>
      </w:r>
      <w:r>
        <w:t xml:space="preserve"> </w:t>
      </w:r>
      <w:r w:rsidR="002573E9">
        <w:t>I</w:t>
      </w:r>
      <w:r>
        <w:t xml:space="preserve">n this scene we have </w:t>
      </w:r>
      <w:r>
        <w:lastRenderedPageBreak/>
        <w:t xml:space="preserve">Harold </w:t>
      </w:r>
      <w:r w:rsidR="007D404A">
        <w:t>unarmed</w:t>
      </w:r>
      <w:r>
        <w:t>,</w:t>
      </w:r>
      <w:r w:rsidR="007D404A">
        <w:t xml:space="preserve"> almost</w:t>
      </w:r>
      <w:r>
        <w:t xml:space="preserve"> bowing to the </w:t>
      </w:r>
      <w:r w:rsidR="008F5641">
        <w:t>d</w:t>
      </w:r>
      <w:r>
        <w:t>uke</w:t>
      </w:r>
      <w:r w:rsidR="002573E9">
        <w:t>,</w:t>
      </w:r>
      <w:r>
        <w:t xml:space="preserve"> William is clearly superior</w:t>
      </w:r>
      <w:r w:rsidR="007F346C">
        <w:t xml:space="preserve"> </w:t>
      </w:r>
      <w:r>
        <w:t xml:space="preserve">and </w:t>
      </w:r>
      <w:r w:rsidR="00355463">
        <w:t>th</w:t>
      </w:r>
      <w:r w:rsidR="00F72B15">
        <w:t>at</w:t>
      </w:r>
      <w:r w:rsidR="00355463">
        <w:t xml:space="preserve"> </w:t>
      </w:r>
      <w:r w:rsidR="00F72B15">
        <w:t>reality</w:t>
      </w:r>
      <w:r w:rsidR="00355463">
        <w:t xml:space="preserve"> </w:t>
      </w:r>
      <w:r>
        <w:t xml:space="preserve">is not </w:t>
      </w:r>
      <w:r w:rsidR="00F72B15">
        <w:t>concealed</w:t>
      </w:r>
      <w:r>
        <w:t xml:space="preserve"> in subtext</w:t>
      </w:r>
      <w:r w:rsidR="007D404A">
        <w:t>.</w:t>
      </w:r>
      <w:r>
        <w:t xml:space="preserve"> </w:t>
      </w:r>
      <w:r w:rsidR="002573E9">
        <w:t>Harold’s</w:t>
      </w:r>
      <w:r>
        <w:t xml:space="preserve"> captu</w:t>
      </w:r>
      <w:r w:rsidR="002573E9">
        <w:t>re</w:t>
      </w:r>
      <w:r>
        <w:t xml:space="preserve"> and </w:t>
      </w:r>
      <w:r w:rsidR="002573E9">
        <w:t xml:space="preserve">need for rescue </w:t>
      </w:r>
      <w:r>
        <w:t>suggests that he cannot look after himself let alone a country</w:t>
      </w:r>
      <w:r w:rsidR="007D404A">
        <w:t>.</w:t>
      </w:r>
      <w:r>
        <w:t xml:space="preserve"> </w:t>
      </w:r>
      <w:r w:rsidR="00994E07">
        <w:t xml:space="preserve">L. </w:t>
      </w:r>
      <w:r>
        <w:t>Ashe writes</w:t>
      </w:r>
      <w:r w:rsidR="00994E07">
        <w:t>,</w:t>
      </w:r>
      <w:r>
        <w:t xml:space="preserve"> </w:t>
      </w:r>
    </w:p>
    <w:p w14:paraId="0CA71F28" w14:textId="2C3FC805" w:rsidR="006F1D09" w:rsidRDefault="006F1D09" w:rsidP="00994E07">
      <w:pPr>
        <w:jc w:val="center"/>
      </w:pPr>
      <w:r w:rsidRPr="00C8026E">
        <w:rPr>
          <w:i/>
          <w:iCs/>
        </w:rPr>
        <w:t>‘King Harold is systematically damned by, diminished in, or excluded from the mainstream of post-Conquest English historiography’</w:t>
      </w:r>
      <w:r>
        <w:t>.</w:t>
      </w:r>
      <w:r>
        <w:rPr>
          <w:rStyle w:val="FootnoteReference"/>
        </w:rPr>
        <w:footnoteReference w:id="34"/>
      </w:r>
    </w:p>
    <w:p w14:paraId="026308DE" w14:textId="628A755A" w:rsidR="006F1D09" w:rsidRDefault="006F1D09" w:rsidP="006F1D09">
      <w:r>
        <w:tab/>
        <w:t>In conclusion,</w:t>
      </w:r>
      <w:r w:rsidR="005E0729">
        <w:t xml:space="preserve"> th</w:t>
      </w:r>
      <w:r w:rsidR="00F72B15">
        <w:t>is</w:t>
      </w:r>
      <w:r w:rsidR="005E0729">
        <w:t xml:space="preserve"> scene</w:t>
      </w:r>
      <w:r>
        <w:t xml:space="preserve"> represents</w:t>
      </w:r>
      <w:r w:rsidR="005E0729">
        <w:t xml:space="preserve"> a vastly evasive subject</w:t>
      </w:r>
      <w:r>
        <w:t>. A powerful duke,</w:t>
      </w:r>
      <w:r w:rsidR="002573E9">
        <w:t xml:space="preserve"> William</w:t>
      </w:r>
      <w:r>
        <w:t xml:space="preserve"> </w:t>
      </w:r>
      <w:r w:rsidR="002573E9">
        <w:t>f</w:t>
      </w:r>
      <w:r>
        <w:t>uture king of England and a</w:t>
      </w:r>
      <w:r w:rsidR="00F72B15">
        <w:t xml:space="preserve"> feeble</w:t>
      </w:r>
      <w:r>
        <w:t xml:space="preserve"> </w:t>
      </w:r>
      <w:r w:rsidR="002573E9">
        <w:t>e</w:t>
      </w:r>
      <w:r>
        <w:t>arl,</w:t>
      </w:r>
      <w:r w:rsidR="002573E9">
        <w:t xml:space="preserve"> Harold,</w:t>
      </w:r>
      <w:r>
        <w:t xml:space="preserve"> usurper of the throne</w:t>
      </w:r>
      <w:r w:rsidR="002573E9">
        <w:t xml:space="preserve"> and</w:t>
      </w:r>
      <w:r>
        <w:t xml:space="preserve"> oath breaker. </w:t>
      </w:r>
      <w:r w:rsidR="00CE1066">
        <w:t>The Normans were not foreign to u</w:t>
      </w:r>
      <w:r w:rsidR="00F72B15">
        <w:t>sing clandestine</w:t>
      </w:r>
      <w:r w:rsidR="00CE1066">
        <w:t xml:space="preserve"> tactics and propaganda to </w:t>
      </w:r>
      <w:r w:rsidR="00F72B15">
        <w:t>facilitate</w:t>
      </w:r>
      <w:r w:rsidR="00CE1066">
        <w:t xml:space="preserve"> their cause</w:t>
      </w:r>
      <w:r w:rsidR="000E7419">
        <w:t>.</w:t>
      </w:r>
      <w:r w:rsidR="00AF5EEF">
        <w:t xml:space="preserve"> </w:t>
      </w:r>
      <w:r w:rsidR="000E7419">
        <w:t>T</w:t>
      </w:r>
      <w:r w:rsidR="00AF5EEF">
        <w:t>his source puts into perspective the Norman</w:t>
      </w:r>
      <w:r w:rsidR="005E0729">
        <w:t>s</w:t>
      </w:r>
      <w:r w:rsidR="00AF5EEF">
        <w:t xml:space="preserve"> focus</w:t>
      </w:r>
      <w:r w:rsidR="005E0729">
        <w:t xml:space="preserve"> concerning</w:t>
      </w:r>
      <w:r w:rsidR="00AF5EEF">
        <w:t xml:space="preserve"> Harold’s oath</w:t>
      </w:r>
      <w:r w:rsidR="00A3749A">
        <w:t>,</w:t>
      </w:r>
      <w:r w:rsidR="00AF5EEF">
        <w:t xml:space="preserve"> and how important it </w:t>
      </w:r>
      <w:r w:rsidR="005E0729">
        <w:t>was</w:t>
      </w:r>
      <w:r w:rsidR="00AF5EEF">
        <w:t xml:space="preserve"> to </w:t>
      </w:r>
      <w:r w:rsidR="00A3749A">
        <w:t>William’s</w:t>
      </w:r>
      <w:r w:rsidR="00AF5EEF">
        <w:t xml:space="preserve"> legitimisation</w:t>
      </w:r>
      <w:r w:rsidR="00A3749A">
        <w:t>.</w:t>
      </w:r>
      <w:r w:rsidR="00AF5EEF">
        <w:t xml:space="preserve"> </w:t>
      </w:r>
      <w:r w:rsidR="00A3749A">
        <w:t>T</w:t>
      </w:r>
      <w:r w:rsidR="00AF5EEF">
        <w:t xml:space="preserve">his small detail allows him to get around the fact that Edward may have </w:t>
      </w:r>
      <w:r w:rsidR="00F72B15">
        <w:t>announced</w:t>
      </w:r>
      <w:r w:rsidR="00AF5EEF">
        <w:t xml:space="preserve"> Harold as his successor, as due to the oath Harold was</w:t>
      </w:r>
      <w:r w:rsidR="00F72B15">
        <w:t xml:space="preserve"> legally a</w:t>
      </w:r>
      <w:r w:rsidR="00AF5EEF">
        <w:t xml:space="preserve"> vassal of William</w:t>
      </w:r>
      <w:r w:rsidR="00F72B15">
        <w:t>,</w:t>
      </w:r>
      <w:r w:rsidR="00AF5EEF">
        <w:t xml:space="preserve"> </w:t>
      </w:r>
      <w:r w:rsidR="00F72B15">
        <w:t>he</w:t>
      </w:r>
      <w:r w:rsidR="00AF5EEF">
        <w:t xml:space="preserve"> </w:t>
      </w:r>
      <w:r w:rsidR="00F72B15">
        <w:t>made a covenant on</w:t>
      </w:r>
      <w:r w:rsidR="00AF5EEF">
        <w:t xml:space="preserve"> reliquaries and under the supervision of God himself</w:t>
      </w:r>
      <w:r w:rsidR="000E7419">
        <w:t xml:space="preserve">, </w:t>
      </w:r>
      <w:r w:rsidR="00994E07">
        <w:t>regardless of the fact of the reliability of the</w:t>
      </w:r>
      <w:r w:rsidR="000E7419">
        <w:t xml:space="preserve"> oath itself</w:t>
      </w:r>
      <w:r w:rsidR="00994E07">
        <w:t xml:space="preserve"> and whether it</w:t>
      </w:r>
      <w:r w:rsidR="000E7419">
        <w:t xml:space="preserve"> </w:t>
      </w:r>
      <w:r w:rsidR="00C470F1">
        <w:t>occurred</w:t>
      </w:r>
      <w:r w:rsidR="000E7419">
        <w:t xml:space="preserve"> or no</w:t>
      </w:r>
      <w:r w:rsidR="00C470F1">
        <w:t>t, the Bayeux Tapestry is</w:t>
      </w:r>
      <w:r w:rsidR="00F72B15">
        <w:t xml:space="preserve"> enduring</w:t>
      </w:r>
      <w:r w:rsidR="00C470F1">
        <w:t xml:space="preserve"> evidence of th</w:t>
      </w:r>
      <w:r w:rsidR="005E0729">
        <w:t xml:space="preserve">e </w:t>
      </w:r>
      <w:r w:rsidR="00F72B15">
        <w:t>deed</w:t>
      </w:r>
      <w:r w:rsidR="00C470F1">
        <w:t>.</w:t>
      </w:r>
      <w:r w:rsidR="000E7419">
        <w:t xml:space="preserve"> </w:t>
      </w:r>
      <w:r w:rsidR="00AF5EEF">
        <w:t xml:space="preserve"> </w:t>
      </w:r>
    </w:p>
    <w:bookmarkEnd w:id="0"/>
    <w:p w14:paraId="561DCBC5" w14:textId="077DA397" w:rsidR="00407C18" w:rsidRDefault="006F1D09" w:rsidP="00185A8C">
      <w:r>
        <w:tab/>
      </w:r>
    </w:p>
    <w:bookmarkEnd w:id="2"/>
    <w:p w14:paraId="79F99179" w14:textId="77777777" w:rsidR="00407C18" w:rsidRDefault="00407C18" w:rsidP="00185A8C"/>
    <w:bookmarkEnd w:id="1"/>
    <w:p w14:paraId="53827D1A" w14:textId="77777777" w:rsidR="00407C18" w:rsidRDefault="00407C18" w:rsidP="00185A8C"/>
    <w:p w14:paraId="6DA92FB9" w14:textId="77777777" w:rsidR="005B56B6" w:rsidRDefault="005B56B6" w:rsidP="00185A8C">
      <w:pPr>
        <w:rPr>
          <w:b/>
          <w:bCs/>
          <w:i/>
          <w:iCs/>
          <w:sz w:val="44"/>
          <w:szCs w:val="44"/>
          <w:u w:val="single"/>
        </w:rPr>
      </w:pPr>
    </w:p>
    <w:p w14:paraId="163A31A7" w14:textId="77777777" w:rsidR="005B56B6" w:rsidRDefault="005B56B6" w:rsidP="00185A8C"/>
    <w:bookmarkEnd w:id="3"/>
    <w:p w14:paraId="0DC9DF61" w14:textId="77777777" w:rsidR="005B56B6" w:rsidRDefault="005B56B6" w:rsidP="00185A8C"/>
    <w:p w14:paraId="3DF57732" w14:textId="77777777" w:rsidR="005B56B6" w:rsidRDefault="005B56B6" w:rsidP="00185A8C"/>
    <w:p w14:paraId="1C7591CA" w14:textId="77777777" w:rsidR="005B56B6" w:rsidRDefault="005B56B6" w:rsidP="00185A8C"/>
    <w:p w14:paraId="31347538" w14:textId="77777777" w:rsidR="005B56B6" w:rsidRDefault="005B56B6" w:rsidP="00185A8C"/>
    <w:p w14:paraId="403CE37F" w14:textId="77777777" w:rsidR="005B56B6" w:rsidRDefault="005B56B6" w:rsidP="00185A8C"/>
    <w:p w14:paraId="48B27876" w14:textId="65CA9454" w:rsidR="00994E07" w:rsidRDefault="00994E07" w:rsidP="00185A8C"/>
    <w:p w14:paraId="27A95985" w14:textId="77777777" w:rsidR="00185A8C" w:rsidRDefault="00185A8C" w:rsidP="00185A8C"/>
    <w:p w14:paraId="5B0C6E33" w14:textId="77777777" w:rsidR="00994E07" w:rsidRDefault="00994E07" w:rsidP="00185A8C"/>
    <w:p w14:paraId="4ED53F0E" w14:textId="77777777" w:rsidR="00185A8C" w:rsidRDefault="00185A8C" w:rsidP="007C24D7">
      <w:pPr>
        <w:jc w:val="center"/>
        <w:rPr>
          <w:b/>
          <w:bCs/>
          <w:i/>
          <w:iCs/>
          <w:sz w:val="44"/>
          <w:szCs w:val="44"/>
          <w:u w:val="single"/>
        </w:rPr>
      </w:pPr>
    </w:p>
    <w:p w14:paraId="7C95C11D" w14:textId="77777777" w:rsidR="00185A8C" w:rsidRDefault="00185A8C" w:rsidP="007C24D7">
      <w:pPr>
        <w:jc w:val="center"/>
        <w:rPr>
          <w:b/>
          <w:bCs/>
          <w:i/>
          <w:iCs/>
          <w:sz w:val="44"/>
          <w:szCs w:val="44"/>
          <w:u w:val="single"/>
        </w:rPr>
      </w:pPr>
    </w:p>
    <w:p w14:paraId="61308115" w14:textId="77777777" w:rsidR="00185A8C" w:rsidRDefault="00185A8C" w:rsidP="007C24D7">
      <w:pPr>
        <w:jc w:val="center"/>
        <w:rPr>
          <w:b/>
          <w:bCs/>
          <w:i/>
          <w:iCs/>
          <w:sz w:val="44"/>
          <w:szCs w:val="44"/>
          <w:u w:val="single"/>
        </w:rPr>
      </w:pPr>
    </w:p>
    <w:p w14:paraId="2E038ECB" w14:textId="77777777" w:rsidR="00185A8C" w:rsidRDefault="00185A8C" w:rsidP="007C24D7">
      <w:pPr>
        <w:jc w:val="center"/>
        <w:rPr>
          <w:b/>
          <w:bCs/>
          <w:i/>
          <w:iCs/>
          <w:sz w:val="44"/>
          <w:szCs w:val="44"/>
          <w:u w:val="single"/>
        </w:rPr>
      </w:pPr>
    </w:p>
    <w:p w14:paraId="5D79170B" w14:textId="1CD4E28A" w:rsidR="007C24D7" w:rsidRPr="00407C18" w:rsidRDefault="007C24D7" w:rsidP="007C24D7">
      <w:pPr>
        <w:jc w:val="center"/>
        <w:rPr>
          <w:b/>
          <w:bCs/>
          <w:i/>
          <w:iCs/>
          <w:sz w:val="44"/>
          <w:szCs w:val="44"/>
          <w:u w:val="single"/>
        </w:rPr>
      </w:pPr>
      <w:r w:rsidRPr="00407C18">
        <w:rPr>
          <w:b/>
          <w:bCs/>
          <w:i/>
          <w:iCs/>
          <w:sz w:val="44"/>
          <w:szCs w:val="44"/>
          <w:u w:val="single"/>
        </w:rPr>
        <w:t>Bibliography</w:t>
      </w:r>
    </w:p>
    <w:p w14:paraId="3E7CA2B9" w14:textId="6E1CD944" w:rsidR="007C24D7" w:rsidRPr="00407C18" w:rsidRDefault="007C24D7" w:rsidP="007C24D7">
      <w:pPr>
        <w:rPr>
          <w:b/>
          <w:bCs/>
          <w:u w:val="single"/>
        </w:rPr>
      </w:pPr>
      <w:r w:rsidRPr="00407C18">
        <w:rPr>
          <w:b/>
          <w:bCs/>
          <w:u w:val="single"/>
        </w:rPr>
        <w:t>Primary Sources</w:t>
      </w:r>
    </w:p>
    <w:p w14:paraId="7BCE525E" w14:textId="1E7F9C87" w:rsidR="00617AB8" w:rsidRPr="00407C18" w:rsidRDefault="00617AB8" w:rsidP="00DF5060">
      <w:pPr>
        <w:rPr>
          <w:sz w:val="18"/>
          <w:szCs w:val="18"/>
        </w:rPr>
      </w:pPr>
      <w:r w:rsidRPr="00407C18">
        <w:rPr>
          <w:i/>
          <w:iCs/>
          <w:sz w:val="18"/>
          <w:szCs w:val="18"/>
        </w:rPr>
        <w:t>Bayeux Tapestry</w:t>
      </w:r>
      <w:r w:rsidRPr="00407C18">
        <w:rPr>
          <w:sz w:val="18"/>
          <w:szCs w:val="18"/>
        </w:rPr>
        <w:t>. Tapestry. Musée de la Tapisserie de Bayeux, Bayeux, France, [Online Image] Available:https://www.bayeuxmuseum.com/en/the-bayeux-tapestry/discover-the-bayeux-tapestry/explore-online, [Accessed: 01/02/23]</w:t>
      </w:r>
    </w:p>
    <w:p w14:paraId="22A3E6E6" w14:textId="4BCC6869" w:rsidR="00DF5060" w:rsidRPr="00407C18" w:rsidRDefault="00DF5060" w:rsidP="00DF5060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Snorri Sturlason, </w:t>
      </w:r>
      <w:r w:rsidRPr="00407C18">
        <w:rPr>
          <w:i/>
          <w:iCs/>
          <w:sz w:val="18"/>
          <w:szCs w:val="18"/>
        </w:rPr>
        <w:t xml:space="preserve">Heimskringla, </w:t>
      </w:r>
      <w:r w:rsidRPr="00407C18">
        <w:rPr>
          <w:sz w:val="18"/>
          <w:szCs w:val="18"/>
        </w:rPr>
        <w:t xml:space="preserve">Translated by D. B. Killings and D Widger, Unpublished eBook, Available at </w:t>
      </w:r>
      <w:hyperlink r:id="rId7" w:history="1">
        <w:r w:rsidRPr="00407C18">
          <w:rPr>
            <w:rStyle w:val="Hyperlink"/>
            <w:sz w:val="18"/>
            <w:szCs w:val="18"/>
          </w:rPr>
          <w:t>https://www.gutenberg.org/files/598/598-h/598-h.htm</w:t>
        </w:r>
      </w:hyperlink>
      <w:r w:rsidRPr="00407C18">
        <w:rPr>
          <w:sz w:val="18"/>
          <w:szCs w:val="18"/>
        </w:rPr>
        <w:t xml:space="preserve"> (Accessed: </w:t>
      </w:r>
      <w:r w:rsidRPr="00407C18">
        <w:rPr>
          <w:sz w:val="18"/>
          <w:szCs w:val="18"/>
        </w:rPr>
        <w:t>30</w:t>
      </w:r>
      <w:r w:rsidRPr="00407C18">
        <w:rPr>
          <w:sz w:val="18"/>
          <w:szCs w:val="18"/>
          <w:vertAlign w:val="superscript"/>
        </w:rPr>
        <w:t>rd</w:t>
      </w:r>
      <w:r w:rsidRPr="00407C18">
        <w:rPr>
          <w:sz w:val="18"/>
          <w:szCs w:val="18"/>
        </w:rPr>
        <w:t xml:space="preserve"> January 2023)</w:t>
      </w:r>
    </w:p>
    <w:p w14:paraId="68A192C5" w14:textId="77777777" w:rsidR="00407478" w:rsidRPr="006E6461" w:rsidRDefault="00407478" w:rsidP="00407478">
      <w:pPr>
        <w:rPr>
          <w:b/>
          <w:bCs/>
          <w:i/>
          <w:iCs/>
          <w:sz w:val="18"/>
          <w:szCs w:val="18"/>
        </w:rPr>
      </w:pPr>
      <w:r w:rsidRPr="006E6461">
        <w:rPr>
          <w:sz w:val="18"/>
          <w:szCs w:val="18"/>
        </w:rPr>
        <w:t xml:space="preserve">William of Jumieges, </w:t>
      </w:r>
      <w:r w:rsidRPr="006E6461">
        <w:rPr>
          <w:i/>
          <w:iCs/>
          <w:sz w:val="18"/>
          <w:szCs w:val="18"/>
        </w:rPr>
        <w:t xml:space="preserve">The Gesta Normannorum Ducum, </w:t>
      </w:r>
      <w:r w:rsidRPr="006E6461">
        <w:rPr>
          <w:sz w:val="18"/>
          <w:szCs w:val="18"/>
        </w:rPr>
        <w:t xml:space="preserve">ed. E. Van Houts, trans. E. Van Houts, in </w:t>
      </w:r>
      <w:r w:rsidRPr="006E6461">
        <w:rPr>
          <w:i/>
          <w:iCs/>
          <w:sz w:val="18"/>
          <w:szCs w:val="18"/>
        </w:rPr>
        <w:t>The Gesta Normannorum Ducum of William of jumieges, Orderic Vitalis, and Robert of Torigni</w:t>
      </w:r>
      <w:r w:rsidRPr="006E6461">
        <w:rPr>
          <w:sz w:val="18"/>
          <w:szCs w:val="18"/>
        </w:rPr>
        <w:t>, Vol II, books V-VIII (Oxford: Oxford University Press, 1995)</w:t>
      </w:r>
    </w:p>
    <w:p w14:paraId="358AA335" w14:textId="77777777" w:rsidR="00DF5060" w:rsidRDefault="00DF5060" w:rsidP="007C24D7"/>
    <w:p w14:paraId="63C8083A" w14:textId="0338CFDA" w:rsidR="007C24D7" w:rsidRPr="00407C18" w:rsidRDefault="007C24D7" w:rsidP="007C24D7">
      <w:pPr>
        <w:rPr>
          <w:b/>
          <w:bCs/>
          <w:u w:val="single"/>
        </w:rPr>
      </w:pPr>
      <w:r w:rsidRPr="00407C18">
        <w:rPr>
          <w:b/>
          <w:bCs/>
          <w:u w:val="single"/>
        </w:rPr>
        <w:t>Secondary Sources</w:t>
      </w:r>
    </w:p>
    <w:p w14:paraId="73457A62" w14:textId="77777777" w:rsidR="00407478" w:rsidRPr="00407C18" w:rsidRDefault="00407478" w:rsidP="00407478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Ashe, L., Harold Godwineson, </w:t>
      </w:r>
      <w:r w:rsidRPr="00407C18">
        <w:rPr>
          <w:i/>
          <w:iCs/>
          <w:sz w:val="18"/>
          <w:szCs w:val="18"/>
        </w:rPr>
        <w:t>Heroes and Anti-Heroes in Medieval Romance,</w:t>
      </w:r>
      <w:r w:rsidRPr="00407C18">
        <w:rPr>
          <w:sz w:val="18"/>
          <w:szCs w:val="18"/>
        </w:rPr>
        <w:t xml:space="preserve"> Ed. Neil Cartlidge, (Woodbridge: Boydell &amp; Brewer, 2012) p. 68</w:t>
      </w:r>
    </w:p>
    <w:p w14:paraId="2FEA3AD1" w14:textId="5D60B24B" w:rsidR="007C24D7" w:rsidRPr="00407C18" w:rsidRDefault="007C24D7" w:rsidP="007C24D7">
      <w:pPr>
        <w:rPr>
          <w:sz w:val="18"/>
          <w:szCs w:val="18"/>
        </w:rPr>
      </w:pPr>
      <w:r w:rsidRPr="00407C18">
        <w:rPr>
          <w:sz w:val="18"/>
          <w:szCs w:val="18"/>
        </w:rPr>
        <w:t>Bridgeford</w:t>
      </w:r>
      <w:r w:rsidRPr="00407C18">
        <w:rPr>
          <w:sz w:val="18"/>
          <w:szCs w:val="18"/>
        </w:rPr>
        <w:t xml:space="preserve">, </w:t>
      </w:r>
      <w:r w:rsidRPr="00407C18">
        <w:rPr>
          <w:sz w:val="18"/>
          <w:szCs w:val="18"/>
        </w:rPr>
        <w:t xml:space="preserve">A., </w:t>
      </w:r>
      <w:r w:rsidRPr="00407C18">
        <w:rPr>
          <w:i/>
          <w:iCs/>
          <w:sz w:val="18"/>
          <w:szCs w:val="18"/>
        </w:rPr>
        <w:t>The Hidden History in the Bayeux Tapestry,</w:t>
      </w:r>
      <w:r w:rsidRPr="00407C18">
        <w:rPr>
          <w:sz w:val="18"/>
          <w:szCs w:val="18"/>
        </w:rPr>
        <w:t xml:space="preserve"> (London: Fourth Estate, 2004)</w:t>
      </w:r>
    </w:p>
    <w:p w14:paraId="09CB2F36" w14:textId="77777777" w:rsidR="00407478" w:rsidRPr="00407C18" w:rsidRDefault="00407478" w:rsidP="00407478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Brown, S., The Bayeux Tapestry and the “Song of Roland”, </w:t>
      </w:r>
      <w:r w:rsidRPr="00407C18">
        <w:rPr>
          <w:i/>
          <w:iCs/>
          <w:sz w:val="18"/>
          <w:szCs w:val="18"/>
        </w:rPr>
        <w:t>Olifant</w:t>
      </w:r>
      <w:r w:rsidRPr="00407C18">
        <w:rPr>
          <w:sz w:val="18"/>
          <w:szCs w:val="18"/>
        </w:rPr>
        <w:t>, 6, 3/4, (1979), 339-350</w:t>
      </w:r>
    </w:p>
    <w:p w14:paraId="39F36B13" w14:textId="77777777" w:rsidR="00407478" w:rsidRPr="00407C18" w:rsidRDefault="00407478" w:rsidP="00407478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Campbell, M., A Pre-Conquest Norman Occupation of England?, </w:t>
      </w:r>
      <w:r w:rsidRPr="00407C18">
        <w:rPr>
          <w:i/>
          <w:iCs/>
          <w:sz w:val="18"/>
          <w:szCs w:val="18"/>
        </w:rPr>
        <w:t>Speculum,</w:t>
      </w:r>
      <w:r w:rsidRPr="00407C18">
        <w:rPr>
          <w:sz w:val="18"/>
          <w:szCs w:val="18"/>
        </w:rPr>
        <w:t xml:space="preserve"> 46, 1, (1971), 21-31</w:t>
      </w:r>
    </w:p>
    <w:p w14:paraId="3AD460CC" w14:textId="77777777" w:rsidR="00407478" w:rsidRPr="00407C18" w:rsidRDefault="00407478" w:rsidP="00407478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Douglas, D., Edward the Confessor, Duke William of Normandy, and the English Succession. </w:t>
      </w:r>
      <w:r w:rsidRPr="00407C18">
        <w:rPr>
          <w:i/>
          <w:iCs/>
          <w:sz w:val="18"/>
          <w:szCs w:val="18"/>
        </w:rPr>
        <w:t xml:space="preserve">The English Historical review, </w:t>
      </w:r>
      <w:r w:rsidRPr="00407C18">
        <w:rPr>
          <w:sz w:val="18"/>
          <w:szCs w:val="18"/>
        </w:rPr>
        <w:t>68, 269, (1953) 526-545</w:t>
      </w:r>
    </w:p>
    <w:p w14:paraId="33EC13B4" w14:textId="77777777" w:rsidR="00407478" w:rsidRPr="00407C18" w:rsidRDefault="00407478" w:rsidP="00407478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Hicks, C., Bouet P., Neveux F., The Patronage of Queen Edith, </w:t>
      </w:r>
      <w:r w:rsidRPr="00407C18">
        <w:rPr>
          <w:i/>
          <w:iCs/>
          <w:sz w:val="18"/>
          <w:szCs w:val="18"/>
        </w:rPr>
        <w:t>The Bayeux Tapestry: New Approaches,</w:t>
      </w:r>
      <w:r w:rsidRPr="00407C18">
        <w:rPr>
          <w:sz w:val="18"/>
          <w:szCs w:val="18"/>
        </w:rPr>
        <w:t xml:space="preserve"> Proceedings of a Conference at the British Museum, ed Michael J. Lewis, Gale R. Owen-Crocker, Dan Terkla (Oxford: Oxbow Books, 2011)</w:t>
      </w:r>
    </w:p>
    <w:p w14:paraId="1FA20523" w14:textId="77777777" w:rsidR="00407478" w:rsidRPr="00407C18" w:rsidRDefault="00407478" w:rsidP="00407478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John, E., Edward the Confessor and the Norman Succession, </w:t>
      </w:r>
      <w:r w:rsidRPr="00407C18">
        <w:rPr>
          <w:i/>
          <w:iCs/>
          <w:sz w:val="18"/>
          <w:szCs w:val="18"/>
        </w:rPr>
        <w:t>The English Historical Review,</w:t>
      </w:r>
      <w:r w:rsidRPr="00407C18">
        <w:rPr>
          <w:sz w:val="18"/>
          <w:szCs w:val="18"/>
        </w:rPr>
        <w:t xml:space="preserve"> 94, 371, (1979) 241-267</w:t>
      </w:r>
    </w:p>
    <w:p w14:paraId="24231AD4" w14:textId="77777777" w:rsidR="00407478" w:rsidRPr="00407C18" w:rsidRDefault="00407478" w:rsidP="00407478">
      <w:pPr>
        <w:rPr>
          <w:sz w:val="18"/>
          <w:szCs w:val="18"/>
        </w:rPr>
      </w:pPr>
      <w:r w:rsidRPr="00407C18">
        <w:rPr>
          <w:sz w:val="18"/>
          <w:szCs w:val="18"/>
        </w:rPr>
        <w:t xml:space="preserve">Olsen, T., Edward the Confessor's Promise of the Throne to Duke William of Normandy, </w:t>
      </w:r>
      <w:r w:rsidRPr="00407C18">
        <w:rPr>
          <w:i/>
          <w:iCs/>
          <w:sz w:val="18"/>
          <w:szCs w:val="18"/>
        </w:rPr>
        <w:t xml:space="preserve">The English Historic Review, </w:t>
      </w:r>
      <w:r w:rsidRPr="00407C18">
        <w:rPr>
          <w:sz w:val="18"/>
          <w:szCs w:val="18"/>
        </w:rPr>
        <w:t>72, 283, (1957), 221-228</w:t>
      </w:r>
    </w:p>
    <w:p w14:paraId="61A4C86D" w14:textId="5D905A3E" w:rsidR="00C959F2" w:rsidRPr="00407C18" w:rsidRDefault="00C959F2" w:rsidP="007C24D7">
      <w:pPr>
        <w:rPr>
          <w:sz w:val="18"/>
          <w:szCs w:val="18"/>
        </w:rPr>
      </w:pPr>
      <w:r w:rsidRPr="00407C18">
        <w:rPr>
          <w:sz w:val="18"/>
          <w:szCs w:val="18"/>
        </w:rPr>
        <w:t>Patsan</w:t>
      </w:r>
      <w:r w:rsidRPr="00407C18">
        <w:rPr>
          <w:sz w:val="18"/>
          <w:szCs w:val="18"/>
        </w:rPr>
        <w:t xml:space="preserve">, </w:t>
      </w:r>
      <w:r w:rsidRPr="00407C18">
        <w:rPr>
          <w:sz w:val="18"/>
          <w:szCs w:val="18"/>
        </w:rPr>
        <w:t>E., White</w:t>
      </w:r>
      <w:r w:rsidRPr="00407C18">
        <w:rPr>
          <w:sz w:val="18"/>
          <w:szCs w:val="18"/>
        </w:rPr>
        <w:t xml:space="preserve">, </w:t>
      </w:r>
      <w:r w:rsidRPr="00407C18">
        <w:rPr>
          <w:sz w:val="18"/>
          <w:szCs w:val="18"/>
        </w:rPr>
        <w:t xml:space="preserve">S., </w:t>
      </w:r>
      <w:r w:rsidRPr="00407C18">
        <w:rPr>
          <w:i/>
          <w:iCs/>
          <w:sz w:val="18"/>
          <w:szCs w:val="18"/>
        </w:rPr>
        <w:t xml:space="preserve">The Bayeux Tapestry and its Contexts </w:t>
      </w:r>
      <w:r w:rsidRPr="00407C18">
        <w:rPr>
          <w:sz w:val="18"/>
          <w:szCs w:val="18"/>
        </w:rPr>
        <w:t>(Woodbridge: The Boydell Press, 2014)</w:t>
      </w:r>
    </w:p>
    <w:p w14:paraId="573133EB" w14:textId="6271EC68" w:rsidR="00807926" w:rsidRPr="00407C18" w:rsidRDefault="00807926" w:rsidP="007C24D7">
      <w:pPr>
        <w:rPr>
          <w:sz w:val="18"/>
          <w:szCs w:val="18"/>
        </w:rPr>
      </w:pPr>
      <w:r w:rsidRPr="00407C18">
        <w:rPr>
          <w:sz w:val="18"/>
          <w:szCs w:val="18"/>
        </w:rPr>
        <w:t>Van Houts</w:t>
      </w:r>
      <w:r w:rsidR="00407478">
        <w:rPr>
          <w:sz w:val="18"/>
          <w:szCs w:val="18"/>
        </w:rPr>
        <w:t>,</w:t>
      </w:r>
      <w:r w:rsidR="00407478" w:rsidRPr="00407478">
        <w:rPr>
          <w:sz w:val="18"/>
          <w:szCs w:val="18"/>
        </w:rPr>
        <w:t xml:space="preserve"> </w:t>
      </w:r>
      <w:r w:rsidR="00407478" w:rsidRPr="00407C18">
        <w:rPr>
          <w:sz w:val="18"/>
          <w:szCs w:val="18"/>
        </w:rPr>
        <w:t>E.</w:t>
      </w:r>
      <w:r w:rsidRPr="00407C18">
        <w:rPr>
          <w:sz w:val="18"/>
          <w:szCs w:val="18"/>
        </w:rPr>
        <w:t>, The Norman Conquest Through European Eyes,</w:t>
      </w:r>
      <w:r w:rsidRPr="00407C18">
        <w:rPr>
          <w:i/>
          <w:iCs/>
          <w:sz w:val="18"/>
          <w:szCs w:val="18"/>
        </w:rPr>
        <w:t xml:space="preserve"> The English Historical Review,</w:t>
      </w:r>
      <w:r w:rsidRPr="00407C18">
        <w:rPr>
          <w:sz w:val="18"/>
          <w:szCs w:val="18"/>
        </w:rPr>
        <w:t xml:space="preserve"> 110, 438, (1995), 832-853</w:t>
      </w:r>
    </w:p>
    <w:sectPr w:rsidR="00807926" w:rsidRPr="00407C18" w:rsidSect="00C33C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CA561" w14:textId="77777777" w:rsidR="009115BE" w:rsidRDefault="009115BE" w:rsidP="006F1D09">
      <w:pPr>
        <w:spacing w:after="0" w:line="240" w:lineRule="auto"/>
      </w:pPr>
      <w:r>
        <w:separator/>
      </w:r>
    </w:p>
  </w:endnote>
  <w:endnote w:type="continuationSeparator" w:id="0">
    <w:p w14:paraId="5A262EA8" w14:textId="77777777" w:rsidR="009115BE" w:rsidRDefault="009115BE" w:rsidP="006F1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23FC3" w14:textId="77777777" w:rsidR="009115BE" w:rsidRDefault="009115BE" w:rsidP="006F1D09">
      <w:pPr>
        <w:spacing w:after="0" w:line="240" w:lineRule="auto"/>
      </w:pPr>
      <w:r>
        <w:separator/>
      </w:r>
    </w:p>
  </w:footnote>
  <w:footnote w:type="continuationSeparator" w:id="0">
    <w:p w14:paraId="4F2F9D59" w14:textId="77777777" w:rsidR="009115BE" w:rsidRDefault="009115BE" w:rsidP="006F1D09">
      <w:pPr>
        <w:spacing w:after="0" w:line="240" w:lineRule="auto"/>
      </w:pPr>
      <w:r>
        <w:continuationSeparator/>
      </w:r>
    </w:p>
  </w:footnote>
  <w:footnote w:id="1">
    <w:p w14:paraId="1AC54480" w14:textId="21BE69C0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617AB8" w:rsidRPr="00407C18">
        <w:rPr>
          <w:i/>
          <w:iCs/>
          <w:sz w:val="16"/>
          <w:szCs w:val="16"/>
        </w:rPr>
        <w:t>Bayeux Tapestry</w:t>
      </w:r>
      <w:r w:rsidR="00617AB8" w:rsidRPr="00407C18">
        <w:rPr>
          <w:sz w:val="16"/>
          <w:szCs w:val="16"/>
        </w:rPr>
        <w:t>. Tapestry. Musée de la Tapisserie de Bayeux, Bayeux, France</w:t>
      </w:r>
      <w:r w:rsidR="00617AB8" w:rsidRPr="00407C18">
        <w:rPr>
          <w:sz w:val="16"/>
          <w:szCs w:val="16"/>
        </w:rPr>
        <w:t xml:space="preserve">, [Online Image] </w:t>
      </w:r>
      <w:r w:rsidR="00407C18" w:rsidRPr="00407C18">
        <w:rPr>
          <w:sz w:val="16"/>
          <w:szCs w:val="16"/>
        </w:rPr>
        <w:t>Available: https://www.bayeuxmuseum.com/en/the-bayeux-tapestry/discover-the-bayeux-tapestry/explore-online</w:t>
      </w:r>
      <w:r w:rsidR="00617AB8" w:rsidRPr="00407C18">
        <w:rPr>
          <w:sz w:val="16"/>
          <w:szCs w:val="16"/>
        </w:rPr>
        <w:t>, [Accessed: 01/02/23]</w:t>
      </w:r>
    </w:p>
  </w:footnote>
  <w:footnote w:id="2">
    <w:p w14:paraId="41CB0279" w14:textId="60EC1D72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A. Bridgeford, </w:t>
      </w:r>
      <w:r w:rsidR="007C24D7" w:rsidRPr="00407C18">
        <w:rPr>
          <w:i/>
          <w:iCs/>
          <w:sz w:val="16"/>
          <w:szCs w:val="16"/>
        </w:rPr>
        <w:t>The Hidden History in the Bayeux Tapestry</w:t>
      </w:r>
      <w:r w:rsidR="004A6545">
        <w:rPr>
          <w:i/>
          <w:iCs/>
          <w:sz w:val="16"/>
          <w:szCs w:val="16"/>
        </w:rPr>
        <w:t>,</w:t>
      </w:r>
      <w:r w:rsidR="007C24D7" w:rsidRPr="00407C18">
        <w:rPr>
          <w:sz w:val="16"/>
          <w:szCs w:val="16"/>
        </w:rPr>
        <w:t xml:space="preserve"> (London: Fourth Estate, 2004) </w:t>
      </w:r>
      <w:r w:rsidRPr="00407C18">
        <w:rPr>
          <w:sz w:val="16"/>
          <w:szCs w:val="16"/>
        </w:rPr>
        <w:t>p.</w:t>
      </w:r>
      <w:r w:rsidR="00DD668E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16</w:t>
      </w:r>
    </w:p>
  </w:footnote>
  <w:footnote w:id="3">
    <w:p w14:paraId="06B22759" w14:textId="0744030A" w:rsidR="007C24D7" w:rsidRPr="00407C18" w:rsidRDefault="007C24D7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9074DE" w:rsidRPr="00407C18">
        <w:rPr>
          <w:sz w:val="16"/>
          <w:szCs w:val="16"/>
        </w:rPr>
        <w:t xml:space="preserve">A. </w:t>
      </w:r>
      <w:r w:rsidRPr="00407C18">
        <w:rPr>
          <w:sz w:val="16"/>
          <w:szCs w:val="16"/>
        </w:rPr>
        <w:t>Bridgeford,</w:t>
      </w:r>
      <w:r w:rsidR="00DD668E" w:rsidRPr="00407C18">
        <w:rPr>
          <w:sz w:val="16"/>
          <w:szCs w:val="16"/>
        </w:rPr>
        <w:t xml:space="preserve"> </w:t>
      </w:r>
      <w:r w:rsidR="00DD668E" w:rsidRPr="00407C18">
        <w:rPr>
          <w:i/>
          <w:iCs/>
          <w:sz w:val="16"/>
          <w:szCs w:val="16"/>
        </w:rPr>
        <w:t xml:space="preserve">The Hidden History in the Bayeux Tapestry, </w:t>
      </w:r>
      <w:r w:rsidR="00DD668E" w:rsidRPr="00407C18">
        <w:rPr>
          <w:sz w:val="16"/>
          <w:szCs w:val="16"/>
        </w:rPr>
        <w:t>p. 17</w:t>
      </w:r>
    </w:p>
  </w:footnote>
  <w:footnote w:id="4">
    <w:p w14:paraId="14E38C6A" w14:textId="7528076C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2E351A" w:rsidRPr="00407C18">
        <w:rPr>
          <w:sz w:val="16"/>
          <w:szCs w:val="16"/>
        </w:rPr>
        <w:t>E. Patsan, S. White,</w:t>
      </w:r>
      <w:r w:rsidR="00DD668E" w:rsidRPr="00407C18">
        <w:rPr>
          <w:sz w:val="16"/>
          <w:szCs w:val="16"/>
        </w:rPr>
        <w:t xml:space="preserve"> </w:t>
      </w:r>
      <w:r w:rsidR="00DD668E" w:rsidRPr="00407C18">
        <w:rPr>
          <w:i/>
          <w:iCs/>
          <w:sz w:val="16"/>
          <w:szCs w:val="16"/>
        </w:rPr>
        <w:t>The Bayeux Tapestry and its Contexts</w:t>
      </w:r>
      <w:r w:rsidR="004A6545">
        <w:rPr>
          <w:i/>
          <w:iCs/>
          <w:sz w:val="16"/>
          <w:szCs w:val="16"/>
        </w:rPr>
        <w:t>,</w:t>
      </w:r>
      <w:r w:rsidR="00DD668E" w:rsidRPr="00407C18">
        <w:rPr>
          <w:i/>
          <w:iCs/>
          <w:sz w:val="16"/>
          <w:szCs w:val="16"/>
        </w:rPr>
        <w:t xml:space="preserve"> </w:t>
      </w:r>
      <w:r w:rsidR="00DD668E" w:rsidRPr="00407C18">
        <w:rPr>
          <w:sz w:val="16"/>
          <w:szCs w:val="16"/>
        </w:rPr>
        <w:t xml:space="preserve">(Woodbridge: The Boydell Press, </w:t>
      </w:r>
      <w:r w:rsidR="00C959F2" w:rsidRPr="00407C18">
        <w:rPr>
          <w:sz w:val="16"/>
          <w:szCs w:val="16"/>
        </w:rPr>
        <w:t>2014)</w:t>
      </w:r>
      <w:r w:rsidR="002E351A" w:rsidRPr="00407C18">
        <w:rPr>
          <w:sz w:val="16"/>
          <w:szCs w:val="16"/>
        </w:rPr>
        <w:t xml:space="preserve"> </w:t>
      </w:r>
      <w:r w:rsidR="00C959F2" w:rsidRPr="00407C18">
        <w:rPr>
          <w:sz w:val="16"/>
          <w:szCs w:val="16"/>
        </w:rPr>
        <w:t>p</w:t>
      </w:r>
      <w:r w:rsidR="002E351A" w:rsidRPr="00407C18">
        <w:rPr>
          <w:sz w:val="16"/>
          <w:szCs w:val="16"/>
        </w:rPr>
        <w:t>.</w:t>
      </w:r>
      <w:r w:rsidR="00C959F2" w:rsidRPr="00407C18">
        <w:rPr>
          <w:sz w:val="16"/>
          <w:szCs w:val="16"/>
        </w:rPr>
        <w:t xml:space="preserve"> </w:t>
      </w:r>
      <w:r w:rsidR="002E351A" w:rsidRPr="00407C18">
        <w:rPr>
          <w:sz w:val="16"/>
          <w:szCs w:val="16"/>
        </w:rPr>
        <w:t>13</w:t>
      </w:r>
    </w:p>
  </w:footnote>
  <w:footnote w:id="5">
    <w:p w14:paraId="374EA7E6" w14:textId="77777777" w:rsidR="00283391" w:rsidRPr="00407C18" w:rsidRDefault="00283391" w:rsidP="00283391">
      <w:pPr>
        <w:pStyle w:val="FootnoteText"/>
        <w:rPr>
          <w:i/>
          <w:iCs/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E. Patsan, S. White, </w:t>
      </w:r>
      <w:r w:rsidRPr="00407C18">
        <w:rPr>
          <w:i/>
          <w:iCs/>
          <w:sz w:val="16"/>
          <w:szCs w:val="16"/>
        </w:rPr>
        <w:t>The Bayeux Tapestry and its Contexts</w:t>
      </w:r>
      <w:r w:rsidRPr="00407C18">
        <w:rPr>
          <w:sz w:val="16"/>
          <w:szCs w:val="16"/>
        </w:rPr>
        <w:t xml:space="preserve">, pp. 89-90; C. Hicks, The Patronage of Queen Edith, </w:t>
      </w:r>
      <w:r w:rsidRPr="00407C18">
        <w:rPr>
          <w:i/>
          <w:iCs/>
          <w:sz w:val="16"/>
          <w:szCs w:val="16"/>
        </w:rPr>
        <w:t>The Bayeux Tapestry: New Approaches,</w:t>
      </w:r>
      <w:r w:rsidRPr="00407C18">
        <w:rPr>
          <w:sz w:val="16"/>
          <w:szCs w:val="16"/>
        </w:rPr>
        <w:t xml:space="preserve"> Proceedings of a Conference at the British Museum, ed M. Lewis et al (Oxford: Oxbow Books, 2011) pp. 5-9</w:t>
      </w:r>
    </w:p>
  </w:footnote>
  <w:footnote w:id="6">
    <w:p w14:paraId="0D97ACA0" w14:textId="57355DBD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9074DE" w:rsidRPr="00407C18">
        <w:rPr>
          <w:sz w:val="16"/>
          <w:szCs w:val="16"/>
        </w:rPr>
        <w:t xml:space="preserve">A. </w:t>
      </w:r>
      <w:r w:rsidR="00DD668E" w:rsidRPr="00407C18">
        <w:rPr>
          <w:sz w:val="16"/>
          <w:szCs w:val="16"/>
        </w:rPr>
        <w:t>Bridgeford</w:t>
      </w:r>
      <w:r w:rsidRPr="00407C18">
        <w:rPr>
          <w:sz w:val="16"/>
          <w:szCs w:val="16"/>
        </w:rPr>
        <w:t>,</w:t>
      </w:r>
      <w:r w:rsidR="00DD668E" w:rsidRPr="00407C18">
        <w:rPr>
          <w:sz w:val="16"/>
          <w:szCs w:val="16"/>
        </w:rPr>
        <w:t xml:space="preserve"> </w:t>
      </w:r>
      <w:r w:rsidR="00DD668E" w:rsidRPr="00407C18">
        <w:rPr>
          <w:i/>
          <w:iCs/>
          <w:sz w:val="16"/>
          <w:szCs w:val="16"/>
        </w:rPr>
        <w:t>The Hidden History in the Bayeux Tapestry,</w:t>
      </w:r>
      <w:r w:rsidRPr="00407C18">
        <w:rPr>
          <w:sz w:val="16"/>
          <w:szCs w:val="16"/>
        </w:rPr>
        <w:t xml:space="preserve"> P.</w:t>
      </w:r>
      <w:r w:rsidR="00DD668E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47</w:t>
      </w:r>
    </w:p>
  </w:footnote>
  <w:footnote w:id="7">
    <w:p w14:paraId="4C3A177C" w14:textId="1BB1B14C" w:rsidR="00A64E3E" w:rsidRPr="00407C18" w:rsidRDefault="00A64E3E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P. Bouet, F. Neveux,</w:t>
      </w:r>
      <w:r w:rsidR="005F3FC7" w:rsidRPr="00407C18">
        <w:rPr>
          <w:sz w:val="16"/>
          <w:szCs w:val="16"/>
        </w:rPr>
        <w:t xml:space="preserve"> Edward the Confessor’s Succession According to the </w:t>
      </w:r>
      <w:r w:rsidRPr="00407C18">
        <w:rPr>
          <w:sz w:val="16"/>
          <w:szCs w:val="16"/>
        </w:rPr>
        <w:t>Bayeux Tapestry,</w:t>
      </w:r>
      <w:r w:rsidR="005F3FC7" w:rsidRPr="00407C18">
        <w:rPr>
          <w:sz w:val="16"/>
          <w:szCs w:val="16"/>
        </w:rPr>
        <w:t xml:space="preserve"> </w:t>
      </w:r>
      <w:r w:rsidR="005F3FC7" w:rsidRPr="00407C18">
        <w:rPr>
          <w:i/>
          <w:iCs/>
          <w:sz w:val="16"/>
          <w:szCs w:val="16"/>
        </w:rPr>
        <w:t>The Bayeux Tapestry: New Approaches,</w:t>
      </w:r>
      <w:r w:rsidR="005F3FC7" w:rsidRPr="00407C18">
        <w:rPr>
          <w:sz w:val="16"/>
          <w:szCs w:val="16"/>
        </w:rPr>
        <w:t xml:space="preserve"> </w:t>
      </w:r>
      <w:r w:rsidR="005F3FC7" w:rsidRPr="00407C18">
        <w:rPr>
          <w:sz w:val="16"/>
          <w:szCs w:val="16"/>
        </w:rPr>
        <w:t>Proceedings of a Conference at the British Museum, ed</w:t>
      </w:r>
      <w:r w:rsidR="004A6545">
        <w:rPr>
          <w:sz w:val="16"/>
          <w:szCs w:val="16"/>
        </w:rPr>
        <w:t>.</w:t>
      </w:r>
      <w:r w:rsidR="005F3FC7" w:rsidRPr="00407C18">
        <w:rPr>
          <w:sz w:val="16"/>
          <w:szCs w:val="16"/>
        </w:rPr>
        <w:t xml:space="preserve"> M. Lewis et al (Oxford: Oxbow Books, 2011)</w:t>
      </w:r>
      <w:r w:rsidRPr="00407C18">
        <w:rPr>
          <w:sz w:val="16"/>
          <w:szCs w:val="16"/>
        </w:rPr>
        <w:t xml:space="preserve"> </w:t>
      </w:r>
      <w:r w:rsidR="005F3FC7" w:rsidRPr="00407C18">
        <w:rPr>
          <w:sz w:val="16"/>
          <w:szCs w:val="16"/>
        </w:rPr>
        <w:t>p</w:t>
      </w:r>
      <w:r w:rsidRPr="00407C18">
        <w:rPr>
          <w:sz w:val="16"/>
          <w:szCs w:val="16"/>
        </w:rPr>
        <w:t>.</w:t>
      </w:r>
      <w:r w:rsidR="005F3FC7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65</w:t>
      </w:r>
    </w:p>
  </w:footnote>
  <w:footnote w:id="8">
    <w:p w14:paraId="7D0DFF01" w14:textId="5D2A2E9E" w:rsidR="006A322C" w:rsidRPr="006E6461" w:rsidRDefault="006A322C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William of </w:t>
      </w:r>
      <w:r w:rsidR="00124506" w:rsidRPr="006E6461">
        <w:rPr>
          <w:sz w:val="16"/>
          <w:szCs w:val="16"/>
        </w:rPr>
        <w:t>Jumi</w:t>
      </w:r>
      <w:r w:rsidR="007F346C">
        <w:rPr>
          <w:sz w:val="16"/>
          <w:szCs w:val="16"/>
        </w:rPr>
        <w:t>è</w:t>
      </w:r>
      <w:r w:rsidR="00124506" w:rsidRPr="006E6461">
        <w:rPr>
          <w:sz w:val="16"/>
          <w:szCs w:val="16"/>
        </w:rPr>
        <w:t xml:space="preserve">ges, </w:t>
      </w:r>
      <w:r w:rsidR="00124506" w:rsidRPr="006E6461">
        <w:rPr>
          <w:i/>
          <w:iCs/>
          <w:sz w:val="16"/>
          <w:szCs w:val="16"/>
        </w:rPr>
        <w:t xml:space="preserve">The Gesta Normannorum Ducum, </w:t>
      </w:r>
      <w:r w:rsidR="00124506" w:rsidRPr="006E6461">
        <w:rPr>
          <w:sz w:val="16"/>
          <w:szCs w:val="16"/>
        </w:rPr>
        <w:t>ed. E. Van Houts</w:t>
      </w:r>
      <w:r w:rsidR="006E6461" w:rsidRPr="006E6461">
        <w:rPr>
          <w:sz w:val="16"/>
          <w:szCs w:val="16"/>
        </w:rPr>
        <w:t>, trans. E. Van Houts</w:t>
      </w:r>
      <w:r w:rsidR="00124506" w:rsidRPr="006E6461">
        <w:rPr>
          <w:sz w:val="16"/>
          <w:szCs w:val="16"/>
        </w:rPr>
        <w:t xml:space="preserve">, in </w:t>
      </w:r>
      <w:r w:rsidR="00124506" w:rsidRPr="006E6461">
        <w:rPr>
          <w:i/>
          <w:iCs/>
          <w:sz w:val="16"/>
          <w:szCs w:val="16"/>
        </w:rPr>
        <w:t xml:space="preserve">The Gesta Normannorum Ducum of William of </w:t>
      </w:r>
      <w:r w:rsidR="007F346C">
        <w:rPr>
          <w:i/>
          <w:iCs/>
          <w:sz w:val="16"/>
          <w:szCs w:val="16"/>
        </w:rPr>
        <w:t>J</w:t>
      </w:r>
      <w:r w:rsidR="00124506" w:rsidRPr="006E6461">
        <w:rPr>
          <w:i/>
          <w:iCs/>
          <w:sz w:val="16"/>
          <w:szCs w:val="16"/>
        </w:rPr>
        <w:t>umi</w:t>
      </w:r>
      <w:r w:rsidR="007F346C">
        <w:rPr>
          <w:i/>
          <w:iCs/>
          <w:sz w:val="16"/>
          <w:szCs w:val="16"/>
        </w:rPr>
        <w:t>è</w:t>
      </w:r>
      <w:r w:rsidR="00124506" w:rsidRPr="006E6461">
        <w:rPr>
          <w:i/>
          <w:iCs/>
          <w:sz w:val="16"/>
          <w:szCs w:val="16"/>
        </w:rPr>
        <w:t>ges, Orderic Vitalis, and Robert of Torigni</w:t>
      </w:r>
      <w:r w:rsidR="00124506" w:rsidRPr="006E6461">
        <w:rPr>
          <w:sz w:val="16"/>
          <w:szCs w:val="16"/>
        </w:rPr>
        <w:t xml:space="preserve">, Vol II, books V-VIII </w:t>
      </w:r>
      <w:r w:rsidR="006E6461" w:rsidRPr="006E6461">
        <w:rPr>
          <w:sz w:val="16"/>
          <w:szCs w:val="16"/>
        </w:rPr>
        <w:t>(Oxford: Oxford University Press, 1995),</w:t>
      </w:r>
      <w:r w:rsidR="00124506" w:rsidRPr="006E6461">
        <w:rPr>
          <w:sz w:val="16"/>
          <w:szCs w:val="16"/>
        </w:rPr>
        <w:t xml:space="preserve"> </w:t>
      </w:r>
      <w:r w:rsidR="006E6461" w:rsidRPr="006E6461">
        <w:rPr>
          <w:sz w:val="16"/>
          <w:szCs w:val="16"/>
        </w:rPr>
        <w:t>p</w:t>
      </w:r>
      <w:r w:rsidRPr="006E6461">
        <w:rPr>
          <w:sz w:val="16"/>
          <w:szCs w:val="16"/>
        </w:rPr>
        <w:t>.</w:t>
      </w:r>
      <w:r w:rsidR="006E6461" w:rsidRPr="006E6461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>161</w:t>
      </w:r>
    </w:p>
  </w:footnote>
  <w:footnote w:id="9">
    <w:p w14:paraId="0EC62B8D" w14:textId="55883C3B" w:rsidR="006F1D09" w:rsidRPr="006E6461" w:rsidRDefault="006F1D09" w:rsidP="006F1D09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</w:t>
      </w:r>
      <w:r w:rsidR="00BD6C12" w:rsidRPr="006E6461">
        <w:rPr>
          <w:sz w:val="16"/>
          <w:szCs w:val="16"/>
        </w:rPr>
        <w:t xml:space="preserve">E. John, Edward the Confessor and the Norman Succession, </w:t>
      </w:r>
      <w:r w:rsidR="00BD6C12" w:rsidRPr="006E6461">
        <w:rPr>
          <w:i/>
          <w:iCs/>
          <w:sz w:val="16"/>
          <w:szCs w:val="16"/>
        </w:rPr>
        <w:t>The English Historical Review,</w:t>
      </w:r>
      <w:r w:rsidR="00BD6C12" w:rsidRPr="006E6461">
        <w:rPr>
          <w:sz w:val="16"/>
          <w:szCs w:val="16"/>
        </w:rPr>
        <w:t xml:space="preserve"> 94, 371, (1979) 241-267,</w:t>
      </w:r>
      <w:r w:rsidR="00BD6C12" w:rsidRPr="006E6461">
        <w:rPr>
          <w:i/>
          <w:iCs/>
          <w:sz w:val="16"/>
          <w:szCs w:val="16"/>
        </w:rPr>
        <w:t xml:space="preserve"> </w:t>
      </w:r>
      <w:r w:rsidRPr="006E6461">
        <w:rPr>
          <w:sz w:val="16"/>
          <w:szCs w:val="16"/>
        </w:rPr>
        <w:t>p.</w:t>
      </w:r>
      <w:r w:rsidR="00BD6C12" w:rsidRPr="006E6461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>260</w:t>
      </w:r>
    </w:p>
  </w:footnote>
  <w:footnote w:id="10">
    <w:p w14:paraId="63818741" w14:textId="4FC5DC1D" w:rsidR="006F1D09" w:rsidRPr="006E6461" w:rsidRDefault="006F1D09" w:rsidP="006F1D09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E. John,</w:t>
      </w:r>
      <w:r w:rsidR="00BD6C12" w:rsidRPr="006E6461">
        <w:rPr>
          <w:sz w:val="16"/>
          <w:szCs w:val="16"/>
        </w:rPr>
        <w:t xml:space="preserve"> </w:t>
      </w:r>
      <w:r w:rsidR="00BD6C12" w:rsidRPr="006E6461">
        <w:rPr>
          <w:i/>
          <w:iCs/>
          <w:sz w:val="16"/>
          <w:szCs w:val="16"/>
        </w:rPr>
        <w:t>The English Historical Review</w:t>
      </w:r>
      <w:r w:rsidR="00BD6C12" w:rsidRPr="006E6461">
        <w:rPr>
          <w:i/>
          <w:iCs/>
          <w:sz w:val="16"/>
          <w:szCs w:val="16"/>
        </w:rPr>
        <w:t>,</w:t>
      </w:r>
      <w:r w:rsidRPr="006E6461">
        <w:rPr>
          <w:sz w:val="16"/>
          <w:szCs w:val="16"/>
        </w:rPr>
        <w:t xml:space="preserve"> p.</w:t>
      </w:r>
      <w:r w:rsidR="00DD668E" w:rsidRPr="006E6461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 xml:space="preserve">262; </w:t>
      </w:r>
      <w:r w:rsidR="00BD6C12" w:rsidRPr="006E6461">
        <w:rPr>
          <w:sz w:val="16"/>
          <w:szCs w:val="16"/>
        </w:rPr>
        <w:t xml:space="preserve">E. Patsan, S. White, </w:t>
      </w:r>
      <w:r w:rsidR="00BD6C12" w:rsidRPr="006E6461">
        <w:rPr>
          <w:i/>
          <w:iCs/>
          <w:sz w:val="16"/>
          <w:szCs w:val="16"/>
        </w:rPr>
        <w:t>The Bayeux Tapestry and its Contexts</w:t>
      </w:r>
      <w:r w:rsidR="00BD6C12" w:rsidRPr="006E6461">
        <w:rPr>
          <w:sz w:val="16"/>
          <w:szCs w:val="16"/>
        </w:rPr>
        <w:t xml:space="preserve">, </w:t>
      </w:r>
      <w:r w:rsidRPr="006E6461">
        <w:rPr>
          <w:sz w:val="16"/>
          <w:szCs w:val="16"/>
        </w:rPr>
        <w:t>p.</w:t>
      </w:r>
      <w:r w:rsidR="00BD6C12" w:rsidRPr="006E6461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>39</w:t>
      </w:r>
      <w:r w:rsidR="00BD6C12" w:rsidRPr="006E6461">
        <w:rPr>
          <w:sz w:val="16"/>
          <w:szCs w:val="16"/>
        </w:rPr>
        <w:t>;</w:t>
      </w:r>
    </w:p>
  </w:footnote>
  <w:footnote w:id="11">
    <w:p w14:paraId="7DB24BD2" w14:textId="1A203CFE" w:rsidR="00082B86" w:rsidRPr="006E6461" w:rsidRDefault="00082B86" w:rsidP="00082B86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A. Bridgeford, </w:t>
      </w:r>
      <w:r w:rsidRPr="006E6461">
        <w:rPr>
          <w:i/>
          <w:iCs/>
          <w:sz w:val="16"/>
          <w:szCs w:val="16"/>
        </w:rPr>
        <w:t xml:space="preserve">The Hidden History in the Bayeux Tapestry, </w:t>
      </w:r>
      <w:r w:rsidRPr="006E6461">
        <w:rPr>
          <w:sz w:val="16"/>
          <w:szCs w:val="16"/>
        </w:rPr>
        <w:t xml:space="preserve">pp. 49-60; M. Campbell, A Pre-Conquest Norman Occupation of England?, </w:t>
      </w:r>
      <w:r w:rsidRPr="006E6461">
        <w:rPr>
          <w:i/>
          <w:iCs/>
          <w:sz w:val="16"/>
          <w:szCs w:val="16"/>
        </w:rPr>
        <w:t>Speculum,</w:t>
      </w:r>
      <w:r w:rsidRPr="006E6461">
        <w:rPr>
          <w:sz w:val="16"/>
          <w:szCs w:val="16"/>
        </w:rPr>
        <w:t xml:space="preserve"> 46, 1, (1971), 21-31, p. 155; S. Brown, The Bayeux Tapestry and the “Song of Roland”, </w:t>
      </w:r>
      <w:r w:rsidRPr="006E6461">
        <w:rPr>
          <w:i/>
          <w:iCs/>
          <w:sz w:val="16"/>
          <w:szCs w:val="16"/>
        </w:rPr>
        <w:t>Olifant</w:t>
      </w:r>
      <w:r w:rsidRPr="006E6461">
        <w:rPr>
          <w:sz w:val="16"/>
          <w:szCs w:val="16"/>
        </w:rPr>
        <w:t>, 6, 3/4, (1979), 339-350,  pp. 341-342</w:t>
      </w:r>
    </w:p>
  </w:footnote>
  <w:footnote w:id="12">
    <w:p w14:paraId="58AB9862" w14:textId="33D4C37A" w:rsidR="00082B86" w:rsidRDefault="00082B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E6461">
        <w:rPr>
          <w:sz w:val="16"/>
          <w:szCs w:val="16"/>
        </w:rPr>
        <w:t>William of Jumi</w:t>
      </w:r>
      <w:r>
        <w:rPr>
          <w:sz w:val="16"/>
          <w:szCs w:val="16"/>
        </w:rPr>
        <w:t>è</w:t>
      </w:r>
      <w:r w:rsidRPr="006E6461">
        <w:rPr>
          <w:sz w:val="16"/>
          <w:szCs w:val="16"/>
        </w:rPr>
        <w:t xml:space="preserve">ges, </w:t>
      </w:r>
      <w:r w:rsidRPr="006E6461">
        <w:rPr>
          <w:i/>
          <w:iCs/>
          <w:sz w:val="16"/>
          <w:szCs w:val="16"/>
        </w:rPr>
        <w:t>The Gesta Normannorum</w:t>
      </w:r>
      <w:r w:rsidR="004A6545">
        <w:rPr>
          <w:i/>
          <w:iCs/>
          <w:sz w:val="16"/>
          <w:szCs w:val="16"/>
        </w:rPr>
        <w:t>,</w:t>
      </w:r>
      <w:r w:rsidRPr="006E6461">
        <w:rPr>
          <w:sz w:val="16"/>
          <w:szCs w:val="16"/>
        </w:rPr>
        <w:t xml:space="preserve"> p. 161</w:t>
      </w:r>
    </w:p>
  </w:footnote>
  <w:footnote w:id="13">
    <w:p w14:paraId="31F372A4" w14:textId="75908C3B" w:rsidR="00B263CB" w:rsidRPr="006E6461" w:rsidRDefault="00B263CB" w:rsidP="00B263CB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</w:t>
      </w:r>
      <w:r w:rsidR="00BD6C12" w:rsidRPr="006E6461">
        <w:rPr>
          <w:sz w:val="16"/>
          <w:szCs w:val="16"/>
        </w:rPr>
        <w:t xml:space="preserve">E. John, </w:t>
      </w:r>
      <w:r w:rsidR="00BD6C12" w:rsidRPr="006E6461">
        <w:rPr>
          <w:i/>
          <w:iCs/>
          <w:sz w:val="16"/>
          <w:szCs w:val="16"/>
        </w:rPr>
        <w:t>The English Historical Review,</w:t>
      </w:r>
      <w:r w:rsidR="00BD6C12" w:rsidRPr="006E6461">
        <w:rPr>
          <w:i/>
          <w:iCs/>
          <w:sz w:val="16"/>
          <w:szCs w:val="16"/>
        </w:rPr>
        <w:t xml:space="preserve"> </w:t>
      </w:r>
      <w:r w:rsidR="00BD6C12" w:rsidRPr="006E6461">
        <w:rPr>
          <w:sz w:val="16"/>
          <w:szCs w:val="16"/>
        </w:rPr>
        <w:t>p. 258</w:t>
      </w:r>
    </w:p>
  </w:footnote>
  <w:footnote w:id="14">
    <w:p w14:paraId="4C721BE2" w14:textId="61FFA902" w:rsidR="006F1D09" w:rsidRPr="006E6461" w:rsidRDefault="006F1D09" w:rsidP="006F1D09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S. Brown, </w:t>
      </w:r>
      <w:r w:rsidR="00C72CD5" w:rsidRPr="006E6461">
        <w:rPr>
          <w:i/>
          <w:iCs/>
          <w:sz w:val="16"/>
          <w:szCs w:val="16"/>
        </w:rPr>
        <w:t>Olifant</w:t>
      </w:r>
      <w:r w:rsidRPr="006E6461">
        <w:rPr>
          <w:sz w:val="16"/>
          <w:szCs w:val="16"/>
        </w:rPr>
        <w:t xml:space="preserve">, </w:t>
      </w:r>
      <w:r w:rsidR="00DD668E" w:rsidRPr="006E6461">
        <w:rPr>
          <w:sz w:val="16"/>
          <w:szCs w:val="16"/>
        </w:rPr>
        <w:t>p</w:t>
      </w:r>
      <w:r w:rsidRPr="006E6461">
        <w:rPr>
          <w:sz w:val="16"/>
          <w:szCs w:val="16"/>
        </w:rPr>
        <w:t>.</w:t>
      </w:r>
      <w:r w:rsidR="00C72CD5" w:rsidRPr="006E6461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>108</w:t>
      </w:r>
    </w:p>
  </w:footnote>
  <w:footnote w:id="15">
    <w:p w14:paraId="11563617" w14:textId="244ED882" w:rsidR="006A322C" w:rsidRPr="006E6461" w:rsidRDefault="006A322C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William of </w:t>
      </w:r>
      <w:r w:rsidR="006E6461" w:rsidRPr="006E6461">
        <w:rPr>
          <w:sz w:val="16"/>
          <w:szCs w:val="16"/>
        </w:rPr>
        <w:t>Jumi</w:t>
      </w:r>
      <w:r w:rsidR="007F346C">
        <w:rPr>
          <w:sz w:val="16"/>
          <w:szCs w:val="16"/>
        </w:rPr>
        <w:t>è</w:t>
      </w:r>
      <w:r w:rsidR="006E6461" w:rsidRPr="006E6461">
        <w:rPr>
          <w:sz w:val="16"/>
          <w:szCs w:val="16"/>
        </w:rPr>
        <w:t xml:space="preserve">ges, </w:t>
      </w:r>
      <w:r w:rsidR="006E6461" w:rsidRPr="006E6461">
        <w:rPr>
          <w:i/>
          <w:iCs/>
          <w:sz w:val="16"/>
          <w:szCs w:val="16"/>
        </w:rPr>
        <w:t>The Gesta Normannorum,</w:t>
      </w:r>
      <w:r w:rsidRPr="006E6461">
        <w:rPr>
          <w:sz w:val="16"/>
          <w:szCs w:val="16"/>
        </w:rPr>
        <w:t xml:space="preserve"> p.</w:t>
      </w:r>
      <w:r w:rsidR="006E6461" w:rsidRPr="006E6461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>161</w:t>
      </w:r>
    </w:p>
  </w:footnote>
  <w:footnote w:id="16">
    <w:p w14:paraId="5C9833BE" w14:textId="1D22EC85" w:rsidR="00BC2408" w:rsidRPr="006E6461" w:rsidRDefault="00BC2408">
      <w:pPr>
        <w:pStyle w:val="FootnoteText"/>
        <w:rPr>
          <w:sz w:val="16"/>
          <w:szCs w:val="16"/>
        </w:rPr>
      </w:pPr>
      <w:r w:rsidRPr="006E6461">
        <w:rPr>
          <w:rStyle w:val="FootnoteReference"/>
          <w:sz w:val="16"/>
          <w:szCs w:val="16"/>
        </w:rPr>
        <w:footnoteRef/>
      </w:r>
      <w:r w:rsidRPr="006E6461">
        <w:rPr>
          <w:sz w:val="16"/>
          <w:szCs w:val="16"/>
        </w:rPr>
        <w:t xml:space="preserve"> </w:t>
      </w:r>
      <w:r w:rsidR="006E6461" w:rsidRPr="006E6461">
        <w:rPr>
          <w:sz w:val="16"/>
          <w:szCs w:val="16"/>
        </w:rPr>
        <w:t>William of Jumi</w:t>
      </w:r>
      <w:r w:rsidR="007F346C">
        <w:rPr>
          <w:sz w:val="16"/>
          <w:szCs w:val="16"/>
        </w:rPr>
        <w:t>è</w:t>
      </w:r>
      <w:r w:rsidR="006E6461" w:rsidRPr="006E6461">
        <w:rPr>
          <w:sz w:val="16"/>
          <w:szCs w:val="16"/>
        </w:rPr>
        <w:t xml:space="preserve">ges, </w:t>
      </w:r>
      <w:r w:rsidR="006E6461" w:rsidRPr="006E6461">
        <w:rPr>
          <w:i/>
          <w:iCs/>
          <w:sz w:val="16"/>
          <w:szCs w:val="16"/>
        </w:rPr>
        <w:t>The Gesta Normannorum,</w:t>
      </w:r>
      <w:r w:rsidR="006E6461" w:rsidRPr="006E6461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>p</w:t>
      </w:r>
      <w:r w:rsidR="006E6461" w:rsidRPr="006E6461">
        <w:rPr>
          <w:sz w:val="16"/>
          <w:szCs w:val="16"/>
        </w:rPr>
        <w:t>p</w:t>
      </w:r>
      <w:r w:rsidRPr="006E6461">
        <w:rPr>
          <w:sz w:val="16"/>
          <w:szCs w:val="16"/>
        </w:rPr>
        <w:t>. 167-169</w:t>
      </w:r>
    </w:p>
  </w:footnote>
  <w:footnote w:id="17">
    <w:p w14:paraId="50A49015" w14:textId="53702662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9074DE" w:rsidRPr="00407C18">
        <w:rPr>
          <w:sz w:val="16"/>
          <w:szCs w:val="16"/>
        </w:rPr>
        <w:t xml:space="preserve">D. Douglas, Edward the Confessor, Duke William of Normandy, and the English Succession. </w:t>
      </w:r>
      <w:r w:rsidR="009074DE" w:rsidRPr="00407C18">
        <w:rPr>
          <w:i/>
          <w:iCs/>
          <w:sz w:val="16"/>
          <w:szCs w:val="16"/>
        </w:rPr>
        <w:t xml:space="preserve">The English Historical review, </w:t>
      </w:r>
      <w:r w:rsidR="009074DE" w:rsidRPr="00407C18">
        <w:rPr>
          <w:sz w:val="16"/>
          <w:szCs w:val="16"/>
        </w:rPr>
        <w:t>68, 269, (1953) 526-545,</w:t>
      </w:r>
      <w:r w:rsidRPr="00407C18">
        <w:rPr>
          <w:sz w:val="16"/>
          <w:szCs w:val="16"/>
        </w:rPr>
        <w:t xml:space="preserve"> p.</w:t>
      </w:r>
      <w:r w:rsidR="009074DE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540; M</w:t>
      </w:r>
      <w:r w:rsidR="009074DE" w:rsidRPr="00407C18">
        <w:rPr>
          <w:sz w:val="16"/>
          <w:szCs w:val="16"/>
        </w:rPr>
        <w:t>.</w:t>
      </w:r>
      <w:r w:rsidRPr="00407C18">
        <w:rPr>
          <w:sz w:val="16"/>
          <w:szCs w:val="16"/>
        </w:rPr>
        <w:t xml:space="preserve"> Campbell</w:t>
      </w:r>
      <w:r w:rsidR="009074DE" w:rsidRPr="00407C18">
        <w:rPr>
          <w:sz w:val="16"/>
          <w:szCs w:val="16"/>
        </w:rPr>
        <w:t xml:space="preserve">, </w:t>
      </w:r>
      <w:r w:rsidR="00082B86" w:rsidRPr="00407C18">
        <w:rPr>
          <w:i/>
          <w:iCs/>
          <w:sz w:val="16"/>
          <w:szCs w:val="16"/>
        </w:rPr>
        <w:t>Speculum</w:t>
      </w:r>
      <w:r w:rsidR="009074DE" w:rsidRPr="00407C18">
        <w:rPr>
          <w:sz w:val="16"/>
          <w:szCs w:val="16"/>
        </w:rPr>
        <w:t>,</w:t>
      </w:r>
      <w:r w:rsidRPr="00407C18">
        <w:rPr>
          <w:sz w:val="16"/>
          <w:szCs w:val="16"/>
        </w:rPr>
        <w:t xml:space="preserve"> p.</w:t>
      </w:r>
      <w:r w:rsidR="009074DE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23</w:t>
      </w:r>
    </w:p>
  </w:footnote>
  <w:footnote w:id="18">
    <w:p w14:paraId="54384D72" w14:textId="5607FE50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P. Bouet, F. Neveux, </w:t>
      </w:r>
      <w:r w:rsidR="005F3FC7" w:rsidRPr="00407C18">
        <w:rPr>
          <w:i/>
          <w:iCs/>
          <w:sz w:val="16"/>
          <w:szCs w:val="16"/>
        </w:rPr>
        <w:t>The Bayeux Tapestry: New Approaches</w:t>
      </w:r>
      <w:r w:rsidR="005F3FC7" w:rsidRPr="00407C18">
        <w:rPr>
          <w:i/>
          <w:iCs/>
          <w:sz w:val="16"/>
          <w:szCs w:val="16"/>
        </w:rPr>
        <w:t>,</w:t>
      </w:r>
      <w:r w:rsidRPr="00407C18">
        <w:rPr>
          <w:sz w:val="16"/>
          <w:szCs w:val="16"/>
        </w:rPr>
        <w:t xml:space="preserve"> </w:t>
      </w:r>
      <w:r w:rsidR="005F3FC7" w:rsidRPr="00407C18">
        <w:rPr>
          <w:sz w:val="16"/>
          <w:szCs w:val="16"/>
        </w:rPr>
        <w:t>p</w:t>
      </w:r>
      <w:r w:rsidRPr="00407C18">
        <w:rPr>
          <w:sz w:val="16"/>
          <w:szCs w:val="16"/>
        </w:rPr>
        <w:t>.</w:t>
      </w:r>
      <w:r w:rsidR="005F3FC7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65</w:t>
      </w:r>
    </w:p>
  </w:footnote>
  <w:footnote w:id="19">
    <w:p w14:paraId="0EFFE3C3" w14:textId="30E7A16C" w:rsidR="006F1D09" w:rsidRDefault="006F1D09" w:rsidP="006F1D09">
      <w:pPr>
        <w:pStyle w:val="FootnoteText"/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9074DE" w:rsidRPr="00407C18">
        <w:rPr>
          <w:sz w:val="16"/>
          <w:szCs w:val="16"/>
        </w:rPr>
        <w:t xml:space="preserve">A. </w:t>
      </w:r>
      <w:r w:rsidR="00DD668E" w:rsidRPr="00407C18">
        <w:rPr>
          <w:sz w:val="16"/>
          <w:szCs w:val="16"/>
        </w:rPr>
        <w:t xml:space="preserve">Bridgeford, </w:t>
      </w:r>
      <w:r w:rsidR="00DD668E" w:rsidRPr="00407C18">
        <w:rPr>
          <w:i/>
          <w:iCs/>
          <w:sz w:val="16"/>
          <w:szCs w:val="16"/>
        </w:rPr>
        <w:t xml:space="preserve">The Hidden History in the Bayeux Tapestry, </w:t>
      </w:r>
      <w:r w:rsidRPr="00407C18">
        <w:rPr>
          <w:sz w:val="16"/>
          <w:szCs w:val="16"/>
        </w:rPr>
        <w:t>p.</w:t>
      </w:r>
      <w:r w:rsidR="00DD668E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 xml:space="preserve">46; </w:t>
      </w:r>
      <w:r w:rsidR="009074DE" w:rsidRPr="00407C18">
        <w:rPr>
          <w:sz w:val="16"/>
          <w:szCs w:val="16"/>
        </w:rPr>
        <w:t>D. Douglas,</w:t>
      </w:r>
      <w:r w:rsidR="00CF01AD" w:rsidRPr="00407C18">
        <w:rPr>
          <w:sz w:val="16"/>
          <w:szCs w:val="16"/>
        </w:rPr>
        <w:t xml:space="preserve"> </w:t>
      </w:r>
      <w:r w:rsidR="009074DE" w:rsidRPr="00407C18">
        <w:rPr>
          <w:i/>
          <w:iCs/>
          <w:sz w:val="16"/>
          <w:szCs w:val="16"/>
        </w:rPr>
        <w:t>The English Historical review</w:t>
      </w:r>
      <w:r w:rsidR="00C72CD5" w:rsidRPr="00407C18">
        <w:rPr>
          <w:i/>
          <w:iCs/>
          <w:sz w:val="16"/>
          <w:szCs w:val="16"/>
        </w:rPr>
        <w:t xml:space="preserve">, </w:t>
      </w:r>
      <w:r w:rsidRPr="00407C18">
        <w:rPr>
          <w:sz w:val="16"/>
          <w:szCs w:val="16"/>
        </w:rPr>
        <w:t>p.</w:t>
      </w:r>
      <w:r w:rsidR="009074DE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 xml:space="preserve">526; </w:t>
      </w:r>
      <w:r w:rsidR="00BD6C12" w:rsidRPr="00407C18">
        <w:rPr>
          <w:sz w:val="16"/>
          <w:szCs w:val="16"/>
        </w:rPr>
        <w:t xml:space="preserve">E. John, </w:t>
      </w:r>
      <w:r w:rsidR="00BD6C12" w:rsidRPr="00407C18">
        <w:rPr>
          <w:i/>
          <w:iCs/>
          <w:sz w:val="16"/>
          <w:szCs w:val="16"/>
        </w:rPr>
        <w:t>The English Historical Review,</w:t>
      </w:r>
      <w:r w:rsidRPr="00407C18">
        <w:rPr>
          <w:sz w:val="16"/>
          <w:szCs w:val="16"/>
        </w:rPr>
        <w:t xml:space="preserve"> p.263; L. Ashe,</w:t>
      </w:r>
      <w:r w:rsidR="00C72CD5" w:rsidRPr="00407C18">
        <w:rPr>
          <w:sz w:val="16"/>
          <w:szCs w:val="16"/>
        </w:rPr>
        <w:t xml:space="preserve"> Harold Godwineson, </w:t>
      </w:r>
      <w:r w:rsidR="00C72CD5" w:rsidRPr="00407C18">
        <w:rPr>
          <w:i/>
          <w:iCs/>
          <w:sz w:val="16"/>
          <w:szCs w:val="16"/>
        </w:rPr>
        <w:t>Heroes and Anti-Heroes in Medieval Romance,</w:t>
      </w:r>
      <w:r w:rsidR="00CF01AD" w:rsidRPr="00407C18">
        <w:rPr>
          <w:sz w:val="16"/>
          <w:szCs w:val="16"/>
        </w:rPr>
        <w:t xml:space="preserve"> Ed. Neil Cartlidge, (Woodbridge: Boydell &amp; Brewer, 2012)</w:t>
      </w:r>
      <w:r w:rsidRPr="00407C18">
        <w:rPr>
          <w:sz w:val="16"/>
          <w:szCs w:val="16"/>
        </w:rPr>
        <w:t xml:space="preserve"> p. 68</w:t>
      </w:r>
    </w:p>
  </w:footnote>
  <w:footnote w:id="20">
    <w:p w14:paraId="5D6B7F62" w14:textId="77777777" w:rsidR="00B91AF2" w:rsidRPr="00407C18" w:rsidRDefault="00B91AF2" w:rsidP="00B91AF2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E. John, </w:t>
      </w:r>
      <w:r w:rsidRPr="00407C18">
        <w:rPr>
          <w:i/>
          <w:iCs/>
          <w:sz w:val="16"/>
          <w:szCs w:val="16"/>
        </w:rPr>
        <w:t xml:space="preserve">The English Historical Review, </w:t>
      </w:r>
      <w:r w:rsidRPr="00407C18">
        <w:rPr>
          <w:sz w:val="16"/>
          <w:szCs w:val="16"/>
        </w:rPr>
        <w:t>pp. 266-267</w:t>
      </w:r>
    </w:p>
  </w:footnote>
  <w:footnote w:id="21">
    <w:p w14:paraId="09D15F0C" w14:textId="3A3A84E8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BD6C12" w:rsidRPr="00407C18">
        <w:rPr>
          <w:sz w:val="16"/>
          <w:szCs w:val="16"/>
        </w:rPr>
        <w:t xml:space="preserve">E. John, </w:t>
      </w:r>
      <w:r w:rsidR="00BD6C12" w:rsidRPr="00407C18">
        <w:rPr>
          <w:i/>
          <w:iCs/>
          <w:sz w:val="16"/>
          <w:szCs w:val="16"/>
        </w:rPr>
        <w:t>The English Historical Review</w:t>
      </w:r>
      <w:r w:rsidRPr="00407C18">
        <w:rPr>
          <w:sz w:val="16"/>
          <w:szCs w:val="16"/>
        </w:rPr>
        <w:t xml:space="preserve">, </w:t>
      </w:r>
      <w:r w:rsidR="00BD6C12" w:rsidRPr="00407C18">
        <w:rPr>
          <w:sz w:val="16"/>
          <w:szCs w:val="16"/>
        </w:rPr>
        <w:t>p</w:t>
      </w:r>
      <w:r w:rsidRPr="00407C18">
        <w:rPr>
          <w:sz w:val="16"/>
          <w:szCs w:val="16"/>
        </w:rPr>
        <w:t>.264</w:t>
      </w:r>
    </w:p>
  </w:footnote>
  <w:footnote w:id="22">
    <w:p w14:paraId="4A389D90" w14:textId="67419CEE" w:rsidR="003577D7" w:rsidRPr="00407C18" w:rsidRDefault="003577D7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T. Olsen, </w:t>
      </w:r>
      <w:r w:rsidRPr="00407C18">
        <w:rPr>
          <w:sz w:val="16"/>
          <w:szCs w:val="16"/>
        </w:rPr>
        <w:t>Edward the Confessor's Promise of the Throne to Duke William of Normandy</w:t>
      </w:r>
      <w:r w:rsidRPr="00407C18">
        <w:rPr>
          <w:sz w:val="16"/>
          <w:szCs w:val="16"/>
        </w:rPr>
        <w:t>,</w:t>
      </w:r>
      <w:r w:rsidR="00CF01AD" w:rsidRPr="00407C18">
        <w:rPr>
          <w:sz w:val="16"/>
          <w:szCs w:val="16"/>
        </w:rPr>
        <w:t xml:space="preserve"> </w:t>
      </w:r>
      <w:r w:rsidR="00CF01AD" w:rsidRPr="00407C18">
        <w:rPr>
          <w:i/>
          <w:iCs/>
          <w:sz w:val="16"/>
          <w:szCs w:val="16"/>
        </w:rPr>
        <w:t xml:space="preserve">The English Historic Review, </w:t>
      </w:r>
      <w:r w:rsidR="00CF01AD" w:rsidRPr="00407C18">
        <w:rPr>
          <w:sz w:val="16"/>
          <w:szCs w:val="16"/>
        </w:rPr>
        <w:t>72, 283, (1957), 221-228,</w:t>
      </w:r>
      <w:r w:rsidRPr="00407C18">
        <w:rPr>
          <w:sz w:val="16"/>
          <w:szCs w:val="16"/>
        </w:rPr>
        <w:t xml:space="preserve"> </w:t>
      </w:r>
      <w:r w:rsidR="00CF01AD" w:rsidRPr="00407C18">
        <w:rPr>
          <w:sz w:val="16"/>
          <w:szCs w:val="16"/>
        </w:rPr>
        <w:t>p</w:t>
      </w:r>
      <w:r w:rsidRPr="00407C18">
        <w:rPr>
          <w:sz w:val="16"/>
          <w:szCs w:val="16"/>
        </w:rPr>
        <w:t>.</w:t>
      </w:r>
      <w:r w:rsidR="00CF01AD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222</w:t>
      </w:r>
    </w:p>
  </w:footnote>
  <w:footnote w:id="23">
    <w:p w14:paraId="40381378" w14:textId="7DF3C3E9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DF5060" w:rsidRPr="00407C18">
        <w:rPr>
          <w:sz w:val="16"/>
          <w:szCs w:val="16"/>
        </w:rPr>
        <w:t xml:space="preserve">Snorri Sturlason, Heimskringla, Translated by D. B. Killings and D Widger, Unpublished eBook, Available at </w:t>
      </w:r>
      <w:hyperlink r:id="rId1" w:history="1">
        <w:r w:rsidR="00DF5060" w:rsidRPr="00407C18">
          <w:rPr>
            <w:sz w:val="16"/>
            <w:szCs w:val="16"/>
          </w:rPr>
          <w:t>https://www.gutenberg.org/files/598/598-h/598-h.htm</w:t>
        </w:r>
      </w:hyperlink>
      <w:r w:rsidR="00DF5060" w:rsidRPr="00407C18">
        <w:rPr>
          <w:sz w:val="16"/>
          <w:szCs w:val="16"/>
        </w:rPr>
        <w:t xml:space="preserve"> (Accessed: 23rd January 2023)</w:t>
      </w:r>
      <w:r w:rsidR="00DF5060" w:rsidRPr="00407C18">
        <w:rPr>
          <w:sz w:val="16"/>
          <w:szCs w:val="16"/>
        </w:rPr>
        <w:t>,</w:t>
      </w:r>
      <w:r w:rsidRPr="00407C18">
        <w:rPr>
          <w:sz w:val="16"/>
          <w:szCs w:val="16"/>
        </w:rPr>
        <w:t xml:space="preserve"> </w:t>
      </w:r>
      <w:r w:rsidR="00DF5060" w:rsidRPr="00407C18">
        <w:rPr>
          <w:sz w:val="16"/>
          <w:szCs w:val="16"/>
        </w:rPr>
        <w:t>[</w:t>
      </w:r>
      <w:r w:rsidRPr="00407C18">
        <w:rPr>
          <w:sz w:val="16"/>
          <w:szCs w:val="16"/>
        </w:rPr>
        <w:t>Saga of Harold Hardrada</w:t>
      </w:r>
      <w:r w:rsidR="00DF5060" w:rsidRPr="00407C18">
        <w:rPr>
          <w:sz w:val="16"/>
          <w:szCs w:val="16"/>
        </w:rPr>
        <w:t>] Chapter</w:t>
      </w:r>
      <w:r w:rsidRPr="00407C18">
        <w:rPr>
          <w:sz w:val="16"/>
          <w:szCs w:val="16"/>
        </w:rPr>
        <w:t xml:space="preserve"> 99</w:t>
      </w:r>
    </w:p>
  </w:footnote>
  <w:footnote w:id="24">
    <w:p w14:paraId="424FC0B4" w14:textId="640A3FBA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DD668E" w:rsidRPr="00407C18">
        <w:rPr>
          <w:sz w:val="16"/>
          <w:szCs w:val="16"/>
        </w:rPr>
        <w:t xml:space="preserve">Bridgeford, </w:t>
      </w:r>
      <w:r w:rsidR="00DD668E" w:rsidRPr="00407C18">
        <w:rPr>
          <w:i/>
          <w:iCs/>
          <w:sz w:val="16"/>
          <w:szCs w:val="16"/>
        </w:rPr>
        <w:t xml:space="preserve">The Hidden History in the Bayeux Tapestry, </w:t>
      </w:r>
      <w:r w:rsidRPr="00407C18">
        <w:rPr>
          <w:sz w:val="16"/>
          <w:szCs w:val="16"/>
        </w:rPr>
        <w:t>p.</w:t>
      </w:r>
      <w:r w:rsidR="00DD668E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26</w:t>
      </w:r>
    </w:p>
  </w:footnote>
  <w:footnote w:id="25">
    <w:p w14:paraId="08A098A1" w14:textId="62313D84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C959F2" w:rsidRPr="00407C18">
        <w:rPr>
          <w:sz w:val="16"/>
          <w:szCs w:val="16"/>
        </w:rPr>
        <w:t xml:space="preserve">E. Patsan, S. White, </w:t>
      </w:r>
      <w:r w:rsidR="00C959F2" w:rsidRPr="00407C18">
        <w:rPr>
          <w:i/>
          <w:iCs/>
          <w:sz w:val="16"/>
          <w:szCs w:val="16"/>
        </w:rPr>
        <w:t>The Bayeux Tapestry and its Contexts</w:t>
      </w:r>
      <w:r w:rsidR="00C959F2" w:rsidRPr="00407C18">
        <w:rPr>
          <w:i/>
          <w:iCs/>
          <w:sz w:val="16"/>
          <w:szCs w:val="16"/>
        </w:rPr>
        <w:t>,</w:t>
      </w:r>
      <w:r w:rsidR="00C959F2" w:rsidRPr="00407C18">
        <w:rPr>
          <w:i/>
          <w:iCs/>
          <w:sz w:val="16"/>
          <w:szCs w:val="16"/>
        </w:rPr>
        <w:t xml:space="preserve"> </w:t>
      </w:r>
      <w:r w:rsidRPr="00407C18">
        <w:rPr>
          <w:sz w:val="16"/>
          <w:szCs w:val="16"/>
        </w:rPr>
        <w:t>p</w:t>
      </w:r>
      <w:r w:rsidR="00C959F2" w:rsidRPr="00407C18">
        <w:rPr>
          <w:sz w:val="16"/>
          <w:szCs w:val="16"/>
        </w:rPr>
        <w:t xml:space="preserve">p. </w:t>
      </w:r>
      <w:r w:rsidRPr="00407C18">
        <w:rPr>
          <w:sz w:val="16"/>
          <w:szCs w:val="16"/>
        </w:rPr>
        <w:t>213-214</w:t>
      </w:r>
    </w:p>
  </w:footnote>
  <w:footnote w:id="26">
    <w:p w14:paraId="54FA1CBC" w14:textId="2CDF6B7D" w:rsidR="005B56B6" w:rsidRDefault="005B56B6">
      <w:pPr>
        <w:pStyle w:val="FootnoteText"/>
      </w:pPr>
      <w:r w:rsidRPr="005B56B6">
        <w:rPr>
          <w:rStyle w:val="FootnoteReference"/>
          <w:sz w:val="16"/>
          <w:szCs w:val="16"/>
        </w:rPr>
        <w:footnoteRef/>
      </w:r>
      <w:r w:rsidRPr="005B56B6">
        <w:rPr>
          <w:sz w:val="16"/>
          <w:szCs w:val="16"/>
        </w:rPr>
        <w:t xml:space="preserve"> </w:t>
      </w:r>
      <w:r w:rsidRPr="006E6461">
        <w:rPr>
          <w:sz w:val="16"/>
          <w:szCs w:val="16"/>
        </w:rPr>
        <w:t>William of Jumi</w:t>
      </w:r>
      <w:r w:rsidR="007F346C">
        <w:rPr>
          <w:sz w:val="16"/>
          <w:szCs w:val="16"/>
        </w:rPr>
        <w:t>è</w:t>
      </w:r>
      <w:r w:rsidRPr="006E6461">
        <w:rPr>
          <w:sz w:val="16"/>
          <w:szCs w:val="16"/>
        </w:rPr>
        <w:t xml:space="preserve">ges, </w:t>
      </w:r>
      <w:r w:rsidRPr="006E6461">
        <w:rPr>
          <w:i/>
          <w:iCs/>
          <w:sz w:val="16"/>
          <w:szCs w:val="16"/>
        </w:rPr>
        <w:t>The Gesta Normannorum,</w:t>
      </w:r>
      <w:r>
        <w:rPr>
          <w:i/>
          <w:iCs/>
          <w:sz w:val="16"/>
          <w:szCs w:val="16"/>
        </w:rPr>
        <w:t xml:space="preserve"> p. 165</w:t>
      </w:r>
    </w:p>
  </w:footnote>
  <w:footnote w:id="27">
    <w:p w14:paraId="2C6D7D54" w14:textId="2AF4D856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5F3FC7" w:rsidRPr="00407C18">
        <w:rPr>
          <w:sz w:val="16"/>
          <w:szCs w:val="16"/>
        </w:rPr>
        <w:t xml:space="preserve">P. Bouet, F. Neveux, </w:t>
      </w:r>
      <w:r w:rsidR="005F3FC7" w:rsidRPr="00407C18">
        <w:rPr>
          <w:i/>
          <w:iCs/>
          <w:sz w:val="16"/>
          <w:szCs w:val="16"/>
        </w:rPr>
        <w:t>The Bayeux Tapestry: New Approaches</w:t>
      </w:r>
      <w:r w:rsidR="005F3FC7" w:rsidRPr="00407C18">
        <w:rPr>
          <w:i/>
          <w:iCs/>
          <w:sz w:val="16"/>
          <w:szCs w:val="16"/>
        </w:rPr>
        <w:t>,</w:t>
      </w:r>
      <w:r w:rsidR="005F3FC7" w:rsidRPr="00407C18">
        <w:rPr>
          <w:sz w:val="16"/>
          <w:szCs w:val="16"/>
        </w:rPr>
        <w:t xml:space="preserve"> p</w:t>
      </w:r>
      <w:r w:rsidRPr="00407C18">
        <w:rPr>
          <w:sz w:val="16"/>
          <w:szCs w:val="16"/>
        </w:rPr>
        <w:t>.</w:t>
      </w:r>
      <w:r w:rsidR="005F3FC7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 xml:space="preserve">65 </w:t>
      </w:r>
    </w:p>
  </w:footnote>
  <w:footnote w:id="28">
    <w:p w14:paraId="2A53041B" w14:textId="77777777" w:rsidR="00994E07" w:rsidRPr="00407C18" w:rsidRDefault="00994E07" w:rsidP="00994E07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L. Ashe,</w:t>
      </w:r>
      <w:r w:rsidRPr="00407C18">
        <w:rPr>
          <w:i/>
          <w:iCs/>
          <w:sz w:val="16"/>
          <w:szCs w:val="16"/>
        </w:rPr>
        <w:t xml:space="preserve"> Heroes and Anti-Heroes in Medieval Romance, </w:t>
      </w:r>
      <w:r w:rsidRPr="00407C18">
        <w:rPr>
          <w:sz w:val="16"/>
          <w:szCs w:val="16"/>
        </w:rPr>
        <w:t>p. 73</w:t>
      </w:r>
    </w:p>
  </w:footnote>
  <w:footnote w:id="29">
    <w:p w14:paraId="7F6DC259" w14:textId="045BF8C0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P. Bouet, F. </w:t>
      </w:r>
      <w:r w:rsidR="005F3FC7" w:rsidRPr="00407C18">
        <w:rPr>
          <w:sz w:val="16"/>
          <w:szCs w:val="16"/>
        </w:rPr>
        <w:t>N</w:t>
      </w:r>
      <w:r w:rsidRPr="00407C18">
        <w:rPr>
          <w:sz w:val="16"/>
          <w:szCs w:val="16"/>
        </w:rPr>
        <w:t xml:space="preserve">eveux, </w:t>
      </w:r>
      <w:r w:rsidR="005F3FC7" w:rsidRPr="00407C18">
        <w:rPr>
          <w:i/>
          <w:iCs/>
          <w:sz w:val="16"/>
          <w:szCs w:val="16"/>
        </w:rPr>
        <w:t>The Bayeux Tapestry: New Approaches</w:t>
      </w:r>
      <w:r w:rsidR="004A6545">
        <w:rPr>
          <w:i/>
          <w:iCs/>
          <w:sz w:val="16"/>
          <w:szCs w:val="16"/>
        </w:rPr>
        <w:t>,</w:t>
      </w:r>
      <w:r w:rsidR="005F3FC7" w:rsidRPr="00407C18">
        <w:rPr>
          <w:sz w:val="16"/>
          <w:szCs w:val="16"/>
        </w:rPr>
        <w:t xml:space="preserve"> p</w:t>
      </w:r>
      <w:r w:rsidRPr="00407C18">
        <w:rPr>
          <w:sz w:val="16"/>
          <w:szCs w:val="16"/>
        </w:rPr>
        <w:t>.</w:t>
      </w:r>
      <w:r w:rsidR="005F3FC7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65</w:t>
      </w:r>
    </w:p>
  </w:footnote>
  <w:footnote w:id="30">
    <w:p w14:paraId="30C5D16F" w14:textId="796CC0AF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E. Van Houts, The Norman Conquest </w:t>
      </w:r>
      <w:r w:rsidR="00CF01AD" w:rsidRPr="00407C18">
        <w:rPr>
          <w:sz w:val="16"/>
          <w:szCs w:val="16"/>
        </w:rPr>
        <w:t>T</w:t>
      </w:r>
      <w:r w:rsidRPr="00407C18">
        <w:rPr>
          <w:sz w:val="16"/>
          <w:szCs w:val="16"/>
        </w:rPr>
        <w:t>hrough European Eyes,</w:t>
      </w:r>
      <w:r w:rsidR="00CF01AD" w:rsidRPr="00407C18">
        <w:rPr>
          <w:i/>
          <w:iCs/>
          <w:sz w:val="16"/>
          <w:szCs w:val="16"/>
        </w:rPr>
        <w:t xml:space="preserve"> The English Historical Review,</w:t>
      </w:r>
      <w:r w:rsidR="00CF01AD" w:rsidRPr="00407C18">
        <w:rPr>
          <w:sz w:val="16"/>
          <w:szCs w:val="16"/>
        </w:rPr>
        <w:t xml:space="preserve"> 110, 438, (1995), </w:t>
      </w:r>
      <w:r w:rsidR="00807926" w:rsidRPr="00407C18">
        <w:rPr>
          <w:sz w:val="16"/>
          <w:szCs w:val="16"/>
        </w:rPr>
        <w:t>832-853,</w:t>
      </w:r>
      <w:r w:rsidRPr="00407C18">
        <w:rPr>
          <w:sz w:val="16"/>
          <w:szCs w:val="16"/>
        </w:rPr>
        <w:t xml:space="preserve"> pp</w:t>
      </w:r>
      <w:r w:rsidR="00CF01AD" w:rsidRPr="00407C18">
        <w:rPr>
          <w:sz w:val="16"/>
          <w:szCs w:val="16"/>
        </w:rPr>
        <w:t xml:space="preserve">. </w:t>
      </w:r>
      <w:r w:rsidRPr="00407C18">
        <w:rPr>
          <w:sz w:val="16"/>
          <w:szCs w:val="16"/>
        </w:rPr>
        <w:t>8</w:t>
      </w:r>
      <w:r w:rsidR="00BD3AB0">
        <w:rPr>
          <w:sz w:val="16"/>
          <w:szCs w:val="16"/>
        </w:rPr>
        <w:t>45</w:t>
      </w:r>
      <w:r w:rsidRPr="00407C18">
        <w:rPr>
          <w:sz w:val="16"/>
          <w:szCs w:val="16"/>
        </w:rPr>
        <w:t>-853</w:t>
      </w:r>
    </w:p>
  </w:footnote>
  <w:footnote w:id="31">
    <w:p w14:paraId="4C739669" w14:textId="3525A97D" w:rsidR="007D404A" w:rsidRPr="00407C18" w:rsidRDefault="007D404A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9074DE" w:rsidRPr="00407C18">
        <w:rPr>
          <w:sz w:val="16"/>
          <w:szCs w:val="16"/>
        </w:rPr>
        <w:t xml:space="preserve">M. Campbell, </w:t>
      </w:r>
      <w:r w:rsidR="00082B86" w:rsidRPr="00407C18">
        <w:rPr>
          <w:i/>
          <w:iCs/>
          <w:sz w:val="16"/>
          <w:szCs w:val="16"/>
        </w:rPr>
        <w:t>Speculum</w:t>
      </w:r>
      <w:r w:rsidR="009074DE" w:rsidRPr="00407C18">
        <w:rPr>
          <w:sz w:val="16"/>
          <w:szCs w:val="16"/>
        </w:rPr>
        <w:t>,</w:t>
      </w:r>
      <w:r w:rsidR="009074DE" w:rsidRPr="00407C18">
        <w:rPr>
          <w:sz w:val="16"/>
          <w:szCs w:val="16"/>
        </w:rPr>
        <w:t xml:space="preserve"> </w:t>
      </w:r>
      <w:r w:rsidR="008D72CF" w:rsidRPr="00407C18">
        <w:rPr>
          <w:sz w:val="16"/>
          <w:szCs w:val="16"/>
        </w:rPr>
        <w:t>pp</w:t>
      </w:r>
      <w:r w:rsidR="009074DE" w:rsidRPr="00407C18">
        <w:rPr>
          <w:sz w:val="16"/>
          <w:szCs w:val="16"/>
        </w:rPr>
        <w:t xml:space="preserve">. </w:t>
      </w:r>
      <w:r w:rsidR="008D72CF" w:rsidRPr="00407C18">
        <w:rPr>
          <w:sz w:val="16"/>
          <w:szCs w:val="16"/>
        </w:rPr>
        <w:t>157-158</w:t>
      </w:r>
    </w:p>
  </w:footnote>
  <w:footnote w:id="32">
    <w:p w14:paraId="300067F7" w14:textId="7681C5A1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L. Ashe, </w:t>
      </w:r>
      <w:r w:rsidR="00CF01AD" w:rsidRPr="00407C18">
        <w:rPr>
          <w:i/>
          <w:iCs/>
          <w:sz w:val="16"/>
          <w:szCs w:val="16"/>
        </w:rPr>
        <w:t>Heroes and Anti-Heroes in Medieval Romance</w:t>
      </w:r>
      <w:r w:rsidRPr="00407C18">
        <w:rPr>
          <w:sz w:val="16"/>
          <w:szCs w:val="16"/>
        </w:rPr>
        <w:t xml:space="preserve">, </w:t>
      </w:r>
      <w:r w:rsidR="00CF01AD" w:rsidRPr="00407C18">
        <w:rPr>
          <w:sz w:val="16"/>
          <w:szCs w:val="16"/>
        </w:rPr>
        <w:t>p</w:t>
      </w:r>
      <w:r w:rsidRPr="00407C18">
        <w:rPr>
          <w:sz w:val="16"/>
          <w:szCs w:val="16"/>
        </w:rPr>
        <w:t>.</w:t>
      </w:r>
      <w:r w:rsidR="00CF01AD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61</w:t>
      </w:r>
    </w:p>
  </w:footnote>
  <w:footnote w:id="33">
    <w:p w14:paraId="1AA14400" w14:textId="14D86D02" w:rsidR="006F1D09" w:rsidRPr="00407C18" w:rsidRDefault="006F1D09" w:rsidP="006F1D09">
      <w:pPr>
        <w:pStyle w:val="FootnoteText"/>
        <w:rPr>
          <w:sz w:val="16"/>
          <w:szCs w:val="16"/>
        </w:rPr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</w:t>
      </w:r>
      <w:r w:rsidR="00BD6C12" w:rsidRPr="00407C18">
        <w:rPr>
          <w:sz w:val="16"/>
          <w:szCs w:val="16"/>
        </w:rPr>
        <w:t xml:space="preserve">E. John, </w:t>
      </w:r>
      <w:r w:rsidR="00BD6C12" w:rsidRPr="00407C18">
        <w:rPr>
          <w:i/>
          <w:iCs/>
          <w:sz w:val="16"/>
          <w:szCs w:val="16"/>
        </w:rPr>
        <w:t>The English Historical Review</w:t>
      </w:r>
      <w:r w:rsidR="00BD6C12" w:rsidRPr="00407C18">
        <w:rPr>
          <w:i/>
          <w:iCs/>
          <w:sz w:val="16"/>
          <w:szCs w:val="16"/>
        </w:rPr>
        <w:t>,</w:t>
      </w:r>
      <w:r w:rsidR="00BD6C12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p.</w:t>
      </w:r>
      <w:r w:rsidR="00BD6C12" w:rsidRPr="00407C18">
        <w:rPr>
          <w:sz w:val="16"/>
          <w:szCs w:val="16"/>
        </w:rPr>
        <w:t xml:space="preserve"> </w:t>
      </w:r>
      <w:r w:rsidRPr="00407C18">
        <w:rPr>
          <w:sz w:val="16"/>
          <w:szCs w:val="16"/>
        </w:rPr>
        <w:t>252</w:t>
      </w:r>
    </w:p>
  </w:footnote>
  <w:footnote w:id="34">
    <w:p w14:paraId="37BA829A" w14:textId="31B9686B" w:rsidR="006F1D09" w:rsidRDefault="006F1D09" w:rsidP="006F1D09">
      <w:pPr>
        <w:pStyle w:val="FootnoteText"/>
      </w:pPr>
      <w:r w:rsidRPr="00407C18">
        <w:rPr>
          <w:rStyle w:val="FootnoteReference"/>
          <w:sz w:val="16"/>
          <w:szCs w:val="16"/>
        </w:rPr>
        <w:footnoteRef/>
      </w:r>
      <w:r w:rsidRPr="00407C18">
        <w:rPr>
          <w:sz w:val="16"/>
          <w:szCs w:val="16"/>
        </w:rPr>
        <w:t xml:space="preserve"> L. Ashe</w:t>
      </w:r>
      <w:r w:rsidR="00CF01AD" w:rsidRPr="00407C18">
        <w:rPr>
          <w:sz w:val="16"/>
          <w:szCs w:val="16"/>
        </w:rPr>
        <w:t xml:space="preserve">, </w:t>
      </w:r>
      <w:r w:rsidR="00CF01AD" w:rsidRPr="00407C18">
        <w:rPr>
          <w:i/>
          <w:iCs/>
          <w:sz w:val="16"/>
          <w:szCs w:val="16"/>
        </w:rPr>
        <w:t>Heroes and Anti-Heroes in Medieval Romance</w:t>
      </w:r>
      <w:r w:rsidR="00CF01AD" w:rsidRPr="00407C18">
        <w:rPr>
          <w:i/>
          <w:iCs/>
          <w:sz w:val="16"/>
          <w:szCs w:val="16"/>
        </w:rPr>
        <w:t>,</w:t>
      </w:r>
      <w:r w:rsidRPr="00407C18">
        <w:rPr>
          <w:sz w:val="16"/>
          <w:szCs w:val="16"/>
        </w:rPr>
        <w:t xml:space="preserve"> p.</w:t>
      </w:r>
      <w:r w:rsidR="00CF01AD" w:rsidRPr="00407C18">
        <w:rPr>
          <w:sz w:val="16"/>
          <w:szCs w:val="16"/>
        </w:rPr>
        <w:t xml:space="preserve"> </w:t>
      </w:r>
      <w:r w:rsidRPr="004A6545">
        <w:rPr>
          <w:sz w:val="16"/>
          <w:szCs w:val="16"/>
        </w:rPr>
        <w:t>75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D6"/>
    <w:rsid w:val="00027C45"/>
    <w:rsid w:val="00077667"/>
    <w:rsid w:val="00082B86"/>
    <w:rsid w:val="000E7419"/>
    <w:rsid w:val="0010612B"/>
    <w:rsid w:val="00124506"/>
    <w:rsid w:val="00147F04"/>
    <w:rsid w:val="00185A8C"/>
    <w:rsid w:val="00210045"/>
    <w:rsid w:val="002573E9"/>
    <w:rsid w:val="00283391"/>
    <w:rsid w:val="002C5E50"/>
    <w:rsid w:val="002E351A"/>
    <w:rsid w:val="002E5D95"/>
    <w:rsid w:val="00355463"/>
    <w:rsid w:val="003577D7"/>
    <w:rsid w:val="00407478"/>
    <w:rsid w:val="00407C18"/>
    <w:rsid w:val="0042168F"/>
    <w:rsid w:val="00423CF6"/>
    <w:rsid w:val="00425694"/>
    <w:rsid w:val="00433E48"/>
    <w:rsid w:val="004A6545"/>
    <w:rsid w:val="0051120A"/>
    <w:rsid w:val="005B56B6"/>
    <w:rsid w:val="005E0729"/>
    <w:rsid w:val="005F3FC7"/>
    <w:rsid w:val="00612703"/>
    <w:rsid w:val="00617AB8"/>
    <w:rsid w:val="006770E7"/>
    <w:rsid w:val="006A322C"/>
    <w:rsid w:val="006E6461"/>
    <w:rsid w:val="006F1D09"/>
    <w:rsid w:val="007C24D7"/>
    <w:rsid w:val="007D404A"/>
    <w:rsid w:val="007F346C"/>
    <w:rsid w:val="00807926"/>
    <w:rsid w:val="008D72CF"/>
    <w:rsid w:val="008E6F13"/>
    <w:rsid w:val="008F5641"/>
    <w:rsid w:val="009074DE"/>
    <w:rsid w:val="009115BE"/>
    <w:rsid w:val="00994E07"/>
    <w:rsid w:val="00996CA3"/>
    <w:rsid w:val="00A3749A"/>
    <w:rsid w:val="00A467D8"/>
    <w:rsid w:val="00A57184"/>
    <w:rsid w:val="00A6099A"/>
    <w:rsid w:val="00A64E3E"/>
    <w:rsid w:val="00A65CE6"/>
    <w:rsid w:val="00AF5EEF"/>
    <w:rsid w:val="00AF7C5D"/>
    <w:rsid w:val="00B263CB"/>
    <w:rsid w:val="00B40B30"/>
    <w:rsid w:val="00B81469"/>
    <w:rsid w:val="00B91AF2"/>
    <w:rsid w:val="00BC04C4"/>
    <w:rsid w:val="00BC2408"/>
    <w:rsid w:val="00BC5830"/>
    <w:rsid w:val="00BD3AB0"/>
    <w:rsid w:val="00BD6C12"/>
    <w:rsid w:val="00BE1E82"/>
    <w:rsid w:val="00C33C58"/>
    <w:rsid w:val="00C470F1"/>
    <w:rsid w:val="00C65852"/>
    <w:rsid w:val="00C72CD5"/>
    <w:rsid w:val="00C75B5F"/>
    <w:rsid w:val="00C959F2"/>
    <w:rsid w:val="00CE1066"/>
    <w:rsid w:val="00CF01AD"/>
    <w:rsid w:val="00DD668E"/>
    <w:rsid w:val="00DE7707"/>
    <w:rsid w:val="00DF5060"/>
    <w:rsid w:val="00E303D6"/>
    <w:rsid w:val="00EF2A3F"/>
    <w:rsid w:val="00F7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B50C1E"/>
  <w15:chartTrackingRefBased/>
  <w15:docId w15:val="{CE6FF956-6EB1-47BD-B805-3D7B3AB2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303D6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F1D0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D0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F1D0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F5060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617A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utenberg.org/files/598/598-h/598-h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utenberg.org/files/598/598-h/598-h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1724</Words>
  <Characters>8502</Characters>
  <Application>Microsoft Office Word</Application>
  <DocSecurity>0</DocSecurity>
  <Lines>118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Tierney (2114576)</dc:creator>
  <cp:keywords/>
  <dc:description/>
  <cp:lastModifiedBy>Darren Tierney (2114576)</cp:lastModifiedBy>
  <cp:revision>29</cp:revision>
  <cp:lastPrinted>2023-02-01T16:17:00Z</cp:lastPrinted>
  <dcterms:created xsi:type="dcterms:W3CDTF">2023-02-01T17:42:00Z</dcterms:created>
  <dcterms:modified xsi:type="dcterms:W3CDTF">2023-02-01T22:43:00Z</dcterms:modified>
</cp:coreProperties>
</file>