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88454539"/>
        <w:docPartObj>
          <w:docPartGallery w:val="Cover Pages"/>
          <w:docPartUnique/>
        </w:docPartObj>
      </w:sdtPr>
      <w:sdtContent>
        <w:p w14:paraId="4EFDDA0F" w14:textId="217131C4" w:rsidR="00BA4FC9" w:rsidRDefault="00BA4FC9"/>
        <w:p w14:paraId="60826D05" w14:textId="5606D696" w:rsidR="00BA4FC9" w:rsidRDefault="00BA4FC9">
          <w:r>
            <w:rPr>
              <w:noProof/>
            </w:rPr>
            <mc:AlternateContent>
              <mc:Choice Requires="wps">
                <w:drawing>
                  <wp:anchor distT="0" distB="0" distL="182880" distR="182880" simplePos="0" relativeHeight="251658241" behindDoc="0" locked="0" layoutInCell="1" allowOverlap="1" wp14:anchorId="4349DF05" wp14:editId="03FD98C3">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9BB3109" w14:textId="2B7B994F" w:rsidR="00BA4FC9" w:rsidRDefault="00000000">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703EC0">
                                      <w:rPr>
                                        <w:color w:val="4472C4" w:themeColor="accent1"/>
                                        <w:sz w:val="72"/>
                                        <w:szCs w:val="72"/>
                                      </w:rPr>
                                      <w:t>Scenario Question</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7D550CC5" w14:textId="24CE284E" w:rsidR="00BA4FC9" w:rsidRDefault="00FC6CCF">
                                    <w:pPr>
                                      <w:pStyle w:val="NoSpacing"/>
                                      <w:spacing w:before="40" w:after="40"/>
                                      <w:rPr>
                                        <w:caps/>
                                        <w:color w:val="1F4E79" w:themeColor="accent5" w:themeShade="80"/>
                                        <w:sz w:val="28"/>
                                        <w:szCs w:val="28"/>
                                      </w:rPr>
                                    </w:pPr>
                                    <w:r>
                                      <w:rPr>
                                        <w:caps/>
                                        <w:color w:val="1F4E79" w:themeColor="accent5" w:themeShade="80"/>
                                        <w:sz w:val="28"/>
                                        <w:szCs w:val="28"/>
                                      </w:rPr>
                                      <w:t>BMLW4005/BMPL4009</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42D7CDFD" w14:textId="010785AE" w:rsidR="00BA4FC9" w:rsidRDefault="00BA4FC9">
                                    <w:pPr>
                                      <w:pStyle w:val="NoSpacing"/>
                                      <w:spacing w:before="80" w:after="40"/>
                                      <w:rPr>
                                        <w:caps/>
                                        <w:color w:val="5B9BD5" w:themeColor="accent5"/>
                                        <w:sz w:val="24"/>
                                        <w:szCs w:val="24"/>
                                      </w:rPr>
                                    </w:pPr>
                                    <w:r>
                                      <w:rPr>
                                        <w:caps/>
                                        <w:color w:val="5B9BD5" w:themeColor="accent5"/>
                                        <w:sz w:val="24"/>
                                        <w:szCs w:val="24"/>
                                      </w:rPr>
                                      <w:t>Chloe Clark (2207404)</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4349DF05" id="_x0000_t202" coordsize="21600,21600" o:spt="202" path="m,l,21600r21600,l21600,xe">
                    <v:stroke joinstyle="miter"/>
                    <v:path gradientshapeok="t" o:connecttype="rect"/>
                  </v:shapetype>
                  <v:shape id="Text Box 131" o:spid="_x0000_s1026" type="#_x0000_t202" style="position:absolute;margin-left:0;margin-top:0;width:369pt;height:529.2pt;z-index:251658241;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" filled="f" stroked="f" strokeweight=".5pt">
                    <v:textbox style="mso-fit-shape-to-text:t" inset="0,0,0,0">
                      <w:txbxContent>
                        <w:p w14:paraId="59BB3109" w14:textId="2B7B994F" w:rsidR="00BA4FC9" w:rsidRDefault="00000000">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703EC0">
                                <w:rPr>
                                  <w:color w:val="4472C4" w:themeColor="accent1"/>
                                  <w:sz w:val="72"/>
                                  <w:szCs w:val="72"/>
                                </w:rPr>
                                <w:t>Scenario Question</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7D550CC5" w14:textId="24CE284E" w:rsidR="00BA4FC9" w:rsidRDefault="00FC6CCF">
                              <w:pPr>
                                <w:pStyle w:val="NoSpacing"/>
                                <w:spacing w:before="40" w:after="40"/>
                                <w:rPr>
                                  <w:caps/>
                                  <w:color w:val="1F4E79" w:themeColor="accent5" w:themeShade="80"/>
                                  <w:sz w:val="28"/>
                                  <w:szCs w:val="28"/>
                                </w:rPr>
                              </w:pPr>
                              <w:r>
                                <w:rPr>
                                  <w:caps/>
                                  <w:color w:val="1F4E79" w:themeColor="accent5" w:themeShade="80"/>
                                  <w:sz w:val="28"/>
                                  <w:szCs w:val="28"/>
                                </w:rPr>
                                <w:t>BMLW4005/BMPL4009</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42D7CDFD" w14:textId="010785AE" w:rsidR="00BA4FC9" w:rsidRDefault="00BA4FC9">
                              <w:pPr>
                                <w:pStyle w:val="NoSpacing"/>
                                <w:spacing w:before="80" w:after="40"/>
                                <w:rPr>
                                  <w:caps/>
                                  <w:color w:val="5B9BD5" w:themeColor="accent5"/>
                                  <w:sz w:val="24"/>
                                  <w:szCs w:val="24"/>
                                </w:rPr>
                              </w:pPr>
                              <w:r>
                                <w:rPr>
                                  <w:caps/>
                                  <w:color w:val="5B9BD5" w:themeColor="accent5"/>
                                  <w:sz w:val="24"/>
                                  <w:szCs w:val="24"/>
                                </w:rPr>
                                <w:t>Chloe Clark (2207404)</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8240" behindDoc="0" locked="0" layoutInCell="1" allowOverlap="1" wp14:anchorId="32DA316E" wp14:editId="77A71276">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showingPlcHdr/>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14:paraId="4563EE49" w14:textId="058C404E" w:rsidR="00BA4FC9" w:rsidRDefault="00FC6CCF">
                                    <w:pPr>
                                      <w:pStyle w:val="NoSpacing"/>
                                      <w:jc w:val="right"/>
                                      <w:rPr>
                                        <w:color w:val="FFFFFF" w:themeColor="background1"/>
                                        <w:sz w:val="24"/>
                                        <w:szCs w:val="24"/>
                                      </w:rPr>
                                    </w:pPr>
                                    <w:r>
                                      <w:rPr>
                                        <w:color w:val="FFFFFF" w:themeColor="background1"/>
                                        <w:sz w:val="24"/>
                                        <w:szCs w:val="24"/>
                                      </w:rPr>
                                      <w:t xml:space="preserve">     </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32DA316E" id="Rectangle 132" o:spid="_x0000_s1027" style="position:absolute;margin-left:-4.4pt;margin-top:0;width:46.8pt;height:77.75pt;z-index:251658240;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4472c4 [3204]" stroked="f" strokeweight="1pt">
                    <o:lock v:ext="edit" aspectratio="t"/>
                    <v:textbox inset="3.6pt,,3.6pt">
                      <w:txbxContent>
                        <w:sdt>
                          <w:sdtPr>
                            <w:rPr>
                              <w:color w:val="FFFFFF" w:themeColor="background1"/>
                              <w:sz w:val="24"/>
                              <w:szCs w:val="24"/>
                            </w:rPr>
                            <w:alias w:val="Year"/>
                            <w:tag w:val=""/>
                            <w:id w:val="-785116381"/>
                            <w:showingPlcHdr/>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14:paraId="4563EE49" w14:textId="058C404E" w:rsidR="00BA4FC9" w:rsidRDefault="00FC6CCF">
                              <w:pPr>
                                <w:pStyle w:val="NoSpacing"/>
                                <w:jc w:val="right"/>
                                <w:rPr>
                                  <w:color w:val="FFFFFF" w:themeColor="background1"/>
                                  <w:sz w:val="24"/>
                                  <w:szCs w:val="24"/>
                                </w:rPr>
                              </w:pPr>
                              <w:r>
                                <w:rPr>
                                  <w:color w:val="FFFFFF" w:themeColor="background1"/>
                                  <w:sz w:val="24"/>
                                  <w:szCs w:val="24"/>
                                </w:rPr>
                                <w:t xml:space="preserve">     </w:t>
                              </w:r>
                            </w:p>
                          </w:sdtContent>
                        </w:sdt>
                      </w:txbxContent>
                    </v:textbox>
                    <w10:wrap anchorx="margin" anchory="page"/>
                  </v:rect>
                </w:pict>
              </mc:Fallback>
            </mc:AlternateContent>
          </w:r>
          <w:r>
            <w:br w:type="page"/>
          </w:r>
        </w:p>
      </w:sdtContent>
    </w:sdt>
    <w:p w14:paraId="34A34595" w14:textId="401BFB2E" w:rsidR="00F97940" w:rsidRDefault="00AF2298" w:rsidP="00044909">
      <w:pPr>
        <w:spacing w:line="360" w:lineRule="auto"/>
      </w:pPr>
      <w:r>
        <w:lastRenderedPageBreak/>
        <w:t xml:space="preserve">In the case of Polly V Mohammed, due to an incident between Polly and the bartender Roxanne in which, Polly became jealous </w:t>
      </w:r>
      <w:r w:rsidR="00E0196E">
        <w:t xml:space="preserve">when her partner Mohammed was allegedly flirting with Roxanne, within Polly’s understanding. Polly began to show signs of anti- social behaviour, by swearing and using rude hand gestures due to the alleged flirting. </w:t>
      </w:r>
      <w:r w:rsidR="00F97940">
        <w:t>This resulted in Polly being asked to leave the premises. As written in (Anti- social Behaviour, Crime and Policing Act, 2014), anti- social behaviour is described as any conduct from the defendant that has caused or is, to be expected to cause any form of harassment, distress</w:t>
      </w:r>
      <w:r w:rsidR="00911906">
        <w:t>,</w:t>
      </w:r>
      <w:r w:rsidR="00F97940">
        <w:t xml:space="preserve"> or alarm to any person.</w:t>
      </w:r>
    </w:p>
    <w:p w14:paraId="3F8978BB" w14:textId="6EB054DE" w:rsidR="005E27EB" w:rsidRDefault="00F97940" w:rsidP="00044909">
      <w:pPr>
        <w:spacing w:line="360" w:lineRule="auto"/>
      </w:pPr>
      <w:r>
        <w:t xml:space="preserve">While leaving the premises Polly proceeds to cause criminal damage to Roxanne’s moped by cutting her </w:t>
      </w:r>
      <w:r w:rsidR="004F33C2">
        <w:t xml:space="preserve">brake cables with glass she had found lying around in the carpark. </w:t>
      </w:r>
      <w:r w:rsidR="005E27EB">
        <w:t>According to Smith (2002</w:t>
      </w:r>
      <w:r w:rsidR="003F2536">
        <w:t xml:space="preserve">, p, </w:t>
      </w:r>
      <w:r w:rsidR="000E24E2">
        <w:t>740</w:t>
      </w:r>
      <w:r w:rsidR="005E27EB">
        <w:t xml:space="preserve">) the destruction or damage of another’s property in accordance with the (Criminal Damage Act 1971, s 1 (1), a person or persons who has destroyed or damaged property which belongs to another person with intent to destroy and damage said property, or damages or destroys property while being reckless </w:t>
      </w:r>
      <w:r w:rsidR="007C69C6">
        <w:t xml:space="preserve">should be found guilty of such offences. </w:t>
      </w:r>
      <w:r w:rsidR="001D0337">
        <w:t xml:space="preserve"> Card and M</w:t>
      </w:r>
      <w:r w:rsidR="00B3413E">
        <w:t>o</w:t>
      </w:r>
      <w:r w:rsidR="001D0337">
        <w:t xml:space="preserve">lloy (2016) </w:t>
      </w:r>
      <w:r w:rsidR="0092145A">
        <w:t xml:space="preserve">suggests </w:t>
      </w:r>
      <w:r w:rsidR="001D0337">
        <w:t xml:space="preserve">that Polly’s act of criminal damage would come under the Mens rea element as, she intended to damage Roxanne’s </w:t>
      </w:r>
      <w:r w:rsidR="0092145A">
        <w:t>moped which</w:t>
      </w:r>
      <w:r w:rsidR="001D0337">
        <w:t xml:space="preserve"> would then cause danger to her life</w:t>
      </w:r>
      <w:r w:rsidR="0092145A">
        <w:t>.</w:t>
      </w:r>
    </w:p>
    <w:p w14:paraId="37E5E6F6" w14:textId="24234EE3" w:rsidR="0092145A" w:rsidRDefault="0092145A" w:rsidP="00044909">
      <w:pPr>
        <w:spacing w:line="360" w:lineRule="auto"/>
      </w:pPr>
      <w:r>
        <w:t xml:space="preserve">In relation to </w:t>
      </w:r>
      <w:r w:rsidR="00CC6611">
        <w:t>R V Hunt (1977)</w:t>
      </w:r>
      <w:r>
        <w:t xml:space="preserve">, Polly could only be charged with criminal damage under the Criminal Damage Act 1971, s. 1 (2), however as she </w:t>
      </w:r>
      <w:r w:rsidR="00CC6611">
        <w:t>has not taken control of the vehicle, thus not putting Roxanne in immediate danger. However, due to the presumption that Roxanne would not have checked her brake lines before heading off on her journey home from work, the assumption can be made that Polly had indeed meant for the brakes to fail, thus injuring</w:t>
      </w:r>
      <w:r w:rsidR="00911906">
        <w:t>,</w:t>
      </w:r>
      <w:r w:rsidR="00CC6611">
        <w:t xml:space="preserve"> or killing Roxanne in the process. This would be deemed as criminal damage with intent to cause </w:t>
      </w:r>
      <w:r w:rsidR="00990025">
        <w:t>reckless endangerment to life.</w:t>
      </w:r>
    </w:p>
    <w:p w14:paraId="7C7B213E" w14:textId="561C6448" w:rsidR="007C69C6" w:rsidRDefault="005D02B8" w:rsidP="00044909">
      <w:pPr>
        <w:spacing w:line="360" w:lineRule="auto"/>
      </w:pPr>
      <w:r>
        <w:t xml:space="preserve">Once they got home, Polly and Mohammed continue to argue, when Mohammed tries to reassure Polly that he was in fact not flirting with Roxanne. Polly continues to get angrier, questioning Mohammed continuously about his relationship with Roxanne. Mohammed then tells Polly he has in fact been having an affair. In which </w:t>
      </w:r>
      <w:r w:rsidR="00E43667">
        <w:t>Polly</w:t>
      </w:r>
      <w:r>
        <w:t xml:space="preserve"> retaliates by picking up a glass ashtray and hitting </w:t>
      </w:r>
      <w:r w:rsidR="00E43667">
        <w:t>Mohammed</w:t>
      </w:r>
      <w:r>
        <w:t xml:space="preserve"> in the head killing him</w:t>
      </w:r>
      <w:r w:rsidR="00E43667">
        <w:t>.</w:t>
      </w:r>
    </w:p>
    <w:p w14:paraId="274CD2F1" w14:textId="1A5F3265" w:rsidR="00E43667" w:rsidRDefault="000A12C7" w:rsidP="00044909">
      <w:pPr>
        <w:spacing w:line="360" w:lineRule="auto"/>
      </w:pPr>
      <w:r>
        <w:t>Based on</w:t>
      </w:r>
      <w:r w:rsidR="00B60E4B">
        <w:t xml:space="preserve"> this </w:t>
      </w:r>
      <w:r w:rsidR="001A4AF3">
        <w:t>Polly could be charged with GBH</w:t>
      </w:r>
      <w:r w:rsidR="001E3710">
        <w:t xml:space="preserve">, under the </w:t>
      </w:r>
      <w:r w:rsidR="00697C6E">
        <w:t>(</w:t>
      </w:r>
      <w:r w:rsidR="00B3413E">
        <w:t>O</w:t>
      </w:r>
      <w:r w:rsidR="00697C6E">
        <w:t>ffences against the Person Act 1861</w:t>
      </w:r>
      <w:r>
        <w:t>. S, 20</w:t>
      </w:r>
      <w:r w:rsidR="00697C6E">
        <w:t>)</w:t>
      </w:r>
      <w:r w:rsidR="00800B04">
        <w:t xml:space="preserve"> when a person unlawfully</w:t>
      </w:r>
      <w:r w:rsidR="001765D1">
        <w:t xml:space="preserve"> and </w:t>
      </w:r>
      <w:r w:rsidR="00B04665">
        <w:t>maliciously</w:t>
      </w:r>
      <w:r w:rsidR="005036FB">
        <w:t xml:space="preserve"> wounds or </w:t>
      </w:r>
      <w:r w:rsidR="00B04665">
        <w:t>inflicts any form of grievous body harm on another being</w:t>
      </w:r>
      <w:r w:rsidR="00747BF6">
        <w:t>, this being with or without a weapon</w:t>
      </w:r>
      <w:r w:rsidR="004625F7">
        <w:t xml:space="preserve"> or any form of instrument</w:t>
      </w:r>
      <w:r w:rsidR="00DA2372">
        <w:t>,</w:t>
      </w:r>
      <w:r w:rsidR="00747BF6">
        <w:t xml:space="preserve"> they are then liable</w:t>
      </w:r>
      <w:r w:rsidR="00B8731A">
        <w:t xml:space="preserve"> </w:t>
      </w:r>
      <w:r w:rsidR="00455FED">
        <w:t xml:space="preserve">to be imprisoned and therefore </w:t>
      </w:r>
      <w:r w:rsidR="00BF7D23">
        <w:t>shall be found guilty of this misdemeanour</w:t>
      </w:r>
      <w:r w:rsidR="001D5FEB">
        <w:t xml:space="preserve"> and convicted. </w:t>
      </w:r>
      <w:r w:rsidR="00E35A18">
        <w:t xml:space="preserve">However due to the incident causing a </w:t>
      </w:r>
      <w:r w:rsidR="002734B2">
        <w:t>man’s</w:t>
      </w:r>
      <w:r w:rsidR="00E35A18">
        <w:t xml:space="preserve"> death</w:t>
      </w:r>
      <w:r w:rsidR="00AC7014">
        <w:t xml:space="preserve">, </w:t>
      </w:r>
      <w:r w:rsidR="00161C57">
        <w:t>Herring</w:t>
      </w:r>
      <w:r w:rsidR="00463B95">
        <w:t xml:space="preserve"> (2014</w:t>
      </w:r>
      <w:r w:rsidR="00305194">
        <w:t xml:space="preserve">, </w:t>
      </w:r>
      <w:r w:rsidR="003F2536">
        <w:t>p. 237</w:t>
      </w:r>
      <w:r w:rsidR="00463B95">
        <w:t>)</w:t>
      </w:r>
      <w:r w:rsidR="00B70C06">
        <w:t xml:space="preserve"> states t</w:t>
      </w:r>
      <w:r w:rsidR="00CC7252">
        <w:t>hat Polly’s actions would be deemed as voluntary manslaughter</w:t>
      </w:r>
      <w:r w:rsidR="00B24822">
        <w:t xml:space="preserve">, </w:t>
      </w:r>
      <w:r w:rsidR="00C307BD">
        <w:t>since</w:t>
      </w:r>
      <w:r w:rsidR="00B24822">
        <w:t xml:space="preserve"> she intended to cause harm to Mohammed.</w:t>
      </w:r>
    </w:p>
    <w:p w14:paraId="296AE51B" w14:textId="77777777" w:rsidR="00F84D00" w:rsidRDefault="000C273F" w:rsidP="00044909">
      <w:pPr>
        <w:spacing w:line="360" w:lineRule="auto"/>
      </w:pPr>
      <w:r>
        <w:lastRenderedPageBreak/>
        <w:t xml:space="preserve">However, Polly </w:t>
      </w:r>
      <w:r w:rsidR="000408A0">
        <w:t>is a diagnosed schizophrenic this can be used as a defence for the acts in which she has committed.</w:t>
      </w:r>
      <w:r w:rsidR="003C4A97">
        <w:t xml:space="preserve"> Written in the (</w:t>
      </w:r>
      <w:r w:rsidR="00B70ED2">
        <w:t>Mental Health Act 2007</w:t>
      </w:r>
      <w:r w:rsidR="00AD2959">
        <w:t>, s. 1</w:t>
      </w:r>
      <w:r w:rsidR="00B70ED2">
        <w:t xml:space="preserve">), the term mental disorder </w:t>
      </w:r>
      <w:r w:rsidR="00C24230">
        <w:t xml:space="preserve">is defined as any </w:t>
      </w:r>
      <w:r w:rsidR="00146B85">
        <w:t xml:space="preserve">disorder or disability that is of the mind, this act ensures </w:t>
      </w:r>
      <w:r w:rsidR="00A379BD">
        <w:t>that those</w:t>
      </w:r>
      <w:r w:rsidR="00AD2959">
        <w:t xml:space="preserve"> who are mentally disordered</w:t>
      </w:r>
      <w:r w:rsidR="00D95F45">
        <w:t xml:space="preserve"> </w:t>
      </w:r>
      <w:r w:rsidR="00E66EB6">
        <w:t xml:space="preserve">are understood appropriately. </w:t>
      </w:r>
      <w:r w:rsidR="00630089">
        <w:t>(</w:t>
      </w:r>
      <w:r w:rsidR="00FF236E">
        <w:t>G</w:t>
      </w:r>
      <w:r w:rsidR="00A379BD">
        <w:t xml:space="preserve">hias, </w:t>
      </w:r>
      <w:r w:rsidR="00911906">
        <w:t>Azhar,</w:t>
      </w:r>
      <w:r w:rsidR="00A379BD">
        <w:t xml:space="preserve"> and Singh</w:t>
      </w:r>
      <w:r w:rsidR="00366CB9">
        <w:t xml:space="preserve">, 2023) suggest that </w:t>
      </w:r>
      <w:r w:rsidR="0055255A">
        <w:t xml:space="preserve">people with certain psychiatric disorders can potentially increase said persons </w:t>
      </w:r>
      <w:r w:rsidR="00630089">
        <w:t>risk of committing a crime</w:t>
      </w:r>
      <w:r w:rsidR="00A0149F">
        <w:t xml:space="preserve">. </w:t>
      </w:r>
    </w:p>
    <w:p w14:paraId="369DFD0A" w14:textId="24AA0412" w:rsidR="00436551" w:rsidRDefault="00A0149F" w:rsidP="00044909">
      <w:pPr>
        <w:spacing w:line="360" w:lineRule="auto"/>
      </w:pPr>
      <w:r>
        <w:t xml:space="preserve">This </w:t>
      </w:r>
      <w:r w:rsidR="00280334">
        <w:t xml:space="preserve">being that some research suggests that people with mental </w:t>
      </w:r>
      <w:r w:rsidR="006F42AB">
        <w:t xml:space="preserve">abnormalities are more prone to violence, this can be because they are not receiving the </w:t>
      </w:r>
      <w:r w:rsidR="00830EC3">
        <w:t>right a</w:t>
      </w:r>
      <w:r w:rsidR="00022DCF">
        <w:t>m</w:t>
      </w:r>
      <w:r w:rsidR="00830EC3">
        <w:t>ou</w:t>
      </w:r>
      <w:r w:rsidR="00022DCF">
        <w:t>n</w:t>
      </w:r>
      <w:r w:rsidR="00830EC3">
        <w:t>t of treatment for their illness</w:t>
      </w:r>
      <w:r w:rsidR="0096644D">
        <w:t>, they could also become violent if they are</w:t>
      </w:r>
      <w:r w:rsidR="00623924">
        <w:t xml:space="preserve"> </w:t>
      </w:r>
      <w:r w:rsidR="00272388">
        <w:t xml:space="preserve">experiencing </w:t>
      </w:r>
      <w:r w:rsidR="0020478C">
        <w:t>delusions or even have been experiencing long-term paranoia.</w:t>
      </w:r>
      <w:r w:rsidR="001A5127">
        <w:t xml:space="preserve"> In relation to the case of Moyle 2008, </w:t>
      </w:r>
      <w:r w:rsidR="00291E6C">
        <w:t xml:space="preserve">Polly’s conviction could be lessened to unvoluntary manslaughter due to the face she herself </w:t>
      </w:r>
      <w:r w:rsidR="00B443E3">
        <w:t>faces issues with a mental abnormality, thus saying that her mental abnormality impaired her</w:t>
      </w:r>
      <w:r w:rsidR="00F84D00">
        <w:t xml:space="preserve"> way of thinking, causing her to act out in her temper.</w:t>
      </w:r>
      <w:r w:rsidR="00291E6C">
        <w:t xml:space="preserve"> </w:t>
      </w:r>
    </w:p>
    <w:p w14:paraId="73DB5DC8" w14:textId="4F004EB2" w:rsidR="007C69C6" w:rsidRDefault="001A4161" w:rsidP="00044909">
      <w:pPr>
        <w:spacing w:line="360" w:lineRule="auto"/>
      </w:pPr>
      <w:r>
        <w:t xml:space="preserve">Polly’s mental disorder can be used as a defence for </w:t>
      </w:r>
      <w:r w:rsidR="00DA3D03">
        <w:t xml:space="preserve">diminished responsibility, as stated in (Homicide Act, </w:t>
      </w:r>
      <w:r w:rsidR="00F84C9D">
        <w:t>1957), a person who is suffering from abnormality of the mind</w:t>
      </w:r>
      <w:r w:rsidR="005F6CBE">
        <w:t xml:space="preserve"> cannot be convicted of murder </w:t>
      </w:r>
      <w:r w:rsidR="00FC6DAA">
        <w:t xml:space="preserve">if they were suffering from </w:t>
      </w:r>
      <w:r w:rsidR="0080340B">
        <w:t>an abnormality in their mental functioning</w:t>
      </w:r>
      <w:r w:rsidR="00703439">
        <w:t>.</w:t>
      </w:r>
      <w:r w:rsidR="00F466D6">
        <w:t xml:space="preserve"> </w:t>
      </w:r>
      <w:r w:rsidR="00E61C63">
        <w:t xml:space="preserve">Due to Polly’s </w:t>
      </w:r>
      <w:r w:rsidR="0054651C">
        <w:t>condition,</w:t>
      </w:r>
      <w:r w:rsidR="00E61C63">
        <w:t xml:space="preserve"> she could also use loss of c</w:t>
      </w:r>
      <w:r w:rsidR="00FC63B9">
        <w:t xml:space="preserve">ontrol as a potential defence due to the fact she was enraged by the situation that had </w:t>
      </w:r>
      <w:r w:rsidR="00F5389C">
        <w:t>occurred with Mohammed and Roxanne</w:t>
      </w:r>
      <w:r w:rsidR="00A1777D">
        <w:t>. It can be used as a partial defence because according to (</w:t>
      </w:r>
      <w:r w:rsidR="0054651C">
        <w:t>Coroners and Justice Act 2009)</w:t>
      </w:r>
      <w:r w:rsidR="00A24FA3">
        <w:t xml:space="preserve"> loss of control may</w:t>
      </w:r>
      <w:r w:rsidR="00C116BD">
        <w:t xml:space="preserve"> can be used if there was a qualifying trigger. In this instance there was Polly’s mental abnormality and</w:t>
      </w:r>
      <w:r w:rsidR="00732E88">
        <w:t xml:space="preserve">, the </w:t>
      </w:r>
      <w:r w:rsidR="00954BC3">
        <w:t>comment Mohammed made about cheating and being in love with Roxanne.</w:t>
      </w:r>
      <w:r w:rsidR="00AE3427">
        <w:t xml:space="preserve"> It states in this act that it does not matter if the loss of control was </w:t>
      </w:r>
      <w:r w:rsidR="000754F3">
        <w:t>sudden.</w:t>
      </w:r>
      <w:r w:rsidR="00F93163">
        <w:t xml:space="preserve"> </w:t>
      </w:r>
      <w:r w:rsidR="00947418">
        <w:t>T</w:t>
      </w:r>
      <w:r w:rsidR="00F93163">
        <w:t xml:space="preserve">he case of </w:t>
      </w:r>
      <w:r w:rsidR="00947418">
        <w:t xml:space="preserve">Wilcocks 2016 </w:t>
      </w:r>
      <w:r w:rsidR="00D94E48">
        <w:t xml:space="preserve">can </w:t>
      </w:r>
      <w:r w:rsidR="00900C62">
        <w:t xml:space="preserve">been seen in relation to this case as </w:t>
      </w:r>
      <w:r w:rsidR="00924401">
        <w:t>P</w:t>
      </w:r>
      <w:r w:rsidR="00900C62">
        <w:t xml:space="preserve">olly also has a personality disorder just like the defendant in this case, </w:t>
      </w:r>
      <w:r w:rsidR="00924401">
        <w:t>and that the loss of control Polly experienced was due to the nature of her disorder.</w:t>
      </w:r>
    </w:p>
    <w:p w14:paraId="6021C0ED" w14:textId="2D6EE4FC" w:rsidR="00F02874" w:rsidRDefault="00A16849" w:rsidP="00044909">
      <w:pPr>
        <w:spacing w:line="360" w:lineRule="auto"/>
      </w:pPr>
      <w:r>
        <w:t xml:space="preserve">There is a </w:t>
      </w:r>
      <w:r w:rsidR="00282549">
        <w:t>four-step</w:t>
      </w:r>
      <w:r>
        <w:t xml:space="preserve"> process when </w:t>
      </w:r>
      <w:r w:rsidR="00537858">
        <w:t xml:space="preserve">pleading a case for diminished responsibility </w:t>
      </w:r>
      <w:r w:rsidR="00E20E83">
        <w:t xml:space="preserve">in order to do so the court and its prosecutors would have to have an </w:t>
      </w:r>
      <w:r w:rsidR="002055D5">
        <w:t>in-depth</w:t>
      </w:r>
      <w:r w:rsidR="00E20E83">
        <w:t xml:space="preserve"> </w:t>
      </w:r>
      <w:r w:rsidR="00C413FE">
        <w:t xml:space="preserve">investigation into </w:t>
      </w:r>
      <w:r w:rsidR="00E20E83">
        <w:t xml:space="preserve">Polly’s medical history </w:t>
      </w:r>
      <w:r w:rsidR="00A2589D">
        <w:t>considering</w:t>
      </w:r>
      <w:r w:rsidR="00E20E83">
        <w:t xml:space="preserve"> that she suffers from schizophrenia</w:t>
      </w:r>
      <w:r w:rsidR="00BC6109">
        <w:t>,</w:t>
      </w:r>
      <w:r w:rsidR="00306FE0">
        <w:t xml:space="preserve"> </w:t>
      </w:r>
      <w:r w:rsidR="008047A7">
        <w:t>causing loss of control due to the abnormalities in her mind.</w:t>
      </w:r>
      <w:r w:rsidR="00BC6109">
        <w:t xml:space="preserve"> </w:t>
      </w:r>
      <w:r w:rsidR="008047A7">
        <w:t>T</w:t>
      </w:r>
      <w:r w:rsidR="00BC6109">
        <w:t>his four-step process is found in the Coroners and Justice Act 2009</w:t>
      </w:r>
      <w:r w:rsidR="009859AC">
        <w:t xml:space="preserve"> s, 52, this process is in place to ensure that those</w:t>
      </w:r>
      <w:r w:rsidR="00481FAC">
        <w:t xml:space="preserve"> suffering with mental abnormalities have a chance to prove that they were in fact not in charge of their actions. </w:t>
      </w:r>
    </w:p>
    <w:p w14:paraId="25122E31" w14:textId="652C83C6" w:rsidR="007C69C6" w:rsidRDefault="009709E8" w:rsidP="00044909">
      <w:pPr>
        <w:spacing w:line="360" w:lineRule="auto"/>
      </w:pPr>
      <w:r>
        <w:t xml:space="preserve">As </w:t>
      </w:r>
      <w:r w:rsidR="00393A59">
        <w:t>stated,</w:t>
      </w:r>
      <w:r>
        <w:t xml:space="preserve"> (</w:t>
      </w:r>
      <w:r w:rsidR="000E2173">
        <w:t xml:space="preserve">Manual of Service Law, </w:t>
      </w:r>
      <w:r w:rsidR="002A0F21">
        <w:t>c, 12</w:t>
      </w:r>
      <w:r>
        <w:t xml:space="preserve">) </w:t>
      </w:r>
      <w:r w:rsidR="00D053D8">
        <w:t>provocation can be used as not as a defence for any charges that arise but can be used as a mitigating factor</w:t>
      </w:r>
      <w:r w:rsidR="00CA70D6">
        <w:t xml:space="preserve">, this being that Polly could say she was provoked by </w:t>
      </w:r>
      <w:r w:rsidR="00E173DE">
        <w:t xml:space="preserve">Mohammed this causing her to </w:t>
      </w:r>
      <w:r w:rsidR="0088012D">
        <w:t>lose</w:t>
      </w:r>
      <w:r w:rsidR="00E173DE">
        <w:t xml:space="preserve"> control.</w:t>
      </w:r>
      <w:r w:rsidR="0088012D">
        <w:t xml:space="preserve"> </w:t>
      </w:r>
      <w:r w:rsidR="00536A72">
        <w:t xml:space="preserve"> R v </w:t>
      </w:r>
      <w:proofErr w:type="spellStart"/>
      <w:r w:rsidR="00536A72">
        <w:t>Wo</w:t>
      </w:r>
      <w:r w:rsidR="00A5031E">
        <w:t>o</w:t>
      </w:r>
      <w:r w:rsidR="00536A72">
        <w:t>lin</w:t>
      </w:r>
      <w:proofErr w:type="spellEnd"/>
      <w:r w:rsidR="00536A72">
        <w:t xml:space="preserve"> 199</w:t>
      </w:r>
      <w:r w:rsidR="00AB184A">
        <w:t>9</w:t>
      </w:r>
      <w:r w:rsidR="007D17E8">
        <w:t xml:space="preserve"> sets precedent </w:t>
      </w:r>
      <w:r w:rsidR="002D1FB5">
        <w:t>for this because due to the lack of intent to kill</w:t>
      </w:r>
      <w:r w:rsidR="00191BF7">
        <w:t xml:space="preserve">, manslaughter would be </w:t>
      </w:r>
      <w:r w:rsidR="00393A59">
        <w:t>the chargeable offence as opposed to murder.</w:t>
      </w:r>
    </w:p>
    <w:p w14:paraId="263A5440" w14:textId="037A3372" w:rsidR="00481FAC" w:rsidRDefault="00C9504C" w:rsidP="00044909">
      <w:pPr>
        <w:spacing w:line="360" w:lineRule="auto"/>
      </w:pPr>
      <w:r>
        <w:lastRenderedPageBreak/>
        <w:t>The Homicide Act 19</w:t>
      </w:r>
      <w:r w:rsidR="00D8641A">
        <w:t xml:space="preserve">57, s ,2 states that a person </w:t>
      </w:r>
      <w:r w:rsidR="00C71EFB">
        <w:t>who is being face</w:t>
      </w:r>
      <w:r w:rsidR="009A691A">
        <w:t>d</w:t>
      </w:r>
      <w:r w:rsidR="00C71EFB">
        <w:t xml:space="preserve"> with a murder cha</w:t>
      </w:r>
      <w:r w:rsidR="009A691A">
        <w:t xml:space="preserve">rge, supporting evidence can be used to find that </w:t>
      </w:r>
      <w:r w:rsidR="00C50D67">
        <w:t xml:space="preserve">the defendant was provoked therefore causing them to </w:t>
      </w:r>
      <w:r w:rsidR="000574A1">
        <w:t>lose</w:t>
      </w:r>
      <w:r w:rsidR="00C50D67">
        <w:t xml:space="preserve"> their self- control</w:t>
      </w:r>
      <w:r w:rsidR="000574A1">
        <w:t>. The bigger question is that if this would be enough to plead a reasonable case</w:t>
      </w:r>
      <w:r w:rsidR="00BC3A97">
        <w:t>.</w:t>
      </w:r>
    </w:p>
    <w:p w14:paraId="0AD0836D" w14:textId="6E1A36A1" w:rsidR="007A49FA" w:rsidRDefault="00016EB0" w:rsidP="00044909">
      <w:pPr>
        <w:spacing w:line="360" w:lineRule="auto"/>
      </w:pPr>
      <w:r>
        <w:t xml:space="preserve">Everything that happened this night will have to be </w:t>
      </w:r>
      <w:r w:rsidR="007A49FA">
        <w:t>considered</w:t>
      </w:r>
      <w:r w:rsidR="006B70D6">
        <w:t xml:space="preserve">, but also the factors that contributed to Polly acting out as she did, thus trying to plead her case for diminished responsibility causing her to </w:t>
      </w:r>
      <w:r w:rsidR="007A49FA">
        <w:t>lose</w:t>
      </w:r>
      <w:r w:rsidR="006B70D6">
        <w:t xml:space="preserve"> control of her actions</w:t>
      </w:r>
      <w:r w:rsidR="007A49FA">
        <w:t xml:space="preserve"> which then caused the death of Mohammed. Had Polly not had these factors of mental abnormality </w:t>
      </w:r>
      <w:r w:rsidR="004F34A4">
        <w:t xml:space="preserve">she may have acted differently. </w:t>
      </w:r>
    </w:p>
    <w:p w14:paraId="728EF9C5" w14:textId="77777777" w:rsidR="00686F98" w:rsidRDefault="004F34A4" w:rsidP="00044909">
      <w:pPr>
        <w:spacing w:line="360" w:lineRule="auto"/>
      </w:pPr>
      <w:r>
        <w:t>In conclusion</w:t>
      </w:r>
      <w:r w:rsidR="00F4533F">
        <w:t xml:space="preserve">, the </w:t>
      </w:r>
      <w:r w:rsidR="0037730F">
        <w:t>defence of diminished responsibility would be better used in Polly’s case</w:t>
      </w:r>
      <w:r w:rsidR="00282ED4">
        <w:t xml:space="preserve"> as it outlines </w:t>
      </w:r>
      <w:r w:rsidR="0058687B">
        <w:t xml:space="preserve">not only her mental </w:t>
      </w:r>
      <w:r w:rsidR="008F778E">
        <w:t>abnormalities</w:t>
      </w:r>
      <w:r w:rsidR="0058687B">
        <w:t xml:space="preserve"> but also outlines all the factors leading up to the incident causing </w:t>
      </w:r>
      <w:r w:rsidR="008F778E">
        <w:t>Mohammed’s</w:t>
      </w:r>
      <w:r w:rsidR="0058687B">
        <w:t xml:space="preserve"> death. </w:t>
      </w:r>
      <w:r w:rsidR="0053102C">
        <w:t xml:space="preserve">For starters was </w:t>
      </w:r>
      <w:r w:rsidR="008F778E">
        <w:t>Polly</w:t>
      </w:r>
      <w:r w:rsidR="0053102C">
        <w:t xml:space="preserve"> taking her medication and was she up to date with the support she would be given from her doctors, it is important to factor in that </w:t>
      </w:r>
      <w:r w:rsidR="008F778E">
        <w:t xml:space="preserve">it may not state that Polly was drinking but, she may well have been. </w:t>
      </w:r>
    </w:p>
    <w:p w14:paraId="00E3480A" w14:textId="77777777" w:rsidR="000137F5" w:rsidRDefault="00686F98" w:rsidP="00044909">
      <w:pPr>
        <w:spacing w:line="360" w:lineRule="auto"/>
      </w:pPr>
      <w:r>
        <w:t xml:space="preserve">If Polly was not up to date with her treatments this would have caused </w:t>
      </w:r>
      <w:r w:rsidR="00AD5E4A">
        <w:t>several</w:t>
      </w:r>
      <w:r>
        <w:t xml:space="preserve"> issues as she was not under control of the way she was thinking and feeling.</w:t>
      </w:r>
      <w:r w:rsidR="008F778E">
        <w:t xml:space="preserve"> </w:t>
      </w:r>
      <w:r w:rsidR="009C14B6">
        <w:t xml:space="preserve">This causing her to act irrationally as she may have been experiencing delusions </w:t>
      </w:r>
      <w:r w:rsidR="003F2D04">
        <w:t xml:space="preserve">due to not being on her medication, </w:t>
      </w:r>
      <w:r w:rsidR="004C1B81">
        <w:t xml:space="preserve">had </w:t>
      </w:r>
      <w:r w:rsidR="001A4EAB">
        <w:t>Polly</w:t>
      </w:r>
      <w:r w:rsidR="004C1B81">
        <w:t xml:space="preserve"> have not felt threatened </w:t>
      </w:r>
      <w:r w:rsidR="001A4EAB">
        <w:t xml:space="preserve">she may have acted rationally, but due to the </w:t>
      </w:r>
      <w:r w:rsidR="000F5C2F">
        <w:t xml:space="preserve">way that the night played out and </w:t>
      </w:r>
      <w:r w:rsidR="0067279B">
        <w:t>Mohammed</w:t>
      </w:r>
      <w:r w:rsidR="000F5C2F">
        <w:t xml:space="preserve"> retaliating and shouting back at </w:t>
      </w:r>
      <w:r w:rsidR="0067279B">
        <w:t>Polly,</w:t>
      </w:r>
      <w:r w:rsidR="000F5C2F">
        <w:t xml:space="preserve"> this cause</w:t>
      </w:r>
      <w:r w:rsidR="0067279B">
        <w:t>d</w:t>
      </w:r>
      <w:r w:rsidR="000F5C2F">
        <w:t xml:space="preserve"> her to feel</w:t>
      </w:r>
      <w:r w:rsidR="0067279B">
        <w:t xml:space="preserve"> hurt and angry which </w:t>
      </w:r>
      <w:r w:rsidR="001C20AD">
        <w:t>in turn</w:t>
      </w:r>
      <w:r w:rsidR="000F5C2F">
        <w:t xml:space="preserve"> provoked </w:t>
      </w:r>
      <w:r w:rsidR="001C20AD">
        <w:t xml:space="preserve">her making her retaliate </w:t>
      </w:r>
      <w:r w:rsidR="000F5C2F">
        <w:t xml:space="preserve">and </w:t>
      </w:r>
      <w:r w:rsidR="00BE4A78">
        <w:t xml:space="preserve">act out in a way that is not in her normal nature. </w:t>
      </w:r>
    </w:p>
    <w:p w14:paraId="11045BFB" w14:textId="627A1778" w:rsidR="004F34A4" w:rsidRDefault="00372448" w:rsidP="00044909">
      <w:pPr>
        <w:spacing w:line="360" w:lineRule="auto"/>
      </w:pPr>
      <w:r>
        <w:t xml:space="preserve">The defence of diminished responsibility feels reasonable in Polly’s case as she </w:t>
      </w:r>
      <w:r w:rsidR="006F2DD8">
        <w:t>acted out due to the events of the night, but there is not proof to say that she actually intended to kill Mohammed when she stuck him in the head</w:t>
      </w:r>
      <w:r w:rsidR="006243D5">
        <w:t xml:space="preserve">, it may have only been that she wanted to hurt him back in the only way she felt she could, all these factors </w:t>
      </w:r>
      <w:r w:rsidR="00297D0E">
        <w:t xml:space="preserve">are used to determine that Polly would have not acted like this </w:t>
      </w:r>
      <w:r w:rsidR="004B444F">
        <w:t>if she was of sound mind</w:t>
      </w:r>
      <w:r w:rsidR="00EC3639">
        <w:t>.</w:t>
      </w:r>
    </w:p>
    <w:p w14:paraId="08F58965" w14:textId="77777777" w:rsidR="008F5C2B" w:rsidRDefault="008F5C2B"/>
    <w:p w14:paraId="44E72AD6" w14:textId="77777777" w:rsidR="007C69C6" w:rsidRDefault="007C69C6"/>
    <w:p w14:paraId="3CD5F5F3" w14:textId="616AAC59" w:rsidR="007C69C6" w:rsidRDefault="002473C0">
      <w:r>
        <w:t xml:space="preserve"> </w:t>
      </w:r>
    </w:p>
    <w:p w14:paraId="522F5316" w14:textId="77777777" w:rsidR="007C69C6" w:rsidRDefault="007C69C6"/>
    <w:p w14:paraId="39BDDBA3" w14:textId="77777777" w:rsidR="007C69C6" w:rsidRDefault="007C69C6"/>
    <w:p w14:paraId="66B29F72" w14:textId="77777777" w:rsidR="007C69C6" w:rsidRDefault="007C69C6"/>
    <w:p w14:paraId="41CE393B" w14:textId="77777777" w:rsidR="007C69C6" w:rsidRDefault="007C69C6"/>
    <w:p w14:paraId="1A83B105" w14:textId="77777777" w:rsidR="007C69C6" w:rsidRDefault="007C69C6"/>
    <w:p w14:paraId="0B2DABBF" w14:textId="77777777" w:rsidR="007C69C6" w:rsidRDefault="007C69C6"/>
    <w:p w14:paraId="55E8241B" w14:textId="4962DE5E" w:rsidR="007C69C6" w:rsidRPr="00846DD1" w:rsidRDefault="007C69C6">
      <w:pPr>
        <w:rPr>
          <w:u w:val="single"/>
        </w:rPr>
      </w:pPr>
      <w:r w:rsidRPr="00846DD1">
        <w:rPr>
          <w:u w:val="single"/>
        </w:rPr>
        <w:t>Reference List</w:t>
      </w:r>
    </w:p>
    <w:p w14:paraId="76A12EBF" w14:textId="5596B63E" w:rsidR="00C5153A" w:rsidRDefault="00C5153A">
      <w:r>
        <w:t>Anti-social Behaviour, Crime and Policing Act (2014)</w:t>
      </w:r>
    </w:p>
    <w:p w14:paraId="5D21361D" w14:textId="25939A38" w:rsidR="007C69C6" w:rsidRDefault="00000000">
      <w:hyperlink r:id="rId10" w:history="1">
        <w:r w:rsidR="00C5153A" w:rsidRPr="001E2A9C">
          <w:rPr>
            <w:rStyle w:val="Hyperlink"/>
          </w:rPr>
          <w:t>https://www.legislation.gov.uk/ukpga/2014/12/section/2/enacted</w:t>
        </w:r>
      </w:hyperlink>
    </w:p>
    <w:p w14:paraId="7FFC7B40" w14:textId="008E33C9" w:rsidR="00C5153A" w:rsidRDefault="00C5153A">
      <w:r>
        <w:t>(Accessed: 2 May 2023)</w:t>
      </w:r>
    </w:p>
    <w:p w14:paraId="4AA06BE8" w14:textId="77777777" w:rsidR="00C5153A" w:rsidRDefault="00C5153A"/>
    <w:p w14:paraId="2CDE8A60" w14:textId="62D88D6D" w:rsidR="00C5153A" w:rsidRDefault="00C5153A">
      <w:r>
        <w:t>Smith, JC. (2002) Smith &amp; Hogan Criminal Law Cases &amp; Materials. Eighth Edition. The Bath Press, Bath.</w:t>
      </w:r>
    </w:p>
    <w:p w14:paraId="7E12A5D5" w14:textId="77777777" w:rsidR="001D0337" w:rsidRDefault="001D0337"/>
    <w:p w14:paraId="509FC536" w14:textId="3A650A9F" w:rsidR="00D54E24" w:rsidRDefault="000572A9">
      <w:r>
        <w:t>Card, R</w:t>
      </w:r>
      <w:r w:rsidR="00DC1C48">
        <w:t xml:space="preserve">. </w:t>
      </w:r>
      <w:r w:rsidR="00AE7D76">
        <w:t>Molloy</w:t>
      </w:r>
      <w:r w:rsidR="003A0A10">
        <w:t>, J</w:t>
      </w:r>
      <w:r w:rsidR="001358CF">
        <w:t xml:space="preserve">. </w:t>
      </w:r>
      <w:r w:rsidR="009F6AD6">
        <w:t xml:space="preserve">(2016) </w:t>
      </w:r>
      <w:r w:rsidR="009B44EC">
        <w:t>Card, Cross&amp; Jones</w:t>
      </w:r>
      <w:r w:rsidR="00C77A30">
        <w:t xml:space="preserve"> Criminal Law</w:t>
      </w:r>
      <w:r w:rsidR="00D54E24">
        <w:t>. 22</w:t>
      </w:r>
      <w:r w:rsidR="00D54E24" w:rsidRPr="00D54E24">
        <w:rPr>
          <w:vertAlign w:val="superscript"/>
        </w:rPr>
        <w:t>nd</w:t>
      </w:r>
      <w:r w:rsidR="00D54E24">
        <w:t xml:space="preserve"> Edition.</w:t>
      </w:r>
      <w:r w:rsidR="003F606D">
        <w:t xml:space="preserve"> Oxford University Press.</w:t>
      </w:r>
    </w:p>
    <w:p w14:paraId="4F91077D" w14:textId="77777777" w:rsidR="009F6AD6" w:rsidRDefault="009F6AD6"/>
    <w:p w14:paraId="2158DCA7" w14:textId="486B1AF3" w:rsidR="009F6AD6" w:rsidRDefault="009F6AD6">
      <w:r>
        <w:t>Criminal Damage Act (1971) s, 1 (2)</w:t>
      </w:r>
    </w:p>
    <w:p w14:paraId="6BAE124A" w14:textId="5192483B" w:rsidR="009F6AD6" w:rsidRDefault="00000000">
      <w:hyperlink r:id="rId11" w:anchor=":~:text=Section%202%20of%20the%20CDA,threatened%20or%20a%20third%20person" w:history="1">
        <w:r w:rsidR="009F6AD6" w:rsidRPr="001E2A9C">
          <w:rPr>
            <w:rStyle w:val="Hyperlink"/>
          </w:rPr>
          <w:t>https://www.cps.gov.uk/legal-guidance/criminal-damage#:~:text=Section%202%20of%20the%20CDA,threatened%20or%20a%20third%20person</w:t>
        </w:r>
      </w:hyperlink>
      <w:r w:rsidR="009F6AD6" w:rsidRPr="009F6AD6">
        <w:t>.</w:t>
      </w:r>
    </w:p>
    <w:p w14:paraId="013A0C99" w14:textId="4A970D79" w:rsidR="009F6AD6" w:rsidRDefault="009F6AD6">
      <w:r>
        <w:t>(Accessed: 2 May 2023)</w:t>
      </w:r>
    </w:p>
    <w:p w14:paraId="234CEAD3" w14:textId="77777777" w:rsidR="00B01F5E" w:rsidRDefault="00B01F5E"/>
    <w:p w14:paraId="5864D652" w14:textId="564FA72B" w:rsidR="009F6AD6" w:rsidRDefault="00362829">
      <w:r>
        <w:t xml:space="preserve">Offences </w:t>
      </w:r>
      <w:r w:rsidR="00F114A5">
        <w:t>against the Person Act (1861) s, 20.</w:t>
      </w:r>
    </w:p>
    <w:p w14:paraId="7AB8D74B" w14:textId="6623C1AD" w:rsidR="00F114A5" w:rsidRDefault="00000000">
      <w:hyperlink r:id="rId12" w:history="1">
        <w:r w:rsidR="00B01F5E" w:rsidRPr="001E2A9C">
          <w:rPr>
            <w:rStyle w:val="Hyperlink"/>
          </w:rPr>
          <w:t>https://www.legislation.gov.uk/ukpga/Vict/24-25/100/section/20</w:t>
        </w:r>
      </w:hyperlink>
    </w:p>
    <w:p w14:paraId="0184913F" w14:textId="252B2065" w:rsidR="00B01F5E" w:rsidRDefault="00B01F5E">
      <w:r>
        <w:t>(Accessed: 2 May 2023)</w:t>
      </w:r>
    </w:p>
    <w:p w14:paraId="02869498" w14:textId="77777777" w:rsidR="00046816" w:rsidRDefault="00046816"/>
    <w:p w14:paraId="451D5226" w14:textId="0AF94804" w:rsidR="00894A06" w:rsidRDefault="003517AF">
      <w:r>
        <w:t>Herring, J. (2014)</w:t>
      </w:r>
      <w:r w:rsidR="002F0069">
        <w:t xml:space="preserve"> Criminal Law Text, Cases &amp; Materials</w:t>
      </w:r>
      <w:r w:rsidR="005A3551">
        <w:t>. Sixth Edition. Oxford University Press</w:t>
      </w:r>
      <w:r w:rsidR="004B077B">
        <w:t>.</w:t>
      </w:r>
    </w:p>
    <w:p w14:paraId="79B80F2D" w14:textId="77777777" w:rsidR="00046816" w:rsidRDefault="00046816"/>
    <w:p w14:paraId="184C8A10" w14:textId="01B4373F" w:rsidR="00846DD1" w:rsidRDefault="00A313AC">
      <w:r>
        <w:t xml:space="preserve">Mental Health Act (2007) </w:t>
      </w:r>
      <w:r w:rsidR="001E7C4A">
        <w:t xml:space="preserve">s, 1. </w:t>
      </w:r>
    </w:p>
    <w:p w14:paraId="49085605" w14:textId="754569C0" w:rsidR="001E7C4A" w:rsidRDefault="00000000">
      <w:hyperlink r:id="rId13" w:history="1">
        <w:r w:rsidR="00046816" w:rsidRPr="00D92A7E">
          <w:rPr>
            <w:rStyle w:val="Hyperlink"/>
          </w:rPr>
          <w:t>https://www.legislation.gov.uk/ukpga/2007/12/part/1/chapter/1/crossheading/mental-disorder</w:t>
        </w:r>
      </w:hyperlink>
      <w:r w:rsidR="00046816">
        <w:t xml:space="preserve"> </w:t>
      </w:r>
    </w:p>
    <w:p w14:paraId="74677211" w14:textId="4CDD37CE" w:rsidR="00B01F5E" w:rsidRDefault="002F0069">
      <w:r>
        <w:t xml:space="preserve"> </w:t>
      </w:r>
    </w:p>
    <w:p w14:paraId="5DB2B911" w14:textId="0793E939" w:rsidR="001E1546" w:rsidRDefault="008B6EE9">
      <w:r>
        <w:t>Ghias, N. Azhar, Y. Singh, J.</w:t>
      </w:r>
      <w:r w:rsidR="00195DB4">
        <w:t xml:space="preserve"> (2023) Psychiatric Illness </w:t>
      </w:r>
      <w:r w:rsidR="007E5D7D">
        <w:t>and</w:t>
      </w:r>
      <w:r w:rsidR="00195DB4">
        <w:t xml:space="preserve"> Criminality. </w:t>
      </w:r>
      <w:r w:rsidR="007E5D7D">
        <w:t>StatPearls Publishing.</w:t>
      </w:r>
    </w:p>
    <w:p w14:paraId="5066D47F" w14:textId="3DF677BC" w:rsidR="00917987" w:rsidRDefault="00000000">
      <w:hyperlink r:id="rId14" w:history="1">
        <w:r w:rsidR="00917987" w:rsidRPr="00D92A7E">
          <w:rPr>
            <w:rStyle w:val="Hyperlink"/>
          </w:rPr>
          <w:t>https://www.ncbi.nlm.nih.gov/books/NBK537064/</w:t>
        </w:r>
      </w:hyperlink>
    </w:p>
    <w:p w14:paraId="07559FA7" w14:textId="13774A1F" w:rsidR="00917987" w:rsidRDefault="00917987">
      <w:r>
        <w:t>(Accessed</w:t>
      </w:r>
      <w:r w:rsidR="00846DD1">
        <w:t>: 3 May 2023)</w:t>
      </w:r>
    </w:p>
    <w:p w14:paraId="62634E5E" w14:textId="16C25474" w:rsidR="00846DD1" w:rsidRDefault="00846DD1"/>
    <w:p w14:paraId="382E939F" w14:textId="2432A8FE" w:rsidR="00846DD1" w:rsidRDefault="005E40A1">
      <w:r>
        <w:t>Coroners and Justice A</w:t>
      </w:r>
      <w:r w:rsidR="006E64E9">
        <w:t xml:space="preserve">ct (2009) </w:t>
      </w:r>
      <w:r w:rsidR="009638A9">
        <w:t>c, 25.</w:t>
      </w:r>
    </w:p>
    <w:p w14:paraId="4689E3F3" w14:textId="43CBCFEA" w:rsidR="009638A9" w:rsidRDefault="00000000">
      <w:hyperlink r:id="rId15" w:history="1">
        <w:r w:rsidR="00543758" w:rsidRPr="00D92A7E">
          <w:rPr>
            <w:rStyle w:val="Hyperlink"/>
          </w:rPr>
          <w:t>https://www.legislation.gov.uk/ukpga/2009/25/part/2/chapter/1/crossheading/partial-defence-to-murder-loss-of-control</w:t>
        </w:r>
      </w:hyperlink>
    </w:p>
    <w:p w14:paraId="17581F16" w14:textId="508BEB23" w:rsidR="00543758" w:rsidRDefault="00543758">
      <w:r>
        <w:lastRenderedPageBreak/>
        <w:t>(Accessed: 3 May 2023)</w:t>
      </w:r>
    </w:p>
    <w:p w14:paraId="22C88BF0" w14:textId="59BCC9E3" w:rsidR="00543758" w:rsidRDefault="008A2CB5">
      <w:r>
        <w:t xml:space="preserve"> </w:t>
      </w:r>
    </w:p>
    <w:p w14:paraId="472940A8" w14:textId="05157EF3" w:rsidR="00551485" w:rsidRDefault="00551485">
      <w:r>
        <w:t>Manual of Service Law</w:t>
      </w:r>
      <w:r w:rsidR="000137F5">
        <w:t xml:space="preserve"> (2013), c, 12.</w:t>
      </w:r>
    </w:p>
    <w:p w14:paraId="10B5D2C3" w14:textId="529146D3" w:rsidR="00B01F5E" w:rsidRDefault="00000000">
      <w:hyperlink r:id="rId16" w:history="1">
        <w:r w:rsidR="00A73D91" w:rsidRPr="00687F5C">
          <w:rPr>
            <w:rStyle w:val="Hyperlink"/>
          </w:rPr>
          <w:t>https://assets.publishing.service.gov.uk/government/uploads/system/uploads/attachment_data/file/617132/20170523-Chapter_12-Defences_Mitigation_Criminal_responsibility-AL42-v1.pdf</w:t>
        </w:r>
      </w:hyperlink>
    </w:p>
    <w:p w14:paraId="6E3362BD" w14:textId="23BF1827" w:rsidR="00A73D91" w:rsidRDefault="000137F5">
      <w:r>
        <w:t>(Accessed: 4 May 2023)</w:t>
      </w:r>
    </w:p>
    <w:p w14:paraId="44B803E4" w14:textId="77777777" w:rsidR="000137F5" w:rsidRDefault="000137F5"/>
    <w:p w14:paraId="416CD296" w14:textId="3814FCEE" w:rsidR="000137F5" w:rsidRDefault="000137F5">
      <w:r>
        <w:t xml:space="preserve">Homicide Act </w:t>
      </w:r>
      <w:r w:rsidR="00AC1901">
        <w:t>(</w:t>
      </w:r>
      <w:r>
        <w:t>1957</w:t>
      </w:r>
      <w:r w:rsidR="00AC1901">
        <w:t xml:space="preserve">) s, 2. </w:t>
      </w:r>
    </w:p>
    <w:p w14:paraId="3B125D6B" w14:textId="1AE9664A" w:rsidR="00AC1901" w:rsidRDefault="00000000">
      <w:hyperlink r:id="rId17" w:history="1">
        <w:r w:rsidR="005F2C4D" w:rsidRPr="00687F5C">
          <w:rPr>
            <w:rStyle w:val="Hyperlink"/>
          </w:rPr>
          <w:t>https://www.legislation.gov.uk/ukpga/Eliz2/5-6/11/section/2</w:t>
        </w:r>
      </w:hyperlink>
    </w:p>
    <w:p w14:paraId="5D68A119" w14:textId="6B98A7BC" w:rsidR="005F2C4D" w:rsidRDefault="005F2C4D">
      <w:r>
        <w:t>(Accessed: 4 May 2023)</w:t>
      </w:r>
    </w:p>
    <w:p w14:paraId="592584E3" w14:textId="77777777" w:rsidR="005F2C4D" w:rsidRDefault="005F2C4D"/>
    <w:p w14:paraId="0657339D" w14:textId="024242F2" w:rsidR="00060B97" w:rsidRDefault="00060B97">
      <w:r>
        <w:t xml:space="preserve">Coroners and Justice Act </w:t>
      </w:r>
      <w:r w:rsidR="004435D7">
        <w:t>(2009) s, 52.</w:t>
      </w:r>
    </w:p>
    <w:p w14:paraId="2159F9B4" w14:textId="433F84E5" w:rsidR="005F2C4D" w:rsidRDefault="00000000">
      <w:hyperlink r:id="rId18" w:history="1">
        <w:r w:rsidR="00060B97" w:rsidRPr="00687F5C">
          <w:rPr>
            <w:rStyle w:val="Hyperlink"/>
          </w:rPr>
          <w:t>https://www.legislation.gov.uk/ukpga/2009/25/section/52</w:t>
        </w:r>
      </w:hyperlink>
    </w:p>
    <w:p w14:paraId="27D50B01" w14:textId="78C09696" w:rsidR="00060B97" w:rsidRDefault="004435D7">
      <w:r>
        <w:t>(Accessed: 4 May 2023)</w:t>
      </w:r>
    </w:p>
    <w:p w14:paraId="20857428" w14:textId="77777777" w:rsidR="004435D7" w:rsidRDefault="004435D7"/>
    <w:p w14:paraId="11C7FD93" w14:textId="0966BD31" w:rsidR="00334511" w:rsidRPr="00C3472A" w:rsidRDefault="001C3B6E">
      <w:pPr>
        <w:rPr>
          <w:u w:val="single"/>
        </w:rPr>
      </w:pPr>
      <w:r w:rsidRPr="00C3472A">
        <w:rPr>
          <w:u w:val="single"/>
        </w:rPr>
        <w:t>Case Law</w:t>
      </w:r>
    </w:p>
    <w:p w14:paraId="293D7914" w14:textId="429BF168" w:rsidR="001C3B6E" w:rsidRDefault="00C3472A">
      <w:r>
        <w:t xml:space="preserve">R v </w:t>
      </w:r>
      <w:proofErr w:type="spellStart"/>
      <w:r>
        <w:t>Wo</w:t>
      </w:r>
      <w:r w:rsidR="00A5031E">
        <w:t>o</w:t>
      </w:r>
      <w:r>
        <w:t>llin</w:t>
      </w:r>
      <w:proofErr w:type="spellEnd"/>
      <w:r>
        <w:t xml:space="preserve"> </w:t>
      </w:r>
      <w:r w:rsidR="00394781">
        <w:t>(1999)</w:t>
      </w:r>
    </w:p>
    <w:p w14:paraId="546A03AC" w14:textId="454896AC" w:rsidR="00394781" w:rsidRDefault="00394781">
      <w:r>
        <w:t>Wilcocks (2016)</w:t>
      </w:r>
      <w:r w:rsidR="00A5031E">
        <w:t xml:space="preserve"> </w:t>
      </w:r>
    </w:p>
    <w:p w14:paraId="1C74A99F" w14:textId="30BE20C4" w:rsidR="00A5031E" w:rsidRDefault="00B3413E">
      <w:r>
        <w:t>Moyle (2008)</w:t>
      </w:r>
    </w:p>
    <w:p w14:paraId="40FBCA15" w14:textId="3301B8D7" w:rsidR="00B3413E" w:rsidRDefault="005F0402">
      <w:r>
        <w:t xml:space="preserve"> </w:t>
      </w:r>
    </w:p>
    <w:sectPr w:rsidR="00B3413E" w:rsidSect="00BA4FC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29C0C9" w14:textId="77777777" w:rsidR="00C2394D" w:rsidRDefault="00C2394D" w:rsidP="005A03AB">
      <w:pPr>
        <w:spacing w:after="0" w:line="240" w:lineRule="auto"/>
      </w:pPr>
      <w:r>
        <w:separator/>
      </w:r>
    </w:p>
  </w:endnote>
  <w:endnote w:type="continuationSeparator" w:id="0">
    <w:p w14:paraId="0240E928" w14:textId="77777777" w:rsidR="00C2394D" w:rsidRDefault="00C2394D" w:rsidP="005A03AB">
      <w:pPr>
        <w:spacing w:after="0" w:line="240" w:lineRule="auto"/>
      </w:pPr>
      <w:r>
        <w:continuationSeparator/>
      </w:r>
    </w:p>
  </w:endnote>
  <w:endnote w:type="continuationNotice" w:id="1">
    <w:p w14:paraId="3D73CE18" w14:textId="77777777" w:rsidR="00C2394D" w:rsidRDefault="00C2394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D666EF" w14:textId="77777777" w:rsidR="00C2394D" w:rsidRDefault="00C2394D" w:rsidP="005A03AB">
      <w:pPr>
        <w:spacing w:after="0" w:line="240" w:lineRule="auto"/>
      </w:pPr>
      <w:r>
        <w:separator/>
      </w:r>
    </w:p>
  </w:footnote>
  <w:footnote w:type="continuationSeparator" w:id="0">
    <w:p w14:paraId="6FC94795" w14:textId="77777777" w:rsidR="00C2394D" w:rsidRDefault="00C2394D" w:rsidP="005A03AB">
      <w:pPr>
        <w:spacing w:after="0" w:line="240" w:lineRule="auto"/>
      </w:pPr>
      <w:r>
        <w:continuationSeparator/>
      </w:r>
    </w:p>
  </w:footnote>
  <w:footnote w:type="continuationNotice" w:id="1">
    <w:p w14:paraId="0A906C03" w14:textId="77777777" w:rsidR="00C2394D" w:rsidRDefault="00C2394D">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4FC9"/>
    <w:rsid w:val="000137F5"/>
    <w:rsid w:val="00016EB0"/>
    <w:rsid w:val="00022DCF"/>
    <w:rsid w:val="000408A0"/>
    <w:rsid w:val="00044909"/>
    <w:rsid w:val="00046816"/>
    <w:rsid w:val="000572A9"/>
    <w:rsid w:val="000574A1"/>
    <w:rsid w:val="00060B97"/>
    <w:rsid w:val="000754F3"/>
    <w:rsid w:val="000A12C7"/>
    <w:rsid w:val="000C273F"/>
    <w:rsid w:val="000E2173"/>
    <w:rsid w:val="000E24E2"/>
    <w:rsid w:val="000F5C2F"/>
    <w:rsid w:val="001358CF"/>
    <w:rsid w:val="00146B85"/>
    <w:rsid w:val="00161C57"/>
    <w:rsid w:val="001765D1"/>
    <w:rsid w:val="00191BF7"/>
    <w:rsid w:val="00195DB4"/>
    <w:rsid w:val="001A4161"/>
    <w:rsid w:val="001A4AF3"/>
    <w:rsid w:val="001A4EAB"/>
    <w:rsid w:val="001A5127"/>
    <w:rsid w:val="001C20AD"/>
    <w:rsid w:val="001C3B6E"/>
    <w:rsid w:val="001D0337"/>
    <w:rsid w:val="001D5FEB"/>
    <w:rsid w:val="001E1546"/>
    <w:rsid w:val="001E3710"/>
    <w:rsid w:val="001E76F9"/>
    <w:rsid w:val="001E7C4A"/>
    <w:rsid w:val="0020478C"/>
    <w:rsid w:val="002055D5"/>
    <w:rsid w:val="002473C0"/>
    <w:rsid w:val="00272388"/>
    <w:rsid w:val="002734B2"/>
    <w:rsid w:val="00280334"/>
    <w:rsid w:val="00282549"/>
    <w:rsid w:val="00282ED4"/>
    <w:rsid w:val="00291E6C"/>
    <w:rsid w:val="00297D0E"/>
    <w:rsid w:val="002A0F21"/>
    <w:rsid w:val="002D1FB5"/>
    <w:rsid w:val="002F0069"/>
    <w:rsid w:val="00305194"/>
    <w:rsid w:val="00306FE0"/>
    <w:rsid w:val="00334511"/>
    <w:rsid w:val="003517AF"/>
    <w:rsid w:val="00362829"/>
    <w:rsid w:val="00366CB9"/>
    <w:rsid w:val="00372448"/>
    <w:rsid w:val="0037730F"/>
    <w:rsid w:val="00393A59"/>
    <w:rsid w:val="00394781"/>
    <w:rsid w:val="003A0A10"/>
    <w:rsid w:val="003C4A97"/>
    <w:rsid w:val="003F2536"/>
    <w:rsid w:val="003F2D04"/>
    <w:rsid w:val="003F606D"/>
    <w:rsid w:val="00436551"/>
    <w:rsid w:val="004435D7"/>
    <w:rsid w:val="00443E28"/>
    <w:rsid w:val="00455FED"/>
    <w:rsid w:val="004625F7"/>
    <w:rsid w:val="00463B95"/>
    <w:rsid w:val="00481FAC"/>
    <w:rsid w:val="004B077B"/>
    <w:rsid w:val="004B444F"/>
    <w:rsid w:val="004C1B81"/>
    <w:rsid w:val="004F33C2"/>
    <w:rsid w:val="004F34A4"/>
    <w:rsid w:val="005036FB"/>
    <w:rsid w:val="0053102C"/>
    <w:rsid w:val="00536A72"/>
    <w:rsid w:val="00537858"/>
    <w:rsid w:val="00543758"/>
    <w:rsid w:val="0054651C"/>
    <w:rsid w:val="00551485"/>
    <w:rsid w:val="0055255A"/>
    <w:rsid w:val="0058687B"/>
    <w:rsid w:val="005A03AB"/>
    <w:rsid w:val="005A3551"/>
    <w:rsid w:val="005D02B8"/>
    <w:rsid w:val="005E27EB"/>
    <w:rsid w:val="005E40A1"/>
    <w:rsid w:val="005F0402"/>
    <w:rsid w:val="005F2149"/>
    <w:rsid w:val="005F2C4D"/>
    <w:rsid w:val="005F6CBE"/>
    <w:rsid w:val="00623924"/>
    <w:rsid w:val="006243D5"/>
    <w:rsid w:val="00630089"/>
    <w:rsid w:val="0067279B"/>
    <w:rsid w:val="00686F98"/>
    <w:rsid w:val="00697C6E"/>
    <w:rsid w:val="006B70D6"/>
    <w:rsid w:val="006E64E9"/>
    <w:rsid w:val="006F2DD8"/>
    <w:rsid w:val="006F42AB"/>
    <w:rsid w:val="00703439"/>
    <w:rsid w:val="00703EC0"/>
    <w:rsid w:val="00732E88"/>
    <w:rsid w:val="00747BF6"/>
    <w:rsid w:val="00771569"/>
    <w:rsid w:val="00783B76"/>
    <w:rsid w:val="007A49FA"/>
    <w:rsid w:val="007B443C"/>
    <w:rsid w:val="007C69C6"/>
    <w:rsid w:val="007D17E8"/>
    <w:rsid w:val="007E5D7D"/>
    <w:rsid w:val="00800B04"/>
    <w:rsid w:val="0080340B"/>
    <w:rsid w:val="008047A7"/>
    <w:rsid w:val="00830EC3"/>
    <w:rsid w:val="0083722A"/>
    <w:rsid w:val="00846DD1"/>
    <w:rsid w:val="0088012D"/>
    <w:rsid w:val="00894A06"/>
    <w:rsid w:val="008A2CB5"/>
    <w:rsid w:val="008B6EE9"/>
    <w:rsid w:val="008F5C2B"/>
    <w:rsid w:val="008F778E"/>
    <w:rsid w:val="00900C62"/>
    <w:rsid w:val="00911906"/>
    <w:rsid w:val="00917987"/>
    <w:rsid w:val="0092145A"/>
    <w:rsid w:val="00924401"/>
    <w:rsid w:val="00947418"/>
    <w:rsid w:val="00954BC3"/>
    <w:rsid w:val="009638A9"/>
    <w:rsid w:val="0096644D"/>
    <w:rsid w:val="009709E8"/>
    <w:rsid w:val="009859AC"/>
    <w:rsid w:val="00990025"/>
    <w:rsid w:val="009A691A"/>
    <w:rsid w:val="009B44EC"/>
    <w:rsid w:val="009C14B6"/>
    <w:rsid w:val="009F6AD6"/>
    <w:rsid w:val="00A0149F"/>
    <w:rsid w:val="00A16849"/>
    <w:rsid w:val="00A1777D"/>
    <w:rsid w:val="00A24FA3"/>
    <w:rsid w:val="00A2589D"/>
    <w:rsid w:val="00A313AC"/>
    <w:rsid w:val="00A379BD"/>
    <w:rsid w:val="00A5031E"/>
    <w:rsid w:val="00A73D91"/>
    <w:rsid w:val="00AB184A"/>
    <w:rsid w:val="00AC1901"/>
    <w:rsid w:val="00AC7014"/>
    <w:rsid w:val="00AD2959"/>
    <w:rsid w:val="00AD5E4A"/>
    <w:rsid w:val="00AE3427"/>
    <w:rsid w:val="00AE7D76"/>
    <w:rsid w:val="00AF2298"/>
    <w:rsid w:val="00B01F5E"/>
    <w:rsid w:val="00B04665"/>
    <w:rsid w:val="00B1388A"/>
    <w:rsid w:val="00B24822"/>
    <w:rsid w:val="00B3413E"/>
    <w:rsid w:val="00B443E3"/>
    <w:rsid w:val="00B60E4B"/>
    <w:rsid w:val="00B70C06"/>
    <w:rsid w:val="00B70ED2"/>
    <w:rsid w:val="00B8731A"/>
    <w:rsid w:val="00B9303A"/>
    <w:rsid w:val="00BA4FC9"/>
    <w:rsid w:val="00BC3A97"/>
    <w:rsid w:val="00BC6109"/>
    <w:rsid w:val="00BE4A78"/>
    <w:rsid w:val="00BF7D23"/>
    <w:rsid w:val="00C116BD"/>
    <w:rsid w:val="00C2394D"/>
    <w:rsid w:val="00C24230"/>
    <w:rsid w:val="00C307BD"/>
    <w:rsid w:val="00C3472A"/>
    <w:rsid w:val="00C413FE"/>
    <w:rsid w:val="00C50D67"/>
    <w:rsid w:val="00C5153A"/>
    <w:rsid w:val="00C71EFB"/>
    <w:rsid w:val="00C77A30"/>
    <w:rsid w:val="00C9504C"/>
    <w:rsid w:val="00CA70D6"/>
    <w:rsid w:val="00CC6611"/>
    <w:rsid w:val="00CC7252"/>
    <w:rsid w:val="00D053D8"/>
    <w:rsid w:val="00D54E24"/>
    <w:rsid w:val="00D85729"/>
    <w:rsid w:val="00D8641A"/>
    <w:rsid w:val="00D94DA4"/>
    <w:rsid w:val="00D94E48"/>
    <w:rsid w:val="00D95F45"/>
    <w:rsid w:val="00DA2372"/>
    <w:rsid w:val="00DA3D03"/>
    <w:rsid w:val="00DC1C48"/>
    <w:rsid w:val="00DC4052"/>
    <w:rsid w:val="00E0196E"/>
    <w:rsid w:val="00E173DE"/>
    <w:rsid w:val="00E20E83"/>
    <w:rsid w:val="00E35A18"/>
    <w:rsid w:val="00E43667"/>
    <w:rsid w:val="00E61C63"/>
    <w:rsid w:val="00E62978"/>
    <w:rsid w:val="00E66EB6"/>
    <w:rsid w:val="00EC3639"/>
    <w:rsid w:val="00EF3FF4"/>
    <w:rsid w:val="00F02874"/>
    <w:rsid w:val="00F114A5"/>
    <w:rsid w:val="00F4533F"/>
    <w:rsid w:val="00F466D6"/>
    <w:rsid w:val="00F5389C"/>
    <w:rsid w:val="00F84C9D"/>
    <w:rsid w:val="00F84D00"/>
    <w:rsid w:val="00F93163"/>
    <w:rsid w:val="00F97940"/>
    <w:rsid w:val="00FC63B9"/>
    <w:rsid w:val="00FC6CCF"/>
    <w:rsid w:val="00FC6DAA"/>
    <w:rsid w:val="00FE57FD"/>
    <w:rsid w:val="00FF236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6564EE"/>
  <w15:chartTrackingRefBased/>
  <w15:docId w15:val="{CFA7CDCC-9682-4CD3-8300-BC1219A9D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A4FC9"/>
    <w:pPr>
      <w:spacing w:after="0" w:line="240" w:lineRule="auto"/>
    </w:pPr>
    <w:rPr>
      <w:lang w:val="en-US" w:eastAsia="en-US"/>
    </w:rPr>
  </w:style>
  <w:style w:type="character" w:customStyle="1" w:styleId="NoSpacingChar">
    <w:name w:val="No Spacing Char"/>
    <w:basedOn w:val="DefaultParagraphFont"/>
    <w:link w:val="NoSpacing"/>
    <w:uiPriority w:val="1"/>
    <w:rsid w:val="00BA4FC9"/>
    <w:rPr>
      <w:lang w:val="en-US" w:eastAsia="en-US"/>
    </w:rPr>
  </w:style>
  <w:style w:type="character" w:styleId="Hyperlink">
    <w:name w:val="Hyperlink"/>
    <w:basedOn w:val="DefaultParagraphFont"/>
    <w:uiPriority w:val="99"/>
    <w:unhideWhenUsed/>
    <w:rsid w:val="00C5153A"/>
    <w:rPr>
      <w:color w:val="0563C1" w:themeColor="hyperlink"/>
      <w:u w:val="single"/>
    </w:rPr>
  </w:style>
  <w:style w:type="character" w:styleId="UnresolvedMention">
    <w:name w:val="Unresolved Mention"/>
    <w:basedOn w:val="DefaultParagraphFont"/>
    <w:uiPriority w:val="99"/>
    <w:semiHidden/>
    <w:unhideWhenUsed/>
    <w:rsid w:val="00C5153A"/>
    <w:rPr>
      <w:color w:val="605E5C"/>
      <w:shd w:val="clear" w:color="auto" w:fill="E1DFDD"/>
    </w:rPr>
  </w:style>
  <w:style w:type="paragraph" w:styleId="Header">
    <w:name w:val="header"/>
    <w:basedOn w:val="Normal"/>
    <w:link w:val="HeaderChar"/>
    <w:uiPriority w:val="99"/>
    <w:unhideWhenUsed/>
    <w:rsid w:val="005A03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03AB"/>
  </w:style>
  <w:style w:type="paragraph" w:styleId="Footer">
    <w:name w:val="footer"/>
    <w:basedOn w:val="Normal"/>
    <w:link w:val="FooterChar"/>
    <w:uiPriority w:val="99"/>
    <w:unhideWhenUsed/>
    <w:rsid w:val="005A03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03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legislation.gov.uk/ukpga/2007/12/part/1/chapter/1/crossheading/mental-disorder" TargetMode="External"/><Relationship Id="rId18" Type="http://schemas.openxmlformats.org/officeDocument/2006/relationships/hyperlink" Target="https://www.legislation.gov.uk/ukpga/2009/25/section/52"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legislation.gov.uk/ukpga/Vict/24-25/100/section/20" TargetMode="External"/><Relationship Id="rId17" Type="http://schemas.openxmlformats.org/officeDocument/2006/relationships/hyperlink" Target="https://www.legislation.gov.uk/ukpga/Eliz2/5-6/11/section/2" TargetMode="External"/><Relationship Id="rId2" Type="http://schemas.openxmlformats.org/officeDocument/2006/relationships/customXml" Target="../customXml/item2.xml"/><Relationship Id="rId16" Type="http://schemas.openxmlformats.org/officeDocument/2006/relationships/hyperlink" Target="https://assets.publishing.service.gov.uk/government/uploads/system/uploads/attachment_data/file/617132/20170523-Chapter_12-Defences_Mitigation_Criminal_responsibility-AL42-v1.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ps.gov.uk/legal-guidance/criminal-damage" TargetMode="External"/><Relationship Id="rId5" Type="http://schemas.openxmlformats.org/officeDocument/2006/relationships/styles" Target="styles.xml"/><Relationship Id="rId15" Type="http://schemas.openxmlformats.org/officeDocument/2006/relationships/hyperlink" Target="https://www.legislation.gov.uk/ukpga/2009/25/part/2/chapter/1/crossheading/partial-defence-to-murder-loss-of-control" TargetMode="External"/><Relationship Id="rId10" Type="http://schemas.openxmlformats.org/officeDocument/2006/relationships/hyperlink" Target="https://www.legislation.gov.uk/ukpga/2014/12/section/2/enacted" TargetMode="Externa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www.ncbi.nlm.nih.gov/books/NBK53706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7" ma:contentTypeDescription="Create a new document." ma:contentTypeScope="" ma:versionID="d32bfd3461857ee2f1fb4fb2c12d7777">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45d83ce99c72c0f193d56c826c6a2e4b"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Props1.xml><?xml version="1.0" encoding="utf-8"?>
<ds:datastoreItem xmlns:ds="http://schemas.openxmlformats.org/officeDocument/2006/customXml" ds:itemID="{2C3F9CE0-A119-4CBE-8FB6-27DEE4018510}">
  <ds:schemaRefs>
    <ds:schemaRef ds:uri="http://schemas.openxmlformats.org/officeDocument/2006/bibliography"/>
  </ds:schemaRefs>
</ds:datastoreItem>
</file>

<file path=customXml/itemProps2.xml><?xml version="1.0" encoding="utf-8"?>
<ds:datastoreItem xmlns:ds="http://schemas.openxmlformats.org/officeDocument/2006/customXml" ds:itemID="{B471A38D-B9F6-4581-83F0-1A60EAE68B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F4E3F19-4EE7-4E8A-B149-B6097FCFB787}">
  <ds:schemaRefs>
    <ds:schemaRef ds:uri="http://schemas.microsoft.com/sharepoint/v3/contenttype/forms"/>
  </ds:schemaRefs>
</ds:datastoreItem>
</file>

<file path=customXml/itemProps4.xml><?xml version="1.0" encoding="utf-8"?>
<ds:datastoreItem xmlns:ds="http://schemas.openxmlformats.org/officeDocument/2006/customXml" ds:itemID="{618140E4-850A-44F2-8F47-6E3BA3A05337}">
  <ds:schemaRefs>
    <ds:schemaRef ds:uri="http://schemas.microsoft.com/office/2006/metadata/properties"/>
    <ds:schemaRef ds:uri="http://schemas.microsoft.com/office/infopath/2007/PartnerControls"/>
    <ds:schemaRef ds:uri="da3f2772-8f1e-4acb-bd98-3a0ee892f48a"/>
  </ds:schemaRefs>
</ds:datastoreItem>
</file>

<file path=docProps/app.xml><?xml version="1.0" encoding="utf-8"?>
<Properties xmlns="http://schemas.openxmlformats.org/officeDocument/2006/extended-properties" xmlns:vt="http://schemas.openxmlformats.org/officeDocument/2006/docPropsVTypes">
  <Template>Normal</Template>
  <TotalTime>296</TotalTime>
  <Pages>6</Pages>
  <Words>1625</Words>
  <Characters>9268</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Scenario Question</dc:title>
  <dc:subject>BMLW4005/BMPL4009</dc:subject>
  <dc:creator>Chloe Clark (2207404)</dc:creator>
  <cp:keywords/>
  <dc:description/>
  <cp:lastModifiedBy>Chloe Clark (2207404)</cp:lastModifiedBy>
  <cp:revision>123</cp:revision>
  <dcterms:created xsi:type="dcterms:W3CDTF">2023-05-02T11:47:00Z</dcterms:created>
  <dcterms:modified xsi:type="dcterms:W3CDTF">2023-05-04T17:55:00Z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