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AC0D9" w14:textId="77777777" w:rsidR="000C39C0" w:rsidRDefault="00A61898">
      <w:pPr>
        <w:spacing w:before="1300" w:after="140"/>
        <w:jc w:val="center"/>
      </w:pPr>
      <w:r>
        <w:rPr>
          <w:b/>
          <w:color w:val="17324D"/>
          <w:sz w:val="50"/>
        </w:rPr>
        <w:t>LCHS7009</w:t>
      </w:r>
    </w:p>
    <w:p w14:paraId="293539B9" w14:textId="77777777" w:rsidR="000C39C0" w:rsidRDefault="00A61898">
      <w:pPr>
        <w:spacing w:after="360"/>
        <w:jc w:val="center"/>
      </w:pPr>
      <w:r>
        <w:rPr>
          <w:b/>
          <w:color w:val="17324D"/>
          <w:sz w:val="40"/>
        </w:rPr>
        <w:t>POPULATION HEALTH AND</w:t>
      </w:r>
      <w:r>
        <w:rPr>
          <w:b/>
          <w:color w:val="17324D"/>
          <w:sz w:val="40"/>
        </w:rPr>
        <w:br/>
        <w:t>DIGITAL HEALTH PROMOTION</w:t>
      </w:r>
    </w:p>
    <w:tbl>
      <w:tblPr>
        <w:tblW w:w="0" w:type="auto"/>
        <w:jc w:val="center"/>
        <w:shd w:val="clear" w:color="auto" w:fill="FBD4B4" w:themeFill="accent6" w:themeFillTint="66"/>
        <w:tblLook w:val="04A0" w:firstRow="1" w:lastRow="0" w:firstColumn="1" w:lastColumn="0" w:noHBand="0" w:noVBand="1"/>
      </w:tblPr>
      <w:tblGrid>
        <w:gridCol w:w="9026"/>
      </w:tblGrid>
      <w:tr w:rsidR="000C39C0" w14:paraId="27CDF074" w14:textId="77777777" w:rsidTr="00935457">
        <w:trPr>
          <w:jc w:val="center"/>
        </w:trPr>
        <w:tc>
          <w:tcPr>
            <w:tcW w:w="9878" w:type="dxa"/>
            <w:shd w:val="clear" w:color="auto" w:fill="FBD4B4" w:themeFill="accent6" w:themeFillTint="66"/>
            <w:tcMar>
              <w:top w:w="180" w:type="dxa"/>
              <w:left w:w="120" w:type="dxa"/>
              <w:bottom w:w="180" w:type="dxa"/>
              <w:right w:w="120" w:type="dxa"/>
            </w:tcMar>
          </w:tcPr>
          <w:p w14:paraId="79F42F77" w14:textId="77777777" w:rsidR="000C39C0" w:rsidRPr="0054214D" w:rsidRDefault="00A61898">
            <w:pPr>
              <w:spacing w:after="0"/>
              <w:jc w:val="center"/>
              <w:rPr>
                <w:color w:val="auto"/>
              </w:rPr>
            </w:pPr>
            <w:r w:rsidRPr="0054214D">
              <w:rPr>
                <w:b/>
                <w:color w:val="auto"/>
                <w:sz w:val="26"/>
              </w:rPr>
              <w:t>COMPONENT 1  |  TWO BLOGS</w:t>
            </w:r>
          </w:p>
        </w:tc>
      </w:tr>
    </w:tbl>
    <w:p w14:paraId="228E4E4F" w14:textId="77777777" w:rsidR="000C39C0" w:rsidRPr="0065625B" w:rsidRDefault="00A61898">
      <w:pPr>
        <w:spacing w:before="360" w:after="140"/>
        <w:jc w:val="center"/>
        <w:rPr>
          <w:color w:val="auto"/>
          <w:szCs w:val="24"/>
        </w:rPr>
      </w:pPr>
      <w:r w:rsidRPr="0065625B">
        <w:rPr>
          <w:b/>
          <w:color w:val="auto"/>
          <w:szCs w:val="24"/>
        </w:rPr>
        <w:t>Digital health promotion interventions:</w:t>
      </w:r>
    </w:p>
    <w:p w14:paraId="485F0111" w14:textId="77777777" w:rsidR="000C39C0" w:rsidRPr="0065625B" w:rsidRDefault="00A61898">
      <w:pPr>
        <w:spacing w:after="440"/>
        <w:jc w:val="center"/>
        <w:rPr>
          <w:color w:val="auto"/>
          <w:szCs w:val="24"/>
        </w:rPr>
      </w:pPr>
      <w:r w:rsidRPr="0065625B">
        <w:rPr>
          <w:color w:val="auto"/>
          <w:szCs w:val="24"/>
        </w:rPr>
        <w:t>critical evaluation and original design</w:t>
      </w:r>
    </w:p>
    <w:tbl>
      <w:tblPr>
        <w:tblStyle w:val="TableGrid"/>
        <w:tblW w:w="0" w:type="auto"/>
        <w:tblLayout w:type="fixed"/>
        <w:tblLook w:val="04A0" w:firstRow="1" w:lastRow="0" w:firstColumn="1" w:lastColumn="0" w:noHBand="0" w:noVBand="1"/>
      </w:tblPr>
      <w:tblGrid>
        <w:gridCol w:w="2520"/>
        <w:gridCol w:w="6696"/>
      </w:tblGrid>
      <w:tr w:rsidR="000C39C0" w:rsidRPr="0065625B" w14:paraId="681F4D7E" w14:textId="77777777" w:rsidTr="00484D14">
        <w:tc>
          <w:tcPr>
            <w:tcW w:w="2520" w:type="dxa"/>
          </w:tcPr>
          <w:p w14:paraId="7FB8D73E" w14:textId="77777777" w:rsidR="000C39C0" w:rsidRPr="0065625B" w:rsidRDefault="00A61898">
            <w:pPr>
              <w:spacing w:after="0"/>
              <w:rPr>
                <w:color w:val="auto"/>
                <w:szCs w:val="24"/>
              </w:rPr>
            </w:pPr>
            <w:r w:rsidRPr="0065625B">
              <w:rPr>
                <w:b/>
                <w:color w:val="auto"/>
                <w:szCs w:val="24"/>
              </w:rPr>
              <w:t>Student name</w:t>
            </w:r>
          </w:p>
        </w:tc>
        <w:tc>
          <w:tcPr>
            <w:tcW w:w="6696" w:type="dxa"/>
          </w:tcPr>
          <w:p w14:paraId="71265F34" w14:textId="2F1AC6DD" w:rsidR="000C39C0" w:rsidRPr="0065625B" w:rsidRDefault="00A61898">
            <w:pPr>
              <w:spacing w:after="0"/>
              <w:rPr>
                <w:color w:val="auto"/>
                <w:szCs w:val="24"/>
              </w:rPr>
            </w:pPr>
            <w:r w:rsidRPr="0065625B">
              <w:rPr>
                <w:color w:val="auto"/>
                <w:szCs w:val="24"/>
              </w:rPr>
              <w:t>Geetha</w:t>
            </w:r>
            <w:r w:rsidR="00607091">
              <w:rPr>
                <w:color w:val="auto"/>
                <w:szCs w:val="24"/>
              </w:rPr>
              <w:t xml:space="preserve"> </w:t>
            </w:r>
            <w:proofErr w:type="spellStart"/>
            <w:r w:rsidR="00607091">
              <w:rPr>
                <w:color w:val="auto"/>
                <w:szCs w:val="24"/>
              </w:rPr>
              <w:t>Marimuthu</w:t>
            </w:r>
            <w:proofErr w:type="spellEnd"/>
          </w:p>
        </w:tc>
      </w:tr>
      <w:tr w:rsidR="000C39C0" w:rsidRPr="0065625B" w14:paraId="25786A57" w14:textId="77777777" w:rsidTr="00484D14">
        <w:tc>
          <w:tcPr>
            <w:tcW w:w="2520" w:type="dxa"/>
          </w:tcPr>
          <w:p w14:paraId="13ECC181" w14:textId="77777777" w:rsidR="000C39C0" w:rsidRPr="0065625B" w:rsidRDefault="00A61898">
            <w:pPr>
              <w:spacing w:after="0"/>
              <w:rPr>
                <w:color w:val="auto"/>
                <w:szCs w:val="24"/>
              </w:rPr>
            </w:pPr>
            <w:r w:rsidRPr="0065625B">
              <w:rPr>
                <w:b/>
                <w:color w:val="auto"/>
                <w:szCs w:val="24"/>
              </w:rPr>
              <w:t>Student ID number</w:t>
            </w:r>
          </w:p>
        </w:tc>
        <w:tc>
          <w:tcPr>
            <w:tcW w:w="6696" w:type="dxa"/>
          </w:tcPr>
          <w:p w14:paraId="7CC82676" w14:textId="436994BC" w:rsidR="000C39C0" w:rsidRPr="0065625B" w:rsidRDefault="00607091">
            <w:pPr>
              <w:spacing w:after="0"/>
              <w:rPr>
                <w:color w:val="auto"/>
                <w:szCs w:val="24"/>
              </w:rPr>
            </w:pPr>
            <w:r>
              <w:rPr>
                <w:color w:val="auto"/>
                <w:szCs w:val="24"/>
              </w:rPr>
              <w:t>2528691</w:t>
            </w:r>
          </w:p>
        </w:tc>
      </w:tr>
      <w:tr w:rsidR="000C39C0" w:rsidRPr="0065625B" w14:paraId="56D3D426" w14:textId="77777777" w:rsidTr="00484D14">
        <w:tc>
          <w:tcPr>
            <w:tcW w:w="2520" w:type="dxa"/>
          </w:tcPr>
          <w:p w14:paraId="17944D9F" w14:textId="77777777" w:rsidR="000C39C0" w:rsidRPr="0065625B" w:rsidRDefault="00A61898">
            <w:pPr>
              <w:spacing w:after="0"/>
              <w:rPr>
                <w:color w:val="auto"/>
                <w:szCs w:val="24"/>
              </w:rPr>
            </w:pPr>
            <w:r w:rsidRPr="0065625B">
              <w:rPr>
                <w:b/>
                <w:color w:val="auto"/>
                <w:szCs w:val="24"/>
              </w:rPr>
              <w:t>Programme</w:t>
            </w:r>
          </w:p>
        </w:tc>
        <w:tc>
          <w:tcPr>
            <w:tcW w:w="6696" w:type="dxa"/>
          </w:tcPr>
          <w:p w14:paraId="2F728136" w14:textId="77777777" w:rsidR="000C39C0" w:rsidRPr="0065625B" w:rsidRDefault="00A61898">
            <w:pPr>
              <w:spacing w:after="0"/>
              <w:rPr>
                <w:color w:val="auto"/>
                <w:szCs w:val="24"/>
              </w:rPr>
            </w:pPr>
            <w:r w:rsidRPr="0065625B">
              <w:rPr>
                <w:color w:val="auto"/>
                <w:szCs w:val="24"/>
              </w:rPr>
              <w:t xml:space="preserve">MSc Public Health and Social Care in </w:t>
            </w:r>
            <w:r w:rsidRPr="0065625B">
              <w:rPr>
                <w:color w:val="auto"/>
                <w:szCs w:val="24"/>
              </w:rPr>
              <w:t>Practice</w:t>
            </w:r>
          </w:p>
        </w:tc>
      </w:tr>
      <w:tr w:rsidR="000C39C0" w:rsidRPr="0065625B" w14:paraId="22B27B4C" w14:textId="77777777" w:rsidTr="00484D14">
        <w:tc>
          <w:tcPr>
            <w:tcW w:w="2520" w:type="dxa"/>
          </w:tcPr>
          <w:p w14:paraId="177EA65A" w14:textId="77777777" w:rsidR="000C39C0" w:rsidRPr="0065625B" w:rsidRDefault="00A61898">
            <w:pPr>
              <w:spacing w:after="0"/>
              <w:rPr>
                <w:color w:val="auto"/>
                <w:szCs w:val="24"/>
              </w:rPr>
            </w:pPr>
            <w:r w:rsidRPr="0065625B">
              <w:rPr>
                <w:b/>
                <w:color w:val="auto"/>
                <w:szCs w:val="24"/>
              </w:rPr>
              <w:t>Module</w:t>
            </w:r>
          </w:p>
        </w:tc>
        <w:tc>
          <w:tcPr>
            <w:tcW w:w="6696" w:type="dxa"/>
          </w:tcPr>
          <w:p w14:paraId="70C0776D" w14:textId="77777777" w:rsidR="000C39C0" w:rsidRPr="0065625B" w:rsidRDefault="00A61898">
            <w:pPr>
              <w:spacing w:after="0"/>
              <w:rPr>
                <w:color w:val="auto"/>
                <w:szCs w:val="24"/>
              </w:rPr>
            </w:pPr>
            <w:r w:rsidRPr="0065625B">
              <w:rPr>
                <w:color w:val="auto"/>
                <w:szCs w:val="24"/>
              </w:rPr>
              <w:t>LCHS7009 - Population Health and Digital Health Promotion</w:t>
            </w:r>
          </w:p>
        </w:tc>
      </w:tr>
      <w:tr w:rsidR="000C39C0" w:rsidRPr="0065625B" w14:paraId="47334D69" w14:textId="77777777" w:rsidTr="00484D14">
        <w:tc>
          <w:tcPr>
            <w:tcW w:w="2520" w:type="dxa"/>
          </w:tcPr>
          <w:p w14:paraId="3430DF43" w14:textId="77777777" w:rsidR="000C39C0" w:rsidRPr="0065625B" w:rsidRDefault="00A61898">
            <w:pPr>
              <w:spacing w:after="0"/>
              <w:rPr>
                <w:color w:val="auto"/>
                <w:szCs w:val="24"/>
              </w:rPr>
            </w:pPr>
            <w:r w:rsidRPr="0065625B">
              <w:rPr>
                <w:b/>
                <w:color w:val="auto"/>
                <w:szCs w:val="24"/>
              </w:rPr>
              <w:t>Lecturer</w:t>
            </w:r>
          </w:p>
        </w:tc>
        <w:tc>
          <w:tcPr>
            <w:tcW w:w="6696" w:type="dxa"/>
          </w:tcPr>
          <w:p w14:paraId="51F1E036" w14:textId="77777777" w:rsidR="000C39C0" w:rsidRPr="0065625B" w:rsidRDefault="00A61898">
            <w:pPr>
              <w:spacing w:after="0"/>
              <w:rPr>
                <w:color w:val="auto"/>
                <w:szCs w:val="24"/>
              </w:rPr>
            </w:pPr>
            <w:r w:rsidRPr="0065625B">
              <w:rPr>
                <w:color w:val="auto"/>
                <w:szCs w:val="24"/>
              </w:rPr>
              <w:t>Dr Raheela Shaikh</w:t>
            </w:r>
          </w:p>
        </w:tc>
      </w:tr>
      <w:tr w:rsidR="000C39C0" w:rsidRPr="0065625B" w14:paraId="3F274FF0" w14:textId="77777777" w:rsidTr="00484D14">
        <w:tc>
          <w:tcPr>
            <w:tcW w:w="2520" w:type="dxa"/>
          </w:tcPr>
          <w:p w14:paraId="162D8E2A" w14:textId="77777777" w:rsidR="000C39C0" w:rsidRPr="0065625B" w:rsidRDefault="00A61898">
            <w:pPr>
              <w:spacing w:after="0"/>
              <w:rPr>
                <w:color w:val="auto"/>
                <w:szCs w:val="24"/>
              </w:rPr>
            </w:pPr>
            <w:r w:rsidRPr="0065625B">
              <w:rPr>
                <w:b/>
                <w:color w:val="auto"/>
                <w:szCs w:val="24"/>
              </w:rPr>
              <w:t>Submission deadline</w:t>
            </w:r>
          </w:p>
        </w:tc>
        <w:tc>
          <w:tcPr>
            <w:tcW w:w="6696" w:type="dxa"/>
          </w:tcPr>
          <w:p w14:paraId="6CB38CA4" w14:textId="6F862384" w:rsidR="000C39C0" w:rsidRPr="0065625B" w:rsidRDefault="00A61898">
            <w:pPr>
              <w:spacing w:after="0"/>
              <w:rPr>
                <w:color w:val="auto"/>
                <w:szCs w:val="24"/>
              </w:rPr>
            </w:pPr>
            <w:r w:rsidRPr="0065625B">
              <w:rPr>
                <w:color w:val="auto"/>
                <w:szCs w:val="24"/>
              </w:rPr>
              <w:t>23 October 2026</w:t>
            </w:r>
          </w:p>
        </w:tc>
      </w:tr>
    </w:tbl>
    <w:p w14:paraId="62327471" w14:textId="593212FA" w:rsidR="000C39C0" w:rsidRPr="0065625B" w:rsidRDefault="00A61898">
      <w:pPr>
        <w:spacing w:before="380" w:after="80"/>
        <w:jc w:val="center"/>
        <w:rPr>
          <w:color w:val="auto"/>
          <w:szCs w:val="24"/>
        </w:rPr>
      </w:pPr>
      <w:r w:rsidRPr="0065625B">
        <w:rPr>
          <w:b/>
          <w:color w:val="auto"/>
          <w:szCs w:val="24"/>
        </w:rPr>
        <w:t xml:space="preserve">BLOG </w:t>
      </w:r>
      <w:proofErr w:type="gramStart"/>
      <w:r w:rsidRPr="0065625B">
        <w:rPr>
          <w:b/>
          <w:color w:val="auto"/>
          <w:szCs w:val="24"/>
        </w:rPr>
        <w:t>1  |</w:t>
      </w:r>
      <w:proofErr w:type="gramEnd"/>
      <w:r w:rsidRPr="0065625B">
        <w:rPr>
          <w:b/>
          <w:color w:val="auto"/>
          <w:szCs w:val="24"/>
        </w:rPr>
        <w:t xml:space="preserve">  GD</w:t>
      </w:r>
      <w:r w:rsidR="00607091">
        <w:rPr>
          <w:b/>
          <w:color w:val="auto"/>
          <w:szCs w:val="24"/>
        </w:rPr>
        <w:t>M</w:t>
      </w:r>
      <w:r w:rsidRPr="0065625B">
        <w:rPr>
          <w:b/>
          <w:color w:val="auto"/>
          <w:szCs w:val="24"/>
        </w:rPr>
        <w:t>-Health: existing digital intervention</w:t>
      </w:r>
    </w:p>
    <w:p w14:paraId="44A9ED1D" w14:textId="77777777" w:rsidR="000C39C0" w:rsidRPr="0065625B" w:rsidRDefault="00A61898">
      <w:pPr>
        <w:spacing w:after="60"/>
        <w:jc w:val="center"/>
        <w:rPr>
          <w:color w:val="auto"/>
          <w:szCs w:val="24"/>
        </w:rPr>
      </w:pPr>
      <w:r w:rsidRPr="0065625B">
        <w:rPr>
          <w:b/>
          <w:color w:val="auto"/>
          <w:szCs w:val="24"/>
        </w:rPr>
        <w:t>BLOG 2  |  GDM Compass: proposed digital inte</w:t>
      </w:r>
      <w:r w:rsidRPr="0065625B">
        <w:rPr>
          <w:b/>
          <w:color w:val="auto"/>
          <w:szCs w:val="24"/>
        </w:rPr>
        <w:t>rvention</w:t>
      </w:r>
    </w:p>
    <w:p w14:paraId="45FA581D" w14:textId="77777777" w:rsidR="000C39C0" w:rsidRDefault="00A61898">
      <w:r>
        <w:br w:type="page"/>
      </w:r>
    </w:p>
    <w:p w14:paraId="30131D90" w14:textId="77777777" w:rsidR="000C39C0" w:rsidRPr="0054214D" w:rsidRDefault="00A61898">
      <w:pPr>
        <w:spacing w:before="20" w:after="60"/>
        <w:rPr>
          <w:color w:val="auto"/>
          <w:szCs w:val="24"/>
        </w:rPr>
      </w:pPr>
      <w:r w:rsidRPr="0054214D">
        <w:rPr>
          <w:b/>
          <w:color w:val="auto"/>
          <w:szCs w:val="24"/>
        </w:rPr>
        <w:lastRenderedPageBreak/>
        <w:t>BLOG 1 | EXISTING DIGITAL HEALTH PROMOTION TECHNOLOGY</w:t>
      </w:r>
    </w:p>
    <w:p w14:paraId="6861ECA9" w14:textId="05E2D52A" w:rsidR="000C39C0" w:rsidRPr="0054214D" w:rsidRDefault="00A61898">
      <w:pPr>
        <w:pStyle w:val="Heading1"/>
        <w:spacing w:after="60"/>
        <w:rPr>
          <w:szCs w:val="24"/>
        </w:rPr>
      </w:pPr>
      <w:r w:rsidRPr="0054214D">
        <w:rPr>
          <w:rFonts w:eastAsia="Times New Roman"/>
          <w:szCs w:val="24"/>
        </w:rPr>
        <w:t>Can GD</w:t>
      </w:r>
      <w:r w:rsidR="00607091">
        <w:rPr>
          <w:rFonts w:eastAsia="Times New Roman"/>
          <w:szCs w:val="24"/>
        </w:rPr>
        <w:t>M</w:t>
      </w:r>
      <w:r w:rsidRPr="0054214D">
        <w:rPr>
          <w:rFonts w:eastAsia="Times New Roman"/>
          <w:szCs w:val="24"/>
        </w:rPr>
        <w:t>-Health improve gestational diabetes care? A critical evaluation</w:t>
      </w:r>
    </w:p>
    <w:p w14:paraId="0FC0F6F3" w14:textId="77777777" w:rsidR="000C39C0" w:rsidRPr="0054214D" w:rsidRDefault="00A61898">
      <w:pPr>
        <w:spacing w:after="180"/>
        <w:rPr>
          <w:color w:val="auto"/>
          <w:szCs w:val="24"/>
        </w:rPr>
      </w:pPr>
      <w:r w:rsidRPr="0054214D">
        <w:rPr>
          <w:i/>
          <w:color w:val="auto"/>
          <w:szCs w:val="24"/>
        </w:rPr>
        <w:t>Existing intervention | Digital glucose monitoring in pregnancy</w:t>
      </w:r>
    </w:p>
    <w:p w14:paraId="1DE158F4" w14:textId="77777777" w:rsidR="00E54625" w:rsidRPr="0054214D" w:rsidRDefault="00E54625" w:rsidP="00E54625">
      <w:pPr>
        <w:rPr>
          <w:b/>
          <w:bCs/>
          <w:color w:val="auto"/>
        </w:rPr>
      </w:pPr>
      <w:r w:rsidRPr="0054214D">
        <w:rPr>
          <w:b/>
          <w:bCs/>
          <w:color w:val="auto"/>
        </w:rPr>
        <w:t>Why does this matter?</w:t>
      </w:r>
    </w:p>
    <w:p w14:paraId="61BFA064" w14:textId="73FDCFCC" w:rsidR="00223203" w:rsidRPr="0054214D" w:rsidRDefault="00223203" w:rsidP="00223203">
      <w:pPr>
        <w:jc w:val="center"/>
        <w:rPr>
          <w:b/>
          <w:bCs/>
          <w:color w:val="auto"/>
        </w:rPr>
      </w:pPr>
      <w:r w:rsidRPr="0054214D">
        <w:rPr>
          <w:noProof/>
          <w:color w:val="auto"/>
        </w:rPr>
        <w:drawing>
          <wp:inline distT="0" distB="0" distL="0" distR="0" wp14:anchorId="0399D065" wp14:editId="5891FF59">
            <wp:extent cx="5105400" cy="3550920"/>
            <wp:effectExtent l="0" t="0" r="0" b="0"/>
            <wp:docPr id="888623054" name="Picture 1" descr="Outcomes of gestational diabetes mellitus (GDM) on mothers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comes of gestational diabetes mellitus (GDM) on mothers and...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0" cy="3550920"/>
                    </a:xfrm>
                    <a:prstGeom prst="rect">
                      <a:avLst/>
                    </a:prstGeom>
                    <a:noFill/>
                    <a:ln>
                      <a:noFill/>
                    </a:ln>
                  </pic:spPr>
                </pic:pic>
              </a:graphicData>
            </a:graphic>
          </wp:inline>
        </w:drawing>
      </w:r>
    </w:p>
    <w:p w14:paraId="548FC696" w14:textId="77777777" w:rsidR="00663A64" w:rsidRPr="0054214D" w:rsidRDefault="00663A64" w:rsidP="00663A64">
      <w:pPr>
        <w:jc w:val="center"/>
        <w:rPr>
          <w:b/>
          <w:bCs/>
          <w:color w:val="auto"/>
          <w:lang w:val="en-IN"/>
        </w:rPr>
      </w:pPr>
      <w:r w:rsidRPr="0054214D">
        <w:rPr>
          <w:b/>
          <w:bCs/>
          <w:color w:val="auto"/>
          <w:lang w:val="en-IN"/>
        </w:rPr>
        <w:t xml:space="preserve">Figure 1: Maternal and </w:t>
      </w:r>
      <w:proofErr w:type="spellStart"/>
      <w:r w:rsidRPr="0054214D">
        <w:rPr>
          <w:b/>
          <w:bCs/>
          <w:color w:val="auto"/>
          <w:lang w:val="en-IN"/>
        </w:rPr>
        <w:t>fetal</w:t>
      </w:r>
      <w:proofErr w:type="spellEnd"/>
      <w:r w:rsidRPr="0054214D">
        <w:rPr>
          <w:b/>
          <w:bCs/>
          <w:color w:val="auto"/>
          <w:lang w:val="en-IN"/>
        </w:rPr>
        <w:t xml:space="preserve"> complications of gestational diabetes mellitus (GDM).</w:t>
      </w:r>
    </w:p>
    <w:p w14:paraId="6817C860" w14:textId="5752E12F" w:rsidR="00663A64" w:rsidRPr="0054214D" w:rsidRDefault="00663A64" w:rsidP="00663A64">
      <w:pPr>
        <w:jc w:val="center"/>
        <w:rPr>
          <w:color w:val="auto"/>
        </w:rPr>
      </w:pPr>
      <w:r w:rsidRPr="0054214D">
        <w:rPr>
          <w:color w:val="auto"/>
        </w:rPr>
        <w:t>(Source: Mittal et al., 2025)</w:t>
      </w:r>
    </w:p>
    <w:p w14:paraId="691E5C7C" w14:textId="519FCF2B" w:rsidR="00E54625" w:rsidRPr="0054214D" w:rsidRDefault="00E54625" w:rsidP="00E54625">
      <w:pPr>
        <w:rPr>
          <w:color w:val="auto"/>
        </w:rPr>
      </w:pPr>
      <w:r w:rsidRPr="0054214D">
        <w:rPr>
          <w:color w:val="auto"/>
        </w:rPr>
        <w:t xml:space="preserve">Gestational </w:t>
      </w:r>
      <w:r w:rsidR="00607091">
        <w:rPr>
          <w:color w:val="auto"/>
        </w:rPr>
        <w:t>D</w:t>
      </w:r>
      <w:r w:rsidRPr="0054214D">
        <w:rPr>
          <w:color w:val="auto"/>
        </w:rPr>
        <w:t xml:space="preserve">iabetes </w:t>
      </w:r>
      <w:r w:rsidR="00607091">
        <w:rPr>
          <w:color w:val="auto"/>
        </w:rPr>
        <w:t>M</w:t>
      </w:r>
      <w:r w:rsidRPr="0054214D">
        <w:rPr>
          <w:color w:val="auto"/>
        </w:rPr>
        <w:t>ellitus (GDM) is high blood glucose detected for the first time in pregnancy. NHS England estimates around 30,000 cases amongst 700,000 deliveries per year; 50% of affected mothers may develop type 2 diabetes within five years (NHS England, 2024). Efficient glucose management is essential since uncontrolled GDM poses risks to maternal and newborns' well-being (NICE, 2015).</w:t>
      </w:r>
    </w:p>
    <w:p w14:paraId="4CCEE4B3" w14:textId="77777777" w:rsidR="00E54625" w:rsidRPr="0054214D" w:rsidRDefault="00E54625" w:rsidP="00E54625">
      <w:pPr>
        <w:rPr>
          <w:b/>
          <w:bCs/>
          <w:color w:val="auto"/>
        </w:rPr>
      </w:pPr>
      <w:r w:rsidRPr="0054214D">
        <w:rPr>
          <w:b/>
          <w:bCs/>
          <w:color w:val="auto"/>
        </w:rPr>
        <w:t>How does GDm-Health function?</w:t>
      </w:r>
    </w:p>
    <w:p w14:paraId="0EB87525" w14:textId="6199CBA0" w:rsidR="00086013" w:rsidRPr="0054214D" w:rsidRDefault="00086013" w:rsidP="00086013">
      <w:pPr>
        <w:jc w:val="center"/>
        <w:rPr>
          <w:color w:val="auto"/>
        </w:rPr>
      </w:pPr>
      <w:r w:rsidRPr="0054214D">
        <w:rPr>
          <w:noProof/>
          <w:color w:val="auto"/>
        </w:rPr>
        <w:lastRenderedPageBreak/>
        <w:drawing>
          <wp:inline distT="0" distB="0" distL="0" distR="0" wp14:anchorId="0D92BCC2" wp14:editId="6DD4362C">
            <wp:extent cx="4683341" cy="3915410"/>
            <wp:effectExtent l="0" t="0" r="3175" b="8890"/>
            <wp:docPr id="1324692412" name="Picture 2" descr="GDm-Health smartphone application showing glucose readings and the clinical monitor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Dm-Health smartphone application showing glucose readings and the clinical monitoring dashboar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4167" cy="3916101"/>
                    </a:xfrm>
                    <a:prstGeom prst="rect">
                      <a:avLst/>
                    </a:prstGeom>
                    <a:noFill/>
                    <a:ln>
                      <a:noFill/>
                    </a:ln>
                  </pic:spPr>
                </pic:pic>
              </a:graphicData>
            </a:graphic>
          </wp:inline>
        </w:drawing>
      </w:r>
    </w:p>
    <w:p w14:paraId="22378CFA" w14:textId="4256CC73" w:rsidR="00086013" w:rsidRPr="0054214D" w:rsidRDefault="00086013" w:rsidP="00086013">
      <w:pPr>
        <w:jc w:val="center"/>
        <w:rPr>
          <w:color w:val="auto"/>
          <w:lang w:val="en-IN"/>
        </w:rPr>
      </w:pPr>
      <w:r w:rsidRPr="0054214D">
        <w:rPr>
          <w:color w:val="auto"/>
          <w:lang w:val="en-IN"/>
        </w:rPr>
        <w:t>Figure 2: GD</w:t>
      </w:r>
      <w:r w:rsidR="00607091">
        <w:rPr>
          <w:color w:val="auto"/>
          <w:lang w:val="en-IN"/>
        </w:rPr>
        <w:t>M</w:t>
      </w:r>
      <w:r w:rsidRPr="0054214D">
        <w:rPr>
          <w:color w:val="auto"/>
          <w:lang w:val="en-IN"/>
        </w:rPr>
        <w:t>-Health smartphone app and clinical dashboard for remote glucose monitoring.</w:t>
      </w:r>
    </w:p>
    <w:p w14:paraId="6643E4C3" w14:textId="581E4CFA" w:rsidR="00086013" w:rsidRPr="0054214D" w:rsidRDefault="00086013" w:rsidP="00086013">
      <w:pPr>
        <w:jc w:val="center"/>
        <w:rPr>
          <w:color w:val="auto"/>
          <w:lang w:val="en-IN"/>
        </w:rPr>
      </w:pPr>
      <w:r w:rsidRPr="0054214D">
        <w:rPr>
          <w:color w:val="auto"/>
        </w:rPr>
        <w:t>Source: Building Better Healthcare (2018)</w:t>
      </w:r>
    </w:p>
    <w:p w14:paraId="0711514C" w14:textId="77777777" w:rsidR="00086013" w:rsidRPr="0054214D" w:rsidRDefault="00086013" w:rsidP="00086013">
      <w:pPr>
        <w:jc w:val="center"/>
        <w:rPr>
          <w:color w:val="auto"/>
          <w:lang w:val="en-IN"/>
        </w:rPr>
      </w:pPr>
    </w:p>
    <w:p w14:paraId="38289732" w14:textId="3E646AEB" w:rsidR="00E54625" w:rsidRPr="0054214D" w:rsidRDefault="00E54625" w:rsidP="00E54625">
      <w:pPr>
        <w:rPr>
          <w:color w:val="auto"/>
        </w:rPr>
      </w:pPr>
      <w:r w:rsidRPr="0054214D">
        <w:rPr>
          <w:color w:val="auto"/>
        </w:rPr>
        <w:t>GD</w:t>
      </w:r>
      <w:r w:rsidR="00607091">
        <w:rPr>
          <w:color w:val="auto"/>
        </w:rPr>
        <w:t>M</w:t>
      </w:r>
      <w:r w:rsidRPr="0054214D">
        <w:rPr>
          <w:color w:val="auto"/>
        </w:rPr>
        <w:t>-Health is a digital tool used in NHS pregnancy services. Women enter their glucose readings via an app on their smartphone, link to a compatible meter, leave notes and ask for a callback. Diabetes professionals assess the results remotely and respond when necessary (University of Oxford, n.d.). Frequent remote assessment might reduce travel burden and help to identify trends between consultations, assuming the staff has sufficient capacity to review and respond to the results.</w:t>
      </w:r>
    </w:p>
    <w:p w14:paraId="083D2FC9" w14:textId="77777777" w:rsidR="00E54625" w:rsidRPr="0054214D" w:rsidRDefault="00E54625" w:rsidP="00E54625">
      <w:pPr>
        <w:rPr>
          <w:b/>
          <w:bCs/>
          <w:color w:val="auto"/>
        </w:rPr>
      </w:pPr>
      <w:r w:rsidRPr="0054214D">
        <w:rPr>
          <w:b/>
          <w:bCs/>
          <w:color w:val="auto"/>
        </w:rPr>
        <w:t>What does the evidence say?</w:t>
      </w:r>
    </w:p>
    <w:p w14:paraId="2E5EE499" w14:textId="5252B9FD" w:rsidR="00E54625" w:rsidRPr="0054214D" w:rsidRDefault="00E54625" w:rsidP="00E54625">
      <w:pPr>
        <w:rPr>
          <w:color w:val="auto"/>
        </w:rPr>
      </w:pPr>
      <w:r w:rsidRPr="0054214D">
        <w:rPr>
          <w:color w:val="auto"/>
        </w:rPr>
        <w:t xml:space="preserve">In a </w:t>
      </w:r>
      <w:proofErr w:type="spellStart"/>
      <w:r w:rsidRPr="0054214D">
        <w:rPr>
          <w:color w:val="auto"/>
        </w:rPr>
        <w:t>randomised</w:t>
      </w:r>
      <w:proofErr w:type="spellEnd"/>
      <w:r w:rsidRPr="0054214D">
        <w:rPr>
          <w:color w:val="auto"/>
        </w:rPr>
        <w:t xml:space="preserve"> trial in the UK, 203 participants used GD</w:t>
      </w:r>
      <w:r w:rsidR="00607091">
        <w:rPr>
          <w:color w:val="auto"/>
        </w:rPr>
        <w:t>M</w:t>
      </w:r>
      <w:r w:rsidRPr="0054214D">
        <w:rPr>
          <w:color w:val="auto"/>
        </w:rPr>
        <w:t>-Health reported glucose levels more frequently and were more satisfied with the intervention than the control group. Still, there was no significant difference in glucose improvement. The rate of caesarean delivery was lower (26.7% vs. 46.1%), whereas other outcomes remained the same; this single-center trial could not prove the benefit in the whole (Mackillop et al., 2018). In a meta-analysis of 27 trials with 3,483 women, mobile-health interventions showed improved glucose control and self-</w:t>
      </w:r>
      <w:r w:rsidRPr="0054214D">
        <w:rPr>
          <w:color w:val="auto"/>
        </w:rPr>
        <w:lastRenderedPageBreak/>
        <w:t>management in general despite different interventions and poor methodological quality (Wei et al., 2023).</w:t>
      </w:r>
    </w:p>
    <w:p w14:paraId="09748C5D" w14:textId="77777777" w:rsidR="00E54625" w:rsidRPr="0054214D" w:rsidRDefault="00E54625" w:rsidP="00E54625">
      <w:pPr>
        <w:rPr>
          <w:b/>
          <w:bCs/>
          <w:color w:val="auto"/>
        </w:rPr>
      </w:pPr>
      <w:r w:rsidRPr="0054214D">
        <w:rPr>
          <w:b/>
          <w:bCs/>
          <w:color w:val="auto"/>
        </w:rPr>
        <w:t>Critical judgment and next steps</w:t>
      </w:r>
    </w:p>
    <w:p w14:paraId="5F6C583C" w14:textId="52468CB3" w:rsidR="000C39C0" w:rsidRPr="0054214D" w:rsidRDefault="00E54625" w:rsidP="00E54625">
      <w:pPr>
        <w:rPr>
          <w:color w:val="auto"/>
        </w:rPr>
      </w:pPr>
      <w:r w:rsidRPr="0054214D">
        <w:rPr>
          <w:color w:val="auto"/>
        </w:rPr>
        <w:t>The advantages include convenient reporting, visualization of the glucose levels and easy communication with the clinician. Still, access to smartphones, language barriers, digital literacy, technical issues and privacy concerns can prevent some users from using the tool. Review also found usability limitations and absence of emotional support (</w:t>
      </w:r>
      <w:proofErr w:type="spellStart"/>
      <w:r w:rsidRPr="0054214D">
        <w:rPr>
          <w:color w:val="auto"/>
        </w:rPr>
        <w:t>Safiee</w:t>
      </w:r>
      <w:proofErr w:type="spellEnd"/>
      <w:r w:rsidRPr="0054214D">
        <w:rPr>
          <w:color w:val="auto"/>
        </w:rPr>
        <w:t xml:space="preserve">, Rough and </w:t>
      </w:r>
      <w:proofErr w:type="spellStart"/>
      <w:r w:rsidRPr="0054214D">
        <w:rPr>
          <w:color w:val="auto"/>
        </w:rPr>
        <w:t>Whitford</w:t>
      </w:r>
      <w:proofErr w:type="spellEnd"/>
      <w:r w:rsidRPr="0054214D">
        <w:rPr>
          <w:color w:val="auto"/>
        </w:rPr>
        <w:t>, 2022). The service must offer translation services, allow alternative methods, protect personal data and maintain face-to-face maternity assessment. Additionally, it is crucial to provide the instruction about urgent glucose readings and assistance in seeking immediate help. The use of GDm-Health does not substitute professional decision-making and face-to-face consultations.</w:t>
      </w:r>
    </w:p>
    <w:p w14:paraId="43C1F276" w14:textId="6D2A236F" w:rsidR="000C39C0" w:rsidRPr="0054214D" w:rsidRDefault="00A61898" w:rsidP="00E54625">
      <w:pPr>
        <w:rPr>
          <w:color w:val="auto"/>
          <w:szCs w:val="24"/>
        </w:rPr>
      </w:pPr>
      <w:r w:rsidRPr="0054214D">
        <w:rPr>
          <w:b/>
          <w:color w:val="auto"/>
          <w:szCs w:val="24"/>
        </w:rPr>
        <w:t>BLOG 1 | VISUAL EVIDENCE AND REFERENCES</w:t>
      </w:r>
    </w:p>
    <w:p w14:paraId="027F6E4A" w14:textId="77777777" w:rsidR="000C39C0" w:rsidRPr="0054214D" w:rsidRDefault="00A61898" w:rsidP="00935457">
      <w:pPr>
        <w:pStyle w:val="Heading2"/>
      </w:pPr>
      <w:r w:rsidRPr="0054214D">
        <w:t>GDm-Health: from home readings to clinical support</w:t>
      </w:r>
    </w:p>
    <w:p w14:paraId="6DB6C30E" w14:textId="3CD28FA8" w:rsidR="000C39C0" w:rsidRPr="0054214D" w:rsidRDefault="0065625B">
      <w:pPr>
        <w:spacing w:after="0"/>
        <w:jc w:val="center"/>
        <w:rPr>
          <w:color w:val="auto"/>
          <w:szCs w:val="24"/>
        </w:rPr>
      </w:pPr>
      <w:r w:rsidRPr="0054214D">
        <w:rPr>
          <w:noProof/>
          <w:color w:val="auto"/>
          <w:szCs w:val="24"/>
        </w:rPr>
        <w:drawing>
          <wp:inline distT="0" distB="0" distL="0" distR="0" wp14:anchorId="4C094716" wp14:editId="199861C9">
            <wp:extent cx="5761865" cy="1925048"/>
            <wp:effectExtent l="0" t="0" r="0" b="0"/>
            <wp:docPr id="9089931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6126" cy="1933154"/>
                    </a:xfrm>
                    <a:prstGeom prst="rect">
                      <a:avLst/>
                    </a:prstGeom>
                    <a:noFill/>
                  </pic:spPr>
                </pic:pic>
              </a:graphicData>
            </a:graphic>
          </wp:inline>
        </w:drawing>
      </w:r>
    </w:p>
    <w:p w14:paraId="1765D671" w14:textId="50C60F97" w:rsidR="000C39C0" w:rsidRPr="0054214D" w:rsidRDefault="00A61898">
      <w:pPr>
        <w:spacing w:before="40" w:after="20"/>
        <w:jc w:val="center"/>
        <w:rPr>
          <w:color w:val="auto"/>
          <w:szCs w:val="24"/>
        </w:rPr>
      </w:pPr>
      <w:r w:rsidRPr="0054214D">
        <w:rPr>
          <w:b/>
          <w:color w:val="auto"/>
          <w:szCs w:val="24"/>
        </w:rPr>
        <w:t xml:space="preserve">Figure </w:t>
      </w:r>
      <w:r w:rsidR="00086013" w:rsidRPr="0054214D">
        <w:rPr>
          <w:b/>
          <w:color w:val="auto"/>
          <w:szCs w:val="24"/>
        </w:rPr>
        <w:t>3</w:t>
      </w:r>
      <w:r w:rsidRPr="0054214D">
        <w:rPr>
          <w:b/>
          <w:color w:val="auto"/>
          <w:szCs w:val="24"/>
        </w:rPr>
        <w:t>.</w:t>
      </w:r>
      <w:r w:rsidRPr="0054214D">
        <w:rPr>
          <w:b/>
          <w:color w:val="auto"/>
          <w:szCs w:val="24"/>
        </w:rPr>
        <w:t xml:space="preserve"> GD</w:t>
      </w:r>
      <w:r w:rsidR="00607091">
        <w:rPr>
          <w:b/>
          <w:color w:val="auto"/>
          <w:szCs w:val="24"/>
        </w:rPr>
        <w:t>M</w:t>
      </w:r>
      <w:r w:rsidRPr="0054214D">
        <w:rPr>
          <w:b/>
          <w:color w:val="auto"/>
          <w:szCs w:val="24"/>
        </w:rPr>
        <w:t>-Health remote-monitoring pathway.</w:t>
      </w:r>
    </w:p>
    <w:p w14:paraId="38E07C40" w14:textId="77777777" w:rsidR="000C39C0" w:rsidRPr="0054214D" w:rsidRDefault="00A61898">
      <w:pPr>
        <w:jc w:val="center"/>
        <w:rPr>
          <w:color w:val="auto"/>
          <w:szCs w:val="24"/>
        </w:rPr>
      </w:pPr>
      <w:r w:rsidRPr="0054214D">
        <w:rPr>
          <w:color w:val="auto"/>
          <w:szCs w:val="24"/>
        </w:rPr>
        <w:t>Source: Self-developed illustration, informed by University of Oxford (n.d.) and Mackillop et al. (2018).</w:t>
      </w:r>
    </w:p>
    <w:p w14:paraId="170B7CDE" w14:textId="19DD928D" w:rsidR="000C39C0" w:rsidRPr="0054214D" w:rsidRDefault="0065625B">
      <w:pPr>
        <w:spacing w:after="0"/>
        <w:jc w:val="center"/>
        <w:rPr>
          <w:color w:val="auto"/>
          <w:szCs w:val="24"/>
        </w:rPr>
      </w:pPr>
      <w:r w:rsidRPr="0054214D">
        <w:rPr>
          <w:noProof/>
          <w:color w:val="auto"/>
          <w:szCs w:val="24"/>
        </w:rPr>
        <w:lastRenderedPageBreak/>
        <w:drawing>
          <wp:inline distT="0" distB="0" distL="0" distR="0" wp14:anchorId="290B2388" wp14:editId="29A7BB9A">
            <wp:extent cx="5829106" cy="1947513"/>
            <wp:effectExtent l="0" t="0" r="635" b="0"/>
            <wp:docPr id="3550295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0909" cy="1958138"/>
                    </a:xfrm>
                    <a:prstGeom prst="rect">
                      <a:avLst/>
                    </a:prstGeom>
                    <a:noFill/>
                  </pic:spPr>
                </pic:pic>
              </a:graphicData>
            </a:graphic>
          </wp:inline>
        </w:drawing>
      </w:r>
    </w:p>
    <w:p w14:paraId="2EC20D6B" w14:textId="53A9DAAE" w:rsidR="000C39C0" w:rsidRPr="0054214D" w:rsidRDefault="00A61898">
      <w:pPr>
        <w:spacing w:before="40" w:after="20"/>
        <w:jc w:val="center"/>
        <w:rPr>
          <w:color w:val="auto"/>
          <w:szCs w:val="24"/>
        </w:rPr>
      </w:pPr>
      <w:r w:rsidRPr="0054214D">
        <w:rPr>
          <w:b/>
          <w:color w:val="auto"/>
          <w:szCs w:val="24"/>
        </w:rPr>
        <w:t xml:space="preserve">Figure </w:t>
      </w:r>
      <w:r w:rsidR="00086013" w:rsidRPr="0054214D">
        <w:rPr>
          <w:b/>
          <w:color w:val="auto"/>
          <w:szCs w:val="24"/>
        </w:rPr>
        <w:t>4</w:t>
      </w:r>
      <w:r w:rsidRPr="0054214D">
        <w:rPr>
          <w:b/>
          <w:color w:val="auto"/>
          <w:szCs w:val="24"/>
        </w:rPr>
        <w:t>. Evidence snapshot for gestational diabetes and digital monitoring.</w:t>
      </w:r>
    </w:p>
    <w:p w14:paraId="65898142" w14:textId="77777777" w:rsidR="000C39C0" w:rsidRPr="0054214D" w:rsidRDefault="00A61898">
      <w:pPr>
        <w:jc w:val="center"/>
        <w:rPr>
          <w:color w:val="auto"/>
          <w:szCs w:val="24"/>
        </w:rPr>
      </w:pPr>
      <w:r w:rsidRPr="0054214D">
        <w:rPr>
          <w:color w:val="auto"/>
          <w:szCs w:val="24"/>
        </w:rPr>
        <w:t>Source: NHS England (2024), Mack</w:t>
      </w:r>
      <w:r w:rsidRPr="0054214D">
        <w:rPr>
          <w:color w:val="auto"/>
          <w:szCs w:val="24"/>
        </w:rPr>
        <w:t>illop et al. (2018) and Wei et al. (2023). The counts describe different sources and are not directly comparable measures of effectiveness.</w:t>
      </w:r>
    </w:p>
    <w:p w14:paraId="6730B470" w14:textId="77777777" w:rsidR="000C39C0" w:rsidRPr="0054214D" w:rsidRDefault="00A61898">
      <w:pPr>
        <w:spacing w:before="40" w:after="80"/>
        <w:rPr>
          <w:color w:val="auto"/>
          <w:szCs w:val="24"/>
        </w:rPr>
      </w:pPr>
      <w:r w:rsidRPr="0054214D">
        <w:rPr>
          <w:b/>
          <w:color w:val="auto"/>
          <w:szCs w:val="24"/>
        </w:rPr>
        <w:t xml:space="preserve">Explore the technology: </w:t>
      </w:r>
      <w:hyperlink r:id="rId12">
        <w:r w:rsidR="000C39C0" w:rsidRPr="0054214D">
          <w:rPr>
            <w:color w:val="auto"/>
            <w:szCs w:val="24"/>
            <w:u w:val="single"/>
          </w:rPr>
          <w:t>University of Oxford - GDm-Health case study</w:t>
        </w:r>
      </w:hyperlink>
    </w:p>
    <w:p w14:paraId="5287295E" w14:textId="77777777" w:rsidR="000C39C0" w:rsidRPr="0054214D" w:rsidRDefault="00A61898">
      <w:pPr>
        <w:keepNext/>
        <w:spacing w:before="100"/>
        <w:rPr>
          <w:color w:val="auto"/>
          <w:szCs w:val="24"/>
        </w:rPr>
      </w:pPr>
      <w:r w:rsidRPr="0054214D">
        <w:rPr>
          <w:b/>
          <w:color w:val="auto"/>
          <w:szCs w:val="24"/>
        </w:rPr>
        <w:t>References - Blog 1</w:t>
      </w:r>
    </w:p>
    <w:p w14:paraId="01A3C34D" w14:textId="13A6F5B7" w:rsidR="00840EC7" w:rsidRPr="0065625B" w:rsidRDefault="00840EC7" w:rsidP="0065625B">
      <w:pPr>
        <w:rPr>
          <w:szCs w:val="24"/>
        </w:rPr>
      </w:pPr>
      <w:r w:rsidRPr="00086013">
        <w:rPr>
          <w:szCs w:val="24"/>
        </w:rPr>
        <w:t>Building Better Healthcare (2018), Official launch of GD</w:t>
      </w:r>
      <w:r w:rsidR="00607091">
        <w:rPr>
          <w:szCs w:val="24"/>
        </w:rPr>
        <w:t>M</w:t>
      </w:r>
      <w:r w:rsidRPr="00086013">
        <w:rPr>
          <w:szCs w:val="24"/>
        </w:rPr>
        <w:t xml:space="preserve">-Health. </w:t>
      </w:r>
      <w:hyperlink r:id="rId13" w:history="1">
        <w:r w:rsidRPr="000E26E5">
          <w:rPr>
            <w:rStyle w:val="Hyperlink"/>
            <w:szCs w:val="24"/>
          </w:rPr>
          <w:t>https://buildingbetterhealthcare.com/official-launch-of-gdm-health-148302</w:t>
        </w:r>
      </w:hyperlink>
      <w:r>
        <w:rPr>
          <w:szCs w:val="24"/>
        </w:rPr>
        <w:t xml:space="preserve"> </w:t>
      </w:r>
    </w:p>
    <w:p w14:paraId="028822EA" w14:textId="77777777" w:rsidR="00840EC7" w:rsidRPr="0065625B" w:rsidRDefault="00840EC7" w:rsidP="0065625B">
      <w:pPr>
        <w:rPr>
          <w:szCs w:val="24"/>
        </w:rPr>
      </w:pPr>
      <w:r w:rsidRPr="0065625B">
        <w:rPr>
          <w:szCs w:val="24"/>
        </w:rPr>
        <w:t xml:space="preserve">Mackillop, L., Hirst, J.E., Bartlett, K.J., Birks, J.S., Clifton, L., Farmer, A.J., Gibson, O., Kenworthy, Y., Levy, J.C., Loerup, L., Rivero-Arias, O., Ming, W-K., Velardo, C. and Tarassenko, L. (2018) ‘Comparing the efficacy of a mobile phone-based blood glucose management system with standard clinic care in women with gestational diabetes: randomised controlled trial’, </w:t>
      </w:r>
      <w:r w:rsidRPr="0065625B">
        <w:rPr>
          <w:i/>
          <w:szCs w:val="24"/>
        </w:rPr>
        <w:t>JMIR mHealth and uHealth</w:t>
      </w:r>
      <w:r w:rsidRPr="0065625B">
        <w:rPr>
          <w:szCs w:val="24"/>
        </w:rPr>
        <w:t xml:space="preserve">, 6(3), e71. Available at: </w:t>
      </w:r>
      <w:hyperlink r:id="rId14">
        <w:r w:rsidRPr="0065625B">
          <w:rPr>
            <w:color w:val="285B8F"/>
            <w:szCs w:val="24"/>
            <w:u w:val="single"/>
          </w:rPr>
          <w:t>https://doi.org/10.2196/mhealth.9512</w:t>
        </w:r>
      </w:hyperlink>
      <w:r w:rsidRPr="0065625B">
        <w:rPr>
          <w:szCs w:val="24"/>
        </w:rPr>
        <w:t>.</w:t>
      </w:r>
    </w:p>
    <w:p w14:paraId="3BB0187E" w14:textId="77777777" w:rsidR="00840EC7" w:rsidRPr="00663A64" w:rsidRDefault="00840EC7" w:rsidP="00663A64">
      <w:pPr>
        <w:rPr>
          <w:szCs w:val="24"/>
          <w:lang w:val="en-IN"/>
        </w:rPr>
      </w:pPr>
      <w:r w:rsidRPr="00663A64">
        <w:rPr>
          <w:szCs w:val="24"/>
          <w:lang w:val="en-IN"/>
        </w:rPr>
        <w:t xml:space="preserve">Mittal, R., Prasad, K., Lemos, J.R.N., Arevalo, G. and Hirani, K. (2025) ‘Unveiling Gestational Diabetes: An Overview of Pathophysiology and Management’, International Journal of Molecular Sciences, 26(5), article 2320. Available at: </w:t>
      </w:r>
      <w:hyperlink r:id="rId15" w:history="1">
        <w:r w:rsidRPr="00663A64">
          <w:rPr>
            <w:rStyle w:val="Hyperlink"/>
            <w:szCs w:val="24"/>
            <w:lang w:val="en-IN"/>
          </w:rPr>
          <w:t>https://doi.org/10.3390/ijms26052320</w:t>
        </w:r>
      </w:hyperlink>
      <w:r w:rsidRPr="00663A64">
        <w:rPr>
          <w:szCs w:val="24"/>
          <w:lang w:val="en-IN"/>
        </w:rPr>
        <w:t xml:space="preserve">. </w:t>
      </w:r>
    </w:p>
    <w:p w14:paraId="6DA86290" w14:textId="77777777" w:rsidR="00840EC7" w:rsidRPr="0065625B" w:rsidRDefault="00840EC7" w:rsidP="0065625B">
      <w:pPr>
        <w:rPr>
          <w:szCs w:val="24"/>
        </w:rPr>
      </w:pPr>
      <w:r w:rsidRPr="0065625B">
        <w:rPr>
          <w:szCs w:val="24"/>
        </w:rPr>
        <w:t xml:space="preserve">National Institute for Health and Care Excellence (NICE) (2015) </w:t>
      </w:r>
      <w:r w:rsidRPr="0065625B">
        <w:rPr>
          <w:i/>
          <w:szCs w:val="24"/>
        </w:rPr>
        <w:t>Diabetes in pregnancy: management from preconception to the postnatal period (NG3).</w:t>
      </w:r>
      <w:r w:rsidRPr="0065625B">
        <w:rPr>
          <w:szCs w:val="24"/>
        </w:rPr>
        <w:t xml:space="preserve"> Available at: </w:t>
      </w:r>
      <w:hyperlink r:id="rId16">
        <w:r w:rsidRPr="0065625B">
          <w:rPr>
            <w:color w:val="285B8F"/>
            <w:szCs w:val="24"/>
            <w:u w:val="single"/>
          </w:rPr>
          <w:t>https://www.nice.org.uk/guidance/ng3/chapter/Recommendations</w:t>
        </w:r>
      </w:hyperlink>
      <w:r w:rsidRPr="0065625B">
        <w:rPr>
          <w:szCs w:val="24"/>
        </w:rPr>
        <w:t xml:space="preserve"> (Accessed: 21 October 2026).</w:t>
      </w:r>
    </w:p>
    <w:p w14:paraId="6FDA1629" w14:textId="77777777" w:rsidR="00840EC7" w:rsidRPr="0065625B" w:rsidRDefault="00840EC7" w:rsidP="0065625B">
      <w:pPr>
        <w:rPr>
          <w:szCs w:val="24"/>
        </w:rPr>
      </w:pPr>
      <w:r w:rsidRPr="0065625B">
        <w:rPr>
          <w:szCs w:val="24"/>
        </w:rPr>
        <w:t xml:space="preserve">NHS England (2024) ‘Healthier You NHS Diabetes Prevention Programme: Gestational Diabetes Mellitus (GDM)’. Available at: </w:t>
      </w:r>
      <w:hyperlink r:id="rId17">
        <w:r w:rsidRPr="0065625B">
          <w:rPr>
            <w:color w:val="285B8F"/>
            <w:szCs w:val="24"/>
            <w:u w:val="single"/>
          </w:rPr>
          <w:t>https://www.england.nhs.uk/long-read/healthier-you-nhs-diabetes-prevention-programme-gdm/</w:t>
        </w:r>
      </w:hyperlink>
      <w:r w:rsidRPr="0065625B">
        <w:rPr>
          <w:szCs w:val="24"/>
        </w:rPr>
        <w:t xml:space="preserve"> (Accessed: 21 October 2026).</w:t>
      </w:r>
    </w:p>
    <w:p w14:paraId="1C9119CF" w14:textId="77777777" w:rsidR="00840EC7" w:rsidRPr="0065625B" w:rsidRDefault="00840EC7" w:rsidP="0065625B">
      <w:pPr>
        <w:rPr>
          <w:szCs w:val="24"/>
        </w:rPr>
      </w:pPr>
      <w:proofErr w:type="spellStart"/>
      <w:r w:rsidRPr="0065625B">
        <w:rPr>
          <w:szCs w:val="24"/>
        </w:rPr>
        <w:lastRenderedPageBreak/>
        <w:t>Safiee</w:t>
      </w:r>
      <w:proofErr w:type="spellEnd"/>
      <w:r w:rsidRPr="0065625B">
        <w:rPr>
          <w:szCs w:val="24"/>
        </w:rPr>
        <w:t xml:space="preserve">, L., Rough, D.J. and Whitford, H. (2022) ‘Barriers to and facilitators of using eHealth to support gestational diabetes mellitus self-management: systematic literature review of perceptions of health care professionals and women with gestational diabetes mellitus’, </w:t>
      </w:r>
      <w:r w:rsidRPr="0065625B">
        <w:rPr>
          <w:i/>
          <w:szCs w:val="24"/>
        </w:rPr>
        <w:t>Journal of Medical Internet Research</w:t>
      </w:r>
      <w:r w:rsidRPr="0065625B">
        <w:rPr>
          <w:szCs w:val="24"/>
        </w:rPr>
        <w:t xml:space="preserve">, 24(10), e39689. Available at: </w:t>
      </w:r>
      <w:hyperlink r:id="rId18">
        <w:r w:rsidRPr="0065625B">
          <w:rPr>
            <w:color w:val="285B8F"/>
            <w:szCs w:val="24"/>
            <w:u w:val="single"/>
          </w:rPr>
          <w:t>https://doi.org/10.2196/39689</w:t>
        </w:r>
      </w:hyperlink>
      <w:r w:rsidRPr="0065625B">
        <w:rPr>
          <w:szCs w:val="24"/>
        </w:rPr>
        <w:t>.</w:t>
      </w:r>
    </w:p>
    <w:p w14:paraId="0597D7DE" w14:textId="77777777" w:rsidR="00840EC7" w:rsidRPr="0065625B" w:rsidRDefault="00840EC7" w:rsidP="0065625B">
      <w:pPr>
        <w:rPr>
          <w:szCs w:val="24"/>
        </w:rPr>
      </w:pPr>
      <w:r w:rsidRPr="0065625B">
        <w:rPr>
          <w:szCs w:val="24"/>
        </w:rPr>
        <w:t xml:space="preserve">University of Oxford, Institute of Biomedical Engineering (n.d.) ‘GDm-Health: Gestational Diabetes management system’. Available at: </w:t>
      </w:r>
      <w:hyperlink r:id="rId19">
        <w:r w:rsidRPr="0065625B">
          <w:rPr>
            <w:color w:val="285B8F"/>
            <w:szCs w:val="24"/>
            <w:u w:val="single"/>
          </w:rPr>
          <w:t>https://ibme.ox.ac.uk/case-study/gdm-health-gestational-diabetes-management-system/</w:t>
        </w:r>
      </w:hyperlink>
      <w:r w:rsidRPr="0065625B">
        <w:rPr>
          <w:szCs w:val="24"/>
        </w:rPr>
        <w:t xml:space="preserve"> (Accessed: 21 October 2026).</w:t>
      </w:r>
    </w:p>
    <w:p w14:paraId="2D4125EF" w14:textId="77777777" w:rsidR="00840EC7" w:rsidRDefault="00840EC7" w:rsidP="0065625B">
      <w:pPr>
        <w:rPr>
          <w:szCs w:val="24"/>
        </w:rPr>
      </w:pPr>
      <w:r w:rsidRPr="0065625B">
        <w:rPr>
          <w:szCs w:val="24"/>
        </w:rPr>
        <w:t xml:space="preserve">Wei, H.X., Yang, Y.L., Luo, T.Y. and Chen, W.Q. (2023) ‘Effectiveness of mobile health interventions for pregnant women with gestational diabetes mellitus: a systematic review and meta-analysis’, </w:t>
      </w:r>
      <w:r w:rsidRPr="0065625B">
        <w:rPr>
          <w:i/>
          <w:szCs w:val="24"/>
        </w:rPr>
        <w:t>Journal of Obstetrics and Gynaecology</w:t>
      </w:r>
      <w:r w:rsidRPr="0065625B">
        <w:rPr>
          <w:szCs w:val="24"/>
        </w:rPr>
        <w:t xml:space="preserve">, 43(2), 2245906. Available at: </w:t>
      </w:r>
      <w:hyperlink r:id="rId20">
        <w:r w:rsidRPr="0065625B">
          <w:rPr>
            <w:color w:val="285B8F"/>
            <w:szCs w:val="24"/>
            <w:u w:val="single"/>
          </w:rPr>
          <w:t>https://doi.org/10.1080/01443615.2023.2245906</w:t>
        </w:r>
      </w:hyperlink>
      <w:r w:rsidRPr="0065625B">
        <w:rPr>
          <w:szCs w:val="24"/>
        </w:rPr>
        <w:t>.</w:t>
      </w:r>
    </w:p>
    <w:p w14:paraId="040078BA" w14:textId="77777777" w:rsidR="000C39C0" w:rsidRDefault="00A61898">
      <w:r>
        <w:br w:type="page"/>
      </w:r>
    </w:p>
    <w:p w14:paraId="21242F65" w14:textId="77777777" w:rsidR="000C39C0" w:rsidRPr="0054214D" w:rsidRDefault="00A61898">
      <w:pPr>
        <w:spacing w:before="20" w:after="60"/>
        <w:rPr>
          <w:color w:val="auto"/>
          <w:szCs w:val="24"/>
        </w:rPr>
      </w:pPr>
      <w:r w:rsidRPr="0054214D">
        <w:rPr>
          <w:b/>
          <w:color w:val="auto"/>
          <w:szCs w:val="24"/>
        </w:rPr>
        <w:lastRenderedPageBreak/>
        <w:t>BLOG 2 | ORIGINAL PROPOSED DIGITAL HEALTH PROMOTION INTERVENTION</w:t>
      </w:r>
    </w:p>
    <w:p w14:paraId="043AF589" w14:textId="77777777" w:rsidR="000C39C0" w:rsidRPr="0054214D" w:rsidRDefault="00A61898">
      <w:pPr>
        <w:pStyle w:val="Heading1"/>
        <w:spacing w:after="60"/>
        <w:rPr>
          <w:szCs w:val="24"/>
        </w:rPr>
      </w:pPr>
      <w:r w:rsidRPr="0054214D">
        <w:rPr>
          <w:rFonts w:eastAsia="Times New Roman"/>
          <w:szCs w:val="24"/>
        </w:rPr>
        <w:t>GDM Compass: designing a digital app to support women with gestational diabetes</w:t>
      </w:r>
    </w:p>
    <w:p w14:paraId="64EA32F4" w14:textId="77777777" w:rsidR="000C39C0" w:rsidRPr="0054214D" w:rsidRDefault="00A61898">
      <w:pPr>
        <w:spacing w:after="180"/>
        <w:rPr>
          <w:color w:val="auto"/>
          <w:szCs w:val="24"/>
        </w:rPr>
      </w:pPr>
      <w:r w:rsidRPr="0054214D">
        <w:rPr>
          <w:i/>
          <w:color w:val="auto"/>
          <w:szCs w:val="24"/>
        </w:rPr>
        <w:t xml:space="preserve">Proposed intervention | Self-management during pregnancy and </w:t>
      </w:r>
      <w:r w:rsidRPr="0054214D">
        <w:rPr>
          <w:i/>
          <w:color w:val="auto"/>
          <w:szCs w:val="24"/>
        </w:rPr>
        <w:t>prevention after birth</w:t>
      </w:r>
    </w:p>
    <w:p w14:paraId="0B39D947" w14:textId="77777777" w:rsidR="00E54625" w:rsidRPr="0054214D" w:rsidRDefault="00E54625" w:rsidP="00E54625">
      <w:pPr>
        <w:rPr>
          <w:b/>
          <w:bCs/>
          <w:color w:val="auto"/>
        </w:rPr>
      </w:pPr>
      <w:r w:rsidRPr="0054214D">
        <w:rPr>
          <w:b/>
          <w:bCs/>
          <w:color w:val="auto"/>
        </w:rPr>
        <w:t>Why create another app?</w:t>
      </w:r>
    </w:p>
    <w:p w14:paraId="45513CAE" w14:textId="77777777" w:rsidR="00E54625" w:rsidRPr="0054214D" w:rsidRDefault="00E54625" w:rsidP="00E54625">
      <w:pPr>
        <w:rPr>
          <w:color w:val="auto"/>
        </w:rPr>
      </w:pPr>
      <w:r w:rsidRPr="0054214D">
        <w:rPr>
          <w:color w:val="auto"/>
        </w:rPr>
        <w:t>While gestational diabetes requires daily self-management through pregnancy, risks persist after giving birth. NHS England estimates 30,000 diagnoses per year; up to 50% of those women may develop type 2 diabetes within five years (NHS England, 2024). Support services should therefore bridge antenatal management and post-natal prevention. As pregnancy management lowers risks, bridging after birth is necessary to prevent long-term prevention being overlooked.</w:t>
      </w:r>
    </w:p>
    <w:p w14:paraId="5891A86A" w14:textId="77777777" w:rsidR="00E54625" w:rsidRPr="0054214D" w:rsidRDefault="00E54625" w:rsidP="00E54625">
      <w:pPr>
        <w:rPr>
          <w:b/>
          <w:bCs/>
          <w:color w:val="auto"/>
        </w:rPr>
      </w:pPr>
      <w:r w:rsidRPr="0054214D">
        <w:rPr>
          <w:b/>
          <w:bCs/>
          <w:color w:val="auto"/>
        </w:rPr>
        <w:t>What is GDM Compass?</w:t>
      </w:r>
    </w:p>
    <w:p w14:paraId="66F6D61A" w14:textId="77777777" w:rsidR="00E54625" w:rsidRPr="0054214D" w:rsidRDefault="00E54625" w:rsidP="00E54625">
      <w:pPr>
        <w:rPr>
          <w:color w:val="auto"/>
        </w:rPr>
      </w:pPr>
      <w:r w:rsidRPr="0054214D">
        <w:rPr>
          <w:color w:val="auto"/>
        </w:rPr>
        <w:t xml:space="preserve">GDM Compass is a proposed app, co-designed by maternity teams and women living with the condition, which would include glucose diary and trend graph, simple guidelines on food and exercise, reminders for scheduled tests and appointments, and secure callback requests. The interface would display an </w:t>
      </w:r>
      <w:proofErr w:type="spellStart"/>
      <w:r w:rsidRPr="0054214D">
        <w:rPr>
          <w:color w:val="auto"/>
        </w:rPr>
        <w:t>individualised</w:t>
      </w:r>
      <w:proofErr w:type="spellEnd"/>
      <w:r w:rsidRPr="0054214D">
        <w:rPr>
          <w:color w:val="auto"/>
        </w:rPr>
        <w:t xml:space="preserve"> set of agreed-upon targets rather than general thresholds and interpret flags according to local clinical protocols. The app could also store user questions for the next appointment. In the post-natal period, reminders would guide follow-up testing and direct eligible patients to the NHS Diabetes Prevention </w:t>
      </w:r>
      <w:proofErr w:type="spellStart"/>
      <w:r w:rsidRPr="0054214D">
        <w:rPr>
          <w:color w:val="auto"/>
        </w:rPr>
        <w:t>Programme</w:t>
      </w:r>
      <w:proofErr w:type="spellEnd"/>
      <w:r w:rsidRPr="0054214D">
        <w:rPr>
          <w:color w:val="auto"/>
        </w:rPr>
        <w:t>. This app does not diagnose issues or adjust medication recommendations; clinical decisions remain up to the healthcare team following NICE guidelines (NICE, 2015).</w:t>
      </w:r>
    </w:p>
    <w:p w14:paraId="26809D5B" w14:textId="77777777" w:rsidR="00E54625" w:rsidRPr="0054214D" w:rsidRDefault="00E54625" w:rsidP="00E54625">
      <w:pPr>
        <w:rPr>
          <w:b/>
          <w:bCs/>
          <w:color w:val="auto"/>
        </w:rPr>
      </w:pPr>
      <w:r w:rsidRPr="0054214D">
        <w:rPr>
          <w:b/>
          <w:bCs/>
          <w:color w:val="auto"/>
        </w:rPr>
        <w:t>How will the app promote health?</w:t>
      </w:r>
    </w:p>
    <w:p w14:paraId="2F2173D7" w14:textId="77777777" w:rsidR="00E54625" w:rsidRPr="0054214D" w:rsidRDefault="00E54625" w:rsidP="00E54625">
      <w:pPr>
        <w:rPr>
          <w:color w:val="auto"/>
        </w:rPr>
      </w:pPr>
      <w:r w:rsidRPr="0054214D">
        <w:rPr>
          <w:color w:val="auto"/>
        </w:rPr>
        <w:t xml:space="preserve">According to the COM-B model, health-related </w:t>
      </w:r>
      <w:proofErr w:type="spellStart"/>
      <w:r w:rsidRPr="0054214D">
        <w:rPr>
          <w:color w:val="auto"/>
        </w:rPr>
        <w:t>behaviour</w:t>
      </w:r>
      <w:proofErr w:type="spellEnd"/>
      <w:r w:rsidRPr="0054214D">
        <w:rPr>
          <w:color w:val="auto"/>
        </w:rPr>
        <w:t xml:space="preserve"> can be explained through capability, opportunity and motivation (Michie, van Stralen and West, 2011). Lessons, translated into plain language, increase capability; difficulties with accessing data, use of optional SMS service and links to clinicians increase opportunities; self-determined goals and feedback may increase motivation. Reviews found digital interventions improved glucose outcomes, although effects differed, and apps should complement rather than substitute clinical services (</w:t>
      </w:r>
      <w:proofErr w:type="spellStart"/>
      <w:r w:rsidRPr="0054214D">
        <w:rPr>
          <w:color w:val="auto"/>
        </w:rPr>
        <w:t>Leblalta</w:t>
      </w:r>
      <w:proofErr w:type="spellEnd"/>
      <w:r w:rsidRPr="0054214D">
        <w:rPr>
          <w:color w:val="auto"/>
        </w:rPr>
        <w:t xml:space="preserve"> et al., 2022; Wei et al., 2023).</w:t>
      </w:r>
    </w:p>
    <w:p w14:paraId="3165D965" w14:textId="77777777" w:rsidR="00E54625" w:rsidRPr="0054214D" w:rsidRDefault="00E54625" w:rsidP="00E54625">
      <w:pPr>
        <w:rPr>
          <w:b/>
          <w:bCs/>
          <w:color w:val="auto"/>
        </w:rPr>
      </w:pPr>
      <w:r w:rsidRPr="0054214D">
        <w:rPr>
          <w:b/>
          <w:bCs/>
          <w:color w:val="auto"/>
        </w:rPr>
        <w:t>Risks and evaluation</w:t>
      </w:r>
    </w:p>
    <w:p w14:paraId="6FFE572B" w14:textId="77777777" w:rsidR="00E54625" w:rsidRPr="0054214D" w:rsidRDefault="00E54625" w:rsidP="00E54625">
      <w:pPr>
        <w:rPr>
          <w:color w:val="auto"/>
        </w:rPr>
      </w:pPr>
      <w:r w:rsidRPr="0054214D">
        <w:rPr>
          <w:color w:val="auto"/>
        </w:rPr>
        <w:lastRenderedPageBreak/>
        <w:t>Potential risks are related to digital exclusion, anxiety triggered by notifications and failure of privacy protections. Reviews noted usability, technical and emotional support barriers (</w:t>
      </w:r>
      <w:proofErr w:type="spellStart"/>
      <w:r w:rsidRPr="0054214D">
        <w:rPr>
          <w:color w:val="auto"/>
        </w:rPr>
        <w:t>Safiee</w:t>
      </w:r>
      <w:proofErr w:type="spellEnd"/>
      <w:r w:rsidRPr="0054214D">
        <w:rPr>
          <w:color w:val="auto"/>
        </w:rPr>
        <w:t xml:space="preserve">, Rough and </w:t>
      </w:r>
      <w:proofErr w:type="spellStart"/>
      <w:r w:rsidRPr="0054214D">
        <w:rPr>
          <w:color w:val="auto"/>
        </w:rPr>
        <w:t>Whitford</w:t>
      </w:r>
      <w:proofErr w:type="spellEnd"/>
      <w:r w:rsidRPr="0054214D">
        <w:rPr>
          <w:color w:val="auto"/>
        </w:rPr>
        <w:t>, 2022). Design and testing with various users, providing phone or paper option, limiting data collection and using clinician-approved notifications. Conduct a pilot of the app and assess glucose monitoring, post-natal testing, user experience and equality of reach. Impact of the app cannot yet be proved until evaluated.</w:t>
      </w:r>
    </w:p>
    <w:p w14:paraId="696EB0EA" w14:textId="133EEC5D" w:rsidR="000C39C0" w:rsidRPr="0054214D" w:rsidRDefault="00A61898" w:rsidP="00E54625">
      <w:pPr>
        <w:rPr>
          <w:color w:val="auto"/>
          <w:szCs w:val="24"/>
        </w:rPr>
      </w:pPr>
      <w:r w:rsidRPr="0054214D">
        <w:rPr>
          <w:b/>
          <w:color w:val="auto"/>
          <w:szCs w:val="24"/>
        </w:rPr>
        <w:t>BLOG 2 | DESIGN CONCEPT AND IMPLEMENTATION SAFEGUA</w:t>
      </w:r>
      <w:r w:rsidRPr="0054214D">
        <w:rPr>
          <w:b/>
          <w:color w:val="auto"/>
          <w:szCs w:val="24"/>
        </w:rPr>
        <w:t>RDS</w:t>
      </w:r>
    </w:p>
    <w:p w14:paraId="5685E230" w14:textId="77777777" w:rsidR="000C39C0" w:rsidRPr="0054214D" w:rsidRDefault="00A61898" w:rsidP="00935457">
      <w:pPr>
        <w:pStyle w:val="Heading2"/>
      </w:pPr>
      <w:r w:rsidRPr="0054214D">
        <w:t>GDM Compass: proposed interface and user safeguards</w:t>
      </w:r>
    </w:p>
    <w:p w14:paraId="69433BD4" w14:textId="2B39B7D3" w:rsidR="000C39C0" w:rsidRPr="0054214D" w:rsidRDefault="006F7F1B" w:rsidP="006F7F1B">
      <w:pPr>
        <w:spacing w:after="0"/>
        <w:rPr>
          <w:color w:val="auto"/>
          <w:szCs w:val="24"/>
        </w:rPr>
      </w:pPr>
      <w:r w:rsidRPr="0054214D">
        <w:rPr>
          <w:noProof/>
          <w:color w:val="auto"/>
          <w:szCs w:val="24"/>
        </w:rPr>
        <w:drawing>
          <wp:inline distT="0" distB="0" distL="0" distR="0" wp14:anchorId="0896D8BC" wp14:editId="2D4989F2">
            <wp:extent cx="5981065" cy="2754267"/>
            <wp:effectExtent l="0" t="0" r="635" b="8255"/>
            <wp:docPr id="14636784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8718" cy="2757791"/>
                    </a:xfrm>
                    <a:prstGeom prst="rect">
                      <a:avLst/>
                    </a:prstGeom>
                    <a:noFill/>
                  </pic:spPr>
                </pic:pic>
              </a:graphicData>
            </a:graphic>
          </wp:inline>
        </w:drawing>
      </w:r>
    </w:p>
    <w:p w14:paraId="535B1F89" w14:textId="6CF5038E" w:rsidR="000C39C0" w:rsidRPr="0054214D" w:rsidRDefault="00A61898">
      <w:pPr>
        <w:spacing w:before="40" w:after="20"/>
        <w:jc w:val="center"/>
        <w:rPr>
          <w:color w:val="auto"/>
          <w:szCs w:val="24"/>
        </w:rPr>
      </w:pPr>
      <w:r w:rsidRPr="0054214D">
        <w:rPr>
          <w:b/>
          <w:color w:val="auto"/>
          <w:szCs w:val="24"/>
        </w:rPr>
        <w:t xml:space="preserve">Figure </w:t>
      </w:r>
      <w:r w:rsidR="00840EC7" w:rsidRPr="0054214D">
        <w:rPr>
          <w:b/>
          <w:color w:val="auto"/>
          <w:szCs w:val="24"/>
        </w:rPr>
        <w:t>5</w:t>
      </w:r>
      <w:r w:rsidRPr="0054214D">
        <w:rPr>
          <w:b/>
          <w:color w:val="auto"/>
          <w:szCs w:val="24"/>
        </w:rPr>
        <w:t>. GDM Compass proposed user-facing concept interface.</w:t>
      </w:r>
    </w:p>
    <w:p w14:paraId="69D5BDB5" w14:textId="77777777" w:rsidR="000C39C0" w:rsidRPr="0054214D" w:rsidRDefault="00A61898">
      <w:pPr>
        <w:jc w:val="center"/>
        <w:rPr>
          <w:color w:val="auto"/>
          <w:szCs w:val="24"/>
        </w:rPr>
      </w:pPr>
      <w:r w:rsidRPr="0054214D">
        <w:rPr>
          <w:color w:val="auto"/>
          <w:szCs w:val="24"/>
        </w:rPr>
        <w:t>Source: Self-developed illustration; proposed design only, not a live product.</w:t>
      </w:r>
    </w:p>
    <w:p w14:paraId="47DBBB05" w14:textId="77777777" w:rsidR="000C39C0" w:rsidRPr="0054214D" w:rsidRDefault="00A61898" w:rsidP="00935457">
      <w:pPr>
        <w:pStyle w:val="Heading2"/>
      </w:pPr>
      <w:r w:rsidRPr="0054214D">
        <w:t>Behaviour change model</w:t>
      </w:r>
    </w:p>
    <w:p w14:paraId="53A288BB" w14:textId="77777777" w:rsidR="000C39C0" w:rsidRPr="0054214D" w:rsidRDefault="00A61898">
      <w:pPr>
        <w:spacing w:after="0"/>
        <w:jc w:val="center"/>
        <w:rPr>
          <w:color w:val="auto"/>
          <w:szCs w:val="24"/>
        </w:rPr>
      </w:pPr>
      <w:r w:rsidRPr="0054214D">
        <w:rPr>
          <w:noProof/>
          <w:color w:val="auto"/>
          <w:szCs w:val="24"/>
        </w:rPr>
        <w:drawing>
          <wp:inline distT="0" distB="0" distL="0" distR="0" wp14:anchorId="24976069" wp14:editId="5E5A5E88">
            <wp:extent cx="5989320" cy="136423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b_model.png"/>
                    <pic:cNvPicPr/>
                  </pic:nvPicPr>
                  <pic:blipFill>
                    <a:blip r:embed="rId22"/>
                    <a:stretch>
                      <a:fillRect/>
                    </a:stretch>
                  </pic:blipFill>
                  <pic:spPr>
                    <a:xfrm>
                      <a:off x="0" y="0"/>
                      <a:ext cx="5989320" cy="1364234"/>
                    </a:xfrm>
                    <a:prstGeom prst="rect">
                      <a:avLst/>
                    </a:prstGeom>
                  </pic:spPr>
                </pic:pic>
              </a:graphicData>
            </a:graphic>
          </wp:inline>
        </w:drawing>
      </w:r>
    </w:p>
    <w:p w14:paraId="1D644694" w14:textId="34D9F584" w:rsidR="000C39C0" w:rsidRPr="0054214D" w:rsidRDefault="00A61898" w:rsidP="0065625B">
      <w:pPr>
        <w:jc w:val="center"/>
        <w:rPr>
          <w:color w:val="auto"/>
          <w:szCs w:val="24"/>
        </w:rPr>
      </w:pPr>
      <w:r w:rsidRPr="0054214D">
        <w:rPr>
          <w:b/>
          <w:bCs/>
          <w:color w:val="auto"/>
          <w:szCs w:val="24"/>
        </w:rPr>
        <w:t xml:space="preserve">Figure </w:t>
      </w:r>
      <w:r w:rsidR="00840EC7" w:rsidRPr="0054214D">
        <w:rPr>
          <w:b/>
          <w:bCs/>
          <w:color w:val="auto"/>
          <w:szCs w:val="24"/>
        </w:rPr>
        <w:t>6</w:t>
      </w:r>
      <w:r w:rsidRPr="0054214D">
        <w:rPr>
          <w:b/>
          <w:bCs/>
          <w:color w:val="auto"/>
          <w:szCs w:val="24"/>
        </w:rPr>
        <w:t>.</w:t>
      </w:r>
      <w:r w:rsidRPr="0054214D">
        <w:rPr>
          <w:color w:val="auto"/>
          <w:szCs w:val="24"/>
        </w:rPr>
        <w:t xml:space="preserve"> Applying COM-B to the proposed intervention.</w:t>
      </w:r>
    </w:p>
    <w:p w14:paraId="2AF44AAC" w14:textId="77777777" w:rsidR="000C39C0" w:rsidRPr="0054214D" w:rsidRDefault="00A61898" w:rsidP="0065625B">
      <w:pPr>
        <w:jc w:val="center"/>
        <w:rPr>
          <w:color w:val="auto"/>
          <w:szCs w:val="24"/>
        </w:rPr>
      </w:pPr>
      <w:r w:rsidRPr="0054214D">
        <w:rPr>
          <w:color w:val="auto"/>
          <w:szCs w:val="24"/>
        </w:rPr>
        <w:t>Source: Self-developed, informed by Michie, van Stralen and West (2011).</w:t>
      </w:r>
    </w:p>
    <w:p w14:paraId="78E17715" w14:textId="77777777" w:rsidR="000C39C0" w:rsidRPr="0054214D" w:rsidRDefault="00A61898" w:rsidP="00935457">
      <w:pPr>
        <w:pStyle w:val="Heading2"/>
      </w:pPr>
      <w:r w:rsidRPr="0054214D">
        <w:lastRenderedPageBreak/>
        <w:t>Implementation risks and practical mitigations</w:t>
      </w:r>
    </w:p>
    <w:tbl>
      <w:tblPr>
        <w:tblW w:w="5000" w:type="pct"/>
        <w:jc w:val="center"/>
        <w:tblBorders>
          <w:top w:val="single" w:sz="6" w:space="0" w:color="C8D3DC"/>
          <w:left w:val="single" w:sz="6" w:space="0" w:color="C8D3DC"/>
          <w:bottom w:val="single" w:sz="6" w:space="0" w:color="C8D3DC"/>
          <w:right w:val="single" w:sz="6" w:space="0" w:color="C8D3DC"/>
          <w:insideH w:val="single" w:sz="6" w:space="0" w:color="C8D3DC"/>
          <w:insideV w:val="single" w:sz="6" w:space="0" w:color="C8D3DC"/>
        </w:tblBorders>
        <w:tblLook w:val="04A0" w:firstRow="1" w:lastRow="0" w:firstColumn="1" w:lastColumn="0" w:noHBand="0" w:noVBand="1"/>
      </w:tblPr>
      <w:tblGrid>
        <w:gridCol w:w="3872"/>
        <w:gridCol w:w="5138"/>
      </w:tblGrid>
      <w:tr w:rsidR="000C39C0" w:rsidRPr="0054214D" w14:paraId="4017A0E2" w14:textId="77777777" w:rsidTr="0065625B">
        <w:trPr>
          <w:tblHeader/>
          <w:jc w:val="center"/>
        </w:trPr>
        <w:tc>
          <w:tcPr>
            <w:tcW w:w="2149" w:type="pct"/>
            <w:shd w:val="clear" w:color="auto" w:fill="1F497D" w:themeFill="text2"/>
            <w:tcMar>
              <w:top w:w="80" w:type="dxa"/>
              <w:left w:w="100" w:type="dxa"/>
              <w:bottom w:w="80" w:type="dxa"/>
              <w:right w:w="100" w:type="dxa"/>
            </w:tcMar>
          </w:tcPr>
          <w:p w14:paraId="7CA24F38" w14:textId="77777777" w:rsidR="000C39C0" w:rsidRPr="0054214D" w:rsidRDefault="00A61898" w:rsidP="0065625B">
            <w:pPr>
              <w:spacing w:before="0" w:after="0"/>
              <w:jc w:val="center"/>
              <w:rPr>
                <w:color w:val="auto"/>
                <w:szCs w:val="24"/>
              </w:rPr>
            </w:pPr>
            <w:r w:rsidRPr="0054214D">
              <w:rPr>
                <w:b/>
                <w:color w:val="auto"/>
                <w:szCs w:val="24"/>
              </w:rPr>
              <w:t>Risk</w:t>
            </w:r>
          </w:p>
        </w:tc>
        <w:tc>
          <w:tcPr>
            <w:tcW w:w="2851" w:type="pct"/>
            <w:shd w:val="clear" w:color="auto" w:fill="1F497D" w:themeFill="text2"/>
            <w:tcMar>
              <w:top w:w="80" w:type="dxa"/>
              <w:left w:w="100" w:type="dxa"/>
              <w:bottom w:w="80" w:type="dxa"/>
              <w:right w:w="100" w:type="dxa"/>
            </w:tcMar>
          </w:tcPr>
          <w:p w14:paraId="79C61B70" w14:textId="77777777" w:rsidR="000C39C0" w:rsidRPr="0054214D" w:rsidRDefault="00A61898" w:rsidP="0065625B">
            <w:pPr>
              <w:spacing w:before="0" w:after="0"/>
              <w:jc w:val="center"/>
              <w:rPr>
                <w:color w:val="auto"/>
                <w:szCs w:val="24"/>
              </w:rPr>
            </w:pPr>
            <w:r w:rsidRPr="0054214D">
              <w:rPr>
                <w:b/>
                <w:color w:val="auto"/>
                <w:szCs w:val="24"/>
              </w:rPr>
              <w:t>Design response</w:t>
            </w:r>
          </w:p>
        </w:tc>
      </w:tr>
      <w:tr w:rsidR="000C39C0" w:rsidRPr="0054214D" w14:paraId="60455546" w14:textId="77777777" w:rsidTr="0065625B">
        <w:trPr>
          <w:jc w:val="center"/>
        </w:trPr>
        <w:tc>
          <w:tcPr>
            <w:tcW w:w="2149" w:type="pct"/>
            <w:shd w:val="clear" w:color="auto" w:fill="F1F5F8"/>
            <w:tcMar>
              <w:top w:w="75" w:type="dxa"/>
              <w:left w:w="100" w:type="dxa"/>
              <w:bottom w:w="75" w:type="dxa"/>
              <w:right w:w="100" w:type="dxa"/>
            </w:tcMar>
            <w:vAlign w:val="center"/>
          </w:tcPr>
          <w:p w14:paraId="6583C80E" w14:textId="77777777" w:rsidR="000C39C0" w:rsidRPr="0054214D" w:rsidRDefault="00A61898" w:rsidP="0065625B">
            <w:pPr>
              <w:spacing w:before="0" w:after="0"/>
              <w:rPr>
                <w:color w:val="auto"/>
                <w:szCs w:val="24"/>
              </w:rPr>
            </w:pPr>
            <w:r w:rsidRPr="0054214D">
              <w:rPr>
                <w:b/>
                <w:color w:val="auto"/>
                <w:szCs w:val="24"/>
              </w:rPr>
              <w:t>Digital exclusion or language barriers</w:t>
            </w:r>
          </w:p>
        </w:tc>
        <w:tc>
          <w:tcPr>
            <w:tcW w:w="2851" w:type="pct"/>
            <w:shd w:val="clear" w:color="auto" w:fill="F1F5F8"/>
            <w:tcMar>
              <w:top w:w="75" w:type="dxa"/>
              <w:left w:w="100" w:type="dxa"/>
              <w:bottom w:w="75" w:type="dxa"/>
              <w:right w:w="100" w:type="dxa"/>
            </w:tcMar>
            <w:vAlign w:val="center"/>
          </w:tcPr>
          <w:p w14:paraId="0B9EA5A5" w14:textId="77777777" w:rsidR="000C39C0" w:rsidRPr="0054214D" w:rsidRDefault="00A61898" w:rsidP="0065625B">
            <w:pPr>
              <w:spacing w:before="0" w:after="0"/>
              <w:rPr>
                <w:color w:val="auto"/>
                <w:szCs w:val="24"/>
              </w:rPr>
            </w:pPr>
            <w:r w:rsidRPr="0054214D">
              <w:rPr>
                <w:color w:val="auto"/>
                <w:szCs w:val="24"/>
              </w:rPr>
              <w:t xml:space="preserve">Translated </w:t>
            </w:r>
            <w:r w:rsidRPr="0054214D">
              <w:rPr>
                <w:color w:val="auto"/>
                <w:szCs w:val="24"/>
              </w:rPr>
              <w:t>plain-language content plus optional phone, SMS and paper routes.</w:t>
            </w:r>
          </w:p>
        </w:tc>
      </w:tr>
      <w:tr w:rsidR="000C39C0" w:rsidRPr="0054214D" w14:paraId="2D1E72F4" w14:textId="77777777" w:rsidTr="0065625B">
        <w:trPr>
          <w:jc w:val="center"/>
        </w:trPr>
        <w:tc>
          <w:tcPr>
            <w:tcW w:w="2149" w:type="pct"/>
            <w:shd w:val="clear" w:color="auto" w:fill="FFFFFF"/>
            <w:tcMar>
              <w:top w:w="75" w:type="dxa"/>
              <w:left w:w="100" w:type="dxa"/>
              <w:bottom w:w="75" w:type="dxa"/>
              <w:right w:w="100" w:type="dxa"/>
            </w:tcMar>
            <w:vAlign w:val="center"/>
          </w:tcPr>
          <w:p w14:paraId="5EE55052" w14:textId="77777777" w:rsidR="000C39C0" w:rsidRPr="0054214D" w:rsidRDefault="00A61898" w:rsidP="0065625B">
            <w:pPr>
              <w:spacing w:before="0" w:after="0"/>
              <w:rPr>
                <w:color w:val="auto"/>
                <w:szCs w:val="24"/>
              </w:rPr>
            </w:pPr>
            <w:r w:rsidRPr="0054214D">
              <w:rPr>
                <w:b/>
                <w:color w:val="auto"/>
                <w:szCs w:val="24"/>
              </w:rPr>
              <w:t>Anxiety or unsafe self-adjustment</w:t>
            </w:r>
          </w:p>
        </w:tc>
        <w:tc>
          <w:tcPr>
            <w:tcW w:w="2851" w:type="pct"/>
            <w:shd w:val="clear" w:color="auto" w:fill="FFFFFF"/>
            <w:tcMar>
              <w:top w:w="75" w:type="dxa"/>
              <w:left w:w="100" w:type="dxa"/>
              <w:bottom w:w="75" w:type="dxa"/>
              <w:right w:w="100" w:type="dxa"/>
            </w:tcMar>
            <w:vAlign w:val="center"/>
          </w:tcPr>
          <w:p w14:paraId="1E47373A" w14:textId="77777777" w:rsidR="000C39C0" w:rsidRPr="0054214D" w:rsidRDefault="00A61898" w:rsidP="0065625B">
            <w:pPr>
              <w:spacing w:before="0" w:after="0"/>
              <w:rPr>
                <w:color w:val="auto"/>
                <w:szCs w:val="24"/>
              </w:rPr>
            </w:pPr>
            <w:r w:rsidRPr="0054214D">
              <w:rPr>
                <w:color w:val="auto"/>
                <w:szCs w:val="24"/>
              </w:rPr>
              <w:t>Supportive wording, clinician-approved alerts and no automated medication advice.</w:t>
            </w:r>
          </w:p>
        </w:tc>
      </w:tr>
      <w:tr w:rsidR="000C39C0" w:rsidRPr="0054214D" w14:paraId="19039DDB" w14:textId="77777777" w:rsidTr="0065625B">
        <w:trPr>
          <w:jc w:val="center"/>
        </w:trPr>
        <w:tc>
          <w:tcPr>
            <w:tcW w:w="2149" w:type="pct"/>
            <w:shd w:val="clear" w:color="auto" w:fill="F1F5F8"/>
            <w:tcMar>
              <w:top w:w="75" w:type="dxa"/>
              <w:left w:w="100" w:type="dxa"/>
              <w:bottom w:w="75" w:type="dxa"/>
              <w:right w:w="100" w:type="dxa"/>
            </w:tcMar>
            <w:vAlign w:val="center"/>
          </w:tcPr>
          <w:p w14:paraId="042CCE0A" w14:textId="77777777" w:rsidR="000C39C0" w:rsidRPr="0054214D" w:rsidRDefault="00A61898" w:rsidP="0065625B">
            <w:pPr>
              <w:spacing w:before="0" w:after="0"/>
              <w:rPr>
                <w:color w:val="auto"/>
                <w:szCs w:val="24"/>
              </w:rPr>
            </w:pPr>
            <w:r w:rsidRPr="0054214D">
              <w:rPr>
                <w:b/>
                <w:color w:val="auto"/>
                <w:szCs w:val="24"/>
              </w:rPr>
              <w:t>Privacy and trust</w:t>
            </w:r>
          </w:p>
        </w:tc>
        <w:tc>
          <w:tcPr>
            <w:tcW w:w="2851" w:type="pct"/>
            <w:shd w:val="clear" w:color="auto" w:fill="F1F5F8"/>
            <w:tcMar>
              <w:top w:w="75" w:type="dxa"/>
              <w:left w:w="100" w:type="dxa"/>
              <w:bottom w:w="75" w:type="dxa"/>
              <w:right w:w="100" w:type="dxa"/>
            </w:tcMar>
            <w:vAlign w:val="center"/>
          </w:tcPr>
          <w:p w14:paraId="45E90F7A" w14:textId="77777777" w:rsidR="000C39C0" w:rsidRPr="0054214D" w:rsidRDefault="00A61898" w:rsidP="0065625B">
            <w:pPr>
              <w:spacing w:before="0" w:after="0"/>
              <w:rPr>
                <w:color w:val="auto"/>
                <w:szCs w:val="24"/>
              </w:rPr>
            </w:pPr>
            <w:r w:rsidRPr="0054214D">
              <w:rPr>
                <w:color w:val="auto"/>
                <w:szCs w:val="24"/>
              </w:rPr>
              <w:t xml:space="preserve">Clear consent, data minimisation, secure </w:t>
            </w:r>
            <w:r w:rsidRPr="0054214D">
              <w:rPr>
                <w:color w:val="auto"/>
                <w:szCs w:val="24"/>
              </w:rPr>
              <w:t>transfer and access limited to authorised care teams.</w:t>
            </w:r>
          </w:p>
        </w:tc>
      </w:tr>
    </w:tbl>
    <w:p w14:paraId="3ACB8891" w14:textId="77777777" w:rsidR="000C39C0" w:rsidRPr="0054214D" w:rsidRDefault="00A61898">
      <w:pPr>
        <w:rPr>
          <w:color w:val="auto"/>
          <w:szCs w:val="24"/>
        </w:rPr>
      </w:pPr>
      <w:r w:rsidRPr="0054214D">
        <w:rPr>
          <w:color w:val="auto"/>
          <w:szCs w:val="24"/>
        </w:rPr>
        <w:br w:type="page"/>
      </w:r>
    </w:p>
    <w:p w14:paraId="7B2684EB" w14:textId="77777777" w:rsidR="000C39C0" w:rsidRPr="0065625B" w:rsidRDefault="00A61898">
      <w:pPr>
        <w:keepNext/>
        <w:spacing w:before="100"/>
        <w:rPr>
          <w:color w:val="auto"/>
          <w:szCs w:val="24"/>
        </w:rPr>
      </w:pPr>
      <w:r w:rsidRPr="0065625B">
        <w:rPr>
          <w:b/>
          <w:color w:val="auto"/>
          <w:szCs w:val="24"/>
        </w:rPr>
        <w:lastRenderedPageBreak/>
        <w:t>References - Blog 2</w:t>
      </w:r>
    </w:p>
    <w:p w14:paraId="0FC62AFA" w14:textId="77777777" w:rsidR="000C39C0" w:rsidRPr="0065625B" w:rsidRDefault="00A61898" w:rsidP="0065625B">
      <w:pPr>
        <w:rPr>
          <w:szCs w:val="24"/>
        </w:rPr>
      </w:pPr>
      <w:r w:rsidRPr="0065625B">
        <w:rPr>
          <w:szCs w:val="24"/>
        </w:rPr>
        <w:t>Leblalta, B., Kebaili, H., Sim, R. and Lee, S.W.H. (2022) ‘Digital health interventions for gestational diabetes mellitus: a systematic review and meta-analysis of randomised cont</w:t>
      </w:r>
      <w:r w:rsidRPr="0065625B">
        <w:rPr>
          <w:szCs w:val="24"/>
        </w:rPr>
        <w:t xml:space="preserve">rolled trials’, </w:t>
      </w:r>
      <w:r w:rsidRPr="0065625B">
        <w:rPr>
          <w:i/>
          <w:szCs w:val="24"/>
        </w:rPr>
        <w:t>PLOS Digital Health</w:t>
      </w:r>
      <w:r w:rsidRPr="0065625B">
        <w:rPr>
          <w:szCs w:val="24"/>
        </w:rPr>
        <w:t xml:space="preserve">, 1(2), e0000015. Available at: </w:t>
      </w:r>
      <w:hyperlink r:id="rId23">
        <w:r w:rsidR="000C39C0" w:rsidRPr="0065625B">
          <w:rPr>
            <w:color w:val="285B8F"/>
            <w:szCs w:val="24"/>
            <w:u w:val="single"/>
          </w:rPr>
          <w:t>https://doi.org/10.1371/journal.pdig.0000015</w:t>
        </w:r>
      </w:hyperlink>
      <w:r w:rsidRPr="0065625B">
        <w:rPr>
          <w:szCs w:val="24"/>
        </w:rPr>
        <w:t>.</w:t>
      </w:r>
    </w:p>
    <w:p w14:paraId="406B792F" w14:textId="77777777" w:rsidR="000C39C0" w:rsidRPr="0065625B" w:rsidRDefault="00A61898" w:rsidP="0065625B">
      <w:pPr>
        <w:rPr>
          <w:szCs w:val="24"/>
        </w:rPr>
      </w:pPr>
      <w:r w:rsidRPr="0065625B">
        <w:rPr>
          <w:szCs w:val="24"/>
        </w:rPr>
        <w:t xml:space="preserve">Michie, S., van Stralen, M.M. and West, R. (2011) ‘The behaviour change wheel: a new method for characterising and designing behaviour change interventions’, </w:t>
      </w:r>
      <w:r w:rsidRPr="0065625B">
        <w:rPr>
          <w:i/>
          <w:szCs w:val="24"/>
        </w:rPr>
        <w:t>Implementation Science</w:t>
      </w:r>
      <w:r w:rsidRPr="0065625B">
        <w:rPr>
          <w:szCs w:val="24"/>
        </w:rPr>
        <w:t xml:space="preserve">, 6, 42. Available at: </w:t>
      </w:r>
      <w:hyperlink r:id="rId24">
        <w:r w:rsidR="000C39C0" w:rsidRPr="0065625B">
          <w:rPr>
            <w:color w:val="285B8F"/>
            <w:szCs w:val="24"/>
            <w:u w:val="single"/>
          </w:rPr>
          <w:t>https://doi.org/10.1186/1748-5908-6-42</w:t>
        </w:r>
      </w:hyperlink>
      <w:r w:rsidRPr="0065625B">
        <w:rPr>
          <w:szCs w:val="24"/>
        </w:rPr>
        <w:t>.</w:t>
      </w:r>
    </w:p>
    <w:p w14:paraId="7614DB09" w14:textId="77777777" w:rsidR="000C39C0" w:rsidRPr="0065625B" w:rsidRDefault="00A61898" w:rsidP="0065625B">
      <w:pPr>
        <w:rPr>
          <w:szCs w:val="24"/>
        </w:rPr>
      </w:pPr>
      <w:r w:rsidRPr="0065625B">
        <w:rPr>
          <w:szCs w:val="24"/>
        </w:rPr>
        <w:t xml:space="preserve">National Institute for Health and Care Excellence (NICE) (2015) </w:t>
      </w:r>
      <w:r w:rsidRPr="0065625B">
        <w:rPr>
          <w:i/>
          <w:szCs w:val="24"/>
        </w:rPr>
        <w:t>Diabetes in pregnancy: management from preconception to the postnatal period (NG3).</w:t>
      </w:r>
      <w:r w:rsidRPr="0065625B">
        <w:rPr>
          <w:szCs w:val="24"/>
        </w:rPr>
        <w:t xml:space="preserve"> Available at: </w:t>
      </w:r>
      <w:hyperlink r:id="rId25">
        <w:r w:rsidR="000C39C0" w:rsidRPr="0065625B">
          <w:rPr>
            <w:color w:val="285B8F"/>
            <w:szCs w:val="24"/>
            <w:u w:val="single"/>
          </w:rPr>
          <w:t>https://www.nice.org.uk/guidance/ng3/chapter/Recommendations</w:t>
        </w:r>
      </w:hyperlink>
      <w:r w:rsidRPr="0065625B">
        <w:rPr>
          <w:szCs w:val="24"/>
        </w:rPr>
        <w:t xml:space="preserve"> (Accessed: 21 October 2026).</w:t>
      </w:r>
    </w:p>
    <w:p w14:paraId="1923D5BE" w14:textId="77777777" w:rsidR="000C39C0" w:rsidRPr="0065625B" w:rsidRDefault="00A61898" w:rsidP="0065625B">
      <w:pPr>
        <w:rPr>
          <w:szCs w:val="24"/>
        </w:rPr>
      </w:pPr>
      <w:r w:rsidRPr="0065625B">
        <w:rPr>
          <w:szCs w:val="24"/>
        </w:rPr>
        <w:t xml:space="preserve">NHS England (2024) ‘Healthier You NHS Diabetes Prevention Programme: Gestational Diabetes Mellitus (GDM)’. Available at: </w:t>
      </w:r>
      <w:hyperlink r:id="rId26">
        <w:r w:rsidR="000C39C0" w:rsidRPr="0065625B">
          <w:rPr>
            <w:color w:val="285B8F"/>
            <w:szCs w:val="24"/>
            <w:u w:val="single"/>
          </w:rPr>
          <w:t>https://www.england.nhs.uk/long-read/healthier-you-nhs-diabetes-prevention-programme-gdm/</w:t>
        </w:r>
      </w:hyperlink>
      <w:r w:rsidRPr="0065625B">
        <w:rPr>
          <w:szCs w:val="24"/>
        </w:rPr>
        <w:t xml:space="preserve"> (Accessed: 21 October 2026).</w:t>
      </w:r>
    </w:p>
    <w:p w14:paraId="0ECB9C0A" w14:textId="77777777" w:rsidR="000C39C0" w:rsidRPr="0065625B" w:rsidRDefault="00A61898" w:rsidP="0065625B">
      <w:pPr>
        <w:rPr>
          <w:szCs w:val="24"/>
        </w:rPr>
      </w:pPr>
      <w:r w:rsidRPr="0065625B">
        <w:rPr>
          <w:szCs w:val="24"/>
        </w:rPr>
        <w:t>Safiee, L., Rough, D.J. and Whitford, H. (</w:t>
      </w:r>
      <w:r w:rsidRPr="0065625B">
        <w:rPr>
          <w:szCs w:val="24"/>
        </w:rPr>
        <w:t xml:space="preserve">2022) ‘Barriers to and facilitators of using eHealth to support gestational diabetes mellitus self-management: systematic literature review of perceptions of health care professionals and women with gestational diabetes mellitus’, </w:t>
      </w:r>
      <w:r w:rsidRPr="0065625B">
        <w:rPr>
          <w:i/>
          <w:szCs w:val="24"/>
        </w:rPr>
        <w:t>Journal of Medical Intern</w:t>
      </w:r>
      <w:r w:rsidRPr="0065625B">
        <w:rPr>
          <w:i/>
          <w:szCs w:val="24"/>
        </w:rPr>
        <w:t>et Research</w:t>
      </w:r>
      <w:r w:rsidRPr="0065625B">
        <w:rPr>
          <w:szCs w:val="24"/>
        </w:rPr>
        <w:t xml:space="preserve">, 24(10), e39689. Available at: </w:t>
      </w:r>
      <w:hyperlink r:id="rId27">
        <w:r w:rsidR="000C39C0" w:rsidRPr="0065625B">
          <w:rPr>
            <w:color w:val="285B8F"/>
            <w:szCs w:val="24"/>
            <w:u w:val="single"/>
          </w:rPr>
          <w:t>https://doi.org/10.2196/39689</w:t>
        </w:r>
      </w:hyperlink>
      <w:r w:rsidRPr="0065625B">
        <w:rPr>
          <w:szCs w:val="24"/>
        </w:rPr>
        <w:t>.</w:t>
      </w:r>
    </w:p>
    <w:p w14:paraId="342DE015" w14:textId="77777777" w:rsidR="000C39C0" w:rsidRPr="0065625B" w:rsidRDefault="00A61898" w:rsidP="0065625B">
      <w:pPr>
        <w:rPr>
          <w:szCs w:val="24"/>
        </w:rPr>
      </w:pPr>
      <w:r w:rsidRPr="0065625B">
        <w:rPr>
          <w:szCs w:val="24"/>
        </w:rPr>
        <w:t>Wei, H.X., Yang, Y.L., Luo, T.Y. and Chen, W.Q. (2023) ‘Effectiveness of mobile health interventions for pregnant women with gestatio</w:t>
      </w:r>
      <w:r w:rsidRPr="0065625B">
        <w:rPr>
          <w:szCs w:val="24"/>
        </w:rPr>
        <w:t xml:space="preserve">nal diabetes mellitus: a systematic review and meta-analysis’, </w:t>
      </w:r>
      <w:r w:rsidRPr="0065625B">
        <w:rPr>
          <w:i/>
          <w:szCs w:val="24"/>
        </w:rPr>
        <w:t>Journal of Obstetrics and Gynaecology</w:t>
      </w:r>
      <w:r w:rsidRPr="0065625B">
        <w:rPr>
          <w:szCs w:val="24"/>
        </w:rPr>
        <w:t xml:space="preserve">, 43(2), 2245906. Available at: </w:t>
      </w:r>
      <w:hyperlink r:id="rId28">
        <w:r w:rsidR="000C39C0" w:rsidRPr="0065625B">
          <w:rPr>
            <w:color w:val="285B8F"/>
            <w:szCs w:val="24"/>
            <w:u w:val="single"/>
          </w:rPr>
          <w:t>https://doi.org/10.1080/01443615.2023.2245906</w:t>
        </w:r>
      </w:hyperlink>
      <w:r w:rsidRPr="0065625B">
        <w:rPr>
          <w:szCs w:val="24"/>
        </w:rPr>
        <w:t>.</w:t>
      </w:r>
    </w:p>
    <w:sectPr w:rsidR="000C39C0" w:rsidRPr="0065625B" w:rsidSect="0065625B">
      <w:headerReference w:type="default" r:id="rId29"/>
      <w:footerReference w:type="default" r:id="rId30"/>
      <w:pgSz w:w="11906" w:h="16838" w:code="9"/>
      <w:pgMar w:top="1440" w:right="1440" w:bottom="1440" w:left="1440" w:header="432" w:footer="50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86DC7" w14:textId="77777777" w:rsidR="00A61898" w:rsidRDefault="00A61898">
      <w:pPr>
        <w:spacing w:before="0" w:after="0" w:line="240" w:lineRule="auto"/>
      </w:pPr>
      <w:r>
        <w:separator/>
      </w:r>
    </w:p>
  </w:endnote>
  <w:endnote w:type="continuationSeparator" w:id="0">
    <w:p w14:paraId="57D86190" w14:textId="77777777" w:rsidR="00A61898" w:rsidRDefault="00A618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7FEC" w14:textId="77777777" w:rsidR="000C39C0" w:rsidRPr="00CA3EDF" w:rsidRDefault="00A61898">
    <w:pPr>
      <w:pStyle w:val="Footer"/>
      <w:jc w:val="center"/>
      <w:rPr>
        <w:color w:val="000000" w:themeColor="text1"/>
        <w:sz w:val="20"/>
        <w:szCs w:val="20"/>
      </w:rPr>
    </w:pPr>
    <w:r w:rsidRPr="00CA3EDF">
      <w:rPr>
        <w:color w:val="000000" w:themeColor="text1"/>
        <w:sz w:val="20"/>
        <w:szCs w:val="20"/>
      </w:rPr>
      <w:t xml:space="preserve">Component 1 - Two Blogs  |  Page </w:t>
    </w:r>
    <w:r w:rsidRPr="00CA3EDF">
      <w:rPr>
        <w:color w:val="000000" w:themeColor="text1"/>
        <w:sz w:val="20"/>
        <w:szCs w:val="20"/>
      </w:rPr>
      <w:fldChar w:fldCharType="begin"/>
    </w:r>
    <w:r w:rsidRPr="00CA3EDF">
      <w:rPr>
        <w:color w:val="000000" w:themeColor="text1"/>
        <w:sz w:val="20"/>
        <w:szCs w:val="20"/>
      </w:rPr>
      <w:instrText>PAGE</w:instrText>
    </w:r>
    <w:r w:rsidRPr="00CA3EDF">
      <w:rPr>
        <w:color w:val="000000" w:themeColor="text1"/>
        <w:sz w:val="20"/>
        <w:szCs w:val="20"/>
      </w:rPr>
      <w:fldChar w:fldCharType="separate"/>
    </w:r>
    <w:r w:rsidR="0065625B" w:rsidRPr="00CA3EDF">
      <w:rPr>
        <w:noProof/>
        <w:color w:val="000000" w:themeColor="text1"/>
        <w:sz w:val="20"/>
        <w:szCs w:val="20"/>
      </w:rPr>
      <w:t>2</w:t>
    </w:r>
    <w:r w:rsidRPr="00CA3EDF">
      <w:rPr>
        <w:color w:val="000000" w:themeColor="tex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AF07C" w14:textId="77777777" w:rsidR="00A61898" w:rsidRDefault="00A61898">
      <w:pPr>
        <w:spacing w:before="0" w:after="0" w:line="240" w:lineRule="auto"/>
      </w:pPr>
      <w:r>
        <w:separator/>
      </w:r>
    </w:p>
  </w:footnote>
  <w:footnote w:type="continuationSeparator" w:id="0">
    <w:p w14:paraId="68B43C22" w14:textId="77777777" w:rsidR="00A61898" w:rsidRDefault="00A61898">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68892" w14:textId="77777777" w:rsidR="000C39C0" w:rsidRPr="00036ECC" w:rsidRDefault="00A61898" w:rsidP="00036ECC">
    <w:pPr>
      <w:pStyle w:val="Header"/>
      <w:pBdr>
        <w:bottom w:val="single" w:sz="4" w:space="3" w:color="auto"/>
      </w:pBdr>
      <w:jc w:val="center"/>
      <w:rPr>
        <w:color w:val="000000" w:themeColor="text1"/>
      </w:rPr>
    </w:pPr>
    <w:r w:rsidRPr="00036ECC">
      <w:rPr>
        <w:b/>
        <w:color w:val="000000" w:themeColor="text1"/>
        <w:sz w:val="16"/>
      </w:rPr>
      <w:t>LCHS7009  |  POPULATION HEALTH AND DIGITAL HEALTH PROMOTION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ECC"/>
    <w:rsid w:val="000553AC"/>
    <w:rsid w:val="0006063C"/>
    <w:rsid w:val="00086013"/>
    <w:rsid w:val="000C39C0"/>
    <w:rsid w:val="0015074B"/>
    <w:rsid w:val="001B6753"/>
    <w:rsid w:val="00223203"/>
    <w:rsid w:val="0029639D"/>
    <w:rsid w:val="00326F90"/>
    <w:rsid w:val="004049D7"/>
    <w:rsid w:val="00462D6B"/>
    <w:rsid w:val="00484D14"/>
    <w:rsid w:val="0054206E"/>
    <w:rsid w:val="0054214D"/>
    <w:rsid w:val="005708D1"/>
    <w:rsid w:val="00607091"/>
    <w:rsid w:val="0065625B"/>
    <w:rsid w:val="00661755"/>
    <w:rsid w:val="00663A64"/>
    <w:rsid w:val="006A5A77"/>
    <w:rsid w:val="006F7F1B"/>
    <w:rsid w:val="00763052"/>
    <w:rsid w:val="00840EC7"/>
    <w:rsid w:val="008B6A28"/>
    <w:rsid w:val="00935457"/>
    <w:rsid w:val="00A61898"/>
    <w:rsid w:val="00AA1D8D"/>
    <w:rsid w:val="00AF7753"/>
    <w:rsid w:val="00B47730"/>
    <w:rsid w:val="00BC218B"/>
    <w:rsid w:val="00C60523"/>
    <w:rsid w:val="00CA3EDF"/>
    <w:rsid w:val="00CB0664"/>
    <w:rsid w:val="00CC36AA"/>
    <w:rsid w:val="00E54625"/>
    <w:rsid w:val="00E714FF"/>
    <w:rsid w:val="00F926E5"/>
    <w:rsid w:val="00F95A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405FD"/>
  <w14:defaultImageDpi w14:val="300"/>
  <w15:docId w15:val="{CF70A742-3672-4325-A8D2-49A355CBC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25B"/>
    <w:pPr>
      <w:spacing w:before="120" w:after="120" w:line="360" w:lineRule="auto"/>
      <w:jc w:val="both"/>
    </w:pPr>
    <w:rPr>
      <w:rFonts w:ascii="Times New Roman" w:eastAsia="Times New Roman" w:hAnsi="Times New Roman"/>
      <w:color w:val="263746"/>
      <w:sz w:val="24"/>
    </w:rPr>
  </w:style>
  <w:style w:type="paragraph" w:styleId="Heading1">
    <w:name w:val="heading 1"/>
    <w:basedOn w:val="Normal"/>
    <w:next w:val="Normal"/>
    <w:link w:val="Heading1Char"/>
    <w:uiPriority w:val="9"/>
    <w:qFormat/>
    <w:rsid w:val="0065625B"/>
    <w:pPr>
      <w:keepNext/>
      <w:keepLines/>
      <w:outlineLvl w:val="0"/>
    </w:pPr>
    <w:rPr>
      <w:rFonts w:eastAsiaTheme="majorEastAsia" w:cstheme="majorBidi"/>
      <w:b/>
      <w:bCs/>
      <w:color w:val="auto"/>
      <w:szCs w:val="28"/>
    </w:rPr>
  </w:style>
  <w:style w:type="paragraph" w:styleId="Heading2">
    <w:name w:val="heading 2"/>
    <w:basedOn w:val="Normal"/>
    <w:next w:val="Normal"/>
    <w:link w:val="Heading2Char"/>
    <w:uiPriority w:val="9"/>
    <w:unhideWhenUsed/>
    <w:qFormat/>
    <w:rsid w:val="00935457"/>
    <w:pPr>
      <w:keepNext/>
      <w:keepLines/>
      <w:spacing w:before="140" w:after="80"/>
      <w:outlineLvl w:val="1"/>
    </w:pPr>
    <w:rPr>
      <w:rFonts w:cstheme="majorBidi"/>
      <w:b/>
      <w:bCs/>
      <w:color w:val="auto"/>
      <w:szCs w:val="24"/>
    </w:rPr>
  </w:style>
  <w:style w:type="paragraph" w:styleId="Heading3">
    <w:name w:val="heading 3"/>
    <w:basedOn w:val="Normal"/>
    <w:next w:val="Normal"/>
    <w:link w:val="Heading3Char"/>
    <w:uiPriority w:val="9"/>
    <w:unhideWhenUsed/>
    <w:qFormat/>
    <w:rsid w:val="00FC693F"/>
    <w:pPr>
      <w:keepNext/>
      <w:keepLines/>
      <w:spacing w:before="140" w:after="80"/>
      <w:outlineLvl w:val="2"/>
    </w:pPr>
    <w:rPr>
      <w:rFonts w:asciiTheme="majorHAnsi" w:eastAsiaTheme="majorEastAsia" w:hAnsiTheme="majorHAnsi" w:cstheme="majorBidi"/>
      <w:b/>
      <w:bCs/>
      <w:color w:val="285B8F"/>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65625B"/>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935457"/>
    <w:rPr>
      <w:rFonts w:ascii="Times New Roman" w:eastAsia="Times New Roman" w:hAnsi="Times New Roman" w:cstheme="majorBidi"/>
      <w:b/>
      <w:bCs/>
      <w:sz w:val="24"/>
      <w:szCs w:val="24"/>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140" w:after="80" w:line="240" w:lineRule="auto"/>
      <w:contextualSpacing/>
    </w:pPr>
    <w:rPr>
      <w:rFonts w:asciiTheme="majorHAnsi" w:eastAsiaTheme="majorEastAsia" w:hAnsiTheme="majorHAnsi" w:cstheme="majorBidi"/>
      <w:b/>
      <w:color w:val="17324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63A64"/>
    <w:rPr>
      <w:color w:val="0000FF" w:themeColor="hyperlink"/>
      <w:u w:val="single"/>
    </w:rPr>
  </w:style>
  <w:style w:type="character" w:styleId="UnresolvedMention">
    <w:name w:val="Unresolved Mention"/>
    <w:basedOn w:val="DefaultParagraphFont"/>
    <w:uiPriority w:val="99"/>
    <w:semiHidden/>
    <w:unhideWhenUsed/>
    <w:rsid w:val="00663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uildingbetterhealthcare.com/official-launch-of-gdm-health-148302" TargetMode="External"/><Relationship Id="rId18" Type="http://schemas.openxmlformats.org/officeDocument/2006/relationships/hyperlink" Target="https://doi.org/10.2196/39689" TargetMode="External"/><Relationship Id="rId26" Type="http://schemas.openxmlformats.org/officeDocument/2006/relationships/hyperlink" Target="https://www.england.nhs.uk/long-read/healthier-you-nhs-diabetes-prevention-programme-gdm/"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ibme.ox.ac.uk/case-study/gdm-health-gestational-diabetes-management-system/" TargetMode="External"/><Relationship Id="rId17" Type="http://schemas.openxmlformats.org/officeDocument/2006/relationships/hyperlink" Target="https://www.england.nhs.uk/long-read/healthier-you-nhs-diabetes-prevention-programme-gdm/" TargetMode="External"/><Relationship Id="rId25" Type="http://schemas.openxmlformats.org/officeDocument/2006/relationships/hyperlink" Target="https://www.nice.org.uk/guidance/ng3/chapter/Recommendations" TargetMode="External"/><Relationship Id="rId2" Type="http://schemas.openxmlformats.org/officeDocument/2006/relationships/numbering" Target="numbering.xml"/><Relationship Id="rId16" Type="http://schemas.openxmlformats.org/officeDocument/2006/relationships/hyperlink" Target="https://www.nice.org.uk/guidance/ng3/chapter/Recommendations" TargetMode="External"/><Relationship Id="rId20" Type="http://schemas.openxmlformats.org/officeDocument/2006/relationships/hyperlink" Target="https://doi.org/10.1080/01443615.2023.224590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86/1748-5908-6-42"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90/ijms26052320?utm_source=chatgpt.com" TargetMode="External"/><Relationship Id="rId23" Type="http://schemas.openxmlformats.org/officeDocument/2006/relationships/hyperlink" Target="https://doi.org/10.1371/journal.pdig.0000015" TargetMode="External"/><Relationship Id="rId28" Type="http://schemas.openxmlformats.org/officeDocument/2006/relationships/hyperlink" Target="https://doi.org/10.1080/01443615.2023.2245906" TargetMode="External"/><Relationship Id="rId10" Type="http://schemas.openxmlformats.org/officeDocument/2006/relationships/image" Target="media/image3.png"/><Relationship Id="rId19" Type="http://schemas.openxmlformats.org/officeDocument/2006/relationships/hyperlink" Target="https://ibme.ox.ac.uk/case-study/gdm-health-gestational-diabetes-management-syste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2196/mhealth.9512" TargetMode="External"/><Relationship Id="rId22" Type="http://schemas.openxmlformats.org/officeDocument/2006/relationships/image" Target="media/image6.png"/><Relationship Id="rId27" Type="http://schemas.openxmlformats.org/officeDocument/2006/relationships/hyperlink" Target="https://doi.org/10.2196/39689"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Geetha</dc:creator>
  <cp:lastModifiedBy>geedhruv19@gmail.com</cp:lastModifiedBy>
  <cp:revision>2</cp:revision>
  <dcterms:created xsi:type="dcterms:W3CDTF">2026-10-23T10:48:00Z</dcterms:created>
  <dcterms:modified xsi:type="dcterms:W3CDTF">2026-10-23T10:48:00Z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7bdbe84315a7b56cf13686974d159545c29f047f09b634b5113a44b39e45bf77</vt:lpwstr>
  </property>
</Properties>
</file>