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FB7" w:rsidRDefault="009E3152" w:rsidP="009E3152">
      <w:pPr>
        <w:pStyle w:val="Title"/>
        <w:rPr>
          <w:rFonts w:ascii="Times New Roman" w:hAnsi="Times New Roman" w:cs="Times New Roman"/>
          <w:b/>
          <w:u w:val="single"/>
        </w:rPr>
      </w:pPr>
      <w:r w:rsidRPr="00F269CE">
        <w:rPr>
          <w:rFonts w:ascii="Times New Roman" w:hAnsi="Times New Roman" w:cs="Times New Roman"/>
          <w:b/>
          <w:u w:val="single"/>
        </w:rPr>
        <w:t>Critical Source review</w:t>
      </w:r>
    </w:p>
    <w:p w:rsidR="00B27FB7" w:rsidRPr="00F269CE" w:rsidRDefault="00B27FB7" w:rsidP="00B27FB7">
      <w:pPr>
        <w:tabs>
          <w:tab w:val="left" w:pos="5745"/>
        </w:tabs>
        <w:rPr>
          <w:rFonts w:cs="Times New Roman"/>
        </w:rPr>
      </w:pPr>
    </w:p>
    <w:p w:rsidR="00B27FB7" w:rsidRDefault="007F4D7E" w:rsidP="00483248">
      <w:pPr>
        <w:tabs>
          <w:tab w:val="left" w:pos="2940"/>
        </w:tabs>
        <w:spacing w:line="360" w:lineRule="auto"/>
        <w:rPr>
          <w:rFonts w:cs="Times New Roman"/>
        </w:rPr>
      </w:pPr>
      <w:r w:rsidRPr="002D4594">
        <w:rPr>
          <w:rFonts w:cs="Times New Roman"/>
        </w:rPr>
        <w:t>One of the primary sources when dealing when discussing and critically analysing of the halt of Roman Expansion along the Rhine frontier will be that of Tacitus</w:t>
      </w:r>
      <w:r w:rsidR="00BA091A" w:rsidRPr="002D4594">
        <w:rPr>
          <w:rFonts w:cs="Times New Roman"/>
        </w:rPr>
        <w:t>’</w:t>
      </w:r>
      <w:r w:rsidRPr="002D4594">
        <w:rPr>
          <w:rFonts w:cs="Times New Roman"/>
        </w:rPr>
        <w:t xml:space="preserve"> </w:t>
      </w:r>
      <w:r w:rsidRPr="002D4594">
        <w:rPr>
          <w:rFonts w:cs="Times New Roman"/>
          <w:i/>
        </w:rPr>
        <w:t>Germania</w:t>
      </w:r>
      <w:r w:rsidRPr="002D4594">
        <w:rPr>
          <w:rFonts w:cs="Times New Roman"/>
        </w:rPr>
        <w:t>. This work</w:t>
      </w:r>
      <w:r w:rsidR="00BA091A" w:rsidRPr="002D4594">
        <w:rPr>
          <w:rFonts w:cs="Times New Roman"/>
        </w:rPr>
        <w:t>,</w:t>
      </w:r>
      <w:r w:rsidRPr="002D4594">
        <w:rPr>
          <w:rFonts w:cs="Times New Roman"/>
        </w:rPr>
        <w:t xml:space="preserve"> although not directly dealing with the topic of Roman expansion does deal with topic because it is </w:t>
      </w:r>
      <w:r w:rsidR="004B37DE" w:rsidRPr="002D4594">
        <w:rPr>
          <w:rFonts w:cs="Times New Roman"/>
        </w:rPr>
        <w:t xml:space="preserve">denoting </w:t>
      </w:r>
      <w:r w:rsidRPr="002D4594">
        <w:rPr>
          <w:rFonts w:cs="Times New Roman"/>
        </w:rPr>
        <w:t>the area east of the Rhine and discussing from a Roman viewpoint as to why the area is left unconquered.</w:t>
      </w:r>
      <w:r>
        <w:rPr>
          <w:rFonts w:cs="Times New Roman"/>
        </w:rPr>
        <w:t xml:space="preserve"> </w:t>
      </w:r>
      <w:r w:rsidR="00787835">
        <w:rPr>
          <w:rFonts w:cs="Times New Roman"/>
        </w:rPr>
        <w:t xml:space="preserve">The </w:t>
      </w:r>
      <w:r w:rsidR="00787835" w:rsidRPr="008B3F92">
        <w:rPr>
          <w:rFonts w:cs="Times New Roman"/>
          <w:i/>
        </w:rPr>
        <w:t>Germania</w:t>
      </w:r>
      <w:r w:rsidR="00BA091A">
        <w:rPr>
          <w:rFonts w:cs="Times New Roman"/>
        </w:rPr>
        <w:t xml:space="preserve"> is</w:t>
      </w:r>
      <w:r w:rsidR="007E4266">
        <w:rPr>
          <w:rFonts w:cs="Times New Roman"/>
        </w:rPr>
        <w:t xml:space="preserve"> </w:t>
      </w:r>
      <w:r w:rsidR="00787835">
        <w:rPr>
          <w:rFonts w:cs="Times New Roman"/>
        </w:rPr>
        <w:t>an ethnographi</w:t>
      </w:r>
      <w:r w:rsidR="007E4266">
        <w:rPr>
          <w:rFonts w:cs="Times New Roman"/>
        </w:rPr>
        <w:t>c work dealing with</w:t>
      </w:r>
      <w:r w:rsidR="00787835">
        <w:rPr>
          <w:rFonts w:cs="Times New Roman"/>
        </w:rPr>
        <w:t xml:space="preserve"> the </w:t>
      </w:r>
      <w:r w:rsidR="00BA091A" w:rsidRPr="00BA091A">
        <w:rPr>
          <w:rFonts w:cs="Times New Roman"/>
          <w:i/>
        </w:rPr>
        <w:t xml:space="preserve">Germanic </w:t>
      </w:r>
      <w:r w:rsidR="00787835" w:rsidRPr="00BA091A">
        <w:rPr>
          <w:rFonts w:cs="Times New Roman"/>
          <w:i/>
        </w:rPr>
        <w:t>people</w:t>
      </w:r>
      <w:r w:rsidR="00BA091A" w:rsidRPr="00BA091A">
        <w:rPr>
          <w:rFonts w:cs="Times New Roman"/>
          <w:i/>
        </w:rPr>
        <w:t>s</w:t>
      </w:r>
      <w:r w:rsidR="00787835">
        <w:rPr>
          <w:rFonts w:cs="Times New Roman"/>
        </w:rPr>
        <w:t xml:space="preserve"> and their lifestyle</w:t>
      </w:r>
      <w:r w:rsidR="00BA091A">
        <w:rPr>
          <w:rFonts w:cs="Times New Roman"/>
        </w:rPr>
        <w:t>,</w:t>
      </w:r>
      <w:r w:rsidR="00787835">
        <w:rPr>
          <w:rFonts w:cs="Times New Roman"/>
        </w:rPr>
        <w:t xml:space="preserve"> </w:t>
      </w:r>
      <w:r w:rsidR="007E5A19">
        <w:rPr>
          <w:rFonts w:cs="Times New Roman"/>
        </w:rPr>
        <w:t xml:space="preserve">it also contains </w:t>
      </w:r>
      <w:r w:rsidR="00787835">
        <w:rPr>
          <w:rFonts w:cs="Times New Roman"/>
        </w:rPr>
        <w:t xml:space="preserve">the </w:t>
      </w:r>
      <w:r w:rsidR="00787835" w:rsidRPr="00787835">
        <w:rPr>
          <w:rFonts w:cs="Times New Roman"/>
        </w:rPr>
        <w:t>topography</w:t>
      </w:r>
      <w:r w:rsidR="00787835">
        <w:rPr>
          <w:rFonts w:cs="Times New Roman"/>
        </w:rPr>
        <w:t xml:space="preserve"> of the region </w:t>
      </w:r>
      <w:r w:rsidR="007E5A19">
        <w:rPr>
          <w:rFonts w:cs="Times New Roman"/>
        </w:rPr>
        <w:t xml:space="preserve">east of the Rhine </w:t>
      </w:r>
      <w:r w:rsidR="00787835">
        <w:rPr>
          <w:rFonts w:cs="Times New Roman"/>
        </w:rPr>
        <w:t xml:space="preserve">as well the resources it </w:t>
      </w:r>
      <w:r w:rsidR="002077EE">
        <w:rPr>
          <w:rFonts w:cs="Times New Roman"/>
        </w:rPr>
        <w:t>allegedly contained</w:t>
      </w:r>
      <w:r w:rsidR="00E04483">
        <w:rPr>
          <w:rFonts w:cs="Times New Roman"/>
        </w:rPr>
        <w:t xml:space="preserve"> </w:t>
      </w:r>
      <w:r w:rsidR="00E04483">
        <w:rPr>
          <w:rStyle w:val="FootnoteReference"/>
          <w:rFonts w:cs="Times New Roman"/>
        </w:rPr>
        <w:footnoteReference w:id="1"/>
      </w:r>
      <w:r w:rsidR="00787835">
        <w:rPr>
          <w:rFonts w:cs="Times New Roman"/>
        </w:rPr>
        <w:t xml:space="preserve">. </w:t>
      </w:r>
      <w:r w:rsidR="00133BE0">
        <w:rPr>
          <w:rFonts w:cs="Times New Roman"/>
        </w:rPr>
        <w:t xml:space="preserve">When working with the </w:t>
      </w:r>
      <w:r w:rsidR="00133BE0" w:rsidRPr="00133BE0">
        <w:rPr>
          <w:rFonts w:cs="Times New Roman"/>
          <w:i/>
        </w:rPr>
        <w:t>Germania</w:t>
      </w:r>
      <w:r w:rsidR="00133BE0">
        <w:rPr>
          <w:rFonts w:cs="Times New Roman"/>
        </w:rPr>
        <w:t xml:space="preserve"> it does have some critical weaknesses to be aware of, which can affect the analysis</w:t>
      </w:r>
      <w:r w:rsidR="008B3F92">
        <w:rPr>
          <w:rFonts w:cs="Times New Roman"/>
        </w:rPr>
        <w:t xml:space="preserve"> and that detract from its practicality as a viable source when dealing </w:t>
      </w:r>
      <w:r w:rsidR="00133BE0">
        <w:rPr>
          <w:rFonts w:cs="Times New Roman"/>
        </w:rPr>
        <w:t xml:space="preserve">with the topic of the </w:t>
      </w:r>
      <w:r w:rsidR="00133BE0" w:rsidRPr="00133BE0">
        <w:rPr>
          <w:rFonts w:cs="Times New Roman"/>
          <w:i/>
        </w:rPr>
        <w:t>‘Germanic</w:t>
      </w:r>
      <w:r w:rsidR="008B3F92" w:rsidRPr="00133BE0">
        <w:rPr>
          <w:rFonts w:cs="Times New Roman"/>
          <w:i/>
        </w:rPr>
        <w:t xml:space="preserve"> peoples</w:t>
      </w:r>
      <w:r w:rsidR="00133BE0" w:rsidRPr="00133BE0">
        <w:rPr>
          <w:rFonts w:cs="Times New Roman"/>
          <w:i/>
        </w:rPr>
        <w:t>’</w:t>
      </w:r>
      <w:r w:rsidR="007265E4">
        <w:rPr>
          <w:rFonts w:cs="Times New Roman"/>
        </w:rPr>
        <w:t>. One of those critical weaknesses a</w:t>
      </w:r>
      <w:r w:rsidR="00AB2A66">
        <w:rPr>
          <w:rFonts w:cs="Times New Roman"/>
        </w:rPr>
        <w:t xml:space="preserve">ccording to Flaig and Franke, </w:t>
      </w:r>
      <w:r w:rsidR="00AA25DD">
        <w:rPr>
          <w:rFonts w:cs="Times New Roman"/>
        </w:rPr>
        <w:t xml:space="preserve">is that </w:t>
      </w:r>
      <w:r w:rsidR="00AB2A66">
        <w:rPr>
          <w:rFonts w:cs="Times New Roman"/>
        </w:rPr>
        <w:t xml:space="preserve">the work is </w:t>
      </w:r>
      <w:r w:rsidR="00AA25DD">
        <w:rPr>
          <w:rFonts w:cs="Times New Roman"/>
        </w:rPr>
        <w:t>e</w:t>
      </w:r>
      <w:r w:rsidR="00AB2A66" w:rsidRPr="00AB2A66">
        <w:rPr>
          <w:rFonts w:cs="Times New Roman"/>
        </w:rPr>
        <w:t>thnographically</w:t>
      </w:r>
      <w:r w:rsidR="00AB2A66">
        <w:rPr>
          <w:rFonts w:cs="Times New Roman"/>
        </w:rPr>
        <w:t xml:space="preserve"> inaccurate</w:t>
      </w:r>
      <w:r w:rsidR="00FE761F">
        <w:rPr>
          <w:rFonts w:cs="Times New Roman"/>
        </w:rPr>
        <w:t xml:space="preserve"> </w:t>
      </w:r>
      <w:r w:rsidR="00AB2A66">
        <w:rPr>
          <w:rStyle w:val="FootnoteReference"/>
          <w:rFonts w:cs="Times New Roman"/>
        </w:rPr>
        <w:footnoteReference w:id="2"/>
      </w:r>
      <w:r w:rsidR="00AB2A66">
        <w:rPr>
          <w:rFonts w:cs="Times New Roman"/>
        </w:rPr>
        <w:t xml:space="preserve">. </w:t>
      </w:r>
      <w:r w:rsidR="007265E4">
        <w:rPr>
          <w:rFonts w:cs="Times New Roman"/>
        </w:rPr>
        <w:t xml:space="preserve">A further critical weaknesses according to Tan is that the geography of the </w:t>
      </w:r>
      <w:r w:rsidR="007265E4" w:rsidRPr="007265E4">
        <w:rPr>
          <w:rFonts w:cs="Times New Roman"/>
          <w:i/>
        </w:rPr>
        <w:t>Germania</w:t>
      </w:r>
      <w:r w:rsidR="007265E4">
        <w:rPr>
          <w:rFonts w:cs="Times New Roman"/>
        </w:rPr>
        <w:t xml:space="preserve"> in his words is s</w:t>
      </w:r>
      <w:r w:rsidR="007265E4" w:rsidRPr="00CD02AA">
        <w:rPr>
          <w:rFonts w:cs="Times New Roman"/>
        </w:rPr>
        <w:t>ubv</w:t>
      </w:r>
      <w:r w:rsidR="007265E4">
        <w:rPr>
          <w:rFonts w:cs="Times New Roman"/>
        </w:rPr>
        <w:t xml:space="preserve">ersive </w:t>
      </w:r>
      <w:r w:rsidR="007265E4">
        <w:rPr>
          <w:rStyle w:val="FootnoteReference"/>
          <w:rFonts w:cs="Times New Roman"/>
        </w:rPr>
        <w:footnoteReference w:id="3"/>
      </w:r>
      <w:r w:rsidR="007265E4">
        <w:rPr>
          <w:rFonts w:cs="Times New Roman"/>
        </w:rPr>
        <w:t xml:space="preserve">. </w:t>
      </w:r>
      <w:r w:rsidR="00AB2A66">
        <w:rPr>
          <w:rFonts w:cs="Times New Roman"/>
        </w:rPr>
        <w:t>The</w:t>
      </w:r>
      <w:r w:rsidR="000B3FD4">
        <w:rPr>
          <w:rFonts w:cs="Times New Roman"/>
        </w:rPr>
        <w:t>se weaknesses</w:t>
      </w:r>
      <w:r w:rsidR="00AB2A66">
        <w:rPr>
          <w:rFonts w:cs="Times New Roman"/>
        </w:rPr>
        <w:t xml:space="preserve"> will be discussed </w:t>
      </w:r>
      <w:r w:rsidR="007D392C">
        <w:rPr>
          <w:rFonts w:cs="Times New Roman"/>
        </w:rPr>
        <w:t xml:space="preserve">along with the </w:t>
      </w:r>
      <w:r w:rsidR="007D392C" w:rsidRPr="00300FCC">
        <w:rPr>
          <w:rFonts w:cs="Times New Roman"/>
          <w:i/>
        </w:rPr>
        <w:t>Germania’s</w:t>
      </w:r>
      <w:r w:rsidR="007D392C">
        <w:rPr>
          <w:rFonts w:cs="Times New Roman"/>
        </w:rPr>
        <w:t xml:space="preserve"> strengths</w:t>
      </w:r>
      <w:r w:rsidR="00B91BA0">
        <w:rPr>
          <w:rFonts w:cs="Times New Roman"/>
        </w:rPr>
        <w:t>,</w:t>
      </w:r>
      <w:r w:rsidR="007D392C">
        <w:rPr>
          <w:rFonts w:cs="Times New Roman"/>
        </w:rPr>
        <w:t xml:space="preserve"> </w:t>
      </w:r>
      <w:r w:rsidR="000A217B">
        <w:rPr>
          <w:rFonts w:cs="Times New Roman"/>
        </w:rPr>
        <w:t>and</w:t>
      </w:r>
      <w:r w:rsidR="007D392C">
        <w:rPr>
          <w:rFonts w:cs="Times New Roman"/>
        </w:rPr>
        <w:t xml:space="preserve"> the influence </w:t>
      </w:r>
      <w:r w:rsidR="00B91BA0">
        <w:rPr>
          <w:rFonts w:cs="Times New Roman"/>
        </w:rPr>
        <w:t xml:space="preserve">that </w:t>
      </w:r>
      <w:r w:rsidR="007D392C">
        <w:rPr>
          <w:rFonts w:cs="Times New Roman"/>
        </w:rPr>
        <w:t xml:space="preserve">it </w:t>
      </w:r>
      <w:r w:rsidR="00B91BA0">
        <w:rPr>
          <w:rFonts w:cs="Times New Roman"/>
        </w:rPr>
        <w:t>has</w:t>
      </w:r>
      <w:r w:rsidR="007D392C">
        <w:rPr>
          <w:rFonts w:cs="Times New Roman"/>
        </w:rPr>
        <w:t xml:space="preserve"> had on modern scholars’ approaches to the topic of the halt of expansion along the Rhine</w:t>
      </w:r>
      <w:r w:rsidR="00B91BA0">
        <w:rPr>
          <w:rFonts w:cs="Times New Roman"/>
        </w:rPr>
        <w:t>, in addition to its view of</w:t>
      </w:r>
      <w:r w:rsidR="007D392C">
        <w:rPr>
          <w:rFonts w:cs="Times New Roman"/>
        </w:rPr>
        <w:t xml:space="preserve"> the </w:t>
      </w:r>
      <w:r w:rsidR="00300FCC">
        <w:rPr>
          <w:rFonts w:cs="Times New Roman"/>
        </w:rPr>
        <w:t>‘</w:t>
      </w:r>
      <w:r w:rsidR="007D392C" w:rsidRPr="00B91BA0">
        <w:rPr>
          <w:rFonts w:cs="Times New Roman"/>
          <w:i/>
        </w:rPr>
        <w:t>Germanic people</w:t>
      </w:r>
      <w:r w:rsidR="00B91BA0">
        <w:rPr>
          <w:rFonts w:cs="Times New Roman"/>
          <w:i/>
        </w:rPr>
        <w:t>s</w:t>
      </w:r>
      <w:r w:rsidR="00B91BA0" w:rsidRPr="00B91BA0">
        <w:rPr>
          <w:rFonts w:cs="Times New Roman"/>
          <w:i/>
        </w:rPr>
        <w:t>’</w:t>
      </w:r>
      <w:r w:rsidR="00B91BA0">
        <w:rPr>
          <w:rFonts w:cs="Times New Roman"/>
        </w:rPr>
        <w:t xml:space="preserve"> living east of the Rhine</w:t>
      </w:r>
      <w:r w:rsidR="007D392C">
        <w:rPr>
          <w:rFonts w:cs="Times New Roman"/>
        </w:rPr>
        <w:t xml:space="preserve">.  </w:t>
      </w:r>
    </w:p>
    <w:p w:rsidR="00F9582A" w:rsidRDefault="00F9582A" w:rsidP="00483248">
      <w:pPr>
        <w:tabs>
          <w:tab w:val="left" w:pos="2940"/>
        </w:tabs>
        <w:spacing w:line="360" w:lineRule="auto"/>
        <w:rPr>
          <w:rFonts w:cs="Times New Roman"/>
        </w:rPr>
      </w:pPr>
    </w:p>
    <w:p w:rsidR="00251F6C" w:rsidRDefault="004C7B71" w:rsidP="00483248">
      <w:pPr>
        <w:tabs>
          <w:tab w:val="left" w:pos="2940"/>
        </w:tabs>
        <w:spacing w:line="360" w:lineRule="auto"/>
        <w:rPr>
          <w:rFonts w:cs="Times New Roman"/>
        </w:rPr>
      </w:pPr>
      <w:r>
        <w:rPr>
          <w:rFonts w:cs="Times New Roman"/>
        </w:rPr>
        <w:t xml:space="preserve">Firstly, </w:t>
      </w:r>
      <w:r w:rsidR="00294289">
        <w:rPr>
          <w:rFonts w:cs="Times New Roman"/>
        </w:rPr>
        <w:t>the author of the Germania, Tacitus, has to be examined in order to place</w:t>
      </w:r>
      <w:r w:rsidR="00AB07D5">
        <w:rPr>
          <w:rFonts w:cs="Times New Roman"/>
        </w:rPr>
        <w:t xml:space="preserve"> the work in its proper </w:t>
      </w:r>
      <w:r w:rsidR="00294289">
        <w:rPr>
          <w:rFonts w:cs="Times New Roman"/>
        </w:rPr>
        <w:t xml:space="preserve">political, social and historical </w:t>
      </w:r>
      <w:r w:rsidR="00AB07D5">
        <w:rPr>
          <w:rFonts w:cs="Times New Roman"/>
        </w:rPr>
        <w:t xml:space="preserve">context </w:t>
      </w:r>
      <w:r w:rsidR="008A2A0E">
        <w:rPr>
          <w:rFonts w:cs="Times New Roman"/>
        </w:rPr>
        <w:t xml:space="preserve">as they have bearing on the usefulness </w:t>
      </w:r>
      <w:r w:rsidR="00AB3BBD">
        <w:rPr>
          <w:rFonts w:cs="Times New Roman"/>
        </w:rPr>
        <w:t>of the Germania as a source.</w:t>
      </w:r>
      <w:r w:rsidR="00294289">
        <w:rPr>
          <w:rFonts w:cs="Times New Roman"/>
        </w:rPr>
        <w:t xml:space="preserve"> </w:t>
      </w:r>
      <w:r w:rsidR="00187F4D">
        <w:rPr>
          <w:rFonts w:cs="Times New Roman"/>
        </w:rPr>
        <w:t xml:space="preserve">Tacitus’ </w:t>
      </w:r>
      <w:r w:rsidR="00FB2E62">
        <w:rPr>
          <w:rFonts w:cs="Times New Roman"/>
        </w:rPr>
        <w:t>was originally from Gaul and enjoyed a successful senatorial career under the Flavian Emperors, but like most of his Senatorial peers</w:t>
      </w:r>
      <w:r w:rsidR="00AB07D5">
        <w:rPr>
          <w:rFonts w:cs="Times New Roman"/>
        </w:rPr>
        <w:t xml:space="preserve"> he</w:t>
      </w:r>
      <w:r w:rsidR="00FB2E62">
        <w:rPr>
          <w:rFonts w:cs="Times New Roman"/>
        </w:rPr>
        <w:t xml:space="preserve"> was critically hostile to the last Flavian Emperor</w:t>
      </w:r>
      <w:r w:rsidR="00DD5B1D">
        <w:rPr>
          <w:rFonts w:cs="Times New Roman"/>
        </w:rPr>
        <w:t>,</w:t>
      </w:r>
      <w:r w:rsidR="00FB2E62">
        <w:rPr>
          <w:rFonts w:cs="Times New Roman"/>
        </w:rPr>
        <w:t xml:space="preserve"> Domitian. </w:t>
      </w:r>
      <w:r w:rsidR="00424E7B">
        <w:rPr>
          <w:rFonts w:cs="Times New Roman"/>
        </w:rPr>
        <w:t>According to Mellor</w:t>
      </w:r>
      <w:r w:rsidR="00DD5B1D">
        <w:rPr>
          <w:rFonts w:cs="Times New Roman"/>
        </w:rPr>
        <w:t>,</w:t>
      </w:r>
      <w:r w:rsidR="00424E7B">
        <w:rPr>
          <w:rFonts w:cs="Times New Roman"/>
        </w:rPr>
        <w:t xml:space="preserve"> w</w:t>
      </w:r>
      <w:r w:rsidR="00FB2E62">
        <w:rPr>
          <w:rFonts w:cs="Times New Roman"/>
        </w:rPr>
        <w:t>ith Domitian’s</w:t>
      </w:r>
      <w:r w:rsidR="00424E7B">
        <w:rPr>
          <w:rFonts w:cs="Times New Roman"/>
        </w:rPr>
        <w:t xml:space="preserve"> murder in 96 AD </w:t>
      </w:r>
      <w:r w:rsidR="00424E7B" w:rsidRPr="00424E7B">
        <w:rPr>
          <w:rFonts w:cs="Times New Roman"/>
        </w:rPr>
        <w:t>disagreements</w:t>
      </w:r>
      <w:r w:rsidR="00424E7B">
        <w:rPr>
          <w:rFonts w:cs="Times New Roman"/>
        </w:rPr>
        <w:t xml:space="preserve"> arose on how the senate and the Emperor should relate to on</w:t>
      </w:r>
      <w:r w:rsidR="00861F42">
        <w:rPr>
          <w:rFonts w:cs="Times New Roman"/>
        </w:rPr>
        <w:t>e another, and subsequently i</w:t>
      </w:r>
      <w:r w:rsidR="00424E7B">
        <w:rPr>
          <w:rFonts w:cs="Times New Roman"/>
        </w:rPr>
        <w:t>n 98AD Tacitus started publishing his works which were an attempt to resolve this issue</w:t>
      </w:r>
      <w:r w:rsidR="00861F42">
        <w:rPr>
          <w:rFonts w:cs="Times New Roman"/>
        </w:rPr>
        <w:t xml:space="preserve"> </w:t>
      </w:r>
      <w:r w:rsidR="00424E7B">
        <w:rPr>
          <w:rFonts w:cs="Times New Roman"/>
        </w:rPr>
        <w:t xml:space="preserve"> </w:t>
      </w:r>
      <w:r w:rsidR="00424E7B">
        <w:rPr>
          <w:rStyle w:val="FootnoteReference"/>
          <w:rFonts w:cs="Times New Roman"/>
        </w:rPr>
        <w:footnoteReference w:id="4"/>
      </w:r>
      <w:r w:rsidR="00424E7B">
        <w:rPr>
          <w:rFonts w:cs="Times New Roman"/>
        </w:rPr>
        <w:t xml:space="preserve">. </w:t>
      </w:r>
      <w:r w:rsidR="007B510E">
        <w:rPr>
          <w:rFonts w:cs="Times New Roman"/>
        </w:rPr>
        <w:t xml:space="preserve">An important aspect to note about the </w:t>
      </w:r>
      <w:r w:rsidR="007B510E" w:rsidRPr="007B510E">
        <w:rPr>
          <w:rFonts w:cs="Times New Roman"/>
          <w:i/>
        </w:rPr>
        <w:t>Germania</w:t>
      </w:r>
      <w:r w:rsidR="007B510E">
        <w:rPr>
          <w:rFonts w:cs="Times New Roman"/>
        </w:rPr>
        <w:t xml:space="preserve"> besides the political side is the halt of expansion along the Rhine </w:t>
      </w:r>
      <w:r w:rsidR="00DB58EF" w:rsidRPr="00DB58EF">
        <w:rPr>
          <w:rFonts w:cs="Times New Roman"/>
        </w:rPr>
        <w:t xml:space="preserve">occurred </w:t>
      </w:r>
      <w:r w:rsidR="007B510E">
        <w:rPr>
          <w:rFonts w:cs="Times New Roman"/>
        </w:rPr>
        <w:t xml:space="preserve">practically in AD 16 with the recall of Germanicus </w:t>
      </w:r>
      <w:r w:rsidR="007B510E">
        <w:rPr>
          <w:rStyle w:val="FootnoteReference"/>
          <w:rFonts w:cs="Times New Roman"/>
        </w:rPr>
        <w:footnoteReference w:id="5"/>
      </w:r>
      <w:r w:rsidR="007B510E">
        <w:rPr>
          <w:rFonts w:cs="Times New Roman"/>
        </w:rPr>
        <w:t xml:space="preserve">. </w:t>
      </w:r>
      <w:r w:rsidR="00124701">
        <w:rPr>
          <w:rFonts w:cs="Times New Roman"/>
        </w:rPr>
        <w:t xml:space="preserve">Therefore, the </w:t>
      </w:r>
      <w:r w:rsidR="00124701" w:rsidRPr="00124701">
        <w:rPr>
          <w:rFonts w:cs="Times New Roman"/>
          <w:i/>
        </w:rPr>
        <w:t>Germania</w:t>
      </w:r>
      <w:r w:rsidR="00124701">
        <w:rPr>
          <w:rFonts w:cs="Times New Roman"/>
        </w:rPr>
        <w:t xml:space="preserve"> is being written in a period were the Rhine has been the </w:t>
      </w:r>
      <w:r w:rsidR="0006568C">
        <w:rPr>
          <w:rFonts w:cs="Times New Roman"/>
        </w:rPr>
        <w:t xml:space="preserve">functional </w:t>
      </w:r>
      <w:r w:rsidR="00DB58EF">
        <w:rPr>
          <w:rFonts w:cs="Times New Roman"/>
        </w:rPr>
        <w:t>end of the Roman</w:t>
      </w:r>
      <w:r w:rsidR="00124701">
        <w:rPr>
          <w:rFonts w:cs="Times New Roman"/>
        </w:rPr>
        <w:t xml:space="preserve"> world </w:t>
      </w:r>
      <w:r w:rsidR="0006568C">
        <w:rPr>
          <w:rFonts w:cs="Times New Roman"/>
        </w:rPr>
        <w:t xml:space="preserve">in central Europe for nearly 90 years. </w:t>
      </w:r>
      <w:r w:rsidR="000258BB">
        <w:rPr>
          <w:rFonts w:cs="Times New Roman"/>
        </w:rPr>
        <w:t xml:space="preserve">The significance of this is that Tacitus is writing from the established reasoning of the senatorial order as to </w:t>
      </w:r>
      <w:r w:rsidR="00C870BF">
        <w:rPr>
          <w:rFonts w:cs="Times New Roman"/>
        </w:rPr>
        <w:t xml:space="preserve">why </w:t>
      </w:r>
      <w:r w:rsidR="000258BB">
        <w:rPr>
          <w:rFonts w:cs="Times New Roman"/>
        </w:rPr>
        <w:t xml:space="preserve">the region of Germania has never been conquered. </w:t>
      </w:r>
      <w:r w:rsidR="00C870BF">
        <w:rPr>
          <w:rFonts w:cs="Times New Roman"/>
        </w:rPr>
        <w:t xml:space="preserve">However, the </w:t>
      </w:r>
      <w:r w:rsidR="00C870BF" w:rsidRPr="00251F6C">
        <w:rPr>
          <w:rFonts w:cs="Times New Roman"/>
          <w:i/>
        </w:rPr>
        <w:t>Germania’s</w:t>
      </w:r>
      <w:r w:rsidR="00C870BF">
        <w:rPr>
          <w:rFonts w:cs="Times New Roman"/>
        </w:rPr>
        <w:t xml:space="preserve"> purpose according to some modern scholars is not to provide an explanation as to why </w:t>
      </w:r>
      <w:r w:rsidR="00C870BF">
        <w:rPr>
          <w:rFonts w:cs="Times New Roman"/>
        </w:rPr>
        <w:lastRenderedPageBreak/>
        <w:t>Germania has never been conquered but instead to counter Dom</w:t>
      </w:r>
      <w:r w:rsidR="00B261FF">
        <w:rPr>
          <w:rFonts w:cs="Times New Roman"/>
        </w:rPr>
        <w:t xml:space="preserve">itian’s claims to having pacified </w:t>
      </w:r>
      <w:r w:rsidR="00C870BF">
        <w:rPr>
          <w:rFonts w:cs="Times New Roman"/>
        </w:rPr>
        <w:t xml:space="preserve">Germania east of the Rhine. </w:t>
      </w:r>
    </w:p>
    <w:p w:rsidR="00117E4B" w:rsidRDefault="00117E4B" w:rsidP="00483248">
      <w:pPr>
        <w:tabs>
          <w:tab w:val="left" w:pos="2940"/>
          <w:tab w:val="left" w:pos="7875"/>
        </w:tabs>
        <w:spacing w:line="360" w:lineRule="auto"/>
        <w:rPr>
          <w:rFonts w:cs="Times New Roman"/>
        </w:rPr>
      </w:pPr>
    </w:p>
    <w:p w:rsidR="00D63C65" w:rsidRDefault="00251F6C" w:rsidP="00483248">
      <w:pPr>
        <w:tabs>
          <w:tab w:val="left" w:pos="2940"/>
          <w:tab w:val="left" w:pos="7875"/>
        </w:tabs>
        <w:spacing w:line="360" w:lineRule="auto"/>
        <w:rPr>
          <w:rFonts w:cs="Times New Roman"/>
        </w:rPr>
      </w:pPr>
      <w:r w:rsidRPr="00251F6C">
        <w:rPr>
          <w:rFonts w:cs="Times New Roman"/>
        </w:rPr>
        <w:t>Flaig and Franke</w:t>
      </w:r>
      <w:r>
        <w:rPr>
          <w:rFonts w:cs="Times New Roman"/>
        </w:rPr>
        <w:t xml:space="preserve"> take this approach when examin</w:t>
      </w:r>
      <w:r w:rsidR="00117E4B">
        <w:rPr>
          <w:rFonts w:cs="Times New Roman"/>
        </w:rPr>
        <w:t>ing Tacitus’ works. T</w:t>
      </w:r>
      <w:r>
        <w:rPr>
          <w:rFonts w:cs="Times New Roman"/>
        </w:rPr>
        <w:t xml:space="preserve">he </w:t>
      </w:r>
      <w:r w:rsidRPr="00251F6C">
        <w:rPr>
          <w:rFonts w:cs="Times New Roman"/>
          <w:i/>
        </w:rPr>
        <w:t>Germania</w:t>
      </w:r>
      <w:r>
        <w:rPr>
          <w:rFonts w:cs="Times New Roman"/>
        </w:rPr>
        <w:t xml:space="preserve"> </w:t>
      </w:r>
      <w:r w:rsidR="00A148FA">
        <w:rPr>
          <w:rFonts w:cs="Times New Roman"/>
        </w:rPr>
        <w:t xml:space="preserve">according to them </w:t>
      </w:r>
      <w:r>
        <w:rPr>
          <w:rFonts w:cs="Times New Roman"/>
        </w:rPr>
        <w:t xml:space="preserve">was intended to demonstrate three features to the readers.  </w:t>
      </w:r>
      <w:r w:rsidR="005A6B14">
        <w:rPr>
          <w:rFonts w:cs="Times New Roman"/>
        </w:rPr>
        <w:t>The first</w:t>
      </w:r>
      <w:r w:rsidR="002810B7">
        <w:rPr>
          <w:rFonts w:cs="Times New Roman"/>
        </w:rPr>
        <w:t xml:space="preserve"> of those features was to discredit</w:t>
      </w:r>
      <w:r w:rsidR="005A6B14">
        <w:rPr>
          <w:rFonts w:cs="Times New Roman"/>
        </w:rPr>
        <w:t xml:space="preserve"> the deceased Emperor Domitian’s claims of conquest by demonstrating that the situation was largely unchanged and that no conquest of the region had actually occurred. </w:t>
      </w:r>
      <w:r w:rsidR="003602F1">
        <w:rPr>
          <w:rFonts w:cs="Times New Roman"/>
        </w:rPr>
        <w:t xml:space="preserve">The second was to reinforce the </w:t>
      </w:r>
      <w:r w:rsidR="003602F1" w:rsidRPr="003602F1">
        <w:rPr>
          <w:rFonts w:cs="Times New Roman"/>
        </w:rPr>
        <w:t>savagery of</w:t>
      </w:r>
      <w:r w:rsidR="003602F1">
        <w:rPr>
          <w:rFonts w:cs="Times New Roman"/>
        </w:rPr>
        <w:t xml:space="preserve"> the </w:t>
      </w:r>
      <w:r w:rsidR="003602F1" w:rsidRPr="003602F1">
        <w:rPr>
          <w:rFonts w:cs="Times New Roman"/>
          <w:i/>
        </w:rPr>
        <w:t>Germanic peoples</w:t>
      </w:r>
      <w:r w:rsidR="000178BF">
        <w:rPr>
          <w:rFonts w:cs="Times New Roman"/>
        </w:rPr>
        <w:t xml:space="preserve"> and denoting</w:t>
      </w:r>
      <w:r w:rsidR="003602F1">
        <w:rPr>
          <w:rFonts w:cs="Times New Roman"/>
        </w:rPr>
        <w:t xml:space="preserve"> their way of life as foreign and barbaric with no love </w:t>
      </w:r>
      <w:r w:rsidR="000178BF">
        <w:rPr>
          <w:rFonts w:cs="Times New Roman"/>
        </w:rPr>
        <w:t xml:space="preserve">of </w:t>
      </w:r>
      <w:r w:rsidR="003602F1">
        <w:rPr>
          <w:rFonts w:cs="Times New Roman"/>
        </w:rPr>
        <w:t xml:space="preserve">peace, and thus incompatible with the Roman way of life.  The final feature </w:t>
      </w:r>
      <w:r w:rsidR="00876DBC">
        <w:rPr>
          <w:rFonts w:cs="Times New Roman"/>
        </w:rPr>
        <w:t xml:space="preserve">of </w:t>
      </w:r>
      <w:r w:rsidR="003602F1">
        <w:rPr>
          <w:rFonts w:cs="Times New Roman"/>
        </w:rPr>
        <w:t xml:space="preserve">the work is trying to establish is that the </w:t>
      </w:r>
      <w:r w:rsidR="003602F1" w:rsidRPr="003602F1">
        <w:rPr>
          <w:rFonts w:cs="Times New Roman"/>
          <w:i/>
        </w:rPr>
        <w:t>Germanic</w:t>
      </w:r>
      <w:r w:rsidR="003602F1">
        <w:rPr>
          <w:rFonts w:cs="Times New Roman"/>
          <w:i/>
        </w:rPr>
        <w:t xml:space="preserve"> peoples </w:t>
      </w:r>
      <w:r w:rsidR="003602F1">
        <w:rPr>
          <w:rFonts w:cs="Times New Roman"/>
        </w:rPr>
        <w:t>were from Tacitus</w:t>
      </w:r>
      <w:r w:rsidR="006F0D5A">
        <w:rPr>
          <w:rFonts w:cs="Times New Roman"/>
        </w:rPr>
        <w:t>’</w:t>
      </w:r>
      <w:r w:rsidR="003602F1">
        <w:rPr>
          <w:rFonts w:cs="Times New Roman"/>
        </w:rPr>
        <w:t xml:space="preserve"> view the definitive enemies of the Romans and that although </w:t>
      </w:r>
      <w:r w:rsidR="006F0D5A">
        <w:rPr>
          <w:rFonts w:cs="Times New Roman"/>
        </w:rPr>
        <w:t xml:space="preserve">the </w:t>
      </w:r>
      <w:r w:rsidR="003602F1">
        <w:rPr>
          <w:rFonts w:cs="Times New Roman"/>
        </w:rPr>
        <w:t>Roman</w:t>
      </w:r>
      <w:r w:rsidR="006F0D5A">
        <w:rPr>
          <w:rFonts w:cs="Times New Roman"/>
        </w:rPr>
        <w:t>s</w:t>
      </w:r>
      <w:r w:rsidR="003602F1">
        <w:rPr>
          <w:rFonts w:cs="Times New Roman"/>
        </w:rPr>
        <w:t xml:space="preserve"> could not conquer them, they had always triumphed over them </w:t>
      </w:r>
      <w:r w:rsidR="003602F1">
        <w:rPr>
          <w:rStyle w:val="FootnoteReference"/>
          <w:rFonts w:cs="Times New Roman"/>
        </w:rPr>
        <w:footnoteReference w:id="6"/>
      </w:r>
      <w:r w:rsidR="003602F1">
        <w:rPr>
          <w:rFonts w:cs="Times New Roman"/>
        </w:rPr>
        <w:t xml:space="preserve">.  </w:t>
      </w:r>
      <w:r w:rsidR="00EC7523">
        <w:rPr>
          <w:rFonts w:cs="Times New Roman"/>
        </w:rPr>
        <w:t>This lat</w:t>
      </w:r>
      <w:r w:rsidR="00D63C65">
        <w:rPr>
          <w:rFonts w:cs="Times New Roman"/>
        </w:rPr>
        <w:t>t</w:t>
      </w:r>
      <w:r w:rsidR="00EC7523">
        <w:rPr>
          <w:rFonts w:cs="Times New Roman"/>
        </w:rPr>
        <w:t xml:space="preserve">er approach to the Germania with the </w:t>
      </w:r>
      <w:r w:rsidR="00EC7523" w:rsidRPr="00EC7523">
        <w:rPr>
          <w:rFonts w:cs="Times New Roman"/>
          <w:i/>
        </w:rPr>
        <w:t>Germanic peoples</w:t>
      </w:r>
      <w:r w:rsidR="00EC7523">
        <w:rPr>
          <w:rFonts w:cs="Times New Roman"/>
        </w:rPr>
        <w:t xml:space="preserve"> being the enemies of the Romans can clearly be seen in one </w:t>
      </w:r>
      <w:r w:rsidR="006F5DEA">
        <w:rPr>
          <w:rFonts w:cs="Times New Roman"/>
        </w:rPr>
        <w:t>specific</w:t>
      </w:r>
      <w:r w:rsidR="00EC7523">
        <w:rPr>
          <w:rFonts w:cs="Times New Roman"/>
        </w:rPr>
        <w:t xml:space="preserve"> passage of the work. </w:t>
      </w:r>
      <w:r w:rsidR="00A9538C">
        <w:rPr>
          <w:rFonts w:cs="Times New Roman"/>
        </w:rPr>
        <w:t xml:space="preserve">The passage in question </w:t>
      </w:r>
      <w:r w:rsidR="000C4DC2">
        <w:rPr>
          <w:rFonts w:cs="Times New Roman"/>
        </w:rPr>
        <w:t xml:space="preserve">details, according to Tacitus’, that the </w:t>
      </w:r>
      <w:r w:rsidR="000C4DC2" w:rsidRPr="0092449C">
        <w:rPr>
          <w:rFonts w:cs="Times New Roman"/>
          <w:i/>
        </w:rPr>
        <w:t>Germanic people</w:t>
      </w:r>
      <w:r w:rsidR="000C4DC2">
        <w:rPr>
          <w:rFonts w:cs="Times New Roman"/>
        </w:rPr>
        <w:t xml:space="preserve"> have been Rome’s greatest threat for nearly 210 years</w:t>
      </w:r>
      <w:r w:rsidR="0092449C">
        <w:rPr>
          <w:rFonts w:cs="Times New Roman"/>
        </w:rPr>
        <w:t>,</w:t>
      </w:r>
      <w:r w:rsidR="000C4DC2">
        <w:rPr>
          <w:rFonts w:cs="Times New Roman"/>
        </w:rPr>
        <w:t xml:space="preserve"> and that no other enemy has inflic</w:t>
      </w:r>
      <w:r w:rsidR="0092449C">
        <w:rPr>
          <w:rFonts w:cs="Times New Roman"/>
        </w:rPr>
        <w:t>ted more harm on the Romans</w:t>
      </w:r>
      <w:r w:rsidR="000C4DC2">
        <w:rPr>
          <w:rFonts w:cs="Times New Roman"/>
        </w:rPr>
        <w:t xml:space="preserve"> them. This passage also details that although the Romans have achieved victory over the </w:t>
      </w:r>
      <w:r w:rsidR="000C4DC2" w:rsidRPr="00D63C65">
        <w:rPr>
          <w:rFonts w:cs="Times New Roman"/>
          <w:i/>
        </w:rPr>
        <w:t>Germanic peoples</w:t>
      </w:r>
      <w:r w:rsidR="000C4DC2">
        <w:rPr>
          <w:rFonts w:cs="Times New Roman"/>
        </w:rPr>
        <w:t xml:space="preserve"> recently, they have in no way truly conquered them </w:t>
      </w:r>
      <w:r w:rsidR="000C4DC2">
        <w:rPr>
          <w:rStyle w:val="FootnoteReference"/>
          <w:rFonts w:cs="Times New Roman"/>
        </w:rPr>
        <w:footnoteReference w:id="7"/>
      </w:r>
      <w:r w:rsidR="000C4DC2">
        <w:rPr>
          <w:rFonts w:cs="Times New Roman"/>
        </w:rPr>
        <w:t>.</w:t>
      </w:r>
      <w:r w:rsidR="00D63C65">
        <w:rPr>
          <w:rFonts w:cs="Times New Roman"/>
        </w:rPr>
        <w:t xml:space="preserve">  </w:t>
      </w:r>
    </w:p>
    <w:p w:rsidR="004F4B30" w:rsidRDefault="004F4B30" w:rsidP="00483248">
      <w:pPr>
        <w:tabs>
          <w:tab w:val="left" w:pos="2940"/>
          <w:tab w:val="left" w:pos="7875"/>
        </w:tabs>
        <w:spacing w:line="360" w:lineRule="auto"/>
        <w:rPr>
          <w:rFonts w:cs="Times New Roman"/>
        </w:rPr>
      </w:pPr>
    </w:p>
    <w:p w:rsidR="00B27FB7" w:rsidRDefault="00D63C65" w:rsidP="00483248">
      <w:pPr>
        <w:tabs>
          <w:tab w:val="left" w:pos="2940"/>
          <w:tab w:val="left" w:pos="7875"/>
        </w:tabs>
        <w:spacing w:line="360" w:lineRule="auto"/>
        <w:rPr>
          <w:rFonts w:cs="Times New Roman"/>
        </w:rPr>
      </w:pPr>
      <w:r>
        <w:rPr>
          <w:rFonts w:cs="Times New Roman"/>
        </w:rPr>
        <w:t xml:space="preserve">This view point </w:t>
      </w:r>
      <w:r w:rsidR="00E630E0">
        <w:rPr>
          <w:rFonts w:cs="Times New Roman"/>
        </w:rPr>
        <w:t>of the Germanic people being the greatest enemy of the Romans</w:t>
      </w:r>
      <w:r w:rsidR="00002BB4">
        <w:rPr>
          <w:rFonts w:cs="Times New Roman"/>
        </w:rPr>
        <w:t>,</w:t>
      </w:r>
      <w:r w:rsidR="00E630E0">
        <w:rPr>
          <w:rFonts w:cs="Times New Roman"/>
        </w:rPr>
        <w:t xml:space="preserve"> along with others </w:t>
      </w:r>
      <w:r>
        <w:rPr>
          <w:rFonts w:cs="Times New Roman"/>
        </w:rPr>
        <w:t xml:space="preserve">is one that has influenced </w:t>
      </w:r>
      <w:r w:rsidR="004F4B30">
        <w:rPr>
          <w:rFonts w:cs="Times New Roman"/>
        </w:rPr>
        <w:t>both Flaig and</w:t>
      </w:r>
      <w:r w:rsidR="004F4B30" w:rsidRPr="004F4B30">
        <w:rPr>
          <w:rFonts w:cs="Times New Roman"/>
        </w:rPr>
        <w:t xml:space="preserve"> Franke </w:t>
      </w:r>
      <w:r w:rsidR="004F4B30">
        <w:rPr>
          <w:rFonts w:cs="Times New Roman"/>
        </w:rPr>
        <w:t xml:space="preserve">as well Krebs, </w:t>
      </w:r>
      <w:r>
        <w:rPr>
          <w:rFonts w:cs="Times New Roman"/>
        </w:rPr>
        <w:t>interpretation to the halt of the Roman expansion along the Rhine</w:t>
      </w:r>
      <w:r w:rsidR="004F4B30">
        <w:rPr>
          <w:rFonts w:cs="Times New Roman"/>
        </w:rPr>
        <w:t>,</w:t>
      </w:r>
      <w:r>
        <w:rPr>
          <w:rFonts w:cs="Times New Roman"/>
        </w:rPr>
        <w:t xml:space="preserve"> </w:t>
      </w:r>
      <w:r w:rsidR="004F4B30">
        <w:rPr>
          <w:rFonts w:cs="Times New Roman"/>
        </w:rPr>
        <w:t>and</w:t>
      </w:r>
      <w:r>
        <w:rPr>
          <w:rFonts w:cs="Times New Roman"/>
        </w:rPr>
        <w:t xml:space="preserve"> the manner in which they treat Tacitus’ work.  </w:t>
      </w:r>
      <w:r w:rsidR="00E630E0">
        <w:rPr>
          <w:rFonts w:cs="Times New Roman"/>
        </w:rPr>
        <w:t xml:space="preserve">Krebs </w:t>
      </w:r>
      <w:r w:rsidR="00B83D60">
        <w:rPr>
          <w:rFonts w:cs="Times New Roman"/>
        </w:rPr>
        <w:t xml:space="preserve">treats the </w:t>
      </w:r>
      <w:r w:rsidR="00B83D60" w:rsidRPr="00B83D60">
        <w:rPr>
          <w:rFonts w:cs="Times New Roman"/>
          <w:i/>
        </w:rPr>
        <w:t>Germania</w:t>
      </w:r>
      <w:r w:rsidR="006A3761">
        <w:rPr>
          <w:rFonts w:cs="Times New Roman"/>
        </w:rPr>
        <w:t xml:space="preserve"> with a somewhat unique viewpoint as dealing </w:t>
      </w:r>
      <w:r w:rsidR="0092676E">
        <w:rPr>
          <w:rFonts w:cs="Times New Roman"/>
        </w:rPr>
        <w:t xml:space="preserve">with </w:t>
      </w:r>
      <w:r w:rsidR="006A3761">
        <w:rPr>
          <w:rFonts w:cs="Times New Roman"/>
        </w:rPr>
        <w:t>the issue of German identity</w:t>
      </w:r>
      <w:r w:rsidR="00D07D17">
        <w:rPr>
          <w:rFonts w:cs="Times New Roman"/>
        </w:rPr>
        <w:t>,</w:t>
      </w:r>
      <w:r w:rsidR="006A3761">
        <w:rPr>
          <w:rFonts w:cs="Times New Roman"/>
        </w:rPr>
        <w:t xml:space="preserve"> as well </w:t>
      </w:r>
      <w:r w:rsidR="0036552C">
        <w:rPr>
          <w:rFonts w:cs="Times New Roman"/>
        </w:rPr>
        <w:t xml:space="preserve">as </w:t>
      </w:r>
      <w:r w:rsidR="006A3761">
        <w:rPr>
          <w:rFonts w:cs="Times New Roman"/>
        </w:rPr>
        <w:t>the Roman conceived notion and t</w:t>
      </w:r>
      <w:r w:rsidR="0036552C">
        <w:rPr>
          <w:rFonts w:cs="Times New Roman"/>
        </w:rPr>
        <w:t>reatment of the Germanic people. T</w:t>
      </w:r>
      <w:r w:rsidR="006A3761">
        <w:rPr>
          <w:rFonts w:cs="Times New Roman"/>
        </w:rPr>
        <w:t xml:space="preserve">he work also deals with </w:t>
      </w:r>
      <w:r w:rsidR="006A3761" w:rsidRPr="006A3761">
        <w:rPr>
          <w:rFonts w:cs="Times New Roman"/>
          <w:i/>
        </w:rPr>
        <w:t>Germania’s</w:t>
      </w:r>
      <w:r w:rsidR="006A3761">
        <w:rPr>
          <w:rFonts w:cs="Times New Roman"/>
        </w:rPr>
        <w:t xml:space="preserve"> influence on the 20</w:t>
      </w:r>
      <w:r w:rsidR="006A3761" w:rsidRPr="006A3761">
        <w:rPr>
          <w:rFonts w:cs="Times New Roman"/>
          <w:vertAlign w:val="superscript"/>
        </w:rPr>
        <w:t>th</w:t>
      </w:r>
      <w:r w:rsidR="006A3761">
        <w:rPr>
          <w:rFonts w:cs="Times New Roman"/>
        </w:rPr>
        <w:t xml:space="preserve"> century understanding of German history.</w:t>
      </w:r>
      <w:r w:rsidR="00D07D17">
        <w:rPr>
          <w:rFonts w:cs="Times New Roman"/>
        </w:rPr>
        <w:t xml:space="preserve"> It is the Roman treatment </w:t>
      </w:r>
      <w:r w:rsidR="00002BB4">
        <w:rPr>
          <w:rFonts w:cs="Times New Roman"/>
        </w:rPr>
        <w:t xml:space="preserve">and view </w:t>
      </w:r>
      <w:r w:rsidR="000761E6" w:rsidRPr="000761E6">
        <w:rPr>
          <w:rFonts w:cs="Times New Roman"/>
        </w:rPr>
        <w:t xml:space="preserve">of the </w:t>
      </w:r>
      <w:r w:rsidR="000761E6" w:rsidRPr="000761E6">
        <w:rPr>
          <w:rFonts w:cs="Times New Roman"/>
          <w:i/>
        </w:rPr>
        <w:t>Germanic people</w:t>
      </w:r>
      <w:r w:rsidR="000761E6" w:rsidRPr="000761E6">
        <w:rPr>
          <w:rFonts w:cs="Times New Roman"/>
        </w:rPr>
        <w:t xml:space="preserve"> </w:t>
      </w:r>
      <w:r w:rsidR="00002BB4">
        <w:rPr>
          <w:rFonts w:cs="Times New Roman"/>
        </w:rPr>
        <w:t xml:space="preserve">which interests </w:t>
      </w:r>
      <w:r w:rsidR="000761E6">
        <w:rPr>
          <w:rFonts w:cs="Times New Roman"/>
        </w:rPr>
        <w:t>this</w:t>
      </w:r>
      <w:r w:rsidR="00002BB4">
        <w:rPr>
          <w:rFonts w:cs="Times New Roman"/>
        </w:rPr>
        <w:t xml:space="preserve"> analysis of the halt of expansion along the Rhine</w:t>
      </w:r>
      <w:r w:rsidR="00D07D17">
        <w:rPr>
          <w:rFonts w:cs="Times New Roman"/>
        </w:rPr>
        <w:t xml:space="preserve"> and how Tacitus’ reflected the Roman opinion and policy. </w:t>
      </w:r>
      <w:r w:rsidR="00F81E49">
        <w:rPr>
          <w:rFonts w:cs="Times New Roman"/>
        </w:rPr>
        <w:t>K</w:t>
      </w:r>
      <w:r w:rsidR="00A81809">
        <w:rPr>
          <w:rFonts w:cs="Times New Roman"/>
        </w:rPr>
        <w:t>r</w:t>
      </w:r>
      <w:r w:rsidR="00F81E49">
        <w:rPr>
          <w:rFonts w:cs="Times New Roman"/>
        </w:rPr>
        <w:t>e</w:t>
      </w:r>
      <w:r w:rsidR="00A81809">
        <w:rPr>
          <w:rFonts w:cs="Times New Roman"/>
        </w:rPr>
        <w:t>bs details that it was Roman policy to cause disunity amongst the various ‘tribes’</w:t>
      </w:r>
      <w:r w:rsidR="00550553">
        <w:rPr>
          <w:rFonts w:cs="Times New Roman"/>
        </w:rPr>
        <w:t>,</w:t>
      </w:r>
      <w:r w:rsidR="00A81809">
        <w:rPr>
          <w:rFonts w:cs="Times New Roman"/>
        </w:rPr>
        <w:t xml:space="preserve"> as he </w:t>
      </w:r>
      <w:r w:rsidR="00D335B4">
        <w:rPr>
          <w:rFonts w:cs="Times New Roman"/>
        </w:rPr>
        <w:t>calls</w:t>
      </w:r>
      <w:r w:rsidR="00A81809">
        <w:rPr>
          <w:rFonts w:cs="Times New Roman"/>
        </w:rPr>
        <w:t xml:space="preserve"> them</w:t>
      </w:r>
      <w:r w:rsidR="00550553">
        <w:rPr>
          <w:rFonts w:cs="Times New Roman"/>
        </w:rPr>
        <w:t>,</w:t>
      </w:r>
      <w:r w:rsidR="00A81809">
        <w:rPr>
          <w:rFonts w:cs="Times New Roman"/>
        </w:rPr>
        <w:t xml:space="preserve"> east of the Rhine, and that </w:t>
      </w:r>
      <w:r w:rsidR="00D335B4">
        <w:rPr>
          <w:rFonts w:cs="Times New Roman"/>
        </w:rPr>
        <w:t>it was useful from a political standpoint to conv</w:t>
      </w:r>
      <w:r w:rsidR="00E80586">
        <w:rPr>
          <w:rFonts w:cs="Times New Roman"/>
        </w:rPr>
        <w:t>ey the view that they were Rome’s</w:t>
      </w:r>
      <w:r w:rsidR="00D335B4">
        <w:rPr>
          <w:rFonts w:cs="Times New Roman"/>
        </w:rPr>
        <w:t xml:space="preserve"> greatest enemy</w:t>
      </w:r>
      <w:r w:rsidR="00550553">
        <w:rPr>
          <w:rFonts w:cs="Times New Roman"/>
        </w:rPr>
        <w:t xml:space="preserve"> during the time period Tacitus was writing </w:t>
      </w:r>
      <w:r w:rsidR="00D335B4">
        <w:rPr>
          <w:rStyle w:val="FootnoteReference"/>
          <w:rFonts w:cs="Times New Roman"/>
        </w:rPr>
        <w:footnoteReference w:id="8"/>
      </w:r>
      <w:r w:rsidR="00D335B4">
        <w:rPr>
          <w:rFonts w:cs="Times New Roman"/>
        </w:rPr>
        <w:t>.</w:t>
      </w:r>
      <w:r w:rsidR="00773D07">
        <w:rPr>
          <w:rFonts w:cs="Times New Roman"/>
        </w:rPr>
        <w:t xml:space="preserve"> This interpretation of the </w:t>
      </w:r>
      <w:r w:rsidR="00773D07" w:rsidRPr="00773D07">
        <w:rPr>
          <w:rFonts w:cs="Times New Roman"/>
          <w:i/>
        </w:rPr>
        <w:t>Germania</w:t>
      </w:r>
      <w:r w:rsidR="00773D07">
        <w:rPr>
          <w:rFonts w:cs="Times New Roman"/>
        </w:rPr>
        <w:t xml:space="preserve"> and the political side of the w</w:t>
      </w:r>
      <w:r w:rsidR="00E80586">
        <w:rPr>
          <w:rFonts w:cs="Times New Roman"/>
        </w:rPr>
        <w:t xml:space="preserve">ork would imply that the halt along </w:t>
      </w:r>
      <w:r w:rsidR="00773D07">
        <w:rPr>
          <w:rFonts w:cs="Times New Roman"/>
        </w:rPr>
        <w:t xml:space="preserve">the Rhine was done for an </w:t>
      </w:r>
      <w:r w:rsidR="00E80586">
        <w:rPr>
          <w:rFonts w:cs="Times New Roman"/>
        </w:rPr>
        <w:t>overarching</w:t>
      </w:r>
      <w:r w:rsidR="00773D07">
        <w:rPr>
          <w:rFonts w:cs="Times New Roman"/>
        </w:rPr>
        <w:t xml:space="preserve"> political policy. Specifically, that the Roman state created the social understanding that the </w:t>
      </w:r>
      <w:r w:rsidR="00773D07" w:rsidRPr="00773D07">
        <w:rPr>
          <w:rFonts w:cs="Times New Roman"/>
          <w:i/>
        </w:rPr>
        <w:t>Germanic people</w:t>
      </w:r>
      <w:r w:rsidR="006540B4">
        <w:rPr>
          <w:rFonts w:cs="Times New Roman"/>
        </w:rPr>
        <w:t xml:space="preserve"> were a great danger </w:t>
      </w:r>
      <w:r w:rsidR="00E80586">
        <w:rPr>
          <w:rFonts w:cs="Times New Roman"/>
        </w:rPr>
        <w:t xml:space="preserve">to the Roman populace </w:t>
      </w:r>
      <w:r w:rsidR="006540B4">
        <w:rPr>
          <w:rFonts w:cs="Times New Roman"/>
        </w:rPr>
        <w:t xml:space="preserve">and </w:t>
      </w:r>
      <w:r w:rsidR="00CC3A8D">
        <w:rPr>
          <w:rFonts w:cs="Times New Roman"/>
        </w:rPr>
        <w:t xml:space="preserve">they </w:t>
      </w:r>
      <w:r w:rsidR="006540B4">
        <w:rPr>
          <w:rFonts w:cs="Times New Roman"/>
        </w:rPr>
        <w:t>had to be protected against</w:t>
      </w:r>
      <w:r w:rsidR="00CC3A8D">
        <w:rPr>
          <w:rFonts w:cs="Times New Roman"/>
        </w:rPr>
        <w:t xml:space="preserve"> them</w:t>
      </w:r>
      <w:r w:rsidR="006540B4">
        <w:rPr>
          <w:rFonts w:cs="Times New Roman"/>
        </w:rPr>
        <w:t xml:space="preserve">, therefore they stop at </w:t>
      </w:r>
      <w:r w:rsidR="006540B4">
        <w:rPr>
          <w:rFonts w:cs="Times New Roman"/>
        </w:rPr>
        <w:lastRenderedPageBreak/>
        <w:t xml:space="preserve">the Rhine to maintain this illusion that </w:t>
      </w:r>
      <w:r w:rsidR="006540B4" w:rsidRPr="006540B4">
        <w:rPr>
          <w:rFonts w:cs="Times New Roman"/>
          <w:i/>
        </w:rPr>
        <w:t>Germanic people</w:t>
      </w:r>
      <w:r w:rsidR="006540B4">
        <w:rPr>
          <w:rFonts w:cs="Times New Roman"/>
        </w:rPr>
        <w:t xml:space="preserve"> living east of the Rhine were dangerous. </w:t>
      </w:r>
      <w:r w:rsidR="00B66EAC">
        <w:rPr>
          <w:rFonts w:cs="Times New Roman"/>
        </w:rPr>
        <w:t xml:space="preserve">This interpretation of the </w:t>
      </w:r>
      <w:r w:rsidR="00B66EAC" w:rsidRPr="00B66EAC">
        <w:rPr>
          <w:rFonts w:cs="Times New Roman"/>
          <w:i/>
        </w:rPr>
        <w:t>Germania</w:t>
      </w:r>
      <w:r w:rsidR="00B66EAC">
        <w:rPr>
          <w:rFonts w:cs="Times New Roman"/>
        </w:rPr>
        <w:t xml:space="preserve"> however is reliant</w:t>
      </w:r>
      <w:r w:rsidR="00C53675">
        <w:rPr>
          <w:rFonts w:cs="Times New Roman"/>
        </w:rPr>
        <w:t>,</w:t>
      </w:r>
      <w:r w:rsidR="00B66EAC">
        <w:rPr>
          <w:rFonts w:cs="Times New Roman"/>
        </w:rPr>
        <w:t xml:space="preserve"> on the unrealistic assumption that the Roman state after establishing </w:t>
      </w:r>
      <w:r w:rsidR="00C53675">
        <w:rPr>
          <w:rFonts w:cs="Times New Roman"/>
        </w:rPr>
        <w:t xml:space="preserve">that </w:t>
      </w:r>
      <w:r w:rsidR="00B66EAC">
        <w:rPr>
          <w:rFonts w:cs="Times New Roman"/>
        </w:rPr>
        <w:t xml:space="preserve">the Rhine as a </w:t>
      </w:r>
      <w:r w:rsidR="00B66EAC" w:rsidRPr="00B66EAC">
        <w:rPr>
          <w:rFonts w:cs="Times New Roman"/>
          <w:i/>
        </w:rPr>
        <w:t>Limes</w:t>
      </w:r>
      <w:r w:rsidR="00B66EAC">
        <w:rPr>
          <w:rFonts w:cs="Times New Roman"/>
        </w:rPr>
        <w:t xml:space="preserve"> or even before</w:t>
      </w:r>
      <w:r w:rsidR="00002BB4">
        <w:rPr>
          <w:rFonts w:cs="Times New Roman"/>
        </w:rPr>
        <w:t>,</w:t>
      </w:r>
      <w:r w:rsidR="00B66EAC">
        <w:rPr>
          <w:rFonts w:cs="Times New Roman"/>
        </w:rPr>
        <w:t xml:space="preserve"> created a continuous</w:t>
      </w:r>
      <w:r w:rsidR="00002BB4">
        <w:rPr>
          <w:rFonts w:cs="Times New Roman"/>
        </w:rPr>
        <w:t xml:space="preserve"> policy of viewing the </w:t>
      </w:r>
      <w:r w:rsidR="00002BB4">
        <w:rPr>
          <w:rFonts w:cs="Times New Roman"/>
          <w:i/>
        </w:rPr>
        <w:t>Germanic p</w:t>
      </w:r>
      <w:r w:rsidR="00002BB4" w:rsidRPr="00002BB4">
        <w:rPr>
          <w:rFonts w:cs="Times New Roman"/>
          <w:i/>
        </w:rPr>
        <w:t>eoples</w:t>
      </w:r>
      <w:r w:rsidR="008A38B0">
        <w:rPr>
          <w:rFonts w:cs="Times New Roman"/>
        </w:rPr>
        <w:t xml:space="preserve"> as Rome’</w:t>
      </w:r>
      <w:r w:rsidR="00002BB4">
        <w:rPr>
          <w:rFonts w:cs="Times New Roman"/>
        </w:rPr>
        <w:t>s greatest threat. Realistically</w:t>
      </w:r>
      <w:r w:rsidR="009E4C6E">
        <w:rPr>
          <w:rFonts w:cs="Times New Roman"/>
        </w:rPr>
        <w:t>,</w:t>
      </w:r>
      <w:r w:rsidR="00002BB4">
        <w:rPr>
          <w:rFonts w:cs="Times New Roman"/>
        </w:rPr>
        <w:t xml:space="preserve"> the </w:t>
      </w:r>
      <w:r w:rsidR="00002BB4" w:rsidRPr="00002BB4">
        <w:rPr>
          <w:rFonts w:cs="Times New Roman"/>
          <w:i/>
        </w:rPr>
        <w:t>Germania’s</w:t>
      </w:r>
      <w:r w:rsidR="00002BB4">
        <w:rPr>
          <w:rFonts w:cs="Times New Roman"/>
        </w:rPr>
        <w:t xml:space="preserve"> viewpoint of the </w:t>
      </w:r>
      <w:r w:rsidR="00002BB4" w:rsidRPr="009E4C6E">
        <w:rPr>
          <w:rFonts w:cs="Times New Roman"/>
          <w:i/>
        </w:rPr>
        <w:t>Germanic people</w:t>
      </w:r>
      <w:r w:rsidR="009E4C6E">
        <w:rPr>
          <w:rFonts w:cs="Times New Roman"/>
        </w:rPr>
        <w:t xml:space="preserve"> being Rome’</w:t>
      </w:r>
      <w:r w:rsidR="00002BB4">
        <w:rPr>
          <w:rFonts w:cs="Times New Roman"/>
        </w:rPr>
        <w:t xml:space="preserve">s greatest threat is more likely to be an attack on the Emperor Domitian. </w:t>
      </w:r>
      <w:r w:rsidR="00281C23">
        <w:rPr>
          <w:rFonts w:cs="Times New Roman"/>
        </w:rPr>
        <w:t xml:space="preserve">The inclusion of the </w:t>
      </w:r>
      <w:r w:rsidR="00281C23" w:rsidRPr="00281C23">
        <w:rPr>
          <w:rFonts w:cs="Times New Roman"/>
          <w:i/>
        </w:rPr>
        <w:t>Germanic peoples</w:t>
      </w:r>
      <w:r w:rsidR="00281C23">
        <w:rPr>
          <w:rFonts w:cs="Times New Roman"/>
        </w:rPr>
        <w:t xml:space="preserve"> being the greatest threat to the Romans is feasibly a political move on Tacitus’ part to discredit the Emperor Domitian. Domitian claimed that he had conquered and subdued Germania east of the Rhine w</w:t>
      </w:r>
      <w:r w:rsidR="009E4C6E">
        <w:rPr>
          <w:rFonts w:cs="Times New Roman"/>
        </w:rPr>
        <w:t>h</w:t>
      </w:r>
      <w:r w:rsidR="00281C23">
        <w:rPr>
          <w:rFonts w:cs="Times New Roman"/>
        </w:rPr>
        <w:t xml:space="preserve">ere in fact little had changed, thus Tacitus’ </w:t>
      </w:r>
      <w:r w:rsidR="00281C23" w:rsidRPr="00281C23">
        <w:rPr>
          <w:rFonts w:cs="Times New Roman"/>
          <w:i/>
        </w:rPr>
        <w:t>Germania</w:t>
      </w:r>
      <w:r w:rsidR="00281C23">
        <w:rPr>
          <w:rFonts w:cs="Times New Roman"/>
        </w:rPr>
        <w:t xml:space="preserve"> </w:t>
      </w:r>
      <w:r w:rsidR="006C2017">
        <w:rPr>
          <w:rFonts w:cs="Times New Roman"/>
        </w:rPr>
        <w:t xml:space="preserve">was demonstrating this fact. Therefore, by making the </w:t>
      </w:r>
      <w:r w:rsidR="006C2017" w:rsidRPr="006C2017">
        <w:rPr>
          <w:rFonts w:cs="Times New Roman"/>
          <w:i/>
        </w:rPr>
        <w:t>Germanic peoples</w:t>
      </w:r>
      <w:r w:rsidR="006C2017">
        <w:rPr>
          <w:rFonts w:cs="Times New Roman"/>
        </w:rPr>
        <w:t xml:space="preserve"> Rome’s greatest threat and disproving Domitian’s claims of conquest it would add to the discrediting of Domitian’s character and achievements </w:t>
      </w:r>
      <w:r w:rsidR="006C2017">
        <w:rPr>
          <w:rStyle w:val="FootnoteReference"/>
          <w:rFonts w:cs="Times New Roman"/>
        </w:rPr>
        <w:footnoteReference w:id="9"/>
      </w:r>
      <w:r w:rsidR="006C2017">
        <w:rPr>
          <w:rFonts w:cs="Times New Roman"/>
        </w:rPr>
        <w:t>.</w:t>
      </w:r>
      <w:r w:rsidR="00B66EAC">
        <w:rPr>
          <w:rFonts w:cs="Times New Roman"/>
        </w:rPr>
        <w:t xml:space="preserve"> </w:t>
      </w:r>
    </w:p>
    <w:p w:rsidR="009E4C6E" w:rsidRDefault="009E4C6E" w:rsidP="00483248">
      <w:pPr>
        <w:tabs>
          <w:tab w:val="left" w:pos="2940"/>
          <w:tab w:val="left" w:pos="7875"/>
        </w:tabs>
        <w:spacing w:line="360" w:lineRule="auto"/>
        <w:rPr>
          <w:rFonts w:cs="Times New Roman"/>
        </w:rPr>
      </w:pPr>
    </w:p>
    <w:p w:rsidR="00475B9E" w:rsidRDefault="00C00C76" w:rsidP="00483248">
      <w:pPr>
        <w:tabs>
          <w:tab w:val="left" w:pos="2940"/>
          <w:tab w:val="left" w:pos="7875"/>
        </w:tabs>
        <w:spacing w:line="360" w:lineRule="auto"/>
        <w:rPr>
          <w:rFonts w:cs="Times New Roman"/>
        </w:rPr>
      </w:pPr>
      <w:r>
        <w:rPr>
          <w:rFonts w:cs="Times New Roman"/>
        </w:rPr>
        <w:t xml:space="preserve">The </w:t>
      </w:r>
      <w:r w:rsidRPr="00C00C76">
        <w:rPr>
          <w:rFonts w:cs="Times New Roman"/>
          <w:i/>
        </w:rPr>
        <w:t xml:space="preserve">Germania </w:t>
      </w:r>
      <w:r>
        <w:rPr>
          <w:rFonts w:cs="Times New Roman"/>
        </w:rPr>
        <w:t xml:space="preserve">also makes references to the economic situation along with the social structure of the </w:t>
      </w:r>
      <w:r w:rsidRPr="00C00C76">
        <w:rPr>
          <w:rFonts w:cs="Times New Roman"/>
          <w:i/>
        </w:rPr>
        <w:t>Germanic peoples</w:t>
      </w:r>
      <w:r>
        <w:rPr>
          <w:rFonts w:cs="Times New Roman"/>
        </w:rPr>
        <w:t xml:space="preserve"> east of the Rhine, which gives insight into the reasons why the expansion did not </w:t>
      </w:r>
      <w:r w:rsidR="0086007C">
        <w:rPr>
          <w:rFonts w:cs="Times New Roman"/>
        </w:rPr>
        <w:t>proceed further than the Rhine r</w:t>
      </w:r>
      <w:r>
        <w:rPr>
          <w:rFonts w:cs="Times New Roman"/>
        </w:rPr>
        <w:t xml:space="preserve">iver. </w:t>
      </w:r>
      <w:r w:rsidR="0087255D">
        <w:rPr>
          <w:rFonts w:cs="Times New Roman"/>
        </w:rPr>
        <w:t>Tacitus</w:t>
      </w:r>
      <w:r w:rsidR="009E4C6E">
        <w:rPr>
          <w:rFonts w:cs="Times New Roman"/>
        </w:rPr>
        <w:t>’ remarks that</w:t>
      </w:r>
      <w:r w:rsidR="0087255D">
        <w:rPr>
          <w:rFonts w:cs="Times New Roman"/>
        </w:rPr>
        <w:t xml:space="preserve"> east of Rhine</w:t>
      </w:r>
      <w:r w:rsidR="009E4C6E">
        <w:rPr>
          <w:rFonts w:cs="Times New Roman"/>
        </w:rPr>
        <w:t>,</w:t>
      </w:r>
      <w:r w:rsidR="0087255D">
        <w:rPr>
          <w:rFonts w:cs="Times New Roman"/>
        </w:rPr>
        <w:t xml:space="preserve"> although the land is fertile for grain crops it</w:t>
      </w:r>
      <w:r w:rsidR="009E4C6E">
        <w:rPr>
          <w:rFonts w:cs="Times New Roman"/>
        </w:rPr>
        <w:t xml:space="preserve"> is generally rather poor in terms</w:t>
      </w:r>
      <w:r w:rsidR="0087255D">
        <w:rPr>
          <w:rFonts w:cs="Times New Roman"/>
        </w:rPr>
        <w:t xml:space="preserve"> what is available to grow or sustain there, remarking that even cattle of </w:t>
      </w:r>
      <w:r w:rsidR="00773633">
        <w:rPr>
          <w:rFonts w:cs="Times New Roman"/>
        </w:rPr>
        <w:t xml:space="preserve">this </w:t>
      </w:r>
      <w:r w:rsidR="006B48C2">
        <w:rPr>
          <w:rFonts w:cs="Times New Roman"/>
        </w:rPr>
        <w:t>region were</w:t>
      </w:r>
      <w:r w:rsidR="000D77C1">
        <w:rPr>
          <w:rFonts w:cs="Times New Roman"/>
        </w:rPr>
        <w:t xml:space="preserve"> substandard. The</w:t>
      </w:r>
      <w:r w:rsidR="0087255D">
        <w:rPr>
          <w:rFonts w:cs="Times New Roman"/>
        </w:rPr>
        <w:t xml:space="preserve"> l</w:t>
      </w:r>
      <w:r w:rsidR="000D77C1">
        <w:rPr>
          <w:rFonts w:cs="Times New Roman"/>
        </w:rPr>
        <w:t>andscape is also detailed to be</w:t>
      </w:r>
      <w:r w:rsidR="0087255D">
        <w:rPr>
          <w:rFonts w:cs="Times New Roman"/>
        </w:rPr>
        <w:t xml:space="preserve"> vast areas o</w:t>
      </w:r>
      <w:r w:rsidR="000D77C1">
        <w:rPr>
          <w:rFonts w:cs="Times New Roman"/>
        </w:rPr>
        <w:t>f forests and swamps which we</w:t>
      </w:r>
      <w:r w:rsidR="0087255D">
        <w:rPr>
          <w:rFonts w:cs="Times New Roman"/>
        </w:rPr>
        <w:t>re said to be the worse in the region adjacent to Gaul, Tacitus also remarks that there are no precious me</w:t>
      </w:r>
      <w:r w:rsidR="000D77C1">
        <w:rPr>
          <w:rFonts w:cs="Times New Roman"/>
        </w:rPr>
        <w:t>tals, even iron being difficult</w:t>
      </w:r>
      <w:r w:rsidR="0087255D">
        <w:rPr>
          <w:rFonts w:cs="Times New Roman"/>
        </w:rPr>
        <w:t xml:space="preserve"> to be found in Germania and that </w:t>
      </w:r>
      <w:r w:rsidR="00D50F09">
        <w:rPr>
          <w:rFonts w:cs="Times New Roman"/>
        </w:rPr>
        <w:t xml:space="preserve">the </w:t>
      </w:r>
      <w:r w:rsidR="000D77C1" w:rsidRPr="000D77C1">
        <w:rPr>
          <w:rFonts w:cs="Times New Roman"/>
          <w:i/>
        </w:rPr>
        <w:t>Germanic peoples</w:t>
      </w:r>
      <w:r w:rsidR="0087255D">
        <w:rPr>
          <w:rFonts w:cs="Times New Roman"/>
        </w:rPr>
        <w:t xml:space="preserve"> have little value for silver or gold </w:t>
      </w:r>
      <w:r w:rsidR="00680E1C">
        <w:rPr>
          <w:rStyle w:val="FootnoteReference"/>
          <w:rFonts w:cs="Times New Roman"/>
        </w:rPr>
        <w:footnoteReference w:id="10"/>
      </w:r>
      <w:r w:rsidR="0087255D">
        <w:rPr>
          <w:rFonts w:cs="Times New Roman"/>
        </w:rPr>
        <w:t>.</w:t>
      </w:r>
      <w:r w:rsidR="00ED7ED5">
        <w:rPr>
          <w:rFonts w:cs="Times New Roman"/>
        </w:rPr>
        <w:t xml:space="preserve"> </w:t>
      </w:r>
      <w:r w:rsidR="00AE72F2">
        <w:rPr>
          <w:rFonts w:cs="Times New Roman"/>
        </w:rPr>
        <w:t xml:space="preserve"> Rüger in his</w:t>
      </w:r>
      <w:r w:rsidR="00D50F09">
        <w:rPr>
          <w:rFonts w:cs="Times New Roman"/>
        </w:rPr>
        <w:t xml:space="preserve"> work on Roman interaction within Germania, states that the economic situation east of the Rhine would have been undesirable for the Romans to be involved as Germania offered little in </w:t>
      </w:r>
      <w:r w:rsidR="000D77C1">
        <w:rPr>
          <w:rFonts w:cs="Times New Roman"/>
        </w:rPr>
        <w:t xml:space="preserve">terms of </w:t>
      </w:r>
      <w:r w:rsidR="00D50F09">
        <w:rPr>
          <w:rFonts w:cs="Times New Roman"/>
        </w:rPr>
        <w:t xml:space="preserve">natural resources. The lack of useful metals within the region, such as iron, can be seen by the large trade of iron weapons </w:t>
      </w:r>
      <w:r w:rsidR="00BB1F0D">
        <w:rPr>
          <w:rFonts w:cs="Times New Roman"/>
        </w:rPr>
        <w:t>along with other commodities</w:t>
      </w:r>
      <w:r w:rsidR="00986848">
        <w:rPr>
          <w:rFonts w:cs="Times New Roman"/>
        </w:rPr>
        <w:t xml:space="preserve"> that </w:t>
      </w:r>
      <w:r w:rsidR="00D50F09">
        <w:rPr>
          <w:rFonts w:cs="Times New Roman"/>
        </w:rPr>
        <w:t>the Roman</w:t>
      </w:r>
      <w:r w:rsidR="00BB1F0D">
        <w:rPr>
          <w:rFonts w:cs="Times New Roman"/>
        </w:rPr>
        <w:t>s</w:t>
      </w:r>
      <w:r w:rsidR="00D50F09">
        <w:rPr>
          <w:rFonts w:cs="Times New Roman"/>
        </w:rPr>
        <w:t xml:space="preserve"> were conducting across the Rhine, according to Rüger to the weaker </w:t>
      </w:r>
      <w:r w:rsidR="00D50F09" w:rsidRPr="00D50F09">
        <w:rPr>
          <w:rFonts w:cs="Times New Roman"/>
          <w:i/>
        </w:rPr>
        <w:t>Germanic states</w:t>
      </w:r>
      <w:r w:rsidR="00D50F09">
        <w:rPr>
          <w:rFonts w:cs="Times New Roman"/>
        </w:rPr>
        <w:t xml:space="preserve"> </w:t>
      </w:r>
      <w:r w:rsidR="00D50F09">
        <w:rPr>
          <w:rStyle w:val="FootnoteReference"/>
          <w:rFonts w:cs="Times New Roman"/>
        </w:rPr>
        <w:footnoteReference w:id="11"/>
      </w:r>
      <w:r w:rsidR="00D50F09">
        <w:rPr>
          <w:rFonts w:cs="Times New Roman"/>
        </w:rPr>
        <w:t>.</w:t>
      </w:r>
      <w:r w:rsidR="00D50F09" w:rsidRPr="00D50F09">
        <w:rPr>
          <w:rFonts w:cs="Times New Roman"/>
          <w:i/>
        </w:rPr>
        <w:t xml:space="preserve"> </w:t>
      </w:r>
      <w:r w:rsidR="00986848">
        <w:rPr>
          <w:rFonts w:cs="Times New Roman"/>
        </w:rPr>
        <w:t xml:space="preserve">This lack of valuable </w:t>
      </w:r>
      <w:r w:rsidR="00BB1F0D">
        <w:rPr>
          <w:rFonts w:cs="Times New Roman"/>
        </w:rPr>
        <w:t>economic resources beyond the R</w:t>
      </w:r>
      <w:r w:rsidR="001D5D8F">
        <w:rPr>
          <w:rFonts w:cs="Times New Roman"/>
        </w:rPr>
        <w:t>hine would therefore explain the reason why the Romans did not expand beyond it</w:t>
      </w:r>
      <w:r w:rsidR="00972C17">
        <w:rPr>
          <w:rFonts w:cs="Times New Roman"/>
        </w:rPr>
        <w:t>. Therefore, Tacitus</w:t>
      </w:r>
      <w:r w:rsidR="00BB1F0D">
        <w:rPr>
          <w:rFonts w:cs="Times New Roman"/>
        </w:rPr>
        <w:t>’</w:t>
      </w:r>
      <w:r w:rsidR="00972C17">
        <w:rPr>
          <w:rFonts w:cs="Times New Roman"/>
        </w:rPr>
        <w:t xml:space="preserve"> inclusio</w:t>
      </w:r>
      <w:r w:rsidR="00BB1F0D">
        <w:rPr>
          <w:rFonts w:cs="Times New Roman"/>
        </w:rPr>
        <w:t>n of the economic situation east</w:t>
      </w:r>
      <w:r w:rsidR="00972C17">
        <w:rPr>
          <w:rFonts w:cs="Times New Roman"/>
        </w:rPr>
        <w:t xml:space="preserve"> of the Rhine within the </w:t>
      </w:r>
      <w:r w:rsidR="00972C17" w:rsidRPr="00972C17">
        <w:rPr>
          <w:rFonts w:cs="Times New Roman"/>
          <w:i/>
        </w:rPr>
        <w:t>Germania</w:t>
      </w:r>
      <w:r w:rsidR="00972C17">
        <w:rPr>
          <w:rFonts w:cs="Times New Roman"/>
        </w:rPr>
        <w:t xml:space="preserve"> can be seen as echoing Roman understanding about the value </w:t>
      </w:r>
      <w:r w:rsidR="00BB1F0D">
        <w:rPr>
          <w:rFonts w:cs="Times New Roman"/>
        </w:rPr>
        <w:t xml:space="preserve">and </w:t>
      </w:r>
      <w:r w:rsidR="00972C17">
        <w:rPr>
          <w:rFonts w:cs="Times New Roman"/>
        </w:rPr>
        <w:t xml:space="preserve">the area </w:t>
      </w:r>
      <w:r w:rsidR="00BB1F0D">
        <w:rPr>
          <w:rFonts w:cs="Times New Roman"/>
        </w:rPr>
        <w:t>and whether it was</w:t>
      </w:r>
      <w:r w:rsidR="00972C17">
        <w:rPr>
          <w:rFonts w:cs="Times New Roman"/>
        </w:rPr>
        <w:t xml:space="preserve"> worth conquering</w:t>
      </w:r>
      <w:r w:rsidR="001D5D8F">
        <w:rPr>
          <w:rFonts w:cs="Times New Roman"/>
        </w:rPr>
        <w:t xml:space="preserve">. </w:t>
      </w:r>
    </w:p>
    <w:p w:rsidR="00475B9E" w:rsidRDefault="00475B9E" w:rsidP="00483248">
      <w:pPr>
        <w:tabs>
          <w:tab w:val="left" w:pos="2940"/>
          <w:tab w:val="left" w:pos="7875"/>
        </w:tabs>
        <w:spacing w:line="360" w:lineRule="auto"/>
        <w:rPr>
          <w:rFonts w:cs="Times New Roman"/>
        </w:rPr>
      </w:pPr>
    </w:p>
    <w:p w:rsidR="00B27FB7" w:rsidRDefault="001D5D8F" w:rsidP="00483248">
      <w:pPr>
        <w:tabs>
          <w:tab w:val="left" w:pos="2940"/>
          <w:tab w:val="left" w:pos="7875"/>
        </w:tabs>
        <w:spacing w:line="360" w:lineRule="auto"/>
        <w:rPr>
          <w:rFonts w:cs="Times New Roman"/>
        </w:rPr>
      </w:pPr>
      <w:r>
        <w:rPr>
          <w:rFonts w:cs="Times New Roman"/>
        </w:rPr>
        <w:t xml:space="preserve">Whittaker presents this view </w:t>
      </w:r>
      <w:r w:rsidR="00972C17">
        <w:rPr>
          <w:rFonts w:cs="Times New Roman"/>
        </w:rPr>
        <w:t>of the economic reason for the halt of expansion, stating that Roman expansion along the Rhine</w:t>
      </w:r>
      <w:r w:rsidR="00475B9E">
        <w:rPr>
          <w:rFonts w:cs="Times New Roman"/>
        </w:rPr>
        <w:t xml:space="preserve"> was</w:t>
      </w:r>
      <w:r w:rsidR="00972C17">
        <w:rPr>
          <w:rFonts w:cs="Times New Roman"/>
        </w:rPr>
        <w:t xml:space="preserve"> because they had reached the maximum range of sustainable expansion within their economic sphere. The Romans halted at the Rhine not because of any direct </w:t>
      </w:r>
      <w:r w:rsidR="00972C17">
        <w:rPr>
          <w:rFonts w:cs="Times New Roman"/>
        </w:rPr>
        <w:lastRenderedPageBreak/>
        <w:t>policy by the state</w:t>
      </w:r>
      <w:r w:rsidR="001B1B1B">
        <w:rPr>
          <w:rFonts w:cs="Times New Roman"/>
        </w:rPr>
        <w:t>,</w:t>
      </w:r>
      <w:r w:rsidR="00972C17">
        <w:rPr>
          <w:rFonts w:cs="Times New Roman"/>
        </w:rPr>
        <w:t xml:space="preserve"> but because the understanding existed that further conquest</w:t>
      </w:r>
      <w:r w:rsidR="001B1B1B">
        <w:rPr>
          <w:rFonts w:cs="Times New Roman"/>
        </w:rPr>
        <w:t>s</w:t>
      </w:r>
      <w:r w:rsidR="00972C17">
        <w:rPr>
          <w:rFonts w:cs="Times New Roman"/>
        </w:rPr>
        <w:t xml:space="preserve"> would be economically draining and eventually </w:t>
      </w:r>
      <w:r w:rsidR="00972C17" w:rsidRPr="00972C17">
        <w:rPr>
          <w:rFonts w:cs="Times New Roman"/>
        </w:rPr>
        <w:t>infeasible</w:t>
      </w:r>
      <w:r w:rsidR="00972C17">
        <w:rPr>
          <w:rFonts w:cs="Times New Roman"/>
        </w:rPr>
        <w:t xml:space="preserve"> </w:t>
      </w:r>
      <w:r w:rsidR="00972C17">
        <w:rPr>
          <w:rStyle w:val="FootnoteReference"/>
          <w:rFonts w:cs="Times New Roman"/>
        </w:rPr>
        <w:footnoteReference w:id="12"/>
      </w:r>
      <w:r w:rsidR="00972C17">
        <w:rPr>
          <w:rFonts w:cs="Times New Roman"/>
        </w:rPr>
        <w:t xml:space="preserve">. </w:t>
      </w:r>
      <w:r w:rsidR="00D053D6">
        <w:rPr>
          <w:rFonts w:cs="Times New Roman"/>
        </w:rPr>
        <w:t xml:space="preserve">The </w:t>
      </w:r>
      <w:r w:rsidR="00D053D6" w:rsidRPr="00D053D6">
        <w:rPr>
          <w:rFonts w:cs="Times New Roman"/>
          <w:i/>
        </w:rPr>
        <w:t>Germania’s</w:t>
      </w:r>
      <w:r w:rsidR="00D053D6">
        <w:rPr>
          <w:rFonts w:cs="Times New Roman"/>
        </w:rPr>
        <w:t xml:space="preserve"> reference to the economics of the </w:t>
      </w:r>
      <w:r w:rsidR="00D053D6" w:rsidRPr="00D053D6">
        <w:rPr>
          <w:rFonts w:cs="Times New Roman"/>
          <w:i/>
        </w:rPr>
        <w:t>Germanic states</w:t>
      </w:r>
      <w:r w:rsidR="00D053D6">
        <w:rPr>
          <w:rFonts w:cs="Times New Roman"/>
          <w:i/>
        </w:rPr>
        <w:t xml:space="preserve"> </w:t>
      </w:r>
      <w:r w:rsidR="00D053D6">
        <w:rPr>
          <w:rFonts w:cs="Times New Roman"/>
        </w:rPr>
        <w:t xml:space="preserve">and the lack of valuable materials </w:t>
      </w:r>
      <w:r w:rsidR="001B1B1B">
        <w:rPr>
          <w:rFonts w:cs="Times New Roman"/>
        </w:rPr>
        <w:t>can therefore</w:t>
      </w:r>
      <w:r w:rsidR="00D053D6">
        <w:rPr>
          <w:rFonts w:cs="Times New Roman"/>
        </w:rPr>
        <w:t xml:space="preserve"> be seen as part of Roman social and political reasoning as to why the region east of the Rhine had not been subjugated.   </w:t>
      </w:r>
    </w:p>
    <w:p w:rsidR="00A26AB0" w:rsidRDefault="00A26AB0" w:rsidP="00483248">
      <w:pPr>
        <w:tabs>
          <w:tab w:val="left" w:pos="2940"/>
          <w:tab w:val="left" w:pos="7875"/>
        </w:tabs>
        <w:spacing w:line="360" w:lineRule="auto"/>
        <w:rPr>
          <w:rFonts w:cs="Times New Roman"/>
        </w:rPr>
      </w:pPr>
    </w:p>
    <w:p w:rsidR="009D7BEC" w:rsidRDefault="00A26AB0" w:rsidP="00483248">
      <w:pPr>
        <w:tabs>
          <w:tab w:val="left" w:pos="2940"/>
          <w:tab w:val="left" w:pos="7875"/>
        </w:tabs>
        <w:spacing w:line="360" w:lineRule="auto"/>
        <w:rPr>
          <w:rFonts w:cs="Times New Roman"/>
        </w:rPr>
      </w:pPr>
      <w:r>
        <w:rPr>
          <w:rFonts w:cs="Times New Roman"/>
        </w:rPr>
        <w:t xml:space="preserve">The </w:t>
      </w:r>
      <w:r w:rsidRPr="00A26AB0">
        <w:rPr>
          <w:rFonts w:cs="Times New Roman"/>
          <w:i/>
        </w:rPr>
        <w:t>Germania</w:t>
      </w:r>
      <w:r>
        <w:rPr>
          <w:rFonts w:cs="Times New Roman"/>
        </w:rPr>
        <w:t xml:space="preserve"> also references the halt of expansion and the boundaries of the Roman Empire although indirectly</w:t>
      </w:r>
      <w:r w:rsidR="00F67FC3">
        <w:rPr>
          <w:rFonts w:cs="Times New Roman"/>
        </w:rPr>
        <w:t>,</w:t>
      </w:r>
      <w:r>
        <w:rPr>
          <w:rFonts w:cs="Times New Roman"/>
        </w:rPr>
        <w:t xml:space="preserve"> and may give insight as to the reason why these areas became the boundaries of the Empire. </w:t>
      </w:r>
      <w:r w:rsidR="00E56C94">
        <w:rPr>
          <w:rFonts w:cs="Times New Roman"/>
        </w:rPr>
        <w:t xml:space="preserve">The </w:t>
      </w:r>
      <w:r w:rsidR="00E56C94" w:rsidRPr="00E56C94">
        <w:rPr>
          <w:rFonts w:cs="Times New Roman"/>
          <w:i/>
        </w:rPr>
        <w:t>Germania</w:t>
      </w:r>
      <w:r w:rsidR="00E56C94">
        <w:rPr>
          <w:rFonts w:cs="Times New Roman"/>
        </w:rPr>
        <w:t xml:space="preserve"> starts with the description of the boundaries of the territory of </w:t>
      </w:r>
      <w:r w:rsidR="00275AB5">
        <w:rPr>
          <w:rFonts w:cs="Times New Roman"/>
        </w:rPr>
        <w:t>‘</w:t>
      </w:r>
      <w:r w:rsidR="00E56C94">
        <w:rPr>
          <w:rFonts w:cs="Times New Roman"/>
        </w:rPr>
        <w:t>Germania</w:t>
      </w:r>
      <w:r w:rsidR="00275AB5">
        <w:rPr>
          <w:rFonts w:cs="Times New Roman"/>
        </w:rPr>
        <w:t>’</w:t>
      </w:r>
      <w:r w:rsidR="00F67FC3">
        <w:rPr>
          <w:rFonts w:cs="Times New Roman"/>
        </w:rPr>
        <w:t xml:space="preserve"> denoting</w:t>
      </w:r>
      <w:r w:rsidR="00E56C94">
        <w:rPr>
          <w:rFonts w:cs="Times New Roman"/>
        </w:rPr>
        <w:t xml:space="preserve"> that the </w:t>
      </w:r>
      <w:r w:rsidR="00E56C94" w:rsidRPr="00E56C94">
        <w:rPr>
          <w:rFonts w:cs="Times New Roman"/>
          <w:i/>
        </w:rPr>
        <w:t>Germanic peoples</w:t>
      </w:r>
      <w:r w:rsidR="00E56C94">
        <w:rPr>
          <w:rFonts w:cs="Times New Roman"/>
        </w:rPr>
        <w:t xml:space="preserve"> are separated from the Gauls and </w:t>
      </w:r>
      <w:proofErr w:type="spellStart"/>
      <w:r w:rsidR="00E56C94">
        <w:rPr>
          <w:rFonts w:cs="Times New Roman"/>
        </w:rPr>
        <w:t>Raetians</w:t>
      </w:r>
      <w:proofErr w:type="spellEnd"/>
      <w:r w:rsidR="00E56C94">
        <w:rPr>
          <w:rFonts w:cs="Times New Roman"/>
        </w:rPr>
        <w:t xml:space="preserve"> by geographical features primarily that of the Alps</w:t>
      </w:r>
      <w:r w:rsidR="00312C3E">
        <w:rPr>
          <w:rFonts w:cs="Times New Roman"/>
        </w:rPr>
        <w:t>,</w:t>
      </w:r>
      <w:r w:rsidR="00E56C94">
        <w:rPr>
          <w:rFonts w:cs="Times New Roman"/>
        </w:rPr>
        <w:t xml:space="preserve"> along with Rhine and Danube rivers </w:t>
      </w:r>
      <w:r w:rsidR="00E56C94">
        <w:rPr>
          <w:rStyle w:val="FootnoteReference"/>
          <w:rFonts w:cs="Times New Roman"/>
        </w:rPr>
        <w:footnoteReference w:id="13"/>
      </w:r>
      <w:r w:rsidR="00E56C94">
        <w:rPr>
          <w:rFonts w:cs="Times New Roman"/>
        </w:rPr>
        <w:t xml:space="preserve">.  Tan states that the opening of the </w:t>
      </w:r>
      <w:r w:rsidR="00E56C94" w:rsidRPr="00E56C94">
        <w:rPr>
          <w:rFonts w:cs="Times New Roman"/>
          <w:i/>
        </w:rPr>
        <w:t>Germania</w:t>
      </w:r>
      <w:r w:rsidR="00E56C94">
        <w:rPr>
          <w:rFonts w:cs="Times New Roman"/>
        </w:rPr>
        <w:t xml:space="preserve"> is important for two primary features. Firstly, that Tacitus’ opening is strongly reminiscent of Julius Caesar</w:t>
      </w:r>
      <w:r w:rsidR="00F67FC3">
        <w:rPr>
          <w:rFonts w:cs="Times New Roman"/>
        </w:rPr>
        <w:t>’</w:t>
      </w:r>
      <w:r w:rsidR="00E56C94">
        <w:rPr>
          <w:rFonts w:cs="Times New Roman"/>
        </w:rPr>
        <w:t xml:space="preserve">s </w:t>
      </w:r>
      <w:r w:rsidR="0074610A">
        <w:rPr>
          <w:rFonts w:cs="Times New Roman"/>
        </w:rPr>
        <w:t xml:space="preserve">opening in his </w:t>
      </w:r>
      <w:r w:rsidR="0074610A" w:rsidRPr="0074610A">
        <w:rPr>
          <w:rFonts w:cs="Times New Roman"/>
          <w:i/>
        </w:rPr>
        <w:t>Commentaries on the Gallic War</w:t>
      </w:r>
      <w:r w:rsidR="00F67FC3">
        <w:rPr>
          <w:rFonts w:cs="Times New Roman"/>
          <w:i/>
        </w:rPr>
        <w:t>,</w:t>
      </w:r>
      <w:r w:rsidR="0074610A">
        <w:rPr>
          <w:rFonts w:cs="Times New Roman"/>
          <w:i/>
        </w:rPr>
        <w:t xml:space="preserve"> </w:t>
      </w:r>
      <w:r w:rsidR="00F67FC3">
        <w:rPr>
          <w:rFonts w:cs="Times New Roman"/>
        </w:rPr>
        <w:t>w</w:t>
      </w:r>
      <w:r w:rsidR="0074610A">
        <w:rPr>
          <w:rFonts w:cs="Times New Roman"/>
        </w:rPr>
        <w:t>hich may be an attempt to create a greater viability to his work by using an opening similar to that of someone who had act</w:t>
      </w:r>
      <w:r w:rsidR="00F67FC3">
        <w:rPr>
          <w:rFonts w:cs="Times New Roman"/>
        </w:rPr>
        <w:t>ually been to Germania. Moreover,</w:t>
      </w:r>
      <w:r w:rsidR="0074610A">
        <w:rPr>
          <w:rFonts w:cs="Times New Roman"/>
        </w:rPr>
        <w:t xml:space="preserve"> Tan does state that the wording appears to be a stock phrase in ethnographic works</w:t>
      </w:r>
      <w:r w:rsidR="00F67FC3">
        <w:rPr>
          <w:rFonts w:cs="Times New Roman"/>
        </w:rPr>
        <w:t xml:space="preserve"> of the period</w:t>
      </w:r>
      <w:r w:rsidR="0074610A">
        <w:rPr>
          <w:rFonts w:cs="Times New Roman"/>
        </w:rPr>
        <w:t xml:space="preserve">. </w:t>
      </w:r>
      <w:r w:rsidR="00275AB5">
        <w:rPr>
          <w:rFonts w:cs="Times New Roman"/>
        </w:rPr>
        <w:t>The second feature of interest is the apparent depiction of ‘Germania’ a</w:t>
      </w:r>
      <w:r w:rsidR="00103425">
        <w:rPr>
          <w:rFonts w:cs="Times New Roman"/>
        </w:rPr>
        <w:t>s</w:t>
      </w:r>
      <w:r w:rsidR="00275AB5">
        <w:rPr>
          <w:rFonts w:cs="Times New Roman"/>
        </w:rPr>
        <w:t xml:space="preserve"> </w:t>
      </w:r>
      <w:r w:rsidR="008126E5">
        <w:rPr>
          <w:rFonts w:cs="Times New Roman"/>
        </w:rPr>
        <w:t xml:space="preserve">a </w:t>
      </w:r>
      <w:r w:rsidR="00275AB5">
        <w:rPr>
          <w:rFonts w:cs="Times New Roman"/>
        </w:rPr>
        <w:t>unified</w:t>
      </w:r>
      <w:r w:rsidR="00103425">
        <w:rPr>
          <w:rFonts w:cs="Times New Roman"/>
        </w:rPr>
        <w:t xml:space="preserve"> region, grouping all the diverse people outside of</w:t>
      </w:r>
      <w:r w:rsidR="008126E5">
        <w:rPr>
          <w:rFonts w:cs="Times New Roman"/>
        </w:rPr>
        <w:t xml:space="preserve"> Rome’</w:t>
      </w:r>
      <w:r w:rsidR="00103425">
        <w:rPr>
          <w:rFonts w:cs="Times New Roman"/>
        </w:rPr>
        <w:t xml:space="preserve">s borders into a singular cultural group. </w:t>
      </w:r>
      <w:r w:rsidR="009600C5">
        <w:rPr>
          <w:rFonts w:cs="Times New Roman"/>
        </w:rPr>
        <w:t>This indicates</w:t>
      </w:r>
      <w:r w:rsidR="00103425">
        <w:rPr>
          <w:rFonts w:cs="Times New Roman"/>
        </w:rPr>
        <w:t xml:space="preserve"> that the Romans </w:t>
      </w:r>
      <w:r w:rsidR="008C4F1C">
        <w:rPr>
          <w:rFonts w:cs="Times New Roman"/>
        </w:rPr>
        <w:t>have</w:t>
      </w:r>
      <w:r w:rsidR="00103425">
        <w:rPr>
          <w:rFonts w:cs="Times New Roman"/>
        </w:rPr>
        <w:t xml:space="preserve"> no</w:t>
      </w:r>
      <w:r w:rsidR="008C4F1C">
        <w:rPr>
          <w:rFonts w:cs="Times New Roman"/>
        </w:rPr>
        <w:t>t</w:t>
      </w:r>
      <w:r w:rsidR="00103425">
        <w:rPr>
          <w:rFonts w:cs="Times New Roman"/>
        </w:rPr>
        <w:t xml:space="preserve"> conquered these </w:t>
      </w:r>
      <w:r w:rsidR="00103425">
        <w:rPr>
          <w:rFonts w:cs="Times New Roman"/>
          <w:i/>
        </w:rPr>
        <w:t>Germanic people</w:t>
      </w:r>
      <w:r w:rsidR="00103425">
        <w:rPr>
          <w:rFonts w:cs="Times New Roman"/>
        </w:rPr>
        <w:t xml:space="preserve"> </w:t>
      </w:r>
      <w:r w:rsidR="008C4F1C">
        <w:rPr>
          <w:rFonts w:cs="Times New Roman"/>
        </w:rPr>
        <w:t>because they belong to a vast territory which is difficult to reach</w:t>
      </w:r>
      <w:r w:rsidR="00931BC5">
        <w:rPr>
          <w:rFonts w:cs="Times New Roman"/>
        </w:rPr>
        <w:t>,</w:t>
      </w:r>
      <w:r w:rsidR="008C4F1C">
        <w:rPr>
          <w:rFonts w:cs="Times New Roman"/>
        </w:rPr>
        <w:t xml:space="preserve"> and their appa</w:t>
      </w:r>
      <w:r w:rsidR="00312C3E">
        <w:rPr>
          <w:rFonts w:cs="Times New Roman"/>
        </w:rPr>
        <w:t>rent cultural unity prevents an</w:t>
      </w:r>
      <w:r w:rsidR="008C4F1C">
        <w:rPr>
          <w:rFonts w:cs="Times New Roman"/>
        </w:rPr>
        <w:t xml:space="preserve"> easy or worthwhile conquest </w:t>
      </w:r>
      <w:r w:rsidR="008C4F1C">
        <w:rPr>
          <w:rStyle w:val="FootnoteReference"/>
          <w:rFonts w:cs="Times New Roman"/>
        </w:rPr>
        <w:footnoteReference w:id="14"/>
      </w:r>
      <w:r w:rsidR="008C4F1C">
        <w:rPr>
          <w:rFonts w:cs="Times New Roman"/>
        </w:rPr>
        <w:t xml:space="preserve">.  </w:t>
      </w:r>
      <w:r w:rsidR="00103425">
        <w:rPr>
          <w:rFonts w:cs="Times New Roman"/>
        </w:rPr>
        <w:t xml:space="preserve"> </w:t>
      </w:r>
    </w:p>
    <w:p w:rsidR="009D7BEC" w:rsidRDefault="009D7BEC" w:rsidP="00483248">
      <w:pPr>
        <w:tabs>
          <w:tab w:val="left" w:pos="2940"/>
          <w:tab w:val="left" w:pos="7875"/>
        </w:tabs>
        <w:spacing w:line="360" w:lineRule="auto"/>
        <w:rPr>
          <w:rFonts w:cs="Times New Roman"/>
        </w:rPr>
      </w:pPr>
    </w:p>
    <w:p w:rsidR="00B27FB7" w:rsidRPr="00F269CE" w:rsidRDefault="009D7BEC" w:rsidP="00483248">
      <w:pPr>
        <w:tabs>
          <w:tab w:val="left" w:pos="2940"/>
          <w:tab w:val="left" w:pos="7875"/>
        </w:tabs>
        <w:spacing w:line="360" w:lineRule="auto"/>
        <w:rPr>
          <w:rFonts w:cs="Times New Roman"/>
        </w:rPr>
      </w:pPr>
      <w:r>
        <w:rPr>
          <w:rFonts w:cs="Times New Roman"/>
        </w:rPr>
        <w:t xml:space="preserve">The </w:t>
      </w:r>
      <w:r w:rsidRPr="009D7BEC">
        <w:rPr>
          <w:rFonts w:cs="Times New Roman"/>
          <w:i/>
        </w:rPr>
        <w:t>Germania</w:t>
      </w:r>
      <w:r>
        <w:rPr>
          <w:rFonts w:cs="Times New Roman"/>
        </w:rPr>
        <w:t>’s depiction of the region east of the Rhine conforming into a singular cul</w:t>
      </w:r>
      <w:r w:rsidR="0043387C">
        <w:rPr>
          <w:rFonts w:cs="Times New Roman"/>
        </w:rPr>
        <w:t>tural group is in reality is non-existent</w:t>
      </w:r>
      <w:r>
        <w:rPr>
          <w:rFonts w:cs="Times New Roman"/>
        </w:rPr>
        <w:t>.</w:t>
      </w:r>
      <w:r w:rsidR="008978CC">
        <w:rPr>
          <w:rFonts w:cs="Times New Roman"/>
        </w:rPr>
        <w:t xml:space="preserve"> The reality of the situation was a very complex one, the so called </w:t>
      </w:r>
      <w:r w:rsidR="008978CC" w:rsidRPr="008978CC">
        <w:rPr>
          <w:rFonts w:cs="Times New Roman"/>
          <w:i/>
        </w:rPr>
        <w:t>Germanic people</w:t>
      </w:r>
      <w:r w:rsidR="008978CC">
        <w:rPr>
          <w:rFonts w:cs="Times New Roman"/>
        </w:rPr>
        <w:t xml:space="preserve"> </w:t>
      </w:r>
      <w:r w:rsidR="001C14FA">
        <w:rPr>
          <w:rFonts w:cs="Times New Roman"/>
        </w:rPr>
        <w:t xml:space="preserve">do not in reality exist as single cohesive cultural grouping. Volker, using archaeological findings attempts to address the issue of Germanic identity and its origins as well the external factors which help to create it. Volker states that what exists east of the Rhine is a diverse cultural group of people, although they have a similar material culture using the same items, their ritual practices such as burial grounds and settlement appear to be very dissimilar. </w:t>
      </w:r>
      <w:r w:rsidR="005D51AE">
        <w:rPr>
          <w:rFonts w:cs="Times New Roman"/>
        </w:rPr>
        <w:t xml:space="preserve">The people living east of the Rhine however do share one aspect in common, although there is evidence of ‘Celtic’ influences the societies that exist within this region are very different to the ones in Gaul </w:t>
      </w:r>
      <w:r w:rsidR="005D51AE">
        <w:rPr>
          <w:rStyle w:val="FootnoteReference"/>
          <w:rFonts w:cs="Times New Roman"/>
        </w:rPr>
        <w:footnoteReference w:id="15"/>
      </w:r>
      <w:r w:rsidR="005D51AE">
        <w:rPr>
          <w:rFonts w:cs="Times New Roman"/>
        </w:rPr>
        <w:t xml:space="preserve">. </w:t>
      </w:r>
      <w:r w:rsidR="00B52849">
        <w:rPr>
          <w:rFonts w:cs="Times New Roman"/>
        </w:rPr>
        <w:t xml:space="preserve">Therefore, the </w:t>
      </w:r>
      <w:r w:rsidR="00B52849" w:rsidRPr="00B52849">
        <w:rPr>
          <w:rFonts w:cs="Times New Roman"/>
          <w:i/>
        </w:rPr>
        <w:t>Germania</w:t>
      </w:r>
      <w:r w:rsidR="00B52849">
        <w:rPr>
          <w:rFonts w:cs="Times New Roman"/>
        </w:rPr>
        <w:t xml:space="preserve"> wh</w:t>
      </w:r>
      <w:r w:rsidR="00312C3E">
        <w:rPr>
          <w:rFonts w:cs="Times New Roman"/>
        </w:rPr>
        <w:t>ilst it is most likely inaccurate</w:t>
      </w:r>
      <w:r w:rsidR="00B52849">
        <w:rPr>
          <w:rFonts w:cs="Times New Roman"/>
        </w:rPr>
        <w:t xml:space="preserve"> in depicting a singular cultural group</w:t>
      </w:r>
      <w:r w:rsidR="00312C3E">
        <w:rPr>
          <w:rFonts w:cs="Times New Roman"/>
        </w:rPr>
        <w:t>,</w:t>
      </w:r>
      <w:r w:rsidR="00B52849">
        <w:rPr>
          <w:rFonts w:cs="Times New Roman"/>
        </w:rPr>
        <w:t xml:space="preserve"> </w:t>
      </w:r>
      <w:r w:rsidR="00312C3E">
        <w:rPr>
          <w:rFonts w:cs="Times New Roman"/>
        </w:rPr>
        <w:t xml:space="preserve">it </w:t>
      </w:r>
      <w:r w:rsidR="00B52849">
        <w:rPr>
          <w:rFonts w:cs="Times New Roman"/>
        </w:rPr>
        <w:t xml:space="preserve">is influenced by the reality of the situation east of the Rhine. </w:t>
      </w:r>
      <w:r w:rsidR="003663A8">
        <w:rPr>
          <w:rFonts w:cs="Times New Roman"/>
        </w:rPr>
        <w:t xml:space="preserve">Hedeager, states that this cultural situation east of the Rhine is why the Roman military stop its expansion. The ‘Celtic’ society within Gaul had a centralised political </w:t>
      </w:r>
      <w:r w:rsidR="003663A8">
        <w:rPr>
          <w:rFonts w:cs="Times New Roman"/>
        </w:rPr>
        <w:lastRenderedPageBreak/>
        <w:t xml:space="preserve">structure and cultural cohesion which made conquest possible, the situation east of the Rhine was the exact opposite, there was little centralised structure or cohesion which meant establishing control was problematic </w:t>
      </w:r>
      <w:r w:rsidR="003663A8">
        <w:rPr>
          <w:rStyle w:val="FootnoteReference"/>
          <w:rFonts w:cs="Times New Roman"/>
        </w:rPr>
        <w:footnoteReference w:id="16"/>
      </w:r>
      <w:r w:rsidR="003663A8">
        <w:rPr>
          <w:rFonts w:cs="Times New Roman"/>
        </w:rPr>
        <w:t xml:space="preserve">. Therefore, according to this view the Romans stop at the Rhine </w:t>
      </w:r>
      <w:r w:rsidR="000F4A5D">
        <w:rPr>
          <w:rFonts w:cs="Times New Roman"/>
        </w:rPr>
        <w:t xml:space="preserve">because of </w:t>
      </w:r>
      <w:r w:rsidR="00B7120F">
        <w:rPr>
          <w:rFonts w:cs="Times New Roman"/>
        </w:rPr>
        <w:t>an</w:t>
      </w:r>
      <w:r w:rsidR="000F4A5D">
        <w:rPr>
          <w:rFonts w:cs="Times New Roman"/>
        </w:rPr>
        <w:t xml:space="preserve"> understanding that the political and cultural structure that existed in Gaul did not exist east of the Rhine and thus conquering the region was near impossible. </w:t>
      </w:r>
    </w:p>
    <w:p w:rsidR="00B27FB7" w:rsidRPr="00F269CE" w:rsidRDefault="00424E7B" w:rsidP="00424E7B">
      <w:pPr>
        <w:tabs>
          <w:tab w:val="left" w:pos="5340"/>
        </w:tabs>
        <w:rPr>
          <w:rFonts w:cs="Times New Roman"/>
        </w:rPr>
      </w:pPr>
      <w:r>
        <w:rPr>
          <w:rFonts w:cs="Times New Roman"/>
        </w:rPr>
        <w:tab/>
      </w:r>
    </w:p>
    <w:p w:rsidR="00CD02AA" w:rsidRDefault="00CD02AA"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Default="00270E39" w:rsidP="00773D07">
      <w:pPr>
        <w:tabs>
          <w:tab w:val="left" w:pos="2250"/>
        </w:tabs>
        <w:rPr>
          <w:rFonts w:cs="Times New Roman"/>
        </w:rPr>
      </w:pPr>
    </w:p>
    <w:p w:rsidR="00270E39" w:rsidRPr="00F269CE" w:rsidRDefault="00270E39" w:rsidP="00773D07">
      <w:pPr>
        <w:tabs>
          <w:tab w:val="left" w:pos="2250"/>
        </w:tabs>
        <w:rPr>
          <w:rFonts w:cs="Times New Roman"/>
        </w:rPr>
      </w:pPr>
    </w:p>
    <w:p w:rsidR="00B27FB7" w:rsidRPr="00F269CE" w:rsidRDefault="00B27FB7" w:rsidP="00B27FB7">
      <w:pPr>
        <w:pStyle w:val="Heading1"/>
        <w:rPr>
          <w:rFonts w:ascii="Times New Roman" w:hAnsi="Times New Roman" w:cs="Times New Roman"/>
          <w:b/>
          <w:color w:val="auto"/>
          <w:sz w:val="40"/>
          <w:u w:val="single"/>
        </w:rPr>
      </w:pPr>
      <w:r w:rsidRPr="00F269CE">
        <w:rPr>
          <w:rFonts w:ascii="Times New Roman" w:hAnsi="Times New Roman" w:cs="Times New Roman"/>
          <w:b/>
          <w:color w:val="auto"/>
          <w:sz w:val="40"/>
          <w:u w:val="single"/>
        </w:rPr>
        <w:lastRenderedPageBreak/>
        <w:t xml:space="preserve">Bibliography </w:t>
      </w:r>
    </w:p>
    <w:p w:rsidR="00B27FB7" w:rsidRPr="00652D71" w:rsidRDefault="00B27FB7" w:rsidP="00652D71">
      <w:pPr>
        <w:pStyle w:val="Heading1"/>
        <w:rPr>
          <w:rFonts w:ascii="Times New Roman" w:hAnsi="Times New Roman" w:cs="Times New Roman"/>
          <w:color w:val="auto"/>
          <w:u w:val="single"/>
        </w:rPr>
      </w:pPr>
      <w:r w:rsidRPr="00F269CE">
        <w:rPr>
          <w:rFonts w:ascii="Times New Roman" w:hAnsi="Times New Roman" w:cs="Times New Roman"/>
          <w:color w:val="auto"/>
          <w:u w:val="single"/>
        </w:rPr>
        <w:t xml:space="preserve">Ancient Sources </w:t>
      </w:r>
    </w:p>
    <w:p w:rsidR="00B27FB7" w:rsidRPr="00F269CE" w:rsidRDefault="00B27FB7" w:rsidP="00B27FB7">
      <w:pPr>
        <w:tabs>
          <w:tab w:val="left" w:pos="5745"/>
        </w:tabs>
        <w:rPr>
          <w:rFonts w:cs="Times New Roman"/>
        </w:rPr>
      </w:pPr>
      <w:r w:rsidRPr="00F269CE">
        <w:rPr>
          <w:rFonts w:cs="Times New Roman"/>
        </w:rPr>
        <w:t xml:space="preserve">Tacitus. Germania. H. W. Benario (trans.) 1999. United Kingdom, Wiltshire: </w:t>
      </w:r>
      <w:proofErr w:type="spellStart"/>
      <w:r w:rsidRPr="00F269CE">
        <w:rPr>
          <w:rFonts w:cs="Times New Roman"/>
        </w:rPr>
        <w:t>Aris</w:t>
      </w:r>
      <w:proofErr w:type="spellEnd"/>
      <w:r w:rsidRPr="00F269CE">
        <w:rPr>
          <w:rFonts w:cs="Times New Roman"/>
        </w:rPr>
        <w:t xml:space="preserve"> and Philips Ltd.  </w:t>
      </w:r>
    </w:p>
    <w:p w:rsidR="00F269CE" w:rsidRPr="00F269CE" w:rsidRDefault="00F269CE" w:rsidP="00F269CE">
      <w:pPr>
        <w:pStyle w:val="Heading1"/>
        <w:rPr>
          <w:rFonts w:ascii="Times New Roman" w:hAnsi="Times New Roman" w:cs="Times New Roman"/>
          <w:color w:val="auto"/>
          <w:u w:val="single"/>
        </w:rPr>
      </w:pPr>
      <w:r w:rsidRPr="00F269CE">
        <w:rPr>
          <w:rFonts w:ascii="Times New Roman" w:hAnsi="Times New Roman" w:cs="Times New Roman"/>
          <w:color w:val="auto"/>
          <w:u w:val="single"/>
        </w:rPr>
        <w:t xml:space="preserve">Modern Scholarship </w:t>
      </w:r>
    </w:p>
    <w:p w:rsidR="003663A8" w:rsidRPr="003663A8" w:rsidRDefault="003663A8" w:rsidP="003663A8">
      <w:pPr>
        <w:tabs>
          <w:tab w:val="center" w:pos="4513"/>
        </w:tabs>
        <w:rPr>
          <w:rFonts w:cs="Times New Roman"/>
        </w:rPr>
      </w:pPr>
      <w:r>
        <w:rPr>
          <w:rFonts w:cs="Times New Roman"/>
        </w:rPr>
        <w:tab/>
      </w:r>
      <w:r>
        <w:tab/>
      </w:r>
    </w:p>
    <w:p w:rsidR="003663A8" w:rsidRDefault="003663A8" w:rsidP="00612DCC">
      <w:pPr>
        <w:tabs>
          <w:tab w:val="left" w:pos="5745"/>
          <w:tab w:val="left" w:pos="7905"/>
        </w:tabs>
        <w:rPr>
          <w:rFonts w:cs="Times New Roman"/>
        </w:rPr>
      </w:pPr>
      <w:r w:rsidRPr="00CD02AA">
        <w:rPr>
          <w:rFonts w:cs="Times New Roman"/>
        </w:rPr>
        <w:t>Flaig, E. and Franke, T. 2006. “Tacitus”. https://referenceworks.brillonline.com/entries/brill-s-new-pauly/tacitus-e1128350?s.num=0&amp;s.f.s2_parent=s.f.book.brill-s-new-pauly&amp;s.q=Publius+Cornelius+Tacitus#e1128360 [</w:t>
      </w:r>
      <w:r>
        <w:rPr>
          <w:rFonts w:cs="Times New Roman"/>
        </w:rPr>
        <w:t>Accessed 10</w:t>
      </w:r>
      <w:r w:rsidRPr="00CD02AA">
        <w:rPr>
          <w:rFonts w:cs="Times New Roman"/>
          <w:vertAlign w:val="superscript"/>
        </w:rPr>
        <w:t>th</w:t>
      </w:r>
      <w:r>
        <w:rPr>
          <w:rFonts w:cs="Times New Roman"/>
        </w:rPr>
        <w:t xml:space="preserve"> January 2019]</w:t>
      </w:r>
    </w:p>
    <w:p w:rsidR="003663A8" w:rsidRPr="00773D07" w:rsidRDefault="003663A8" w:rsidP="00740025">
      <w:pPr>
        <w:tabs>
          <w:tab w:val="left" w:pos="8220"/>
        </w:tabs>
        <w:rPr>
          <w:rFonts w:cs="Times New Roman"/>
        </w:rPr>
      </w:pPr>
      <w:r>
        <w:rPr>
          <w:rFonts w:cs="Times New Roman"/>
        </w:rPr>
        <w:t xml:space="preserve">Hedeager, L. (1987.) Empire, frontier and barbarian hinterland: Rome and northern Europe from AD 1-400. United Kingdom, London: Routledge </w:t>
      </w:r>
      <w:r w:rsidRPr="00740025">
        <w:rPr>
          <w:rFonts w:cs="Times New Roman"/>
          <w:vanish/>
        </w:rPr>
        <w:t>Top of Form</w:t>
      </w:r>
      <w:r>
        <w:rPr>
          <w:rFonts w:cs="Times New Roman"/>
          <w:vanish/>
        </w:rPr>
        <w:t>ROutlde</w:t>
      </w:r>
    </w:p>
    <w:p w:rsidR="003663A8" w:rsidRPr="00740025" w:rsidRDefault="003663A8" w:rsidP="00740025">
      <w:pPr>
        <w:tabs>
          <w:tab w:val="left" w:pos="8220"/>
        </w:tabs>
        <w:rPr>
          <w:rFonts w:cs="Times New Roman"/>
        </w:rPr>
      </w:pPr>
      <w:r w:rsidRPr="00740025">
        <w:rPr>
          <w:rFonts w:cs="Times New Roman"/>
        </w:rPr>
        <w:t>Krebs</w:t>
      </w:r>
      <w:r w:rsidRPr="00740025">
        <w:t xml:space="preserve"> </w:t>
      </w:r>
      <w:r>
        <w:rPr>
          <w:rFonts w:cs="Times New Roman"/>
        </w:rPr>
        <w:t>C.</w:t>
      </w:r>
      <w:r w:rsidRPr="00740025">
        <w:rPr>
          <w:rFonts w:cs="Times New Roman"/>
        </w:rPr>
        <w:t xml:space="preserve"> B.</w:t>
      </w:r>
      <w:r>
        <w:rPr>
          <w:rFonts w:cs="Times New Roman"/>
        </w:rPr>
        <w:t xml:space="preserve"> (2011) </w:t>
      </w:r>
      <w:r w:rsidRPr="00645D96">
        <w:rPr>
          <w:rFonts w:cs="Times New Roman"/>
        </w:rPr>
        <w:t>A Most Dangerous Book: Tacitus's Germania from the Roman Empire to the Third</w:t>
      </w:r>
      <w:r>
        <w:rPr>
          <w:rFonts w:cs="Times New Roman"/>
        </w:rPr>
        <w:t xml:space="preserve"> Rich. United Kingdom, London: W. W Norton and Company. </w:t>
      </w:r>
    </w:p>
    <w:p w:rsidR="003663A8" w:rsidRDefault="003663A8" w:rsidP="00740025">
      <w:pPr>
        <w:tabs>
          <w:tab w:val="left" w:pos="8220"/>
        </w:tabs>
        <w:rPr>
          <w:rFonts w:cs="Times New Roman"/>
        </w:rPr>
      </w:pPr>
      <w:r w:rsidRPr="00187F4D">
        <w:rPr>
          <w:rFonts w:cs="Times New Roman"/>
        </w:rPr>
        <w:t>Mellor</w:t>
      </w:r>
      <w:r>
        <w:rPr>
          <w:rFonts w:cs="Times New Roman"/>
        </w:rPr>
        <w:t xml:space="preserve">. R. (1994.) </w:t>
      </w:r>
      <w:r w:rsidRPr="00187F4D">
        <w:rPr>
          <w:rFonts w:cs="Times New Roman"/>
        </w:rPr>
        <w:t>Tacitus</w:t>
      </w:r>
      <w:r>
        <w:rPr>
          <w:rFonts w:cs="Times New Roman"/>
        </w:rPr>
        <w:t>. United Kingdom, London: Routledge.</w:t>
      </w:r>
    </w:p>
    <w:p w:rsidR="00F83362" w:rsidRDefault="003663A8" w:rsidP="00740025">
      <w:pPr>
        <w:tabs>
          <w:tab w:val="left" w:pos="8220"/>
        </w:tabs>
        <w:rPr>
          <w:rFonts w:cs="Times New Roman"/>
        </w:rPr>
      </w:pPr>
      <w:r>
        <w:rPr>
          <w:rFonts w:cs="Times New Roman"/>
        </w:rPr>
        <w:t xml:space="preserve">Rüger, C. (2000.) </w:t>
      </w:r>
      <w:r w:rsidRPr="00AE72F2">
        <w:rPr>
          <w:rFonts w:cs="Times New Roman"/>
          <w:i/>
        </w:rPr>
        <w:t>Roman Germany.</w:t>
      </w:r>
      <w:r>
        <w:rPr>
          <w:rFonts w:cs="Times New Roman"/>
        </w:rPr>
        <w:t xml:space="preserve"> </w:t>
      </w:r>
      <w:r w:rsidRPr="00AE72F2">
        <w:rPr>
          <w:rFonts w:cs="Times New Roman"/>
        </w:rPr>
        <w:t>United Kingdom, Cambridge: Cambridge University Press.</w:t>
      </w:r>
    </w:p>
    <w:p w:rsidR="003663A8" w:rsidRPr="00740025" w:rsidRDefault="003663A8" w:rsidP="00740025">
      <w:pPr>
        <w:tabs>
          <w:tab w:val="left" w:pos="8220"/>
        </w:tabs>
        <w:rPr>
          <w:rFonts w:cs="Times New Roman"/>
          <w:vanish/>
        </w:rPr>
      </w:pPr>
      <w:r w:rsidRPr="00740025">
        <w:rPr>
          <w:rFonts w:cs="Times New Roman"/>
          <w:vanish/>
        </w:rPr>
        <w:t>Bottom of Form</w:t>
      </w:r>
    </w:p>
    <w:p w:rsidR="003663A8" w:rsidRDefault="003663A8" w:rsidP="00740025">
      <w:pPr>
        <w:tabs>
          <w:tab w:val="left" w:pos="8220"/>
        </w:tabs>
        <w:rPr>
          <w:rFonts w:cs="Times New Roman"/>
        </w:rPr>
      </w:pPr>
      <w:r>
        <w:rPr>
          <w:rFonts w:cs="Times New Roman"/>
        </w:rPr>
        <w:t>Scheidel, W.</w:t>
      </w:r>
      <w:r w:rsidRPr="009E3E20">
        <w:rPr>
          <w:rFonts w:cs="Times New Roman"/>
        </w:rPr>
        <w:t xml:space="preserve"> Morris,</w:t>
      </w:r>
      <w:r>
        <w:rPr>
          <w:rFonts w:cs="Times New Roman"/>
        </w:rPr>
        <w:t xml:space="preserve"> I.</w:t>
      </w:r>
      <w:r w:rsidRPr="009E3E20">
        <w:rPr>
          <w:rFonts w:cs="Times New Roman"/>
        </w:rPr>
        <w:t xml:space="preserve"> </w:t>
      </w:r>
      <w:r>
        <w:rPr>
          <w:rFonts w:cs="Times New Roman"/>
        </w:rPr>
        <w:t>and</w:t>
      </w:r>
      <w:r w:rsidRPr="009E3E20">
        <w:rPr>
          <w:rFonts w:cs="Times New Roman"/>
        </w:rPr>
        <w:t xml:space="preserve"> Saller</w:t>
      </w:r>
      <w:r>
        <w:rPr>
          <w:rFonts w:cs="Times New Roman"/>
        </w:rPr>
        <w:t>, R. P. (2014).</w:t>
      </w:r>
      <w:r w:rsidRPr="00CE1745">
        <w:t xml:space="preserve"> </w:t>
      </w:r>
      <w:r w:rsidRPr="00CE1745">
        <w:rPr>
          <w:rFonts w:cs="Times New Roman"/>
        </w:rPr>
        <w:t>The Cambridge Economic History of the Greco-Roman World</w:t>
      </w:r>
      <w:r>
        <w:rPr>
          <w:rFonts w:cs="Times New Roman"/>
        </w:rPr>
        <w:t>. United Kingdom, Cambridge: Cambridge University Press.</w:t>
      </w:r>
    </w:p>
    <w:p w:rsidR="003663A8" w:rsidRDefault="003663A8" w:rsidP="00CD02AA">
      <w:pPr>
        <w:tabs>
          <w:tab w:val="left" w:pos="8220"/>
        </w:tabs>
        <w:rPr>
          <w:rFonts w:cs="Times New Roman"/>
        </w:rPr>
      </w:pPr>
      <w:r>
        <w:rPr>
          <w:rFonts w:cs="Times New Roman"/>
        </w:rPr>
        <w:t xml:space="preserve">TAN, Z. </w:t>
      </w:r>
      <w:r w:rsidRPr="00CD02AA">
        <w:rPr>
          <w:rFonts w:cs="Times New Roman"/>
        </w:rPr>
        <w:t xml:space="preserve">M. </w:t>
      </w:r>
      <w:r>
        <w:rPr>
          <w:rFonts w:cs="Times New Roman"/>
        </w:rPr>
        <w:t xml:space="preserve">(2014.) </w:t>
      </w:r>
      <w:r w:rsidRPr="00CD02AA">
        <w:rPr>
          <w:rFonts w:cs="Times New Roman"/>
        </w:rPr>
        <w:t>“Subversive G</w:t>
      </w:r>
      <w:r>
        <w:rPr>
          <w:rFonts w:cs="Times New Roman"/>
        </w:rPr>
        <w:t>eography in Tacitus' ‘Germania.</w:t>
      </w:r>
      <w:r w:rsidRPr="00CD02AA">
        <w:rPr>
          <w:rFonts w:cs="Times New Roman"/>
        </w:rPr>
        <w:t>” The Journal of Roman Studies, vol. 104, pp. 181–204.</w:t>
      </w:r>
    </w:p>
    <w:p w:rsidR="003663A8" w:rsidRDefault="003663A8" w:rsidP="00612DCC">
      <w:pPr>
        <w:tabs>
          <w:tab w:val="left" w:pos="5745"/>
          <w:tab w:val="left" w:pos="7905"/>
        </w:tabs>
        <w:rPr>
          <w:rFonts w:cs="Times New Roman"/>
        </w:rPr>
      </w:pPr>
      <w:r w:rsidRPr="00F269CE">
        <w:rPr>
          <w:rFonts w:cs="Times New Roman"/>
        </w:rPr>
        <w:t xml:space="preserve">Todd, M. </w:t>
      </w:r>
      <w:r>
        <w:rPr>
          <w:rFonts w:cs="Times New Roman"/>
        </w:rPr>
        <w:t>(</w:t>
      </w:r>
      <w:r w:rsidRPr="00F269CE">
        <w:rPr>
          <w:rFonts w:cs="Times New Roman"/>
        </w:rPr>
        <w:t>2004.</w:t>
      </w:r>
      <w:r>
        <w:rPr>
          <w:rFonts w:cs="Times New Roman"/>
        </w:rPr>
        <w:t>)</w:t>
      </w:r>
      <w:r w:rsidRPr="00F269CE">
        <w:rPr>
          <w:rFonts w:cs="Times New Roman"/>
        </w:rPr>
        <w:t xml:space="preserve"> The Early Germans. United Kingdom, Oxford: Blackwell Publishing</w:t>
      </w:r>
      <w:r>
        <w:rPr>
          <w:rFonts w:cs="Times New Roman"/>
        </w:rPr>
        <w:tab/>
      </w:r>
    </w:p>
    <w:p w:rsidR="008978CC" w:rsidRPr="008978CC" w:rsidRDefault="003663A8" w:rsidP="00AC61B9">
      <w:pPr>
        <w:tabs>
          <w:tab w:val="left" w:pos="3345"/>
          <w:tab w:val="center" w:pos="4513"/>
        </w:tabs>
      </w:pPr>
      <w:r w:rsidRPr="008978CC">
        <w:t>Volker</w:t>
      </w:r>
      <w:r>
        <w:t xml:space="preserve">, P. </w:t>
      </w:r>
      <w:r w:rsidRPr="008978CC">
        <w:t xml:space="preserve"> (</w:t>
      </w:r>
      <w:r>
        <w:t xml:space="preserve">2006). “Germanic archaeology”. </w:t>
      </w:r>
      <w:hyperlink r:id="rId7" w:history="1">
        <w:r w:rsidRPr="00D84307">
          <w:rPr>
            <w:rStyle w:val="Hyperlink"/>
          </w:rPr>
          <w:t>https://referenceworks.brillonline.com/entries/brill-s-new-pauly/germanic-archaeology-e422550#</w:t>
        </w:r>
      </w:hyperlink>
      <w:r>
        <w:t xml:space="preserve"> [Accessed:  </w:t>
      </w:r>
      <w:r w:rsidRPr="00AC61B9">
        <w:t>10th January 2019</w:t>
      </w:r>
      <w:r>
        <w:t xml:space="preserve">] </w:t>
      </w:r>
    </w:p>
    <w:p w:rsidR="003663A8" w:rsidRDefault="003663A8" w:rsidP="003663A8">
      <w:pPr>
        <w:pStyle w:val="NoSpacing"/>
      </w:pPr>
      <w:r w:rsidRPr="001D5D8F">
        <w:t>Whittaker, C. (1994). Frontiers of the Roman Empire: A social and economic study. Baltimore, MD: Johns Hopkins University Press.</w:t>
      </w:r>
    </w:p>
    <w:p w:rsidR="00F83362" w:rsidRDefault="00F83362" w:rsidP="003663A8">
      <w:pPr>
        <w:pStyle w:val="NoSpacing"/>
      </w:pPr>
    </w:p>
    <w:p w:rsidR="003663A8" w:rsidRDefault="003663A8" w:rsidP="00612DCC">
      <w:pPr>
        <w:tabs>
          <w:tab w:val="left" w:pos="5745"/>
          <w:tab w:val="left" w:pos="7905"/>
        </w:tabs>
        <w:rPr>
          <w:rFonts w:cs="Times New Roman"/>
        </w:rPr>
      </w:pPr>
      <w:r w:rsidRPr="00612DCC">
        <w:rPr>
          <w:rFonts w:cs="Times New Roman"/>
        </w:rPr>
        <w:t>Wiegels, R. and Spickermann, W. 2006. “</w:t>
      </w:r>
      <w:proofErr w:type="spellStart"/>
      <w:r w:rsidRPr="00612DCC">
        <w:rPr>
          <w:rFonts w:cs="Times New Roman"/>
        </w:rPr>
        <w:t>Germani</w:t>
      </w:r>
      <w:proofErr w:type="spellEnd"/>
      <w:r w:rsidRPr="00612DCC">
        <w:rPr>
          <w:rFonts w:cs="Times New Roman"/>
        </w:rPr>
        <w:t xml:space="preserve">, Germania”. </w:t>
      </w:r>
      <w:hyperlink r:id="rId8" w:anchor="e422450" w:history="1">
        <w:r w:rsidRPr="00864FCB">
          <w:rPr>
            <w:rStyle w:val="Hyperlink"/>
            <w:rFonts w:cs="Times New Roman"/>
          </w:rPr>
          <w:t>https://referenceworks.brillonline.com/entries/der-neue-pauly/germani-germania-e422340#e422450</w:t>
        </w:r>
      </w:hyperlink>
      <w:r>
        <w:rPr>
          <w:rFonts w:cs="Times New Roman"/>
        </w:rPr>
        <w:t xml:space="preserve"> </w:t>
      </w:r>
      <w:r w:rsidRPr="00CD02AA">
        <w:rPr>
          <w:rFonts w:cs="Times New Roman"/>
        </w:rPr>
        <w:t>[Accessed 10th January 2019]</w:t>
      </w:r>
    </w:p>
    <w:sectPr w:rsidR="003663A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C11" w:rsidRDefault="00843C11" w:rsidP="00B27FB7">
      <w:pPr>
        <w:spacing w:after="0" w:line="240" w:lineRule="auto"/>
      </w:pPr>
      <w:r>
        <w:separator/>
      </w:r>
    </w:p>
  </w:endnote>
  <w:endnote w:type="continuationSeparator" w:id="0">
    <w:p w:rsidR="00843C11" w:rsidRDefault="00843C11" w:rsidP="00B27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4510860"/>
      <w:docPartObj>
        <w:docPartGallery w:val="Page Numbers (Bottom of Page)"/>
        <w:docPartUnique/>
      </w:docPartObj>
    </w:sdtPr>
    <w:sdtEndPr>
      <w:rPr>
        <w:color w:val="7F7F7F" w:themeColor="background1" w:themeShade="7F"/>
        <w:spacing w:val="60"/>
      </w:rPr>
    </w:sdtEndPr>
    <w:sdtContent>
      <w:p w:rsidR="002D4594" w:rsidRDefault="002D459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D4594">
          <w:rPr>
            <w:b/>
            <w:bCs/>
            <w:noProof/>
          </w:rPr>
          <w:t>6</w:t>
        </w:r>
        <w:r>
          <w:rPr>
            <w:b/>
            <w:bCs/>
            <w:noProof/>
          </w:rPr>
          <w:fldChar w:fldCharType="end"/>
        </w:r>
        <w:r>
          <w:rPr>
            <w:b/>
            <w:bCs/>
          </w:rPr>
          <w:t xml:space="preserve"> | </w:t>
        </w:r>
        <w:r>
          <w:rPr>
            <w:color w:val="7F7F7F" w:themeColor="background1" w:themeShade="7F"/>
            <w:spacing w:val="60"/>
          </w:rPr>
          <w:t>Page</w:t>
        </w:r>
      </w:p>
    </w:sdtContent>
  </w:sdt>
  <w:p w:rsidR="002D4594" w:rsidRDefault="002D4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C11" w:rsidRDefault="00843C11" w:rsidP="00B27FB7">
      <w:pPr>
        <w:spacing w:after="0" w:line="240" w:lineRule="auto"/>
      </w:pPr>
      <w:r>
        <w:separator/>
      </w:r>
    </w:p>
  </w:footnote>
  <w:footnote w:type="continuationSeparator" w:id="0">
    <w:p w:rsidR="00843C11" w:rsidRDefault="00843C11" w:rsidP="00B27FB7">
      <w:pPr>
        <w:spacing w:after="0" w:line="240" w:lineRule="auto"/>
      </w:pPr>
      <w:r>
        <w:continuationSeparator/>
      </w:r>
    </w:p>
  </w:footnote>
  <w:footnote w:id="1">
    <w:p w:rsidR="00E04483" w:rsidRPr="00AB2A66" w:rsidRDefault="00E04483">
      <w:pPr>
        <w:pStyle w:val="FootnoteText"/>
        <w:rPr>
          <w:rFonts w:cs="Times New Roman"/>
        </w:rPr>
      </w:pPr>
      <w:r w:rsidRPr="00AB2A66">
        <w:rPr>
          <w:rStyle w:val="FootnoteReference"/>
          <w:rFonts w:cs="Times New Roman"/>
        </w:rPr>
        <w:footnoteRef/>
      </w:r>
      <w:r w:rsidRPr="00AB2A66">
        <w:rPr>
          <w:rFonts w:cs="Times New Roman"/>
        </w:rPr>
        <w:t xml:space="preserve"> Tan 2014: 181</w:t>
      </w:r>
    </w:p>
  </w:footnote>
  <w:footnote w:id="2">
    <w:p w:rsidR="00AB2A66" w:rsidRPr="00AB2A66" w:rsidRDefault="00AB2A66" w:rsidP="00AB2A66">
      <w:pPr>
        <w:pStyle w:val="FootnoteText"/>
        <w:rPr>
          <w:rFonts w:cs="Times New Roman"/>
        </w:rPr>
      </w:pPr>
      <w:r w:rsidRPr="00AB2A66">
        <w:rPr>
          <w:rStyle w:val="FootnoteReference"/>
          <w:rFonts w:cs="Times New Roman"/>
        </w:rPr>
        <w:footnoteRef/>
      </w:r>
      <w:r w:rsidRPr="00AB2A66">
        <w:rPr>
          <w:rFonts w:cs="Times New Roman"/>
        </w:rPr>
        <w:t xml:space="preserve"> Flaig and Franke 2006.</w:t>
      </w:r>
    </w:p>
  </w:footnote>
  <w:footnote w:id="3">
    <w:p w:rsidR="007265E4" w:rsidRPr="007265E4" w:rsidRDefault="007265E4" w:rsidP="007265E4">
      <w:pPr>
        <w:pStyle w:val="FootnoteText"/>
      </w:pPr>
      <w:r>
        <w:rPr>
          <w:rStyle w:val="FootnoteReference"/>
        </w:rPr>
        <w:footnoteRef/>
      </w:r>
      <w:r>
        <w:t xml:space="preserve"> Tan 2014:</w:t>
      </w:r>
      <w:r w:rsidR="00511C44">
        <w:t xml:space="preserve"> 181</w:t>
      </w:r>
    </w:p>
  </w:footnote>
  <w:footnote w:id="4">
    <w:p w:rsidR="00424E7B" w:rsidRDefault="00424E7B">
      <w:pPr>
        <w:pStyle w:val="FootnoteText"/>
      </w:pPr>
      <w:r>
        <w:rPr>
          <w:rStyle w:val="FootnoteReference"/>
        </w:rPr>
        <w:footnoteRef/>
      </w:r>
      <w:r>
        <w:t xml:space="preserve"> </w:t>
      </w:r>
      <w:r w:rsidRPr="00424E7B">
        <w:t>Mellor</w:t>
      </w:r>
      <w:r>
        <w:t xml:space="preserve"> 1994: 1-15</w:t>
      </w:r>
    </w:p>
  </w:footnote>
  <w:footnote w:id="5">
    <w:p w:rsidR="007B510E" w:rsidRPr="007B510E" w:rsidRDefault="007B510E" w:rsidP="00124701">
      <w:pPr>
        <w:pStyle w:val="FootnoteText"/>
        <w:tabs>
          <w:tab w:val="left" w:pos="6255"/>
        </w:tabs>
      </w:pPr>
      <w:r>
        <w:rPr>
          <w:rStyle w:val="FootnoteReference"/>
        </w:rPr>
        <w:footnoteRef/>
      </w:r>
      <w:r>
        <w:t xml:space="preserve"> </w:t>
      </w:r>
      <w:r w:rsidR="00124701">
        <w:t>Wiegels</w:t>
      </w:r>
      <w:r>
        <w:t xml:space="preserve"> and Spickermann</w:t>
      </w:r>
      <w:r w:rsidRPr="007B510E">
        <w:t>. 2006.</w:t>
      </w:r>
      <w:r w:rsidR="00124701">
        <w:tab/>
      </w:r>
      <w:bookmarkStart w:id="0" w:name="_GoBack"/>
      <w:bookmarkEnd w:id="0"/>
    </w:p>
  </w:footnote>
  <w:footnote w:id="6">
    <w:p w:rsidR="003602F1" w:rsidRPr="003602F1" w:rsidRDefault="003602F1" w:rsidP="003602F1">
      <w:pPr>
        <w:pStyle w:val="FootnoteText"/>
      </w:pPr>
      <w:r>
        <w:rPr>
          <w:rStyle w:val="FootnoteReference"/>
        </w:rPr>
        <w:footnoteRef/>
      </w:r>
      <w:r>
        <w:t xml:space="preserve"> Flaig and Franke</w:t>
      </w:r>
      <w:r w:rsidRPr="003602F1">
        <w:t>. 2006.</w:t>
      </w:r>
    </w:p>
  </w:footnote>
  <w:footnote w:id="7">
    <w:p w:rsidR="000C4DC2" w:rsidRDefault="000C4DC2" w:rsidP="007B2EBF">
      <w:pPr>
        <w:pStyle w:val="FootnoteText"/>
        <w:tabs>
          <w:tab w:val="center" w:pos="4513"/>
        </w:tabs>
      </w:pPr>
      <w:r>
        <w:rPr>
          <w:rStyle w:val="FootnoteReference"/>
        </w:rPr>
        <w:footnoteRef/>
      </w:r>
      <w:r>
        <w:t xml:space="preserve"> Tac. Ger. 37</w:t>
      </w:r>
      <w:r w:rsidR="007B2EBF">
        <w:tab/>
      </w:r>
    </w:p>
  </w:footnote>
  <w:footnote w:id="8">
    <w:p w:rsidR="00D335B4" w:rsidRDefault="00D335B4" w:rsidP="00D335B4">
      <w:pPr>
        <w:pStyle w:val="FootnoteText"/>
        <w:tabs>
          <w:tab w:val="left" w:pos="795"/>
        </w:tabs>
      </w:pPr>
      <w:r>
        <w:rPr>
          <w:rStyle w:val="FootnoteReference"/>
        </w:rPr>
        <w:footnoteRef/>
      </w:r>
      <w:r>
        <w:t xml:space="preserve"> Krebs 2011: </w:t>
      </w:r>
      <w:r w:rsidR="008E0553">
        <w:t>100-115</w:t>
      </w:r>
    </w:p>
  </w:footnote>
  <w:footnote w:id="9">
    <w:p w:rsidR="006C2017" w:rsidRDefault="006C2017">
      <w:pPr>
        <w:pStyle w:val="FootnoteText"/>
      </w:pPr>
      <w:r>
        <w:rPr>
          <w:rStyle w:val="FootnoteReference"/>
        </w:rPr>
        <w:footnoteRef/>
      </w:r>
      <w:r>
        <w:t xml:space="preserve"> </w:t>
      </w:r>
      <w:r w:rsidRPr="006C2017">
        <w:t>Flaig and Franke. 2006.</w:t>
      </w:r>
    </w:p>
  </w:footnote>
  <w:footnote w:id="10">
    <w:p w:rsidR="00680E1C" w:rsidRPr="00680E1C" w:rsidRDefault="00680E1C" w:rsidP="00680E1C">
      <w:pPr>
        <w:pStyle w:val="FootnoteText"/>
      </w:pPr>
      <w:r>
        <w:rPr>
          <w:rStyle w:val="FootnoteReference"/>
        </w:rPr>
        <w:footnoteRef/>
      </w:r>
      <w:r>
        <w:t xml:space="preserve"> </w:t>
      </w:r>
      <w:r w:rsidRPr="00680E1C">
        <w:t>Tac. Ger.</w:t>
      </w:r>
      <w:r>
        <w:t xml:space="preserve"> 5 </w:t>
      </w:r>
    </w:p>
  </w:footnote>
  <w:footnote w:id="11">
    <w:p w:rsidR="00D50F09" w:rsidRDefault="00D50F09" w:rsidP="00D50F09">
      <w:pPr>
        <w:pStyle w:val="FootnoteText"/>
      </w:pPr>
      <w:r>
        <w:rPr>
          <w:rStyle w:val="FootnoteReference"/>
        </w:rPr>
        <w:footnoteRef/>
      </w:r>
      <w:r>
        <w:t xml:space="preserve"> </w:t>
      </w:r>
      <w:r>
        <w:rPr>
          <w:rFonts w:cs="Times New Roman"/>
        </w:rPr>
        <w:t xml:space="preserve">Rüger 2000: </w:t>
      </w:r>
      <w:r w:rsidR="00A14D54">
        <w:rPr>
          <w:rFonts w:cs="Times New Roman"/>
        </w:rPr>
        <w:t>500-510</w:t>
      </w:r>
    </w:p>
  </w:footnote>
  <w:footnote w:id="12">
    <w:p w:rsidR="00972C17" w:rsidRDefault="00972C17">
      <w:pPr>
        <w:pStyle w:val="FootnoteText"/>
      </w:pPr>
      <w:r>
        <w:rPr>
          <w:rStyle w:val="FootnoteReference"/>
        </w:rPr>
        <w:footnoteRef/>
      </w:r>
      <w:r>
        <w:t xml:space="preserve"> Whittaker 1994: </w:t>
      </w:r>
      <w:r w:rsidR="00762638">
        <w:t>85</w:t>
      </w:r>
    </w:p>
  </w:footnote>
  <w:footnote w:id="13">
    <w:p w:rsidR="00E56C94" w:rsidRPr="00E56C94" w:rsidRDefault="00E56C94" w:rsidP="00E56C94">
      <w:pPr>
        <w:pStyle w:val="FootnoteText"/>
      </w:pPr>
      <w:r>
        <w:rPr>
          <w:rStyle w:val="FootnoteReference"/>
        </w:rPr>
        <w:footnoteRef/>
      </w:r>
      <w:r>
        <w:t xml:space="preserve"> </w:t>
      </w:r>
      <w:r w:rsidRPr="00E56C94">
        <w:t>Tac. Ger.</w:t>
      </w:r>
      <w:r>
        <w:t xml:space="preserve"> 1</w:t>
      </w:r>
    </w:p>
  </w:footnote>
  <w:footnote w:id="14">
    <w:p w:rsidR="008C4F1C" w:rsidRDefault="008C4F1C">
      <w:pPr>
        <w:pStyle w:val="FootnoteText"/>
      </w:pPr>
      <w:r>
        <w:rPr>
          <w:rStyle w:val="FootnoteReference"/>
        </w:rPr>
        <w:footnoteRef/>
      </w:r>
      <w:r>
        <w:t xml:space="preserve"> Tan 2014: 181-185 </w:t>
      </w:r>
    </w:p>
  </w:footnote>
  <w:footnote w:id="15">
    <w:p w:rsidR="005D51AE" w:rsidRDefault="005D51AE">
      <w:pPr>
        <w:pStyle w:val="FootnoteText"/>
      </w:pPr>
      <w:r>
        <w:rPr>
          <w:rStyle w:val="FootnoteReference"/>
        </w:rPr>
        <w:footnoteRef/>
      </w:r>
      <w:r>
        <w:t xml:space="preserve"> Volker 2006</w:t>
      </w:r>
    </w:p>
  </w:footnote>
  <w:footnote w:id="16">
    <w:p w:rsidR="003663A8" w:rsidRDefault="003663A8" w:rsidP="003663A8">
      <w:pPr>
        <w:pStyle w:val="FootnoteText"/>
      </w:pPr>
      <w:r>
        <w:rPr>
          <w:rStyle w:val="FootnoteReference"/>
        </w:rPr>
        <w:footnoteRef/>
      </w:r>
      <w:r>
        <w:t xml:space="preserve"> </w:t>
      </w:r>
      <w:r>
        <w:rPr>
          <w:rFonts w:cs="Times New Roman"/>
        </w:rPr>
        <w:t xml:space="preserve">Hedeager 1987: </w:t>
      </w:r>
      <w:r w:rsidR="000F4A5D">
        <w:rPr>
          <w:rFonts w:cs="Times New Roman"/>
        </w:rPr>
        <w:t>126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9CE" w:rsidRDefault="00F269CE">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152"/>
    <w:rsid w:val="00002BB4"/>
    <w:rsid w:val="000178BF"/>
    <w:rsid w:val="000258BB"/>
    <w:rsid w:val="00042B66"/>
    <w:rsid w:val="0006568C"/>
    <w:rsid w:val="00066C93"/>
    <w:rsid w:val="000761E6"/>
    <w:rsid w:val="000A217B"/>
    <w:rsid w:val="000B3FD4"/>
    <w:rsid w:val="000C4DC2"/>
    <w:rsid w:val="000D77C1"/>
    <w:rsid w:val="000F4A5D"/>
    <w:rsid w:val="00103425"/>
    <w:rsid w:val="00117E4B"/>
    <w:rsid w:val="00124701"/>
    <w:rsid w:val="00133BE0"/>
    <w:rsid w:val="00187F4D"/>
    <w:rsid w:val="001B1B1B"/>
    <w:rsid w:val="001B68AC"/>
    <w:rsid w:val="001C14FA"/>
    <w:rsid w:val="001D5D8F"/>
    <w:rsid w:val="002007C7"/>
    <w:rsid w:val="002077EE"/>
    <w:rsid w:val="00251F6C"/>
    <w:rsid w:val="00255CCE"/>
    <w:rsid w:val="00270E39"/>
    <w:rsid w:val="00275AB5"/>
    <w:rsid w:val="002810B7"/>
    <w:rsid w:val="00281C23"/>
    <w:rsid w:val="00294289"/>
    <w:rsid w:val="002D4594"/>
    <w:rsid w:val="002E2A74"/>
    <w:rsid w:val="00300FCC"/>
    <w:rsid w:val="00302AD7"/>
    <w:rsid w:val="00312C3E"/>
    <w:rsid w:val="00322A9E"/>
    <w:rsid w:val="003373C7"/>
    <w:rsid w:val="00347B6F"/>
    <w:rsid w:val="003602F1"/>
    <w:rsid w:val="0036552C"/>
    <w:rsid w:val="003663A8"/>
    <w:rsid w:val="003F5372"/>
    <w:rsid w:val="004169FE"/>
    <w:rsid w:val="0042406E"/>
    <w:rsid w:val="00424E7B"/>
    <w:rsid w:val="0043387C"/>
    <w:rsid w:val="00475B9E"/>
    <w:rsid w:val="00480C73"/>
    <w:rsid w:val="00483248"/>
    <w:rsid w:val="004B37DE"/>
    <w:rsid w:val="004C7B71"/>
    <w:rsid w:val="004F4B30"/>
    <w:rsid w:val="00511C44"/>
    <w:rsid w:val="00512E96"/>
    <w:rsid w:val="00550553"/>
    <w:rsid w:val="005508E2"/>
    <w:rsid w:val="00575B75"/>
    <w:rsid w:val="005A6B14"/>
    <w:rsid w:val="005C7DA3"/>
    <w:rsid w:val="005D51AE"/>
    <w:rsid w:val="005E1E9A"/>
    <w:rsid w:val="00612DCC"/>
    <w:rsid w:val="00645D96"/>
    <w:rsid w:val="00652D71"/>
    <w:rsid w:val="006540B4"/>
    <w:rsid w:val="00656B97"/>
    <w:rsid w:val="00680E1C"/>
    <w:rsid w:val="006A3761"/>
    <w:rsid w:val="006B48C2"/>
    <w:rsid w:val="006C2017"/>
    <w:rsid w:val="006F0D5A"/>
    <w:rsid w:val="006F5DEA"/>
    <w:rsid w:val="00705D15"/>
    <w:rsid w:val="007265E4"/>
    <w:rsid w:val="00740025"/>
    <w:rsid w:val="0074610A"/>
    <w:rsid w:val="00762638"/>
    <w:rsid w:val="00773633"/>
    <w:rsid w:val="00773D07"/>
    <w:rsid w:val="00786D5C"/>
    <w:rsid w:val="00787835"/>
    <w:rsid w:val="007B2EBF"/>
    <w:rsid w:val="007B510E"/>
    <w:rsid w:val="007D392C"/>
    <w:rsid w:val="007E4266"/>
    <w:rsid w:val="007E5A19"/>
    <w:rsid w:val="007F4D7E"/>
    <w:rsid w:val="008126E5"/>
    <w:rsid w:val="00843C11"/>
    <w:rsid w:val="0086007C"/>
    <w:rsid w:val="00861F42"/>
    <w:rsid w:val="00862638"/>
    <w:rsid w:val="0087255D"/>
    <w:rsid w:val="00876DBC"/>
    <w:rsid w:val="008770CA"/>
    <w:rsid w:val="008978CC"/>
    <w:rsid w:val="008A2A0E"/>
    <w:rsid w:val="008A38B0"/>
    <w:rsid w:val="008B3F92"/>
    <w:rsid w:val="008C4F1C"/>
    <w:rsid w:val="008E0553"/>
    <w:rsid w:val="0092302E"/>
    <w:rsid w:val="0092449C"/>
    <w:rsid w:val="0092676E"/>
    <w:rsid w:val="00931BC5"/>
    <w:rsid w:val="00942EE2"/>
    <w:rsid w:val="00951A04"/>
    <w:rsid w:val="00952B68"/>
    <w:rsid w:val="009600C5"/>
    <w:rsid w:val="009665EB"/>
    <w:rsid w:val="00972C17"/>
    <w:rsid w:val="00986848"/>
    <w:rsid w:val="00997F51"/>
    <w:rsid w:val="009D7BEC"/>
    <w:rsid w:val="009E3152"/>
    <w:rsid w:val="009E3E20"/>
    <w:rsid w:val="009E4C6E"/>
    <w:rsid w:val="00A148FA"/>
    <w:rsid w:val="00A14D54"/>
    <w:rsid w:val="00A26AB0"/>
    <w:rsid w:val="00A81809"/>
    <w:rsid w:val="00A879C6"/>
    <w:rsid w:val="00A9538C"/>
    <w:rsid w:val="00AA25DD"/>
    <w:rsid w:val="00AB07D5"/>
    <w:rsid w:val="00AB2A66"/>
    <w:rsid w:val="00AB3BBD"/>
    <w:rsid w:val="00AB44DE"/>
    <w:rsid w:val="00AC61B9"/>
    <w:rsid w:val="00AE72F2"/>
    <w:rsid w:val="00B261FF"/>
    <w:rsid w:val="00B27FB7"/>
    <w:rsid w:val="00B31961"/>
    <w:rsid w:val="00B4355A"/>
    <w:rsid w:val="00B52849"/>
    <w:rsid w:val="00B66EAC"/>
    <w:rsid w:val="00B7120F"/>
    <w:rsid w:val="00B73382"/>
    <w:rsid w:val="00B83BAA"/>
    <w:rsid w:val="00B83D60"/>
    <w:rsid w:val="00B91BA0"/>
    <w:rsid w:val="00BA091A"/>
    <w:rsid w:val="00BB1F0D"/>
    <w:rsid w:val="00BE036C"/>
    <w:rsid w:val="00C00C76"/>
    <w:rsid w:val="00C53675"/>
    <w:rsid w:val="00C870BF"/>
    <w:rsid w:val="00CC3A8D"/>
    <w:rsid w:val="00CD02AA"/>
    <w:rsid w:val="00CE1745"/>
    <w:rsid w:val="00D053D6"/>
    <w:rsid w:val="00D07D17"/>
    <w:rsid w:val="00D172E9"/>
    <w:rsid w:val="00D2143D"/>
    <w:rsid w:val="00D335B4"/>
    <w:rsid w:val="00D50F09"/>
    <w:rsid w:val="00D63C65"/>
    <w:rsid w:val="00DB58EF"/>
    <w:rsid w:val="00DD5B1D"/>
    <w:rsid w:val="00E04483"/>
    <w:rsid w:val="00E56C94"/>
    <w:rsid w:val="00E630E0"/>
    <w:rsid w:val="00E80586"/>
    <w:rsid w:val="00E8287A"/>
    <w:rsid w:val="00EC7523"/>
    <w:rsid w:val="00ED7ED5"/>
    <w:rsid w:val="00F269CE"/>
    <w:rsid w:val="00F67FC3"/>
    <w:rsid w:val="00F81E49"/>
    <w:rsid w:val="00F83362"/>
    <w:rsid w:val="00F9582A"/>
    <w:rsid w:val="00FB2E62"/>
    <w:rsid w:val="00FE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31C239-1AF6-4616-8C74-4C0DB4799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A66"/>
    <w:rPr>
      <w:rFonts w:ascii="Times New Roman" w:hAnsi="Times New Roman"/>
    </w:rPr>
  </w:style>
  <w:style w:type="paragraph" w:styleId="Heading1">
    <w:name w:val="heading 1"/>
    <w:basedOn w:val="Normal"/>
    <w:next w:val="Normal"/>
    <w:link w:val="Heading1Char"/>
    <w:uiPriority w:val="9"/>
    <w:qFormat/>
    <w:rsid w:val="00B27F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31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15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27FB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27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FB7"/>
  </w:style>
  <w:style w:type="paragraph" w:styleId="Footer">
    <w:name w:val="footer"/>
    <w:basedOn w:val="Normal"/>
    <w:link w:val="FooterChar"/>
    <w:uiPriority w:val="99"/>
    <w:unhideWhenUsed/>
    <w:rsid w:val="00B27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FB7"/>
  </w:style>
  <w:style w:type="character" w:styleId="Hyperlink">
    <w:name w:val="Hyperlink"/>
    <w:basedOn w:val="DefaultParagraphFont"/>
    <w:uiPriority w:val="99"/>
    <w:unhideWhenUsed/>
    <w:rsid w:val="00612DCC"/>
    <w:rPr>
      <w:color w:val="0563C1" w:themeColor="hyperlink"/>
      <w:u w:val="single"/>
    </w:rPr>
  </w:style>
  <w:style w:type="paragraph" w:styleId="FootnoteText">
    <w:name w:val="footnote text"/>
    <w:basedOn w:val="Normal"/>
    <w:link w:val="FootnoteTextChar"/>
    <w:uiPriority w:val="99"/>
    <w:semiHidden/>
    <w:unhideWhenUsed/>
    <w:rsid w:val="00E044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4483"/>
    <w:rPr>
      <w:sz w:val="20"/>
      <w:szCs w:val="20"/>
    </w:rPr>
  </w:style>
  <w:style w:type="character" w:styleId="FootnoteReference">
    <w:name w:val="footnote reference"/>
    <w:basedOn w:val="DefaultParagraphFont"/>
    <w:uiPriority w:val="99"/>
    <w:semiHidden/>
    <w:unhideWhenUsed/>
    <w:rsid w:val="00E04483"/>
    <w:rPr>
      <w:vertAlign w:val="superscript"/>
    </w:rPr>
  </w:style>
  <w:style w:type="paragraph" w:styleId="NoSpacing">
    <w:name w:val="No Spacing"/>
    <w:uiPriority w:val="1"/>
    <w:qFormat/>
    <w:rsid w:val="008978CC"/>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43644">
      <w:bodyDiv w:val="1"/>
      <w:marLeft w:val="0"/>
      <w:marRight w:val="0"/>
      <w:marTop w:val="0"/>
      <w:marBottom w:val="0"/>
      <w:divBdr>
        <w:top w:val="none" w:sz="0" w:space="0" w:color="auto"/>
        <w:left w:val="none" w:sz="0" w:space="0" w:color="auto"/>
        <w:bottom w:val="none" w:sz="0" w:space="0" w:color="auto"/>
        <w:right w:val="none" w:sz="0" w:space="0" w:color="auto"/>
      </w:divBdr>
      <w:divsChild>
        <w:div w:id="296491594">
          <w:marLeft w:val="0"/>
          <w:marRight w:val="0"/>
          <w:marTop w:val="0"/>
          <w:marBottom w:val="60"/>
          <w:divBdr>
            <w:top w:val="none" w:sz="0" w:space="0" w:color="auto"/>
            <w:left w:val="none" w:sz="0" w:space="0" w:color="auto"/>
            <w:bottom w:val="none" w:sz="0" w:space="0" w:color="auto"/>
            <w:right w:val="none" w:sz="0" w:space="0" w:color="auto"/>
          </w:divBdr>
        </w:div>
        <w:div w:id="105195246">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erenceworks.brillonline.com/entries/der-neue-pauly/germani-germania-e422340" TargetMode="External"/><Relationship Id="rId3" Type="http://schemas.openxmlformats.org/officeDocument/2006/relationships/settings" Target="settings.xml"/><Relationship Id="rId7" Type="http://schemas.openxmlformats.org/officeDocument/2006/relationships/hyperlink" Target="https://referenceworks.brillonline.com/entries/brill-s-new-pauly/germanic-archaeology-e4225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00471-286E-44B8-8254-A5D8B37D9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Pages>
  <Words>2041</Words>
  <Characters>11637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127</cp:revision>
  <dcterms:created xsi:type="dcterms:W3CDTF">2019-01-06T19:21:00Z</dcterms:created>
  <dcterms:modified xsi:type="dcterms:W3CDTF">2019-02-04T17:59:00Z</dcterms:modified>
</cp:coreProperties>
</file>