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F62E14" w14:textId="77777777" w:rsidR="00396770" w:rsidRPr="00A85BFE" w:rsidRDefault="00396770" w:rsidP="00396770">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8E62FD4" wp14:editId="31C5DD0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79527BEB" w14:textId="77777777" w:rsidR="00396770" w:rsidRPr="00A406E5" w:rsidRDefault="00396770" w:rsidP="0039677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96770" w:rsidRPr="00A406E5" w14:paraId="1108F437" w14:textId="77777777" w:rsidTr="008058B7">
        <w:tc>
          <w:tcPr>
            <w:tcW w:w="9922" w:type="dxa"/>
            <w:shd w:val="clear" w:color="auto" w:fill="C0C0C0"/>
          </w:tcPr>
          <w:p w14:paraId="6C68F196" w14:textId="77777777" w:rsidR="00396770" w:rsidRPr="00A406E5" w:rsidRDefault="00396770" w:rsidP="008058B7">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1F8DAB0A" w14:textId="77777777" w:rsidR="00396770" w:rsidRPr="00A406E5" w:rsidRDefault="00396770" w:rsidP="0039677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96770" w:rsidRPr="00A406E5" w14:paraId="4AC28373" w14:textId="77777777" w:rsidTr="008058B7">
        <w:tc>
          <w:tcPr>
            <w:tcW w:w="2093" w:type="dxa"/>
            <w:shd w:val="pct15" w:color="auto" w:fill="auto"/>
          </w:tcPr>
          <w:p w14:paraId="18E755EF" w14:textId="77777777" w:rsidR="00396770" w:rsidRPr="00A406E5" w:rsidRDefault="00396770" w:rsidP="008058B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DD8673F" w14:textId="7499E3ED"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Sarah Louise Hoffmann</w:t>
            </w:r>
          </w:p>
        </w:tc>
        <w:tc>
          <w:tcPr>
            <w:tcW w:w="2268" w:type="dxa"/>
            <w:shd w:val="clear" w:color="auto" w:fill="D9D9D9"/>
          </w:tcPr>
          <w:p w14:paraId="71FDC948" w14:textId="77777777" w:rsidR="00396770" w:rsidRPr="00A406E5" w:rsidRDefault="00396770" w:rsidP="008058B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01FB07D" w14:textId="2B1AD2CD"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2315599</w:t>
            </w:r>
          </w:p>
        </w:tc>
      </w:tr>
      <w:tr w:rsidR="00396770" w:rsidRPr="00A406E5" w14:paraId="48AC50FC" w14:textId="77777777" w:rsidTr="008058B7">
        <w:tc>
          <w:tcPr>
            <w:tcW w:w="2093" w:type="dxa"/>
            <w:shd w:val="pct15" w:color="auto" w:fill="auto"/>
          </w:tcPr>
          <w:p w14:paraId="2339BD07" w14:textId="77777777" w:rsidR="00396770" w:rsidRPr="00A406E5" w:rsidRDefault="00396770" w:rsidP="008058B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9157EBF" w14:textId="77777777"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 xml:space="preserve">LLB Law and Legal Practice </w:t>
            </w:r>
          </w:p>
        </w:tc>
      </w:tr>
      <w:tr w:rsidR="00396770" w:rsidRPr="00A406E5" w14:paraId="356407CA" w14:textId="77777777" w:rsidTr="008058B7">
        <w:tc>
          <w:tcPr>
            <w:tcW w:w="2093" w:type="dxa"/>
            <w:shd w:val="pct15" w:color="auto" w:fill="auto"/>
          </w:tcPr>
          <w:p w14:paraId="15ABA718" w14:textId="77777777" w:rsidR="00396770" w:rsidRPr="00A406E5" w:rsidRDefault="00396770" w:rsidP="008058B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5360B7F" w14:textId="77777777"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 xml:space="preserve">Legal Research </w:t>
            </w:r>
          </w:p>
        </w:tc>
      </w:tr>
      <w:tr w:rsidR="00396770" w:rsidRPr="00A406E5" w14:paraId="0D830D5C" w14:textId="77777777" w:rsidTr="008058B7">
        <w:tc>
          <w:tcPr>
            <w:tcW w:w="2093" w:type="dxa"/>
            <w:shd w:val="pct15" w:color="auto" w:fill="auto"/>
          </w:tcPr>
          <w:p w14:paraId="598BA593" w14:textId="77777777" w:rsidR="00396770" w:rsidRPr="00A406E5" w:rsidRDefault="00396770" w:rsidP="008058B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D5BE665" w14:textId="77777777"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BMLW5019</w:t>
            </w:r>
          </w:p>
        </w:tc>
        <w:tc>
          <w:tcPr>
            <w:tcW w:w="2268" w:type="dxa"/>
            <w:shd w:val="clear" w:color="auto" w:fill="D9D9D9"/>
          </w:tcPr>
          <w:p w14:paraId="29A2A369" w14:textId="0FCCC467" w:rsidR="00396770" w:rsidRPr="004D5E9B" w:rsidRDefault="00396770" w:rsidP="008058B7">
            <w:pPr>
              <w:pStyle w:val="Heading2"/>
              <w:rPr>
                <w:rFonts w:ascii="Arial" w:hAnsi="Arial" w:cs="Arial"/>
                <w:sz w:val="22"/>
                <w:szCs w:val="22"/>
              </w:rPr>
            </w:pPr>
          </w:p>
        </w:tc>
        <w:tc>
          <w:tcPr>
            <w:tcW w:w="2268" w:type="dxa"/>
          </w:tcPr>
          <w:p w14:paraId="5F63AA24" w14:textId="1245835A" w:rsidR="00396770" w:rsidRPr="00A406E5" w:rsidRDefault="00396770" w:rsidP="008058B7">
            <w:pPr>
              <w:spacing w:before="120" w:after="120"/>
              <w:jc w:val="both"/>
              <w:rPr>
                <w:rFonts w:ascii="Arial" w:hAnsi="Arial" w:cs="Arial"/>
                <w:b/>
                <w:sz w:val="22"/>
                <w:szCs w:val="22"/>
              </w:rPr>
            </w:pPr>
          </w:p>
        </w:tc>
      </w:tr>
      <w:tr w:rsidR="00396770" w:rsidRPr="00A406E5" w14:paraId="3FA30ECB" w14:textId="77777777" w:rsidTr="008058B7">
        <w:tc>
          <w:tcPr>
            <w:tcW w:w="2093" w:type="dxa"/>
            <w:shd w:val="pct15" w:color="auto" w:fill="auto"/>
          </w:tcPr>
          <w:p w14:paraId="77A43392" w14:textId="77777777" w:rsidR="00396770" w:rsidRPr="00A406E5" w:rsidRDefault="00396770" w:rsidP="008058B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15B6E3C" w14:textId="77777777"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5BA0D9EC" w14:textId="77777777" w:rsidR="00396770" w:rsidRPr="00A406E5" w:rsidRDefault="00396770" w:rsidP="008058B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4D522C1" w14:textId="77777777"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 xml:space="preserve">Cerys Davies </w:t>
            </w:r>
          </w:p>
        </w:tc>
      </w:tr>
      <w:tr w:rsidR="00396770" w:rsidRPr="00A406E5" w14:paraId="7B35E051" w14:textId="77777777" w:rsidTr="008058B7">
        <w:tc>
          <w:tcPr>
            <w:tcW w:w="2093" w:type="dxa"/>
            <w:shd w:val="pct15" w:color="auto" w:fill="auto"/>
          </w:tcPr>
          <w:p w14:paraId="6D7B62ED" w14:textId="77777777" w:rsidR="00396770" w:rsidRPr="00A406E5" w:rsidRDefault="00396770" w:rsidP="008058B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8F0E7E" w14:textId="77777777"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 xml:space="preserve">Time Stomp Festival </w:t>
            </w:r>
          </w:p>
        </w:tc>
        <w:tc>
          <w:tcPr>
            <w:tcW w:w="2268" w:type="dxa"/>
            <w:shd w:val="pct15" w:color="auto" w:fill="auto"/>
          </w:tcPr>
          <w:p w14:paraId="582BBCEE" w14:textId="77777777"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FBE967" w14:textId="77777777"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4000</w:t>
            </w:r>
          </w:p>
        </w:tc>
      </w:tr>
      <w:tr w:rsidR="00396770" w:rsidRPr="00A406E5" w14:paraId="21D16396" w14:textId="77777777" w:rsidTr="008058B7">
        <w:tc>
          <w:tcPr>
            <w:tcW w:w="2093" w:type="dxa"/>
            <w:shd w:val="pct15" w:color="auto" w:fill="auto"/>
          </w:tcPr>
          <w:p w14:paraId="5CEB83B4" w14:textId="77777777" w:rsidR="00396770" w:rsidRPr="00A406E5" w:rsidRDefault="00396770" w:rsidP="008058B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2286908" w14:textId="7557DD12"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2</w:t>
            </w:r>
            <w:r w:rsidRPr="009D54F8">
              <w:rPr>
                <w:rFonts w:ascii="Arial" w:hAnsi="Arial" w:cs="Arial"/>
                <w:b/>
                <w:sz w:val="22"/>
                <w:szCs w:val="22"/>
                <w:vertAlign w:val="superscript"/>
              </w:rPr>
              <w:t>nd</w:t>
            </w:r>
            <w:r>
              <w:rPr>
                <w:rFonts w:ascii="Arial" w:hAnsi="Arial" w:cs="Arial"/>
                <w:b/>
                <w:sz w:val="22"/>
                <w:szCs w:val="22"/>
              </w:rPr>
              <w:t>May 2025 by 23:59pm</w:t>
            </w:r>
          </w:p>
        </w:tc>
        <w:tc>
          <w:tcPr>
            <w:tcW w:w="2268" w:type="dxa"/>
            <w:shd w:val="pct15" w:color="auto" w:fill="auto"/>
          </w:tcPr>
          <w:p w14:paraId="73522D2C" w14:textId="77777777" w:rsidR="00396770" w:rsidRPr="00A406E5" w:rsidRDefault="00396770" w:rsidP="008058B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29BE5F3" w14:textId="77777777"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6</w:t>
            </w:r>
            <w:r w:rsidRPr="005943DF">
              <w:rPr>
                <w:rFonts w:ascii="Arial" w:hAnsi="Arial" w:cs="Arial"/>
                <w:b/>
                <w:sz w:val="22"/>
                <w:szCs w:val="22"/>
                <w:vertAlign w:val="superscript"/>
              </w:rPr>
              <w:t>th</w:t>
            </w:r>
            <w:r>
              <w:rPr>
                <w:rFonts w:ascii="Arial" w:hAnsi="Arial" w:cs="Arial"/>
                <w:b/>
                <w:sz w:val="22"/>
                <w:szCs w:val="22"/>
              </w:rPr>
              <w:t xml:space="preserve"> June 2025 at 10am </w:t>
            </w:r>
          </w:p>
        </w:tc>
      </w:tr>
    </w:tbl>
    <w:p w14:paraId="188F2714" w14:textId="77777777" w:rsidR="00396770" w:rsidRDefault="00396770"/>
    <w:p w14:paraId="42D49034" w14:textId="77777777" w:rsidR="00396770" w:rsidRDefault="00396770"/>
    <w:p w14:paraId="582D0781" w14:textId="77777777" w:rsidR="00396770" w:rsidRDefault="00396770"/>
    <w:p w14:paraId="6E7A0856" w14:textId="77777777" w:rsidR="00396770" w:rsidRDefault="00396770"/>
    <w:p w14:paraId="18266F37" w14:textId="77777777" w:rsidR="00396770" w:rsidRDefault="00396770"/>
    <w:p w14:paraId="3896C086" w14:textId="77777777" w:rsidR="00396770" w:rsidRDefault="00396770"/>
    <w:p w14:paraId="53EC9176" w14:textId="550E9D19" w:rsidR="00DF3BF5" w:rsidRDefault="00DF3BF5">
      <w:pPr>
        <w:spacing w:after="160" w:line="278" w:lineRule="auto"/>
      </w:pPr>
      <w:r>
        <w:br w:type="page"/>
      </w:r>
    </w:p>
    <w:sdt>
      <w:sdtPr>
        <w:rPr>
          <w:rFonts w:ascii="Times New Roman" w:eastAsia="Times New Roman" w:hAnsi="Times New Roman" w:cs="Times New Roman"/>
          <w:color w:val="auto"/>
          <w:sz w:val="20"/>
          <w:szCs w:val="20"/>
        </w:rPr>
        <w:id w:val="1884592931"/>
        <w:docPartObj>
          <w:docPartGallery w:val="Table of Contents"/>
          <w:docPartUnique/>
        </w:docPartObj>
      </w:sdtPr>
      <w:sdtEndPr>
        <w:rPr>
          <w:b/>
          <w:bCs/>
        </w:rPr>
      </w:sdtEndPr>
      <w:sdtContent>
        <w:p w14:paraId="1F7106A5" w14:textId="1967A4CF" w:rsidR="00DF3BF5" w:rsidRDefault="00DF3BF5">
          <w:pPr>
            <w:pStyle w:val="TOCHeading"/>
          </w:pPr>
          <w:r>
            <w:t>Contents</w:t>
          </w:r>
        </w:p>
        <w:p w14:paraId="4C26DFC7" w14:textId="1721018D" w:rsidR="00AF643F" w:rsidRPr="00AF643F" w:rsidRDefault="00DF3BF5">
          <w:pPr>
            <w:pStyle w:val="TOC2"/>
            <w:tabs>
              <w:tab w:val="right" w:leader="dot" w:pos="9016"/>
            </w:tabs>
            <w:rPr>
              <w:rFonts w:asciiTheme="minorHAnsi" w:eastAsiaTheme="minorEastAsia" w:hAnsiTheme="minorHAnsi" w:cstheme="minorBidi"/>
              <w:noProof/>
              <w:kern w:val="2"/>
              <w:sz w:val="32"/>
              <w:szCs w:val="32"/>
              <w14:ligatures w14:val="standardContextual"/>
            </w:rPr>
          </w:pPr>
          <w:r w:rsidRPr="00AF643F">
            <w:rPr>
              <w:rFonts w:asciiTheme="minorHAnsi" w:hAnsiTheme="minorHAnsi"/>
              <w:sz w:val="32"/>
              <w:szCs w:val="32"/>
            </w:rPr>
            <w:fldChar w:fldCharType="begin"/>
          </w:r>
          <w:r w:rsidRPr="00AF643F">
            <w:rPr>
              <w:rFonts w:asciiTheme="minorHAnsi" w:hAnsiTheme="minorHAnsi"/>
              <w:sz w:val="32"/>
              <w:szCs w:val="32"/>
            </w:rPr>
            <w:instrText xml:space="preserve"> TOC \o "1-3" \h \z \u </w:instrText>
          </w:r>
          <w:r w:rsidRPr="00AF643F">
            <w:rPr>
              <w:rFonts w:asciiTheme="minorHAnsi" w:hAnsiTheme="minorHAnsi"/>
              <w:sz w:val="32"/>
              <w:szCs w:val="32"/>
            </w:rPr>
            <w:fldChar w:fldCharType="separate"/>
          </w:r>
          <w:hyperlink w:anchor="_Toc197026957" w:history="1">
            <w:r w:rsidR="00AF643F" w:rsidRPr="00AF643F">
              <w:rPr>
                <w:rStyle w:val="Hyperlink"/>
                <w:rFonts w:asciiTheme="minorHAnsi" w:hAnsiTheme="minorHAnsi"/>
                <w:noProof/>
                <w:sz w:val="32"/>
                <w:szCs w:val="32"/>
              </w:rPr>
              <w:t>Assignment 1 – Question 1</w:t>
            </w:r>
            <w:r w:rsidR="00AF643F" w:rsidRPr="00AF643F">
              <w:rPr>
                <w:rFonts w:asciiTheme="minorHAnsi" w:hAnsiTheme="minorHAnsi"/>
                <w:noProof/>
                <w:webHidden/>
                <w:sz w:val="32"/>
                <w:szCs w:val="32"/>
              </w:rPr>
              <w:tab/>
            </w:r>
            <w:r w:rsidR="00AF643F" w:rsidRPr="00AF643F">
              <w:rPr>
                <w:rFonts w:asciiTheme="minorHAnsi" w:hAnsiTheme="minorHAnsi"/>
                <w:noProof/>
                <w:webHidden/>
                <w:sz w:val="32"/>
                <w:szCs w:val="32"/>
              </w:rPr>
              <w:fldChar w:fldCharType="begin"/>
            </w:r>
            <w:r w:rsidR="00AF643F" w:rsidRPr="00AF643F">
              <w:rPr>
                <w:rFonts w:asciiTheme="minorHAnsi" w:hAnsiTheme="minorHAnsi"/>
                <w:noProof/>
                <w:webHidden/>
                <w:sz w:val="32"/>
                <w:szCs w:val="32"/>
              </w:rPr>
              <w:instrText xml:space="preserve"> PAGEREF _Toc197026957 \h </w:instrText>
            </w:r>
            <w:r w:rsidR="00AF643F" w:rsidRPr="00AF643F">
              <w:rPr>
                <w:rFonts w:asciiTheme="minorHAnsi" w:hAnsiTheme="minorHAnsi"/>
                <w:noProof/>
                <w:webHidden/>
                <w:sz w:val="32"/>
                <w:szCs w:val="32"/>
              </w:rPr>
            </w:r>
            <w:r w:rsidR="00AF643F" w:rsidRPr="00AF643F">
              <w:rPr>
                <w:rFonts w:asciiTheme="minorHAnsi" w:hAnsiTheme="minorHAnsi"/>
                <w:noProof/>
                <w:webHidden/>
                <w:sz w:val="32"/>
                <w:szCs w:val="32"/>
              </w:rPr>
              <w:fldChar w:fldCharType="separate"/>
            </w:r>
            <w:r w:rsidR="00713414">
              <w:rPr>
                <w:rFonts w:asciiTheme="minorHAnsi" w:hAnsiTheme="minorHAnsi"/>
                <w:noProof/>
                <w:webHidden/>
                <w:sz w:val="32"/>
                <w:szCs w:val="32"/>
              </w:rPr>
              <w:t>3</w:t>
            </w:r>
            <w:r w:rsidR="00AF643F" w:rsidRPr="00AF643F">
              <w:rPr>
                <w:rFonts w:asciiTheme="minorHAnsi" w:hAnsiTheme="minorHAnsi"/>
                <w:noProof/>
                <w:webHidden/>
                <w:sz w:val="32"/>
                <w:szCs w:val="32"/>
              </w:rPr>
              <w:fldChar w:fldCharType="end"/>
            </w:r>
          </w:hyperlink>
        </w:p>
        <w:p w14:paraId="0A63A2EC" w14:textId="40543FED" w:rsidR="00AF643F" w:rsidRPr="00AF643F" w:rsidRDefault="00AF643F">
          <w:pPr>
            <w:pStyle w:val="TOC2"/>
            <w:tabs>
              <w:tab w:val="right" w:leader="dot" w:pos="9016"/>
            </w:tabs>
            <w:rPr>
              <w:rFonts w:asciiTheme="minorHAnsi" w:eastAsiaTheme="minorEastAsia" w:hAnsiTheme="minorHAnsi" w:cstheme="minorBidi"/>
              <w:noProof/>
              <w:kern w:val="2"/>
              <w:sz w:val="32"/>
              <w:szCs w:val="32"/>
              <w14:ligatures w14:val="standardContextual"/>
            </w:rPr>
          </w:pPr>
          <w:hyperlink w:anchor="_Toc197026958" w:history="1">
            <w:r w:rsidRPr="00AF643F">
              <w:rPr>
                <w:rStyle w:val="Hyperlink"/>
                <w:rFonts w:asciiTheme="minorHAnsi" w:hAnsiTheme="minorHAnsi"/>
                <w:noProof/>
                <w:sz w:val="32"/>
                <w:szCs w:val="32"/>
              </w:rPr>
              <w:t>Assignment 1 - Question 2</w:t>
            </w:r>
            <w:r w:rsidRPr="00AF643F">
              <w:rPr>
                <w:rFonts w:asciiTheme="minorHAnsi" w:hAnsiTheme="minorHAnsi"/>
                <w:noProof/>
                <w:webHidden/>
                <w:sz w:val="32"/>
                <w:szCs w:val="32"/>
              </w:rPr>
              <w:tab/>
            </w:r>
            <w:r w:rsidRPr="00AF643F">
              <w:rPr>
                <w:rFonts w:asciiTheme="minorHAnsi" w:hAnsiTheme="minorHAnsi"/>
                <w:noProof/>
                <w:webHidden/>
                <w:sz w:val="32"/>
                <w:szCs w:val="32"/>
              </w:rPr>
              <w:fldChar w:fldCharType="begin"/>
            </w:r>
            <w:r w:rsidRPr="00AF643F">
              <w:rPr>
                <w:rFonts w:asciiTheme="minorHAnsi" w:hAnsiTheme="minorHAnsi"/>
                <w:noProof/>
                <w:webHidden/>
                <w:sz w:val="32"/>
                <w:szCs w:val="32"/>
              </w:rPr>
              <w:instrText xml:space="preserve"> PAGEREF _Toc197026958 \h </w:instrText>
            </w:r>
            <w:r w:rsidRPr="00AF643F">
              <w:rPr>
                <w:rFonts w:asciiTheme="minorHAnsi" w:hAnsiTheme="minorHAnsi"/>
                <w:noProof/>
                <w:webHidden/>
                <w:sz w:val="32"/>
                <w:szCs w:val="32"/>
              </w:rPr>
            </w:r>
            <w:r w:rsidRPr="00AF643F">
              <w:rPr>
                <w:rFonts w:asciiTheme="minorHAnsi" w:hAnsiTheme="minorHAnsi"/>
                <w:noProof/>
                <w:webHidden/>
                <w:sz w:val="32"/>
                <w:szCs w:val="32"/>
              </w:rPr>
              <w:fldChar w:fldCharType="separate"/>
            </w:r>
            <w:r w:rsidR="00713414">
              <w:rPr>
                <w:rFonts w:asciiTheme="minorHAnsi" w:hAnsiTheme="minorHAnsi"/>
                <w:noProof/>
                <w:webHidden/>
                <w:sz w:val="32"/>
                <w:szCs w:val="32"/>
              </w:rPr>
              <w:t>12</w:t>
            </w:r>
            <w:r w:rsidRPr="00AF643F">
              <w:rPr>
                <w:rFonts w:asciiTheme="minorHAnsi" w:hAnsiTheme="minorHAnsi"/>
                <w:noProof/>
                <w:webHidden/>
                <w:sz w:val="32"/>
                <w:szCs w:val="32"/>
              </w:rPr>
              <w:fldChar w:fldCharType="end"/>
            </w:r>
          </w:hyperlink>
        </w:p>
        <w:p w14:paraId="2B6DF21B" w14:textId="5E1995CA" w:rsidR="00AF643F" w:rsidRPr="00AF643F" w:rsidRDefault="00AF643F">
          <w:pPr>
            <w:pStyle w:val="TOC2"/>
            <w:tabs>
              <w:tab w:val="right" w:leader="dot" w:pos="9016"/>
            </w:tabs>
            <w:rPr>
              <w:rFonts w:asciiTheme="minorHAnsi" w:eastAsiaTheme="minorEastAsia" w:hAnsiTheme="minorHAnsi" w:cstheme="minorBidi"/>
              <w:noProof/>
              <w:kern w:val="2"/>
              <w:sz w:val="32"/>
              <w:szCs w:val="32"/>
              <w14:ligatures w14:val="standardContextual"/>
            </w:rPr>
          </w:pPr>
          <w:hyperlink w:anchor="_Toc197026959" w:history="1">
            <w:r w:rsidRPr="00AF643F">
              <w:rPr>
                <w:rStyle w:val="Hyperlink"/>
                <w:rFonts w:asciiTheme="minorHAnsi" w:hAnsiTheme="minorHAnsi"/>
                <w:noProof/>
                <w:sz w:val="32"/>
                <w:szCs w:val="32"/>
              </w:rPr>
              <w:t>Sources</w:t>
            </w:r>
            <w:r w:rsidRPr="00AF643F">
              <w:rPr>
                <w:rFonts w:asciiTheme="minorHAnsi" w:hAnsiTheme="minorHAnsi"/>
                <w:noProof/>
                <w:webHidden/>
                <w:sz w:val="32"/>
                <w:szCs w:val="32"/>
              </w:rPr>
              <w:tab/>
            </w:r>
            <w:r w:rsidRPr="00AF643F">
              <w:rPr>
                <w:rFonts w:asciiTheme="minorHAnsi" w:hAnsiTheme="minorHAnsi"/>
                <w:noProof/>
                <w:webHidden/>
                <w:sz w:val="32"/>
                <w:szCs w:val="32"/>
              </w:rPr>
              <w:fldChar w:fldCharType="begin"/>
            </w:r>
            <w:r w:rsidRPr="00AF643F">
              <w:rPr>
                <w:rFonts w:asciiTheme="minorHAnsi" w:hAnsiTheme="minorHAnsi"/>
                <w:noProof/>
                <w:webHidden/>
                <w:sz w:val="32"/>
                <w:szCs w:val="32"/>
              </w:rPr>
              <w:instrText xml:space="preserve"> PAGEREF _Toc197026959 \h </w:instrText>
            </w:r>
            <w:r w:rsidRPr="00AF643F">
              <w:rPr>
                <w:rFonts w:asciiTheme="minorHAnsi" w:hAnsiTheme="minorHAnsi"/>
                <w:noProof/>
                <w:webHidden/>
                <w:sz w:val="32"/>
                <w:szCs w:val="32"/>
              </w:rPr>
            </w:r>
            <w:r w:rsidRPr="00AF643F">
              <w:rPr>
                <w:rFonts w:asciiTheme="minorHAnsi" w:hAnsiTheme="minorHAnsi"/>
                <w:noProof/>
                <w:webHidden/>
                <w:sz w:val="32"/>
                <w:szCs w:val="32"/>
              </w:rPr>
              <w:fldChar w:fldCharType="separate"/>
            </w:r>
            <w:r w:rsidR="00713414">
              <w:rPr>
                <w:rFonts w:asciiTheme="minorHAnsi" w:hAnsiTheme="minorHAnsi"/>
                <w:noProof/>
                <w:webHidden/>
                <w:sz w:val="32"/>
                <w:szCs w:val="32"/>
              </w:rPr>
              <w:t>17</w:t>
            </w:r>
            <w:r w:rsidRPr="00AF643F">
              <w:rPr>
                <w:rFonts w:asciiTheme="minorHAnsi" w:hAnsiTheme="minorHAnsi"/>
                <w:noProof/>
                <w:webHidden/>
                <w:sz w:val="32"/>
                <w:szCs w:val="32"/>
              </w:rPr>
              <w:fldChar w:fldCharType="end"/>
            </w:r>
          </w:hyperlink>
        </w:p>
        <w:p w14:paraId="33EDBC64" w14:textId="54A96BC0" w:rsidR="00AF643F" w:rsidRPr="00AF643F" w:rsidRDefault="00AF643F">
          <w:pPr>
            <w:pStyle w:val="TOC2"/>
            <w:tabs>
              <w:tab w:val="right" w:leader="dot" w:pos="9016"/>
            </w:tabs>
            <w:rPr>
              <w:rFonts w:asciiTheme="minorHAnsi" w:eastAsiaTheme="minorEastAsia" w:hAnsiTheme="minorHAnsi" w:cstheme="minorBidi"/>
              <w:noProof/>
              <w:kern w:val="2"/>
              <w:sz w:val="32"/>
              <w:szCs w:val="32"/>
              <w14:ligatures w14:val="standardContextual"/>
            </w:rPr>
          </w:pPr>
          <w:hyperlink w:anchor="_Toc197026960" w:history="1">
            <w:r w:rsidRPr="00AF643F">
              <w:rPr>
                <w:rStyle w:val="Hyperlink"/>
                <w:rFonts w:asciiTheme="minorHAnsi" w:hAnsiTheme="minorHAnsi"/>
                <w:noProof/>
                <w:sz w:val="32"/>
                <w:szCs w:val="32"/>
              </w:rPr>
              <w:t>References</w:t>
            </w:r>
            <w:r w:rsidRPr="00AF643F">
              <w:rPr>
                <w:rFonts w:asciiTheme="minorHAnsi" w:hAnsiTheme="minorHAnsi"/>
                <w:noProof/>
                <w:webHidden/>
                <w:sz w:val="32"/>
                <w:szCs w:val="32"/>
              </w:rPr>
              <w:tab/>
            </w:r>
            <w:r w:rsidRPr="00AF643F">
              <w:rPr>
                <w:rFonts w:asciiTheme="minorHAnsi" w:hAnsiTheme="minorHAnsi"/>
                <w:noProof/>
                <w:webHidden/>
                <w:sz w:val="32"/>
                <w:szCs w:val="32"/>
              </w:rPr>
              <w:fldChar w:fldCharType="begin"/>
            </w:r>
            <w:r w:rsidRPr="00AF643F">
              <w:rPr>
                <w:rFonts w:asciiTheme="minorHAnsi" w:hAnsiTheme="minorHAnsi"/>
                <w:noProof/>
                <w:webHidden/>
                <w:sz w:val="32"/>
                <w:szCs w:val="32"/>
              </w:rPr>
              <w:instrText xml:space="preserve"> PAGEREF _Toc197026960 \h </w:instrText>
            </w:r>
            <w:r w:rsidRPr="00AF643F">
              <w:rPr>
                <w:rFonts w:asciiTheme="minorHAnsi" w:hAnsiTheme="minorHAnsi"/>
                <w:noProof/>
                <w:webHidden/>
                <w:sz w:val="32"/>
                <w:szCs w:val="32"/>
              </w:rPr>
            </w:r>
            <w:r w:rsidRPr="00AF643F">
              <w:rPr>
                <w:rFonts w:asciiTheme="minorHAnsi" w:hAnsiTheme="minorHAnsi"/>
                <w:noProof/>
                <w:webHidden/>
                <w:sz w:val="32"/>
                <w:szCs w:val="32"/>
              </w:rPr>
              <w:fldChar w:fldCharType="separate"/>
            </w:r>
            <w:r w:rsidR="00713414">
              <w:rPr>
                <w:rFonts w:asciiTheme="minorHAnsi" w:hAnsiTheme="minorHAnsi"/>
                <w:noProof/>
                <w:webHidden/>
                <w:sz w:val="32"/>
                <w:szCs w:val="32"/>
              </w:rPr>
              <w:t>19</w:t>
            </w:r>
            <w:r w:rsidRPr="00AF643F">
              <w:rPr>
                <w:rFonts w:asciiTheme="minorHAnsi" w:hAnsiTheme="minorHAnsi"/>
                <w:noProof/>
                <w:webHidden/>
                <w:sz w:val="32"/>
                <w:szCs w:val="32"/>
              </w:rPr>
              <w:fldChar w:fldCharType="end"/>
            </w:r>
          </w:hyperlink>
        </w:p>
        <w:p w14:paraId="4E18B33E" w14:textId="42612637" w:rsidR="00DF3BF5" w:rsidRDefault="00DF3BF5">
          <w:r w:rsidRPr="00AF643F">
            <w:rPr>
              <w:rFonts w:asciiTheme="minorHAnsi" w:hAnsiTheme="minorHAnsi"/>
              <w:b/>
              <w:bCs/>
              <w:sz w:val="32"/>
              <w:szCs w:val="32"/>
            </w:rPr>
            <w:fldChar w:fldCharType="end"/>
          </w:r>
        </w:p>
      </w:sdtContent>
    </w:sdt>
    <w:p w14:paraId="2CADB7CD" w14:textId="77777777" w:rsidR="00396770" w:rsidRDefault="00396770"/>
    <w:p w14:paraId="398A834C" w14:textId="77777777" w:rsidR="00396770" w:rsidRDefault="00396770"/>
    <w:p w14:paraId="361C57DC" w14:textId="77777777" w:rsidR="00396770" w:rsidRDefault="00396770"/>
    <w:p w14:paraId="18B22DA1" w14:textId="77777777" w:rsidR="00396770" w:rsidRDefault="00396770"/>
    <w:p w14:paraId="63C41E30" w14:textId="77777777" w:rsidR="00647ACF" w:rsidRDefault="00647ACF"/>
    <w:p w14:paraId="706D5820" w14:textId="77777777" w:rsidR="00396770" w:rsidRDefault="00396770"/>
    <w:p w14:paraId="3A24C9F5" w14:textId="77777777" w:rsidR="00396770" w:rsidRDefault="00396770"/>
    <w:p w14:paraId="1B76CC6E" w14:textId="77777777" w:rsidR="00396770" w:rsidRDefault="00396770"/>
    <w:p w14:paraId="4656CE09" w14:textId="77777777" w:rsidR="00396770" w:rsidRDefault="00396770"/>
    <w:p w14:paraId="0D0C28B8" w14:textId="77777777" w:rsidR="00396770" w:rsidRDefault="00396770"/>
    <w:p w14:paraId="0282995B" w14:textId="77777777" w:rsidR="00396770" w:rsidRDefault="00396770"/>
    <w:p w14:paraId="645236D5" w14:textId="77777777" w:rsidR="00396770" w:rsidRDefault="00396770"/>
    <w:p w14:paraId="64C9B5EC" w14:textId="77777777" w:rsidR="00396770" w:rsidRDefault="00396770"/>
    <w:p w14:paraId="3D1E6213" w14:textId="77777777" w:rsidR="00396770" w:rsidRDefault="00396770"/>
    <w:p w14:paraId="4AC645FE" w14:textId="77777777" w:rsidR="00396770" w:rsidRDefault="00396770"/>
    <w:p w14:paraId="1CD25A3E" w14:textId="77777777" w:rsidR="00396770" w:rsidRDefault="00396770"/>
    <w:p w14:paraId="4E38498B" w14:textId="77777777" w:rsidR="00396770" w:rsidRDefault="00396770"/>
    <w:p w14:paraId="675CA399" w14:textId="77777777" w:rsidR="00396770" w:rsidRDefault="00396770"/>
    <w:p w14:paraId="74485266" w14:textId="77777777" w:rsidR="00396770" w:rsidRDefault="00396770"/>
    <w:p w14:paraId="02EDC61D" w14:textId="77777777" w:rsidR="00396770" w:rsidRDefault="00396770"/>
    <w:p w14:paraId="074754E7" w14:textId="77777777" w:rsidR="00396770" w:rsidRDefault="00396770"/>
    <w:p w14:paraId="0B23EEB7" w14:textId="77777777" w:rsidR="00396770" w:rsidRDefault="00396770"/>
    <w:p w14:paraId="4589E6D5" w14:textId="77777777" w:rsidR="00396770" w:rsidRDefault="00396770"/>
    <w:p w14:paraId="1F8275D9" w14:textId="77777777" w:rsidR="00396770" w:rsidRDefault="00396770"/>
    <w:p w14:paraId="3158F1D0" w14:textId="62FB2543" w:rsidR="00DF3BF5" w:rsidRDefault="00DF3BF5">
      <w:pPr>
        <w:spacing w:after="160" w:line="278" w:lineRule="auto"/>
      </w:pPr>
      <w:r>
        <w:br w:type="page"/>
      </w:r>
    </w:p>
    <w:p w14:paraId="23AE0039" w14:textId="0D5A671F" w:rsidR="004D3DA3" w:rsidRDefault="003C7564" w:rsidP="004D3DA3">
      <w:pPr>
        <w:pStyle w:val="Heading2"/>
      </w:pPr>
      <w:bookmarkStart w:id="0" w:name="_Toc197026957"/>
      <w:r>
        <w:lastRenderedPageBreak/>
        <w:t xml:space="preserve">Assignment 1 </w:t>
      </w:r>
      <w:r w:rsidR="00CA1EFF">
        <w:t>– Question 1</w:t>
      </w:r>
      <w:bookmarkEnd w:id="0"/>
      <w:r w:rsidR="00CA1EFF">
        <w:t xml:space="preserve"> </w:t>
      </w:r>
    </w:p>
    <w:p w14:paraId="214B3B38" w14:textId="77777777" w:rsidR="004D3DA3" w:rsidRPr="004D3DA3" w:rsidRDefault="004D3DA3" w:rsidP="004D3DA3"/>
    <w:p w14:paraId="6C6A49B4" w14:textId="76C51526" w:rsidR="004D3DA3"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I hope this letter finds you well. I am writing to provide you with a detailed assessment of the potential liabilities arising from the unfortunate incident that occurred at the "Time Stomp" festival on June 14, 2023. As the organi</w:t>
      </w:r>
      <w:r w:rsidR="000B52A3">
        <w:rPr>
          <w:rFonts w:asciiTheme="minorHAnsi" w:hAnsiTheme="minorHAnsi"/>
          <w:sz w:val="24"/>
          <w:szCs w:val="24"/>
        </w:rPr>
        <w:t>s</w:t>
      </w:r>
      <w:r w:rsidRPr="004D3DA3">
        <w:rPr>
          <w:rFonts w:asciiTheme="minorHAnsi" w:hAnsiTheme="minorHAnsi"/>
          <w:sz w:val="24"/>
          <w:szCs w:val="24"/>
        </w:rPr>
        <w:t>er of the event, it is crucial to understand the legal implications and the steps you should take to address the situation effectively.</w:t>
      </w:r>
    </w:p>
    <w:p w14:paraId="237C85BC" w14:textId="6B42BF00" w:rsidR="000B52A3" w:rsidRDefault="000B52A3" w:rsidP="004D3DA3">
      <w:pPr>
        <w:spacing w:after="160" w:line="278" w:lineRule="auto"/>
        <w:jc w:val="both"/>
        <w:rPr>
          <w:rFonts w:asciiTheme="minorHAnsi" w:hAnsiTheme="minorHAnsi"/>
          <w:sz w:val="24"/>
          <w:szCs w:val="24"/>
        </w:rPr>
      </w:pPr>
      <w:r w:rsidRPr="000B52A3">
        <w:rPr>
          <w:rFonts w:asciiTheme="minorHAnsi" w:hAnsiTheme="minorHAnsi"/>
          <w:sz w:val="24"/>
          <w:szCs w:val="24"/>
        </w:rPr>
        <w:t xml:space="preserve">Individuals who suffer injuries </w:t>
      </w:r>
      <w:proofErr w:type="gramStart"/>
      <w:r w:rsidRPr="000B52A3">
        <w:rPr>
          <w:rFonts w:asciiTheme="minorHAnsi" w:hAnsiTheme="minorHAnsi"/>
          <w:sz w:val="24"/>
          <w:szCs w:val="24"/>
        </w:rPr>
        <w:t>as a result of</w:t>
      </w:r>
      <w:proofErr w:type="gramEnd"/>
      <w:r w:rsidRPr="000B52A3">
        <w:rPr>
          <w:rFonts w:asciiTheme="minorHAnsi" w:hAnsiTheme="minorHAnsi"/>
          <w:sz w:val="24"/>
          <w:szCs w:val="24"/>
        </w:rPr>
        <w:t xml:space="preserve"> firework incidents may be eligible to claim compensation to cover a variety of damages. These typically include costs associated with medical treatment, such as hospital bills, rehabilitation services, or ongoing care for long-term conditions. Additionally, victims may seek compensation for any loss of income caused by their inability to work during recovery, as well as for the physical and emotional distress experienced </w:t>
      </w:r>
      <w:proofErr w:type="gramStart"/>
      <w:r w:rsidRPr="000B52A3">
        <w:rPr>
          <w:rFonts w:asciiTheme="minorHAnsi" w:hAnsiTheme="minorHAnsi"/>
          <w:sz w:val="24"/>
          <w:szCs w:val="24"/>
        </w:rPr>
        <w:t>as a result of</w:t>
      </w:r>
      <w:proofErr w:type="gramEnd"/>
      <w:r w:rsidRPr="000B52A3">
        <w:rPr>
          <w:rFonts w:asciiTheme="minorHAnsi" w:hAnsiTheme="minorHAnsi"/>
          <w:sz w:val="24"/>
          <w:szCs w:val="24"/>
        </w:rPr>
        <w:t xml:space="preserve"> the incident. Such claims aim to provide financial support to help injured parties rebuild their lives following the accident. However, UK law imposes a strict time limit of three years from the date of the incident for filing a personal injury claim, unless exceptional circumstances apply. This highlights the importance of taking prompt legal action and gathering essential evidence, such as medical records, witness statements, and photographs of the scene, to strengthen the claim and achieve a fair resolution.</w:t>
      </w:r>
    </w:p>
    <w:p w14:paraId="12494B21" w14:textId="77777777" w:rsidR="000B52A3" w:rsidRPr="004D3DA3" w:rsidRDefault="000B52A3" w:rsidP="004D3DA3">
      <w:pPr>
        <w:spacing w:after="160" w:line="278" w:lineRule="auto"/>
        <w:jc w:val="both"/>
        <w:rPr>
          <w:rFonts w:asciiTheme="minorHAnsi" w:hAnsiTheme="minorHAnsi"/>
          <w:sz w:val="24"/>
          <w:szCs w:val="24"/>
        </w:rPr>
      </w:pPr>
    </w:p>
    <w:p w14:paraId="449A626C"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1. Duty of Care and Negligence</w:t>
      </w:r>
    </w:p>
    <w:p w14:paraId="735A5A9C" w14:textId="77777777" w:rsidR="00C05CF0"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 xml:space="preserve">As the event </w:t>
      </w:r>
      <w:r w:rsidR="00FB6F91" w:rsidRPr="004D3DA3">
        <w:rPr>
          <w:rFonts w:asciiTheme="minorHAnsi" w:hAnsiTheme="minorHAnsi"/>
          <w:sz w:val="24"/>
          <w:szCs w:val="24"/>
        </w:rPr>
        <w:t>organ</w:t>
      </w:r>
      <w:r w:rsidR="00FB6F91">
        <w:rPr>
          <w:rFonts w:asciiTheme="minorHAnsi" w:hAnsiTheme="minorHAnsi"/>
          <w:sz w:val="24"/>
          <w:szCs w:val="24"/>
        </w:rPr>
        <w:t>is</w:t>
      </w:r>
      <w:r w:rsidR="00FB6F91" w:rsidRPr="004D3DA3">
        <w:rPr>
          <w:rFonts w:asciiTheme="minorHAnsi" w:hAnsiTheme="minorHAnsi"/>
          <w:sz w:val="24"/>
          <w:szCs w:val="24"/>
        </w:rPr>
        <w:t>er</w:t>
      </w:r>
      <w:r w:rsidRPr="004D3DA3">
        <w:rPr>
          <w:rFonts w:asciiTheme="minorHAnsi" w:hAnsiTheme="minorHAnsi"/>
          <w:sz w:val="24"/>
          <w:szCs w:val="24"/>
        </w:rPr>
        <w:t>, you have a legal duty of care to ensure the safety of all attendees. This duty encompasses implementing adequate safety measures, ensuring proper crowd control, and adhering to all relevant safety regulations. The malfunctioning fireworks and the resulting stampede suggest potential lapses in these areas, which could be construed as negligence.</w:t>
      </w:r>
    </w:p>
    <w:p w14:paraId="4997D217" w14:textId="77777777" w:rsidR="00C05CF0" w:rsidRDefault="00C05CF0" w:rsidP="004D3DA3">
      <w:pPr>
        <w:spacing w:after="160" w:line="278" w:lineRule="auto"/>
        <w:jc w:val="both"/>
        <w:rPr>
          <w:rFonts w:asciiTheme="minorHAnsi" w:hAnsiTheme="minorHAnsi"/>
          <w:sz w:val="24"/>
          <w:szCs w:val="24"/>
        </w:rPr>
      </w:pPr>
    </w:p>
    <w:p w14:paraId="5B93F97B" w14:textId="7BCA7993" w:rsidR="00C05CF0" w:rsidRPr="00C05CF0" w:rsidRDefault="00C05CF0" w:rsidP="00C05CF0">
      <w:pPr>
        <w:spacing w:after="160" w:line="278" w:lineRule="auto"/>
        <w:jc w:val="both"/>
        <w:rPr>
          <w:rFonts w:asciiTheme="minorHAnsi" w:hAnsiTheme="minorHAnsi"/>
          <w:sz w:val="24"/>
          <w:szCs w:val="24"/>
        </w:rPr>
      </w:pPr>
      <w:r w:rsidRPr="00C05CF0">
        <w:rPr>
          <w:rFonts w:asciiTheme="minorHAnsi" w:hAnsiTheme="minorHAnsi"/>
          <w:sz w:val="24"/>
          <w:szCs w:val="24"/>
        </w:rPr>
        <w:t xml:space="preserve">The </w:t>
      </w:r>
      <w:r w:rsidRPr="00C05CF0">
        <w:rPr>
          <w:rFonts w:asciiTheme="minorHAnsi" w:hAnsiTheme="minorHAnsi"/>
          <w:b/>
          <w:bCs/>
          <w:sz w:val="24"/>
          <w:szCs w:val="24"/>
        </w:rPr>
        <w:t>Bradford City Stadium Fire (1985)</w:t>
      </w:r>
      <w:r>
        <w:rPr>
          <w:rFonts w:asciiTheme="minorHAnsi" w:hAnsiTheme="minorHAnsi"/>
          <w:sz w:val="24"/>
          <w:szCs w:val="24"/>
        </w:rPr>
        <w:t xml:space="preserve"> </w:t>
      </w:r>
      <w:r w:rsidRPr="00C05CF0">
        <w:rPr>
          <w:rFonts w:asciiTheme="minorHAnsi" w:hAnsiTheme="minorHAnsi"/>
          <w:sz w:val="24"/>
          <w:szCs w:val="24"/>
        </w:rPr>
        <w:t>remains one of the UK's most tragic examples of negligence in event organisation, emphasi</w:t>
      </w:r>
      <w:r>
        <w:rPr>
          <w:rFonts w:asciiTheme="minorHAnsi" w:hAnsiTheme="minorHAnsi"/>
          <w:sz w:val="24"/>
          <w:szCs w:val="24"/>
        </w:rPr>
        <w:t>s</w:t>
      </w:r>
      <w:r w:rsidRPr="00C05CF0">
        <w:rPr>
          <w:rFonts w:asciiTheme="minorHAnsi" w:hAnsiTheme="minorHAnsi"/>
          <w:sz w:val="24"/>
          <w:szCs w:val="24"/>
        </w:rPr>
        <w:t>ing the crucial responsibility that organisers bear in safeguarding attendees. During a football match at Valley Parade Stadium, a fire broke out under the wooden stands due to accumulated rubbish that had been left unaddressed for years. A discarded cigarette ignited the debris, causing the fire to spread rapidly through the highly flammable wooden structure. The organisers' failure to address known safety hazards, such as the buildup of combustible materials and the lack of appropriate evacuation routes, directly contributed to the devastating impact of the incident.</w:t>
      </w:r>
    </w:p>
    <w:p w14:paraId="71BE8F97" w14:textId="6887AB4C" w:rsidR="004D3DA3" w:rsidRDefault="004D3DA3" w:rsidP="004D3DA3">
      <w:pPr>
        <w:spacing w:after="160" w:line="278" w:lineRule="auto"/>
        <w:jc w:val="both"/>
        <w:rPr>
          <w:rFonts w:asciiTheme="minorHAnsi" w:hAnsiTheme="minorHAnsi"/>
          <w:sz w:val="24"/>
          <w:szCs w:val="24"/>
        </w:rPr>
      </w:pPr>
    </w:p>
    <w:p w14:paraId="0539187F" w14:textId="77777777" w:rsidR="006A3563" w:rsidRPr="004D3DA3" w:rsidRDefault="006A3563" w:rsidP="004D3DA3">
      <w:pPr>
        <w:spacing w:after="160" w:line="278" w:lineRule="auto"/>
        <w:jc w:val="both"/>
        <w:rPr>
          <w:rFonts w:asciiTheme="minorHAnsi" w:hAnsiTheme="minorHAnsi"/>
          <w:sz w:val="24"/>
          <w:szCs w:val="24"/>
        </w:rPr>
      </w:pPr>
    </w:p>
    <w:p w14:paraId="36978333"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lastRenderedPageBreak/>
        <w:t>2. Fireworks Malfunction</w:t>
      </w:r>
    </w:p>
    <w:p w14:paraId="2645C2CE" w14:textId="77777777" w:rsidR="005C0974"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The malfunction of the fireworks is a critical aspect of this incident. If the fireworks were defective, the manufacturer might share liability. However, as the event organi</w:t>
      </w:r>
      <w:r w:rsidR="00394305">
        <w:rPr>
          <w:rFonts w:asciiTheme="minorHAnsi" w:hAnsiTheme="minorHAnsi"/>
          <w:sz w:val="24"/>
          <w:szCs w:val="24"/>
        </w:rPr>
        <w:t>s</w:t>
      </w:r>
      <w:r w:rsidRPr="004D3DA3">
        <w:rPr>
          <w:rFonts w:asciiTheme="minorHAnsi" w:hAnsiTheme="minorHAnsi"/>
          <w:sz w:val="24"/>
          <w:szCs w:val="24"/>
        </w:rPr>
        <w:t>er, you are responsible for ensuring that all equipment used at the festival meets safety standards. This includes conducting thorough checks and hiring reputable suppliers.</w:t>
      </w:r>
      <w:r w:rsidR="00666F31">
        <w:rPr>
          <w:rFonts w:asciiTheme="minorHAnsi" w:hAnsiTheme="minorHAnsi"/>
          <w:sz w:val="24"/>
          <w:szCs w:val="24"/>
        </w:rPr>
        <w:t xml:space="preserve"> </w:t>
      </w:r>
    </w:p>
    <w:p w14:paraId="3FBD0686" w14:textId="77777777" w:rsidR="005C0974" w:rsidRDefault="005C0974" w:rsidP="004D3DA3">
      <w:pPr>
        <w:spacing w:after="160" w:line="278" w:lineRule="auto"/>
        <w:jc w:val="both"/>
        <w:rPr>
          <w:rFonts w:asciiTheme="minorHAnsi" w:hAnsiTheme="minorHAnsi"/>
          <w:sz w:val="24"/>
          <w:szCs w:val="24"/>
        </w:rPr>
      </w:pPr>
    </w:p>
    <w:p w14:paraId="4ADA6688" w14:textId="77777777" w:rsidR="00C05CF0" w:rsidRDefault="005C0974" w:rsidP="004D3DA3">
      <w:pPr>
        <w:spacing w:after="160" w:line="278" w:lineRule="auto"/>
        <w:jc w:val="both"/>
        <w:rPr>
          <w:rFonts w:asciiTheme="minorHAnsi" w:hAnsiTheme="minorHAnsi"/>
          <w:b/>
          <w:bCs/>
          <w:sz w:val="24"/>
          <w:szCs w:val="24"/>
        </w:rPr>
      </w:pPr>
      <w:r w:rsidRPr="005C0974">
        <w:rPr>
          <w:rFonts w:asciiTheme="minorHAnsi" w:hAnsiTheme="minorHAnsi"/>
          <w:sz w:val="24"/>
          <w:szCs w:val="24"/>
        </w:rPr>
        <w:t xml:space="preserve">Organisers of firework displays in the UK are required to adhere to comprehensive safety guidelines to protect attendees from harm and ensure that all fireworks meet rigorous safety standards. This includes vetting suppliers and employing trained professionals to handle the fireworks during the event. Should an incident occur due to a malfunctioning firework, the organiser could be held liable for negligence under the </w:t>
      </w:r>
      <w:r w:rsidRPr="00173397">
        <w:rPr>
          <w:rFonts w:asciiTheme="minorHAnsi" w:hAnsiTheme="minorHAnsi"/>
          <w:b/>
          <w:bCs/>
          <w:sz w:val="24"/>
          <w:szCs w:val="24"/>
        </w:rPr>
        <w:t>Occupiers Liability Act 1957,</w:t>
      </w:r>
      <w:r w:rsidRPr="005C0974">
        <w:rPr>
          <w:rFonts w:asciiTheme="minorHAnsi" w:hAnsiTheme="minorHAnsi"/>
          <w:sz w:val="24"/>
          <w:szCs w:val="24"/>
        </w:rPr>
        <w:t xml:space="preserve"> which places responsibility on organisers to safeguard visitors. If the fault lies with the fireworks themselves, injured parties may also seek legal recourse against those involved in the product's supply chain—such as the manufacturer, distributor, or seller—especially if evidence like packaging, receipts, or remnants of the defective firework are preserved. Individuals who suffer injuries may claim compensation to cover medical expenses, lost wages, and emotional distress. However, such claims must be initiated within three years of the incident under UK law. Previous cases highlight the severity of injuries caused by defective fireworks, including permanent hearing damage or extensive burns, with victims successfully securing damages through legal avenues.</w:t>
      </w:r>
      <w:r w:rsidRPr="005C0974">
        <w:rPr>
          <w:rFonts w:asciiTheme="minorHAnsi" w:hAnsiTheme="minorHAnsi"/>
          <w:b/>
          <w:bCs/>
          <w:sz w:val="24"/>
          <w:szCs w:val="24"/>
        </w:rPr>
        <w:t xml:space="preserve"> </w:t>
      </w:r>
    </w:p>
    <w:p w14:paraId="6D91125E" w14:textId="7D45B8B2" w:rsidR="004D3DA3" w:rsidRDefault="00C05CF0" w:rsidP="004D3DA3">
      <w:pPr>
        <w:spacing w:after="160" w:line="278" w:lineRule="auto"/>
        <w:jc w:val="both"/>
        <w:rPr>
          <w:rFonts w:asciiTheme="minorHAnsi" w:hAnsiTheme="minorHAnsi"/>
          <w:sz w:val="24"/>
          <w:szCs w:val="24"/>
        </w:rPr>
      </w:pPr>
      <w:r w:rsidRPr="00C05CF0">
        <w:rPr>
          <w:rFonts w:asciiTheme="minorHAnsi" w:hAnsiTheme="minorHAnsi"/>
          <w:sz w:val="24"/>
          <w:szCs w:val="24"/>
        </w:rPr>
        <w:t>One well-documented UK incident took place during a public firework display near Bath on November 5, 2011, where a malfunctioning firework caused severe injuries to a woman in attendance. The defective firework exploded unexpectedly, releasing a fireball into the crowd and hitting her in the chest, resulting in her clothing catching fire. Quick action from spectators helped extinguish the flames, and paramedics provided on-site care before she was hospitali</w:t>
      </w:r>
      <w:r>
        <w:rPr>
          <w:rFonts w:asciiTheme="minorHAnsi" w:hAnsiTheme="minorHAnsi"/>
          <w:sz w:val="24"/>
          <w:szCs w:val="24"/>
        </w:rPr>
        <w:t>s</w:t>
      </w:r>
      <w:r w:rsidRPr="00C05CF0">
        <w:rPr>
          <w:rFonts w:asciiTheme="minorHAnsi" w:hAnsiTheme="minorHAnsi"/>
          <w:sz w:val="24"/>
          <w:szCs w:val="24"/>
        </w:rPr>
        <w:t>ed overnight. The woman sustained painful burns to her face, chest, and hands, leading to scarring and an extended period of recovery during which she was unable to work for four months. With the support of legal counsel, she brought a claim under product liability laws against the firework manufacturer, Sandling Fireworks UK. The case concluded with an out-of-court settlement awarding her over £50,000 as compensation for her injuries, distress, and lost income. This case illustrates the critical need for rigorous safety standards in firework production and public events.</w:t>
      </w:r>
      <w:r w:rsidR="00666F31">
        <w:rPr>
          <w:rFonts w:asciiTheme="minorHAnsi" w:hAnsiTheme="minorHAnsi"/>
          <w:sz w:val="24"/>
          <w:szCs w:val="24"/>
        </w:rPr>
        <w:t xml:space="preserve"> </w:t>
      </w:r>
    </w:p>
    <w:p w14:paraId="477361DC" w14:textId="77777777" w:rsidR="001C6D1F" w:rsidRPr="004D3DA3" w:rsidRDefault="001C6D1F" w:rsidP="004D3DA3">
      <w:pPr>
        <w:spacing w:after="160" w:line="278" w:lineRule="auto"/>
        <w:jc w:val="both"/>
        <w:rPr>
          <w:rFonts w:asciiTheme="minorHAnsi" w:hAnsiTheme="minorHAnsi"/>
          <w:sz w:val="24"/>
          <w:szCs w:val="24"/>
        </w:rPr>
      </w:pPr>
    </w:p>
    <w:p w14:paraId="717A8DFE"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3. Crowd Control and Emergency Response</w:t>
      </w:r>
    </w:p>
    <w:p w14:paraId="08BCFEAE" w14:textId="77777777" w:rsidR="00173397"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 xml:space="preserve">Effective crowd control and emergency response plans are essential for preventing and managing incidents at large events. The stampede that occurred indicates possible deficiencies in these areas. It is crucial to review and improve your crowd management </w:t>
      </w:r>
      <w:r w:rsidRPr="004D3DA3">
        <w:rPr>
          <w:rFonts w:asciiTheme="minorHAnsi" w:hAnsiTheme="minorHAnsi"/>
          <w:sz w:val="24"/>
          <w:szCs w:val="24"/>
        </w:rPr>
        <w:lastRenderedPageBreak/>
        <w:t>strategies, including clear communication channels, trained security personnel, and designated emergency exits.</w:t>
      </w:r>
      <w:r w:rsidR="00394305">
        <w:rPr>
          <w:rFonts w:asciiTheme="minorHAnsi" w:hAnsiTheme="minorHAnsi"/>
          <w:sz w:val="24"/>
          <w:szCs w:val="24"/>
        </w:rPr>
        <w:t xml:space="preserve"> </w:t>
      </w:r>
    </w:p>
    <w:p w14:paraId="5CA25C1B" w14:textId="1C2D1FF1" w:rsidR="00173397" w:rsidRPr="00173397" w:rsidRDefault="00173397" w:rsidP="00173397">
      <w:pPr>
        <w:spacing w:after="160" w:line="278" w:lineRule="auto"/>
        <w:jc w:val="both"/>
        <w:rPr>
          <w:rFonts w:asciiTheme="minorHAnsi" w:hAnsiTheme="minorHAnsi"/>
          <w:sz w:val="24"/>
          <w:szCs w:val="24"/>
        </w:rPr>
      </w:pPr>
      <w:r w:rsidRPr="00173397">
        <w:rPr>
          <w:rFonts w:asciiTheme="minorHAnsi" w:hAnsiTheme="minorHAnsi"/>
          <w:sz w:val="24"/>
          <w:szCs w:val="24"/>
        </w:rPr>
        <w:t xml:space="preserve">The </w:t>
      </w:r>
      <w:r w:rsidRPr="00173397">
        <w:rPr>
          <w:rFonts w:asciiTheme="minorHAnsi" w:hAnsiTheme="minorHAnsi"/>
          <w:b/>
          <w:bCs/>
          <w:sz w:val="24"/>
          <w:szCs w:val="24"/>
        </w:rPr>
        <w:t>Hillsborough Disaster (1989)</w:t>
      </w:r>
      <w:r>
        <w:rPr>
          <w:rFonts w:asciiTheme="minorHAnsi" w:hAnsiTheme="minorHAnsi"/>
          <w:sz w:val="24"/>
          <w:szCs w:val="24"/>
        </w:rPr>
        <w:t xml:space="preserve"> </w:t>
      </w:r>
      <w:r w:rsidRPr="00173397">
        <w:rPr>
          <w:rFonts w:asciiTheme="minorHAnsi" w:hAnsiTheme="minorHAnsi"/>
          <w:sz w:val="24"/>
          <w:szCs w:val="24"/>
        </w:rPr>
        <w:t xml:space="preserve">stands as a tragic and profound example of the critical need for effective crowd management at large events. This devastating incident unfolded during an FA Cup semi-final match at Hillsborough Stadium in Sheffield, when overcrowding in the standing terraces of the </w:t>
      </w:r>
      <w:proofErr w:type="spellStart"/>
      <w:r w:rsidRPr="00173397">
        <w:rPr>
          <w:rFonts w:asciiTheme="minorHAnsi" w:hAnsiTheme="minorHAnsi"/>
          <w:sz w:val="24"/>
          <w:szCs w:val="24"/>
        </w:rPr>
        <w:t>Leppings</w:t>
      </w:r>
      <w:proofErr w:type="spellEnd"/>
      <w:r w:rsidRPr="00173397">
        <w:rPr>
          <w:rFonts w:asciiTheme="minorHAnsi" w:hAnsiTheme="minorHAnsi"/>
          <w:sz w:val="24"/>
          <w:szCs w:val="24"/>
        </w:rPr>
        <w:t xml:space="preserve"> Lane end led to a catastrophic crush. As a result, 97 football fans lost their lives, while hundreds of others suffered injuries, both physical and psychological. The aftermath of the disaster revealed severe shortcomings in crowd control measures, including the absence of proper communication between officials, poorly coordinated emergency response efforts, and a failure to effectively monitor and regulate the density of the crowd entering the confined area.</w:t>
      </w:r>
    </w:p>
    <w:p w14:paraId="05A62E35" w14:textId="6A3BB1AB" w:rsidR="004D3DA3" w:rsidRPr="004D3DA3" w:rsidRDefault="00173397" w:rsidP="004D3DA3">
      <w:pPr>
        <w:spacing w:after="160" w:line="278" w:lineRule="auto"/>
        <w:jc w:val="both"/>
        <w:rPr>
          <w:rFonts w:asciiTheme="minorHAnsi" w:hAnsiTheme="minorHAnsi"/>
          <w:sz w:val="24"/>
          <w:szCs w:val="24"/>
        </w:rPr>
      </w:pPr>
      <w:r w:rsidRPr="00173397">
        <w:rPr>
          <w:rFonts w:asciiTheme="minorHAnsi" w:hAnsiTheme="minorHAnsi"/>
          <w:sz w:val="24"/>
          <w:szCs w:val="24"/>
        </w:rPr>
        <w:t>The investigations and subsequent inquiries exposed systemic issues in event safety protocols, underscoring the importance of having well-planned evacuation procedures, adequately trained security staff, and stringent safety regulations in place to prevent such tragedies. This disaster not only reshaped public awareness of event safety but also brought about significant changes in UK stadium regulations and crowd management practices. The Hillsborough Disaster remains a sobering reminder of the devastating consequences that can result from lapses in planning, preparation, and the execution of safety measures at major events.</w:t>
      </w:r>
      <w:r w:rsidR="00394305">
        <w:rPr>
          <w:rFonts w:asciiTheme="minorHAnsi" w:hAnsiTheme="minorHAnsi"/>
          <w:sz w:val="24"/>
          <w:szCs w:val="24"/>
        </w:rPr>
        <w:t xml:space="preserve"> </w:t>
      </w:r>
    </w:p>
    <w:p w14:paraId="53474E24"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4. Liability for Injuries</w:t>
      </w:r>
    </w:p>
    <w:p w14:paraId="718D9F54" w14:textId="77777777" w:rsidR="004D3DA3"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The injuries sustained by Sarah Peterson, Jack Smith, Mary Smith, and Janice Peterson could result in significant legal claims against you. Here are the potential liabilities:</w:t>
      </w:r>
    </w:p>
    <w:p w14:paraId="6694E9C7" w14:textId="77777777" w:rsidR="00727720" w:rsidRDefault="00F0280B" w:rsidP="00727720">
      <w:pPr>
        <w:pStyle w:val="ListParagraph"/>
        <w:numPr>
          <w:ilvl w:val="2"/>
          <w:numId w:val="22"/>
        </w:numPr>
        <w:spacing w:after="160" w:line="278" w:lineRule="auto"/>
        <w:ind w:left="993"/>
        <w:jc w:val="both"/>
        <w:rPr>
          <w:rFonts w:asciiTheme="minorHAnsi" w:hAnsiTheme="minorHAnsi"/>
          <w:sz w:val="24"/>
          <w:szCs w:val="24"/>
        </w:rPr>
      </w:pPr>
      <w:r w:rsidRPr="00F0280B">
        <w:rPr>
          <w:rFonts w:asciiTheme="minorHAnsi" w:hAnsiTheme="minorHAnsi"/>
          <w:sz w:val="24"/>
          <w:szCs w:val="24"/>
        </w:rPr>
        <w:t>Sarah Peterson: Sarah suffered severe injuries, including a burn on her face, amputation of her left arm, and paralysis from the waist down. These injuries will likely result in substantial compensation claims for medical expenses, loss of earnings, and pain and suffering. (inset civil litigation rules here for obtaining these)</w:t>
      </w:r>
    </w:p>
    <w:p w14:paraId="6972360F" w14:textId="77777777" w:rsidR="00727720" w:rsidRDefault="00F0280B" w:rsidP="00727720">
      <w:pPr>
        <w:pStyle w:val="ListParagraph"/>
        <w:numPr>
          <w:ilvl w:val="2"/>
          <w:numId w:val="22"/>
        </w:numPr>
        <w:spacing w:after="160" w:line="278" w:lineRule="auto"/>
        <w:ind w:left="993"/>
        <w:jc w:val="both"/>
        <w:rPr>
          <w:rFonts w:asciiTheme="minorHAnsi" w:hAnsiTheme="minorHAnsi"/>
          <w:sz w:val="24"/>
          <w:szCs w:val="24"/>
        </w:rPr>
      </w:pPr>
      <w:r w:rsidRPr="00F0280B">
        <w:rPr>
          <w:rFonts w:asciiTheme="minorHAnsi" w:hAnsiTheme="minorHAnsi"/>
          <w:sz w:val="24"/>
          <w:szCs w:val="24"/>
        </w:rPr>
        <w:t xml:space="preserve">Jack Smith: Jack's post-traumatic stress disorder (PTSD) and inability to leave his home could lead to claims for psychological harm and loss of earnings. </w:t>
      </w:r>
    </w:p>
    <w:p w14:paraId="4972CF20" w14:textId="77777777" w:rsidR="00727720" w:rsidRDefault="00F0280B" w:rsidP="00727720">
      <w:pPr>
        <w:pStyle w:val="ListParagraph"/>
        <w:numPr>
          <w:ilvl w:val="2"/>
          <w:numId w:val="22"/>
        </w:numPr>
        <w:spacing w:after="160" w:line="278" w:lineRule="auto"/>
        <w:ind w:left="993"/>
        <w:jc w:val="both"/>
        <w:rPr>
          <w:rFonts w:asciiTheme="minorHAnsi" w:hAnsiTheme="minorHAnsi"/>
          <w:sz w:val="24"/>
          <w:szCs w:val="24"/>
        </w:rPr>
      </w:pPr>
      <w:r w:rsidRPr="00F0280B">
        <w:rPr>
          <w:rFonts w:asciiTheme="minorHAnsi" w:hAnsiTheme="minorHAnsi"/>
          <w:sz w:val="24"/>
          <w:szCs w:val="24"/>
        </w:rPr>
        <w:t>Mary Smith: Mary's general anxiety disorder and resulting lifestyle changes may result in claims for psychological harm and loss of enjoyment of life.</w:t>
      </w:r>
    </w:p>
    <w:p w14:paraId="7DC75C2C" w14:textId="16EFCAB7" w:rsidR="00F0280B" w:rsidRPr="00F0280B" w:rsidRDefault="00F0280B" w:rsidP="00727720">
      <w:pPr>
        <w:pStyle w:val="ListParagraph"/>
        <w:numPr>
          <w:ilvl w:val="2"/>
          <w:numId w:val="22"/>
        </w:numPr>
        <w:spacing w:after="160" w:line="278" w:lineRule="auto"/>
        <w:ind w:left="993"/>
        <w:jc w:val="both"/>
        <w:rPr>
          <w:rFonts w:asciiTheme="minorHAnsi" w:hAnsiTheme="minorHAnsi"/>
          <w:sz w:val="24"/>
          <w:szCs w:val="24"/>
        </w:rPr>
      </w:pPr>
      <w:r w:rsidRPr="00F0280B">
        <w:rPr>
          <w:rFonts w:asciiTheme="minorHAnsi" w:hAnsiTheme="minorHAnsi"/>
          <w:sz w:val="24"/>
          <w:szCs w:val="24"/>
        </w:rPr>
        <w:t>Janice Peterson: Janice's clinical depression and subsequent sectioning could lead to claims for psychological harm and medical expenses.</w:t>
      </w:r>
    </w:p>
    <w:p w14:paraId="2C580AC3"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5. Steps to Take Moving Forward</w:t>
      </w:r>
    </w:p>
    <w:p w14:paraId="48A1B02F" w14:textId="77777777" w:rsidR="004D3DA3"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To address the situation and mitigate potential liabilities, consider the following steps:</w:t>
      </w:r>
    </w:p>
    <w:p w14:paraId="628F7675" w14:textId="77777777" w:rsidR="006C6BAD" w:rsidRPr="004D3DA3" w:rsidRDefault="006C6BAD" w:rsidP="004D3DA3">
      <w:pPr>
        <w:spacing w:after="160" w:line="278" w:lineRule="auto"/>
        <w:jc w:val="both"/>
        <w:rPr>
          <w:rFonts w:asciiTheme="minorHAnsi" w:hAnsiTheme="minorHAnsi"/>
          <w:sz w:val="24"/>
          <w:szCs w:val="24"/>
        </w:rPr>
      </w:pPr>
    </w:p>
    <w:p w14:paraId="7DF0D0A4"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lastRenderedPageBreak/>
        <w:t>a. Consult Legal Counsel</w:t>
      </w:r>
    </w:p>
    <w:p w14:paraId="41867F8F" w14:textId="77777777" w:rsidR="00851311" w:rsidRPr="00851311" w:rsidRDefault="00851311" w:rsidP="00851311">
      <w:pPr>
        <w:spacing w:after="160" w:line="278" w:lineRule="auto"/>
        <w:jc w:val="both"/>
        <w:rPr>
          <w:rFonts w:asciiTheme="minorHAnsi" w:hAnsiTheme="minorHAnsi"/>
          <w:sz w:val="24"/>
          <w:szCs w:val="24"/>
        </w:rPr>
      </w:pPr>
      <w:r w:rsidRPr="00851311">
        <w:rPr>
          <w:rFonts w:asciiTheme="minorHAnsi" w:hAnsiTheme="minorHAnsi"/>
          <w:sz w:val="24"/>
          <w:szCs w:val="24"/>
        </w:rPr>
        <w:t>It is crucial to seek the guidance of a legal professional who specialises in event liability to thoroughly evaluate the particulars of the case and provide expert advice tailored to the situation. A qualified specialist can help identify key issues, interpret relevant laws, and recommend the best course of action to address any claims or disputes arising from the incident. Their expertise will be invaluable in navigating the intricate legal framework surrounding event liability, ensuring that you are well-prepared to respond to any challenges effectively.</w:t>
      </w:r>
    </w:p>
    <w:p w14:paraId="5FD8580E" w14:textId="77777777" w:rsidR="00851311" w:rsidRPr="00851311" w:rsidRDefault="00851311" w:rsidP="00851311">
      <w:pPr>
        <w:spacing w:after="160" w:line="278" w:lineRule="auto"/>
        <w:jc w:val="both"/>
        <w:rPr>
          <w:rFonts w:asciiTheme="minorHAnsi" w:hAnsiTheme="minorHAnsi"/>
          <w:sz w:val="24"/>
          <w:szCs w:val="24"/>
        </w:rPr>
      </w:pPr>
      <w:r w:rsidRPr="00851311">
        <w:rPr>
          <w:rFonts w:asciiTheme="minorHAnsi" w:hAnsiTheme="minorHAnsi"/>
          <w:sz w:val="24"/>
          <w:szCs w:val="24"/>
        </w:rPr>
        <w:t>In addition to offering sound advice, a legal professional can also act as your representative during any legal proceedings, advocating for your interests and striving for a fair resolution. Their support includes preparing necessary documentation, managing communication with opposing parties, and ensuring that all steps are taken to comply with legal requirements. By engaging a specialist early in the process, you can strengthen your position and develop a clear strategy for addressing the legal complexities of the case. This proactive approach will not only help protect your interests but also contribute to a smoother resolution.</w:t>
      </w:r>
    </w:p>
    <w:p w14:paraId="440CD714" w14:textId="77777777" w:rsidR="00851311" w:rsidRPr="004D3DA3" w:rsidRDefault="00851311" w:rsidP="004D3DA3">
      <w:pPr>
        <w:spacing w:after="160" w:line="278" w:lineRule="auto"/>
        <w:jc w:val="both"/>
        <w:rPr>
          <w:rFonts w:asciiTheme="minorHAnsi" w:hAnsiTheme="minorHAnsi"/>
          <w:sz w:val="24"/>
          <w:szCs w:val="24"/>
        </w:rPr>
      </w:pPr>
    </w:p>
    <w:p w14:paraId="6404E6E8"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b. Review Safety Protocols</w:t>
      </w:r>
    </w:p>
    <w:p w14:paraId="2B1B387C"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Conduct a thorough review of your safety protocols and emergency response plans. Identify any deficiencies and implement necessary improvements. This includes ensuring all equipment, such as fireworks, meets safety standards and is sourced from reputable suppliers.</w:t>
      </w:r>
    </w:p>
    <w:p w14:paraId="4E52BD98"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c. Gather Evidence</w:t>
      </w:r>
    </w:p>
    <w:p w14:paraId="35264D04" w14:textId="3E5A0EAA" w:rsidR="006C4442" w:rsidRDefault="006C4442" w:rsidP="004D3DA3">
      <w:pPr>
        <w:spacing w:after="160" w:line="278" w:lineRule="auto"/>
        <w:jc w:val="both"/>
        <w:rPr>
          <w:rFonts w:asciiTheme="minorHAnsi" w:hAnsiTheme="minorHAnsi"/>
          <w:sz w:val="24"/>
          <w:szCs w:val="24"/>
        </w:rPr>
      </w:pPr>
      <w:r w:rsidRPr="006C4442">
        <w:rPr>
          <w:rFonts w:asciiTheme="minorHAnsi" w:hAnsiTheme="minorHAnsi"/>
          <w:sz w:val="24"/>
          <w:szCs w:val="24"/>
        </w:rPr>
        <w:t>The process of gathering evidence plays a vital role in resolving legal claims and gaining a clear understanding of the events surrounding an incident. In accordance with the Civil Procedure Rules (CPR), particularly Part 32, it is essential to ensure that all evidence is meticulously collected and properly documented to guarantee its validity and suitability for use in legal proceedings. Thoroughness and accuracy in the evidence-gathering process can significantly strengthen a case and provide critical insights into the circumstances of the event.</w:t>
      </w:r>
    </w:p>
    <w:p w14:paraId="357FB05F" w14:textId="77777777" w:rsidR="001D4775" w:rsidRPr="001D4775" w:rsidRDefault="001D4775" w:rsidP="001D4775">
      <w:pPr>
        <w:spacing w:after="160" w:line="278" w:lineRule="auto"/>
        <w:jc w:val="both"/>
        <w:rPr>
          <w:rFonts w:asciiTheme="minorHAnsi" w:hAnsiTheme="minorHAnsi"/>
          <w:sz w:val="24"/>
          <w:szCs w:val="24"/>
        </w:rPr>
      </w:pPr>
      <w:r w:rsidRPr="001D4775">
        <w:rPr>
          <w:rFonts w:asciiTheme="minorHAnsi" w:hAnsiTheme="minorHAnsi"/>
          <w:sz w:val="24"/>
          <w:szCs w:val="24"/>
        </w:rPr>
        <w:t>To begin, collect witness statements from individuals who were present during the incident. These statements should be detailed, signed, and include firsthand accounts of what occurred. Witness testimonies are invaluable in reconstructing the sequence of events and identifying contributing factors.</w:t>
      </w:r>
    </w:p>
    <w:p w14:paraId="7E9E0D8A" w14:textId="77777777" w:rsidR="001D4775" w:rsidRPr="001D4775" w:rsidRDefault="001D4775" w:rsidP="001D4775">
      <w:pPr>
        <w:spacing w:after="160" w:line="278" w:lineRule="auto"/>
        <w:jc w:val="both"/>
        <w:rPr>
          <w:rFonts w:asciiTheme="minorHAnsi" w:hAnsiTheme="minorHAnsi"/>
          <w:sz w:val="24"/>
          <w:szCs w:val="24"/>
        </w:rPr>
      </w:pPr>
      <w:r w:rsidRPr="001D4775">
        <w:rPr>
          <w:rFonts w:asciiTheme="minorHAnsi" w:hAnsiTheme="minorHAnsi"/>
          <w:sz w:val="24"/>
          <w:szCs w:val="24"/>
        </w:rPr>
        <w:t xml:space="preserve">Medical reports are another essential component of evidence. Obtain detailed documentation of injuries sustained by those involved, including diagnoses, treatment plans, and any long-term implications. These reports not only provide insight into the </w:t>
      </w:r>
      <w:r w:rsidRPr="001D4775">
        <w:rPr>
          <w:rFonts w:asciiTheme="minorHAnsi" w:hAnsiTheme="minorHAnsi"/>
          <w:sz w:val="24"/>
          <w:szCs w:val="24"/>
        </w:rPr>
        <w:lastRenderedPageBreak/>
        <w:t>severity of the injuries but also help establish a connection between the incident and the harm caused.</w:t>
      </w:r>
    </w:p>
    <w:p w14:paraId="107A6FF5" w14:textId="77777777" w:rsidR="001D4775" w:rsidRPr="001D4775" w:rsidRDefault="001D4775" w:rsidP="001D4775">
      <w:pPr>
        <w:spacing w:after="160" w:line="278" w:lineRule="auto"/>
        <w:jc w:val="both"/>
        <w:rPr>
          <w:rFonts w:asciiTheme="minorHAnsi" w:hAnsiTheme="minorHAnsi"/>
          <w:sz w:val="24"/>
          <w:szCs w:val="24"/>
        </w:rPr>
      </w:pPr>
      <w:r w:rsidRPr="001D4775">
        <w:rPr>
          <w:rFonts w:asciiTheme="minorHAnsi" w:hAnsiTheme="minorHAnsi"/>
          <w:sz w:val="24"/>
          <w:szCs w:val="24"/>
        </w:rPr>
        <w:t>Video footage, if available, can serve as compelling evidence. This includes recordings from security cameras, mobile phones, or any other devices that captured the incident. Such footage can provide an objective view of the events, helping to clarify timelines and pinpoint specific actions or failures that contributed to the incident.</w:t>
      </w:r>
    </w:p>
    <w:p w14:paraId="4425B131" w14:textId="77777777" w:rsidR="001D4775" w:rsidRPr="001D4775" w:rsidRDefault="001D4775" w:rsidP="001D4775">
      <w:pPr>
        <w:spacing w:after="160" w:line="278" w:lineRule="auto"/>
        <w:jc w:val="both"/>
        <w:rPr>
          <w:rFonts w:asciiTheme="minorHAnsi" w:hAnsiTheme="minorHAnsi"/>
          <w:sz w:val="24"/>
          <w:szCs w:val="24"/>
        </w:rPr>
      </w:pPr>
      <w:r w:rsidRPr="001D4775">
        <w:rPr>
          <w:rFonts w:asciiTheme="minorHAnsi" w:hAnsiTheme="minorHAnsi"/>
          <w:sz w:val="24"/>
          <w:szCs w:val="24"/>
        </w:rPr>
        <w:t>Additionally, gather any physical evidence from the scene, such as remnants of malfunctioning equipment or damaged property. This can be crucial in identifying defects or negligence. Ensure that all evidence is preserved in its original state and properly catalogued to maintain its integrity.</w:t>
      </w:r>
    </w:p>
    <w:p w14:paraId="750B7E90" w14:textId="08B2F080" w:rsidR="001D4775" w:rsidRPr="001D4775" w:rsidRDefault="001D4775" w:rsidP="001D4775">
      <w:pPr>
        <w:spacing w:after="160" w:line="278" w:lineRule="auto"/>
        <w:jc w:val="both"/>
        <w:rPr>
          <w:rFonts w:asciiTheme="minorHAnsi" w:hAnsiTheme="minorHAnsi"/>
          <w:sz w:val="24"/>
          <w:szCs w:val="24"/>
        </w:rPr>
      </w:pPr>
      <w:r w:rsidRPr="001D4775">
        <w:rPr>
          <w:rFonts w:asciiTheme="minorHAnsi" w:hAnsiTheme="minorHAnsi"/>
          <w:sz w:val="24"/>
          <w:szCs w:val="24"/>
        </w:rPr>
        <w:t xml:space="preserve">Finally, maintain a clear chain of custody for all collected evidence. This ensures that the evidence remains unaltered and credible throughout the legal process. By adhering to these guidelines and leveraging the provisions of the CPR, you can build a robust </w:t>
      </w:r>
      <w:r w:rsidR="00CF7989" w:rsidRPr="001D4775">
        <w:rPr>
          <w:rFonts w:asciiTheme="minorHAnsi" w:hAnsiTheme="minorHAnsi"/>
          <w:sz w:val="24"/>
          <w:szCs w:val="24"/>
        </w:rPr>
        <w:t>defence</w:t>
      </w:r>
      <w:r w:rsidRPr="001D4775">
        <w:rPr>
          <w:rFonts w:asciiTheme="minorHAnsi" w:hAnsiTheme="minorHAnsi"/>
          <w:sz w:val="24"/>
          <w:szCs w:val="24"/>
        </w:rPr>
        <w:t xml:space="preserve"> and gain a comprehensive understanding of the incident.</w:t>
      </w:r>
    </w:p>
    <w:p w14:paraId="00BDE727" w14:textId="77777777" w:rsidR="001D4775" w:rsidRPr="004D3DA3" w:rsidRDefault="001D4775" w:rsidP="004D3DA3">
      <w:pPr>
        <w:spacing w:after="160" w:line="278" w:lineRule="auto"/>
        <w:jc w:val="both"/>
        <w:rPr>
          <w:rFonts w:asciiTheme="minorHAnsi" w:hAnsiTheme="minorHAnsi"/>
          <w:sz w:val="24"/>
          <w:szCs w:val="24"/>
        </w:rPr>
      </w:pPr>
    </w:p>
    <w:p w14:paraId="59EA01A9"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d. Communicate with Affected Parties</w:t>
      </w:r>
    </w:p>
    <w:p w14:paraId="64273337" w14:textId="77777777" w:rsidR="008662C1" w:rsidRPr="008662C1" w:rsidRDefault="008662C1" w:rsidP="008662C1">
      <w:pPr>
        <w:spacing w:after="160" w:line="278" w:lineRule="auto"/>
        <w:jc w:val="both"/>
        <w:rPr>
          <w:rFonts w:asciiTheme="minorHAnsi" w:hAnsiTheme="minorHAnsi"/>
          <w:sz w:val="24"/>
          <w:szCs w:val="24"/>
        </w:rPr>
      </w:pPr>
      <w:r w:rsidRPr="008662C1">
        <w:rPr>
          <w:rFonts w:asciiTheme="minorHAnsi" w:hAnsiTheme="minorHAnsi"/>
          <w:sz w:val="24"/>
          <w:szCs w:val="24"/>
        </w:rPr>
        <w:t>Ensuring ongoing and transparent communication with the affected individuals and their legal representatives is a critical step in resolving disputes effectively. By maintaining open lines of dialogue, you demonstrate a genuine commitment to addressing their concerns and finding a fair resolution to the matter. Showing empathy and understanding toward those impacted by the incident not only fosters goodwill but also helps de-escalate potential conflicts, making it easier to navigate sensitive discussions.</w:t>
      </w:r>
    </w:p>
    <w:p w14:paraId="4EE4A543" w14:textId="2365235D" w:rsidR="008662C1" w:rsidRPr="008662C1" w:rsidRDefault="008662C1" w:rsidP="008662C1">
      <w:pPr>
        <w:spacing w:after="160" w:line="278" w:lineRule="auto"/>
        <w:jc w:val="both"/>
        <w:rPr>
          <w:rFonts w:asciiTheme="minorHAnsi" w:hAnsiTheme="minorHAnsi"/>
          <w:sz w:val="24"/>
          <w:szCs w:val="24"/>
        </w:rPr>
      </w:pPr>
      <w:r w:rsidRPr="008662C1">
        <w:rPr>
          <w:rFonts w:asciiTheme="minorHAnsi" w:hAnsiTheme="minorHAnsi"/>
          <w:sz w:val="24"/>
          <w:szCs w:val="24"/>
        </w:rPr>
        <w:t>A proactive and approachable attitude can also facilitate negotiations, creating an environment where settlements can be reached without the need for prolonged and costly legal proceedings. This includes acknowledging the affected parties' experiences, providing clear and timely updates on the steps being taken to address the situation, and listening to their perspectives. Such engagement can build trust and encourage collaboration between all parties involved. By prioriti</w:t>
      </w:r>
      <w:r w:rsidR="000F2BE0">
        <w:rPr>
          <w:rFonts w:asciiTheme="minorHAnsi" w:hAnsiTheme="minorHAnsi"/>
          <w:sz w:val="24"/>
          <w:szCs w:val="24"/>
        </w:rPr>
        <w:t>s</w:t>
      </w:r>
      <w:r w:rsidRPr="008662C1">
        <w:rPr>
          <w:rFonts w:asciiTheme="minorHAnsi" w:hAnsiTheme="minorHAnsi"/>
          <w:sz w:val="24"/>
          <w:szCs w:val="24"/>
        </w:rPr>
        <w:t>ing empathy and open communication, you strengthen the foundation for resolving claims efficiently while demonstrating accountability and care in your handling of the situation.</w:t>
      </w:r>
    </w:p>
    <w:p w14:paraId="3FE5B144"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e. Insurance Coverage</w:t>
      </w:r>
    </w:p>
    <w:p w14:paraId="594544CB" w14:textId="77777777" w:rsidR="009932A6" w:rsidRPr="009932A6" w:rsidRDefault="009932A6" w:rsidP="009932A6">
      <w:pPr>
        <w:spacing w:after="160" w:line="278" w:lineRule="auto"/>
        <w:jc w:val="both"/>
        <w:rPr>
          <w:rFonts w:asciiTheme="minorHAnsi" w:hAnsiTheme="minorHAnsi"/>
          <w:sz w:val="24"/>
          <w:szCs w:val="24"/>
        </w:rPr>
      </w:pPr>
      <w:r w:rsidRPr="009932A6">
        <w:rPr>
          <w:rFonts w:asciiTheme="minorHAnsi" w:hAnsiTheme="minorHAnsi"/>
          <w:sz w:val="24"/>
          <w:szCs w:val="24"/>
        </w:rPr>
        <w:t xml:space="preserve">Examining your insurance policies is a crucial step to determine the scope of your coverage in handling incidents like the one at the "Time Stomp" festival. A thorough review will help identify whether your current policy provides adequate support for the claims and liabilities stemming from this event. Once the claims have been brought to your attention, it is essential to notify your insurance provider promptly and maintain open communication throughout the process. Collaborating with your insurer can assist </w:t>
      </w:r>
      <w:r w:rsidRPr="009932A6">
        <w:rPr>
          <w:rFonts w:asciiTheme="minorHAnsi" w:hAnsiTheme="minorHAnsi"/>
          <w:sz w:val="24"/>
          <w:szCs w:val="24"/>
        </w:rPr>
        <w:lastRenderedPageBreak/>
        <w:t>in navigating the complexities of claim management, ensuring that all necessary steps are taken to address the situation effectively.</w:t>
      </w:r>
    </w:p>
    <w:p w14:paraId="516D16E2" w14:textId="77777777" w:rsidR="009932A6" w:rsidRPr="009932A6" w:rsidRDefault="009932A6" w:rsidP="009932A6">
      <w:pPr>
        <w:spacing w:after="160" w:line="278" w:lineRule="auto"/>
        <w:jc w:val="both"/>
        <w:rPr>
          <w:rFonts w:asciiTheme="minorHAnsi" w:hAnsiTheme="minorHAnsi"/>
          <w:sz w:val="24"/>
          <w:szCs w:val="24"/>
        </w:rPr>
      </w:pPr>
      <w:r w:rsidRPr="009932A6">
        <w:rPr>
          <w:rFonts w:asciiTheme="minorHAnsi" w:hAnsiTheme="minorHAnsi"/>
          <w:sz w:val="24"/>
          <w:szCs w:val="24"/>
        </w:rPr>
        <w:t>To safeguard against future liabilities, it is vital to reassess the adequacy of your insurance coverage for upcoming events. Consider upgrading your policy or obtaining additional coverage tailored specifically to the unique risks associated with large-scale gatherings. This might include policies designed to protect against injuries, property damage, or other unforeseen circumstances. Investing in comprehensive insurance coverage not only protects your financial interests but also demonstrates your commitment to prioritizing safety and accountability in event planning. Proactive measures, such as regular discussions with your insurer and staying informed about policy updates, will help ensure that your coverage remains sufficient and aligned with evolving safety standards.</w:t>
      </w:r>
    </w:p>
    <w:p w14:paraId="2D62DCBA" w14:textId="0F0AE2B5"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f. Implement Training Programs</w:t>
      </w:r>
      <w:r w:rsidR="005D14F9">
        <w:rPr>
          <w:rFonts w:asciiTheme="minorHAnsi" w:hAnsiTheme="minorHAnsi"/>
          <w:b/>
          <w:bCs/>
          <w:sz w:val="24"/>
          <w:szCs w:val="24"/>
        </w:rPr>
        <w:t xml:space="preserve"> </w:t>
      </w:r>
    </w:p>
    <w:p w14:paraId="0AE2C464" w14:textId="77777777" w:rsidR="008607E5" w:rsidRPr="008607E5" w:rsidRDefault="008607E5" w:rsidP="008607E5">
      <w:pPr>
        <w:spacing w:after="160" w:line="278" w:lineRule="auto"/>
        <w:jc w:val="both"/>
        <w:rPr>
          <w:rFonts w:asciiTheme="minorHAnsi" w:hAnsiTheme="minorHAnsi"/>
          <w:sz w:val="24"/>
          <w:szCs w:val="24"/>
        </w:rPr>
      </w:pPr>
      <w:r w:rsidRPr="008607E5">
        <w:rPr>
          <w:rFonts w:asciiTheme="minorHAnsi" w:hAnsiTheme="minorHAnsi"/>
          <w:sz w:val="24"/>
          <w:szCs w:val="24"/>
        </w:rPr>
        <w:t>Establishing comprehensive training programs for staff and volunteers is a crucial step in enhancing the safety and efficiency of event operations. These programs should focus on equipping all personnel with the necessary knowledge and skills to manage crowds effectively, respond swiftly to emergencies, and follow established safety protocols. By fostering a well-prepared team, organisers can significantly minimise the likelihood of accidents and ensure that risks are handled proactively and professionally.</w:t>
      </w:r>
    </w:p>
    <w:p w14:paraId="3894F9FC" w14:textId="77777777" w:rsidR="008607E5" w:rsidRPr="008607E5" w:rsidRDefault="008607E5" w:rsidP="008607E5">
      <w:pPr>
        <w:spacing w:after="160" w:line="278" w:lineRule="auto"/>
        <w:jc w:val="both"/>
        <w:rPr>
          <w:rFonts w:asciiTheme="minorHAnsi" w:hAnsiTheme="minorHAnsi"/>
          <w:sz w:val="24"/>
          <w:szCs w:val="24"/>
        </w:rPr>
      </w:pPr>
      <w:r w:rsidRPr="008607E5">
        <w:rPr>
          <w:rFonts w:asciiTheme="minorHAnsi" w:hAnsiTheme="minorHAnsi"/>
          <w:sz w:val="24"/>
          <w:szCs w:val="24"/>
        </w:rPr>
        <w:t>Training sessions should cover a range of essential topics, including techniques for crowd control, such as directing large groups, preventing overcrowding, and managing orderly evacuations. Additionally, emergency response training is vital, enabling staff to react calmly and effectively to unforeseen situations, such as medical emergencies, equipment malfunctions, or panic within the crowd. Volunteers and team members should also be well-versed in the specific safety protocols relevant to their roles, from setting up barriers to monitoring exits and access points.</w:t>
      </w:r>
    </w:p>
    <w:p w14:paraId="4647013A" w14:textId="77777777" w:rsidR="008607E5" w:rsidRPr="008607E5" w:rsidRDefault="008607E5" w:rsidP="008607E5">
      <w:pPr>
        <w:spacing w:after="160" w:line="278" w:lineRule="auto"/>
        <w:jc w:val="both"/>
        <w:rPr>
          <w:rFonts w:asciiTheme="minorHAnsi" w:hAnsiTheme="minorHAnsi"/>
          <w:sz w:val="24"/>
          <w:szCs w:val="24"/>
        </w:rPr>
      </w:pPr>
      <w:r w:rsidRPr="008607E5">
        <w:rPr>
          <w:rFonts w:asciiTheme="minorHAnsi" w:hAnsiTheme="minorHAnsi"/>
          <w:sz w:val="24"/>
          <w:szCs w:val="24"/>
        </w:rPr>
        <w:t>Regular practice drills and simulations can further enhance the effectiveness of these training programs by allowing participants to apply their knowledge in realistic scenarios. These exercises help identify potential areas for improvement, ensuring that all team members are fully prepared to manage real-life challenges. Beyond the immediate benefits of safety, investing in training also boosts confidence among staff and volunteers, fostering a sense of responsibility and teamwork that contributes to the overall success of the event.</w:t>
      </w:r>
    </w:p>
    <w:p w14:paraId="2D06EF41" w14:textId="77777777" w:rsidR="008607E5" w:rsidRPr="008607E5" w:rsidRDefault="008607E5" w:rsidP="008607E5">
      <w:pPr>
        <w:spacing w:after="160" w:line="278" w:lineRule="auto"/>
        <w:jc w:val="both"/>
        <w:rPr>
          <w:rFonts w:asciiTheme="minorHAnsi" w:hAnsiTheme="minorHAnsi"/>
          <w:sz w:val="24"/>
          <w:szCs w:val="24"/>
        </w:rPr>
      </w:pPr>
      <w:r w:rsidRPr="008607E5">
        <w:rPr>
          <w:rFonts w:asciiTheme="minorHAnsi" w:hAnsiTheme="minorHAnsi"/>
          <w:sz w:val="24"/>
          <w:szCs w:val="24"/>
        </w:rPr>
        <w:t>Ultimately, implementing robust and ongoing training initiatives creates a safer environment for both attendees and those working behind the scenes, while reinforcing an organiser's commitment to prioritising safety and excellence.</w:t>
      </w:r>
    </w:p>
    <w:p w14:paraId="27CD4507" w14:textId="77777777" w:rsidR="008607E5" w:rsidRPr="004D3DA3" w:rsidRDefault="008607E5" w:rsidP="004D3DA3">
      <w:pPr>
        <w:spacing w:after="160" w:line="278" w:lineRule="auto"/>
        <w:jc w:val="both"/>
        <w:rPr>
          <w:rFonts w:asciiTheme="minorHAnsi" w:hAnsiTheme="minorHAnsi"/>
          <w:sz w:val="24"/>
          <w:szCs w:val="24"/>
        </w:rPr>
      </w:pPr>
    </w:p>
    <w:p w14:paraId="44EA5B87"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lastRenderedPageBreak/>
        <w:t>g. Collaborate with Authorities</w:t>
      </w:r>
    </w:p>
    <w:p w14:paraId="2116628C" w14:textId="3E626645" w:rsidR="000617C0" w:rsidRPr="000617C0" w:rsidRDefault="000617C0" w:rsidP="00960A2A">
      <w:pPr>
        <w:spacing w:after="160" w:line="278" w:lineRule="auto"/>
        <w:jc w:val="both"/>
        <w:rPr>
          <w:rFonts w:asciiTheme="minorHAnsi" w:hAnsiTheme="minorHAnsi"/>
          <w:sz w:val="24"/>
          <w:szCs w:val="24"/>
        </w:rPr>
      </w:pPr>
      <w:r w:rsidRPr="000617C0">
        <w:rPr>
          <w:rFonts w:asciiTheme="minorHAnsi" w:hAnsiTheme="minorHAnsi"/>
          <w:sz w:val="24"/>
          <w:szCs w:val="24"/>
        </w:rPr>
        <w:t>Partnerin</w:t>
      </w:r>
      <w:r w:rsidR="00960A2A" w:rsidRPr="00960A2A">
        <w:rPr>
          <w:rFonts w:asciiTheme="minorHAnsi" w:hAnsiTheme="minorHAnsi"/>
          <w:sz w:val="24"/>
          <w:szCs w:val="24"/>
        </w:rPr>
        <w:t>g with local authorities, such as police, fire services, and emergency teams, is essential for maintaining event safety and adhering to regulations. Their expertise in risk assessment, crowd control, and emergency preparedness helps identify hazards and implement preventative measures. Early engagement with authorities allows organisers to benefit from their guidance on evacuation plans and security protocols, ensuring swift responses to emergencies and mitigating risks. Open communication fosters trust and compliance while enhancing safety for attendees and organisers alike, creating a secure and well-managed event environment.</w:t>
      </w:r>
    </w:p>
    <w:p w14:paraId="233B7D4A" w14:textId="77777777" w:rsidR="000617C0" w:rsidRPr="004D3DA3" w:rsidRDefault="000617C0" w:rsidP="004D3DA3">
      <w:pPr>
        <w:spacing w:after="160" w:line="278" w:lineRule="auto"/>
        <w:jc w:val="both"/>
        <w:rPr>
          <w:rFonts w:asciiTheme="minorHAnsi" w:hAnsiTheme="minorHAnsi"/>
          <w:sz w:val="24"/>
          <w:szCs w:val="24"/>
        </w:rPr>
      </w:pPr>
    </w:p>
    <w:p w14:paraId="6469F1A3"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Exploring Each Scenario</w:t>
      </w:r>
    </w:p>
    <w:p w14:paraId="4F67D4A7" w14:textId="2A1E8872" w:rsidR="004D3DA3" w:rsidRDefault="00883C1E" w:rsidP="004D3DA3">
      <w:pPr>
        <w:spacing w:after="160" w:line="278" w:lineRule="auto"/>
        <w:jc w:val="both"/>
        <w:rPr>
          <w:rFonts w:asciiTheme="minorHAnsi" w:hAnsiTheme="minorHAnsi"/>
          <w:sz w:val="24"/>
          <w:szCs w:val="24"/>
        </w:rPr>
      </w:pPr>
      <w:r>
        <w:rPr>
          <w:rFonts w:asciiTheme="minorHAnsi" w:hAnsiTheme="minorHAnsi"/>
          <w:sz w:val="24"/>
          <w:szCs w:val="24"/>
        </w:rPr>
        <w:t>Please see below e</w:t>
      </w:r>
      <w:r w:rsidR="004D3DA3" w:rsidRPr="004D3DA3">
        <w:rPr>
          <w:rFonts w:asciiTheme="minorHAnsi" w:hAnsiTheme="minorHAnsi"/>
          <w:sz w:val="24"/>
          <w:szCs w:val="24"/>
        </w:rPr>
        <w:t xml:space="preserve">ach </w:t>
      </w:r>
      <w:r>
        <w:rPr>
          <w:rFonts w:asciiTheme="minorHAnsi" w:hAnsiTheme="minorHAnsi"/>
          <w:sz w:val="24"/>
          <w:szCs w:val="24"/>
        </w:rPr>
        <w:t xml:space="preserve">individual </w:t>
      </w:r>
      <w:r w:rsidR="004D3DA3" w:rsidRPr="004D3DA3">
        <w:rPr>
          <w:rFonts w:asciiTheme="minorHAnsi" w:hAnsiTheme="minorHAnsi"/>
          <w:sz w:val="24"/>
          <w:szCs w:val="24"/>
        </w:rPr>
        <w:t xml:space="preserve">scenario in detail to understand the potential </w:t>
      </w:r>
      <w:proofErr w:type="gramStart"/>
      <w:r w:rsidR="004D3DA3" w:rsidRPr="004D3DA3">
        <w:rPr>
          <w:rFonts w:asciiTheme="minorHAnsi" w:hAnsiTheme="minorHAnsi"/>
          <w:sz w:val="24"/>
          <w:szCs w:val="24"/>
        </w:rPr>
        <w:t>liabilities</w:t>
      </w:r>
      <w:r w:rsidR="00FE2F76">
        <w:rPr>
          <w:rFonts w:asciiTheme="minorHAnsi" w:hAnsiTheme="minorHAnsi"/>
          <w:sz w:val="24"/>
          <w:szCs w:val="24"/>
        </w:rPr>
        <w:t>:-</w:t>
      </w:r>
      <w:proofErr w:type="gramEnd"/>
    </w:p>
    <w:p w14:paraId="5D55EDB9"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Scenario 1: Sarah Peterson</w:t>
      </w:r>
    </w:p>
    <w:p w14:paraId="65AC62A2" w14:textId="77777777" w:rsidR="00DB5FAA" w:rsidRPr="00DB5FAA" w:rsidRDefault="00DB5FAA" w:rsidP="00DB5FAA">
      <w:pPr>
        <w:spacing w:before="100" w:beforeAutospacing="1" w:after="100" w:afterAutospacing="1"/>
        <w:jc w:val="both"/>
        <w:rPr>
          <w:rFonts w:asciiTheme="minorHAnsi" w:hAnsiTheme="minorHAnsi"/>
          <w:sz w:val="24"/>
          <w:szCs w:val="24"/>
        </w:rPr>
      </w:pPr>
      <w:r w:rsidRPr="00DB5FAA">
        <w:rPr>
          <w:rFonts w:asciiTheme="minorHAnsi" w:hAnsiTheme="minorHAnsi"/>
          <w:sz w:val="24"/>
          <w:szCs w:val="24"/>
        </w:rPr>
        <w:t xml:space="preserve">Sarah has sustained life-changing physical injuries, including significant facial burns, the loss of her left arm through amputation, and paralysis from the waist down. These serious conditions will necessitate prolonged and costly medical interventions such as surgical procedures, intensive rehabilitation programs, and the use of specialized adaptive equipment to support her daily living. Under the framework of civil litigation rules in the UK, Sarah may have grounds to file a personal injury claim aimed at recouping the expenses associated with her medical care. Furthermore, she could seek compensation for the financial losses she is likely to face </w:t>
      </w:r>
      <w:proofErr w:type="gramStart"/>
      <w:r w:rsidRPr="00DB5FAA">
        <w:rPr>
          <w:rFonts w:asciiTheme="minorHAnsi" w:hAnsiTheme="minorHAnsi"/>
          <w:sz w:val="24"/>
          <w:szCs w:val="24"/>
        </w:rPr>
        <w:t>as a result of</w:t>
      </w:r>
      <w:proofErr w:type="gramEnd"/>
      <w:r w:rsidRPr="00DB5FAA">
        <w:rPr>
          <w:rFonts w:asciiTheme="minorHAnsi" w:hAnsiTheme="minorHAnsi"/>
          <w:sz w:val="24"/>
          <w:szCs w:val="24"/>
        </w:rPr>
        <w:t xml:space="preserve"> her inability to return to work or earn an income due to her disabilities.</w:t>
      </w:r>
    </w:p>
    <w:p w14:paraId="2150C808" w14:textId="77777777" w:rsidR="00DB5FAA" w:rsidRPr="00EB206D" w:rsidRDefault="00DB5FAA" w:rsidP="00DB5FAA">
      <w:pPr>
        <w:pStyle w:val="ListParagraph"/>
        <w:spacing w:before="100" w:beforeAutospacing="1" w:after="100" w:afterAutospacing="1"/>
        <w:ind w:left="0"/>
        <w:jc w:val="both"/>
        <w:rPr>
          <w:rFonts w:asciiTheme="minorHAnsi" w:hAnsiTheme="minorHAnsi"/>
          <w:sz w:val="24"/>
          <w:szCs w:val="24"/>
        </w:rPr>
      </w:pPr>
    </w:p>
    <w:p w14:paraId="331692F4" w14:textId="77777777" w:rsidR="00DB5FAA" w:rsidRPr="00EB206D" w:rsidRDefault="00DB5FAA" w:rsidP="00DB5FAA">
      <w:pPr>
        <w:pStyle w:val="ListParagraph"/>
        <w:spacing w:before="100" w:beforeAutospacing="1" w:after="100" w:afterAutospacing="1"/>
        <w:ind w:left="0"/>
        <w:jc w:val="both"/>
        <w:rPr>
          <w:rFonts w:asciiTheme="minorHAnsi" w:hAnsiTheme="minorHAnsi"/>
          <w:sz w:val="24"/>
          <w:szCs w:val="24"/>
        </w:rPr>
      </w:pPr>
      <w:r w:rsidRPr="00EB206D">
        <w:rPr>
          <w:rFonts w:asciiTheme="minorHAnsi" w:hAnsiTheme="minorHAnsi"/>
          <w:sz w:val="24"/>
          <w:szCs w:val="24"/>
        </w:rPr>
        <w:t>In addition to these financial considerations, Sarah may also pursue damages for the profound physical pain, emotional distress, and social challenges that these injuries have caused. This form of compensation would acknowledge the significant psychological and social impact of her injuries, which are likely to affect her quality of life for the foreseeable future</w:t>
      </w:r>
      <w:r>
        <w:rPr>
          <w:rFonts w:asciiTheme="minorHAnsi" w:hAnsiTheme="minorHAnsi"/>
          <w:sz w:val="24"/>
          <w:szCs w:val="24"/>
        </w:rPr>
        <w:t xml:space="preserve">. </w:t>
      </w:r>
      <w:r w:rsidRPr="00184642">
        <w:rPr>
          <w:rFonts w:asciiTheme="minorHAnsi" w:hAnsiTheme="minorHAnsi"/>
          <w:sz w:val="24"/>
          <w:szCs w:val="24"/>
        </w:rPr>
        <w:t>Whil</w:t>
      </w:r>
      <w:r>
        <w:rPr>
          <w:rFonts w:asciiTheme="minorHAnsi" w:hAnsiTheme="minorHAnsi"/>
          <w:sz w:val="24"/>
          <w:szCs w:val="24"/>
        </w:rPr>
        <w:t>st</w:t>
      </w:r>
      <w:r w:rsidRPr="00184642">
        <w:rPr>
          <w:rFonts w:asciiTheme="minorHAnsi" w:hAnsiTheme="minorHAnsi"/>
          <w:sz w:val="24"/>
          <w:szCs w:val="24"/>
        </w:rPr>
        <w:t xml:space="preserve"> Sarah may claim compensation for medical expenses, financial losses, and the emotional and social impact of her injuries, robust evidence would be required to prove that</w:t>
      </w:r>
      <w:r>
        <w:rPr>
          <w:rFonts w:asciiTheme="minorHAnsi" w:hAnsiTheme="minorHAnsi"/>
          <w:sz w:val="24"/>
          <w:szCs w:val="24"/>
        </w:rPr>
        <w:t xml:space="preserve"> you as</w:t>
      </w:r>
      <w:r w:rsidRPr="00184642">
        <w:rPr>
          <w:rFonts w:asciiTheme="minorHAnsi" w:hAnsiTheme="minorHAnsi"/>
          <w:sz w:val="24"/>
          <w:szCs w:val="24"/>
        </w:rPr>
        <w:t xml:space="preserve"> the organiser acted negligently or failed to </w:t>
      </w:r>
      <w:proofErr w:type="spellStart"/>
      <w:r w:rsidRPr="00184642">
        <w:rPr>
          <w:rFonts w:asciiTheme="minorHAnsi" w:hAnsiTheme="minorHAnsi"/>
          <w:sz w:val="24"/>
          <w:szCs w:val="24"/>
        </w:rPr>
        <w:t>fulfill</w:t>
      </w:r>
      <w:proofErr w:type="spellEnd"/>
      <w:r w:rsidRPr="00184642">
        <w:rPr>
          <w:rFonts w:asciiTheme="minorHAnsi" w:hAnsiTheme="minorHAnsi"/>
          <w:sz w:val="24"/>
          <w:szCs w:val="24"/>
        </w:rPr>
        <w:t xml:space="preserve"> their duty of care. Factors such as the actions of third-party suppliers or unforeseeable circumstances must also be considered when assessing liability.</w:t>
      </w:r>
    </w:p>
    <w:p w14:paraId="0ACBD180" w14:textId="07EC7698"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Scenario 2: Jack Smith</w:t>
      </w:r>
    </w:p>
    <w:p w14:paraId="1127DFA2" w14:textId="77777777" w:rsidR="00130E7C" w:rsidRPr="00CD09F2" w:rsidRDefault="00130E7C" w:rsidP="00130E7C">
      <w:pPr>
        <w:spacing w:after="160" w:line="278" w:lineRule="auto"/>
        <w:jc w:val="both"/>
        <w:rPr>
          <w:rFonts w:asciiTheme="minorHAnsi" w:hAnsiTheme="minorHAnsi"/>
          <w:sz w:val="24"/>
          <w:szCs w:val="24"/>
        </w:rPr>
      </w:pPr>
      <w:r w:rsidRPr="00CD09F2">
        <w:rPr>
          <w:rFonts w:asciiTheme="minorHAnsi" w:hAnsiTheme="minorHAnsi"/>
          <w:sz w:val="24"/>
          <w:szCs w:val="24"/>
        </w:rPr>
        <w:t xml:space="preserve">Jack's diagnosis of post-traumatic stress disorder (PTSD), stemming from the traumatic incident, has had a profound impact on his mental health and daily life. His condition has resulted in severe anxiety and agoraphobia, leaving him unable to leave his home and significantly disrupting his ability to engage in normal activities. This psychological harm </w:t>
      </w:r>
      <w:r w:rsidRPr="00CD09F2">
        <w:rPr>
          <w:rFonts w:asciiTheme="minorHAnsi" w:hAnsiTheme="minorHAnsi"/>
          <w:sz w:val="24"/>
          <w:szCs w:val="24"/>
        </w:rPr>
        <w:lastRenderedPageBreak/>
        <w:t>could form the basis of a legal claim, as the emotional distress and mental health challenges he faces are directly linked to the event.</w:t>
      </w:r>
    </w:p>
    <w:p w14:paraId="09CF6BD2" w14:textId="77777777" w:rsidR="00130E7C" w:rsidRDefault="00130E7C" w:rsidP="00130E7C">
      <w:pPr>
        <w:spacing w:after="160" w:line="278" w:lineRule="auto"/>
        <w:jc w:val="both"/>
        <w:rPr>
          <w:rFonts w:asciiTheme="minorHAnsi" w:hAnsiTheme="minorHAnsi"/>
          <w:sz w:val="24"/>
          <w:szCs w:val="24"/>
        </w:rPr>
      </w:pPr>
      <w:r w:rsidRPr="00CD09F2">
        <w:rPr>
          <w:rFonts w:asciiTheme="minorHAnsi" w:hAnsiTheme="minorHAnsi"/>
          <w:sz w:val="24"/>
          <w:szCs w:val="24"/>
        </w:rPr>
        <w:t>In addition to the psychological toll, Jack's inability to leave his home has likely affected his capacity to work, leading to a loss of earnings. Under UK civil litigation rules, he may be entitled to seek compensation for these financial losses, as well as for the costs of any therapy, medication, or other treatments required to manage his PTSD. Damages for loss of enjoyment of life may also be pursued, acknowledging the broader impact of his condition on his overall well-being and quality of life</w:t>
      </w:r>
      <w:r>
        <w:rPr>
          <w:rFonts w:asciiTheme="minorHAnsi" w:hAnsiTheme="minorHAnsi"/>
          <w:sz w:val="24"/>
          <w:szCs w:val="24"/>
        </w:rPr>
        <w:t>.</w:t>
      </w:r>
    </w:p>
    <w:p w14:paraId="12EBA538" w14:textId="36C04979" w:rsidR="004D3DA3" w:rsidRPr="004D3DA3" w:rsidRDefault="004D3DA3" w:rsidP="00130E7C">
      <w:pPr>
        <w:spacing w:after="160" w:line="278" w:lineRule="auto"/>
        <w:jc w:val="both"/>
        <w:rPr>
          <w:rFonts w:asciiTheme="minorHAnsi" w:hAnsiTheme="minorHAnsi"/>
          <w:sz w:val="24"/>
          <w:szCs w:val="24"/>
        </w:rPr>
      </w:pPr>
      <w:r w:rsidRPr="004D3DA3">
        <w:rPr>
          <w:rFonts w:asciiTheme="minorHAnsi" w:hAnsiTheme="minorHAnsi"/>
          <w:b/>
          <w:bCs/>
          <w:sz w:val="24"/>
          <w:szCs w:val="24"/>
        </w:rPr>
        <w:t>Scenario 3: Mary Smith</w:t>
      </w:r>
    </w:p>
    <w:p w14:paraId="7E238746" w14:textId="77777777" w:rsidR="00E06432" w:rsidRPr="00052A56" w:rsidRDefault="00E06432" w:rsidP="00E06432">
      <w:pPr>
        <w:spacing w:after="160" w:line="278" w:lineRule="auto"/>
        <w:jc w:val="both"/>
        <w:rPr>
          <w:rFonts w:asciiTheme="minorHAnsi" w:hAnsiTheme="minorHAnsi"/>
          <w:sz w:val="24"/>
          <w:szCs w:val="24"/>
        </w:rPr>
      </w:pPr>
      <w:r w:rsidRPr="00052A56">
        <w:rPr>
          <w:rFonts w:asciiTheme="minorHAnsi" w:hAnsiTheme="minorHAnsi"/>
          <w:sz w:val="24"/>
          <w:szCs w:val="24"/>
        </w:rPr>
        <w:t>Mary's diagnosis of general anxiety disorder has had a considerable impact on her mental well-being, significantly altering her daily life and overall lifestyle. This condition, likely exacerbated by the traumatic events she experienced, manifests as chronic worry, restlessness, and difficulty coping with everyday situations. Such psychological harm can form the basis of a legal claim, as it directly affects her emotional health and disrupts her ability to engage fully with the world around her.</w:t>
      </w:r>
    </w:p>
    <w:p w14:paraId="34097E11" w14:textId="77777777" w:rsidR="00E06432" w:rsidRPr="00052A56" w:rsidRDefault="00E06432" w:rsidP="00E06432">
      <w:pPr>
        <w:spacing w:after="160" w:line="278" w:lineRule="auto"/>
        <w:jc w:val="both"/>
        <w:rPr>
          <w:rFonts w:asciiTheme="minorHAnsi" w:hAnsiTheme="minorHAnsi"/>
          <w:sz w:val="24"/>
          <w:szCs w:val="24"/>
        </w:rPr>
      </w:pPr>
      <w:r w:rsidRPr="00052A56">
        <w:rPr>
          <w:rFonts w:asciiTheme="minorHAnsi" w:hAnsiTheme="minorHAnsi"/>
          <w:sz w:val="24"/>
          <w:szCs w:val="24"/>
        </w:rPr>
        <w:t>As a result of her condition, Mary may find it challenging to participate in activities she once enjoyed, leading to a diminished quality of life. The loss of enjoyment in social, recreational, or personal pursuits can be deeply distressing and may form an important part of her legal case. Compensation could also be sought for the costs associated with managing her condition, such as therapy, medication, or other forms of treatment aimed at improving her mental health.</w:t>
      </w:r>
    </w:p>
    <w:p w14:paraId="6B3632E8" w14:textId="77777777" w:rsidR="00E06432" w:rsidRPr="00052A56" w:rsidRDefault="00E06432" w:rsidP="00E06432">
      <w:pPr>
        <w:spacing w:after="160" w:line="278" w:lineRule="auto"/>
        <w:jc w:val="both"/>
        <w:rPr>
          <w:rFonts w:asciiTheme="minorHAnsi" w:hAnsiTheme="minorHAnsi"/>
          <w:sz w:val="24"/>
          <w:szCs w:val="24"/>
        </w:rPr>
      </w:pPr>
      <w:r w:rsidRPr="00052A56">
        <w:rPr>
          <w:rFonts w:asciiTheme="minorHAnsi" w:hAnsiTheme="minorHAnsi"/>
          <w:sz w:val="24"/>
          <w:szCs w:val="24"/>
        </w:rPr>
        <w:t>To substantiate her claim, it would be vital to</w:t>
      </w:r>
      <w:r>
        <w:rPr>
          <w:rFonts w:asciiTheme="minorHAnsi" w:hAnsiTheme="minorHAnsi"/>
          <w:sz w:val="24"/>
          <w:szCs w:val="24"/>
        </w:rPr>
        <w:t xml:space="preserve"> be</w:t>
      </w:r>
      <w:r w:rsidRPr="00052A56">
        <w:rPr>
          <w:rFonts w:asciiTheme="minorHAnsi" w:hAnsiTheme="minorHAnsi"/>
          <w:sz w:val="24"/>
          <w:szCs w:val="24"/>
        </w:rPr>
        <w:t xml:space="preserve"> provide</w:t>
      </w:r>
      <w:r>
        <w:rPr>
          <w:rFonts w:asciiTheme="minorHAnsi" w:hAnsiTheme="minorHAnsi"/>
          <w:sz w:val="24"/>
          <w:szCs w:val="24"/>
        </w:rPr>
        <w:t>d with</w:t>
      </w:r>
      <w:r w:rsidRPr="00052A56">
        <w:rPr>
          <w:rFonts w:asciiTheme="minorHAnsi" w:hAnsiTheme="minorHAnsi"/>
          <w:sz w:val="24"/>
          <w:szCs w:val="24"/>
        </w:rPr>
        <w:t xml:space="preserve"> evidence demonstrating the extent of her psychological harm and its impact on her life. This might include medical assessments, expert testimony from mental health professionals, and documentation of how her lifestyle has been affected.</w:t>
      </w:r>
    </w:p>
    <w:p w14:paraId="05624BF1" w14:textId="429F8E51"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Scenario 4: Janice Peterson</w:t>
      </w:r>
    </w:p>
    <w:p w14:paraId="4AA28E0B" w14:textId="1B19E36D" w:rsidR="00530EB8" w:rsidRPr="00530EB8" w:rsidRDefault="00530EB8" w:rsidP="00530EB8">
      <w:pPr>
        <w:spacing w:after="160" w:line="278" w:lineRule="auto"/>
        <w:jc w:val="both"/>
        <w:rPr>
          <w:rFonts w:asciiTheme="minorHAnsi" w:hAnsiTheme="minorHAnsi"/>
          <w:sz w:val="24"/>
          <w:szCs w:val="24"/>
        </w:rPr>
      </w:pPr>
      <w:r w:rsidRPr="00530EB8">
        <w:rPr>
          <w:rFonts w:asciiTheme="minorHAnsi" w:hAnsiTheme="minorHAnsi"/>
          <w:sz w:val="24"/>
          <w:szCs w:val="24"/>
        </w:rPr>
        <w:t>Janice's clinical depression, which has reached a severity requiring her to be sectioned under the Mental Health Act, reflects the significant psychological impact of the incident. This level of mental health deterioration highlights the profound emotional distress and challenges she has faced. Her condition may form the basis of a legal claim for compensation, as the psychological harm she has endured is directly linked to the event. Such claims could include costs associated with her treatment, including hospitali</w:t>
      </w:r>
      <w:r>
        <w:rPr>
          <w:rFonts w:asciiTheme="minorHAnsi" w:hAnsiTheme="minorHAnsi"/>
          <w:sz w:val="24"/>
          <w:szCs w:val="24"/>
        </w:rPr>
        <w:t>s</w:t>
      </w:r>
      <w:r w:rsidRPr="00530EB8">
        <w:rPr>
          <w:rFonts w:asciiTheme="minorHAnsi" w:hAnsiTheme="minorHAnsi"/>
          <w:sz w:val="24"/>
          <w:szCs w:val="24"/>
        </w:rPr>
        <w:t>ation, therapy sessions, prescribed medication, and any additional support services needed for her recovery.</w:t>
      </w:r>
    </w:p>
    <w:p w14:paraId="59301995" w14:textId="7C075A34" w:rsidR="00530EB8" w:rsidRPr="00530EB8" w:rsidRDefault="00530EB8" w:rsidP="00530EB8">
      <w:pPr>
        <w:spacing w:after="160" w:line="278" w:lineRule="auto"/>
        <w:jc w:val="both"/>
        <w:rPr>
          <w:rFonts w:asciiTheme="minorHAnsi" w:hAnsiTheme="minorHAnsi"/>
          <w:sz w:val="24"/>
          <w:szCs w:val="24"/>
        </w:rPr>
      </w:pPr>
      <w:r w:rsidRPr="00530EB8">
        <w:rPr>
          <w:rFonts w:asciiTheme="minorHAnsi" w:hAnsiTheme="minorHAnsi"/>
          <w:sz w:val="24"/>
          <w:szCs w:val="24"/>
        </w:rPr>
        <w:t xml:space="preserve">Furthermore, Janice's depression and the necessity of sectioning indicate a severe disruption to her personal and professional life. Compensation could also address the broader impact of her condition, such as the emotional strain, loss of independence, and </w:t>
      </w:r>
      <w:r w:rsidRPr="00530EB8">
        <w:rPr>
          <w:rFonts w:asciiTheme="minorHAnsi" w:hAnsiTheme="minorHAnsi"/>
          <w:sz w:val="24"/>
          <w:szCs w:val="24"/>
        </w:rPr>
        <w:lastRenderedPageBreak/>
        <w:t xml:space="preserve">potential impairment of her ability to maintain relationships or employment. To support </w:t>
      </w:r>
      <w:r w:rsidR="004E5C69">
        <w:rPr>
          <w:rFonts w:asciiTheme="minorHAnsi" w:hAnsiTheme="minorHAnsi"/>
          <w:sz w:val="24"/>
          <w:szCs w:val="24"/>
        </w:rPr>
        <w:t>her</w:t>
      </w:r>
      <w:r w:rsidRPr="00530EB8">
        <w:rPr>
          <w:rFonts w:asciiTheme="minorHAnsi" w:hAnsiTheme="minorHAnsi"/>
          <w:sz w:val="24"/>
          <w:szCs w:val="24"/>
        </w:rPr>
        <w:t xml:space="preserve"> claim, it would be essential </w:t>
      </w:r>
      <w:r w:rsidR="004E5C69">
        <w:rPr>
          <w:rFonts w:asciiTheme="minorHAnsi" w:hAnsiTheme="minorHAnsi"/>
          <w:sz w:val="24"/>
          <w:szCs w:val="24"/>
        </w:rPr>
        <w:t xml:space="preserve">for her </w:t>
      </w:r>
      <w:r w:rsidRPr="00530EB8">
        <w:rPr>
          <w:rFonts w:asciiTheme="minorHAnsi" w:hAnsiTheme="minorHAnsi"/>
          <w:sz w:val="24"/>
          <w:szCs w:val="24"/>
        </w:rPr>
        <w:t xml:space="preserve">to provide evidence such as medical records, reports from mental health professionals, and documentation of expenses related to her care. By demonstrating the full extent of her condition and its consequences, </w:t>
      </w:r>
      <w:r w:rsidR="004E5C69" w:rsidRPr="004E5C69">
        <w:rPr>
          <w:rFonts w:asciiTheme="minorHAnsi" w:hAnsiTheme="minorHAnsi"/>
          <w:sz w:val="24"/>
          <w:szCs w:val="24"/>
        </w:rPr>
        <w:t>a claim could seek to account for both the tangible and intangible losses resulting from her clinical depression.</w:t>
      </w:r>
    </w:p>
    <w:p w14:paraId="27081F9D" w14:textId="25523DF3" w:rsidR="004D3DA3" w:rsidRPr="004D3DA3" w:rsidRDefault="004D3DA3" w:rsidP="004D3DA3">
      <w:pPr>
        <w:spacing w:after="160" w:line="278" w:lineRule="auto"/>
        <w:jc w:val="both"/>
        <w:rPr>
          <w:rFonts w:asciiTheme="minorHAnsi" w:hAnsiTheme="minorHAnsi"/>
          <w:sz w:val="24"/>
          <w:szCs w:val="24"/>
        </w:rPr>
      </w:pPr>
    </w:p>
    <w:p w14:paraId="7DB19350"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Conclusion</w:t>
      </w:r>
    </w:p>
    <w:p w14:paraId="3DE61C0B" w14:textId="77777777" w:rsidR="003E1A7C" w:rsidRPr="003E1A7C" w:rsidRDefault="003E1A7C" w:rsidP="003E1A7C">
      <w:pPr>
        <w:spacing w:after="160" w:line="278" w:lineRule="auto"/>
        <w:jc w:val="both"/>
        <w:rPr>
          <w:rFonts w:asciiTheme="minorHAnsi" w:hAnsiTheme="minorHAnsi"/>
          <w:sz w:val="24"/>
          <w:szCs w:val="24"/>
        </w:rPr>
      </w:pPr>
      <w:r w:rsidRPr="003E1A7C">
        <w:rPr>
          <w:rFonts w:asciiTheme="minorHAnsi" w:hAnsiTheme="minorHAnsi"/>
          <w:sz w:val="24"/>
          <w:szCs w:val="24"/>
        </w:rPr>
        <w:t xml:space="preserve">The incident at the "Time Stomp" festival underscores the necessity of stringent safety protocols and efficient crowd management. Implementing the recommended steps can help address the current situation and enhance the safety of future events. Engaging with legal experts and working closely with authorities will be essential in managing the legal aspects and ensuring the safety and well-being of all participants. assistant </w:t>
      </w:r>
      <w:proofErr w:type="gramStart"/>
      <w:r w:rsidRPr="003E1A7C">
        <w:rPr>
          <w:rFonts w:asciiTheme="minorHAnsi" w:hAnsiTheme="minorHAnsi"/>
          <w:sz w:val="24"/>
          <w:szCs w:val="24"/>
        </w:rPr>
        <w:t>The</w:t>
      </w:r>
      <w:proofErr w:type="gramEnd"/>
      <w:r w:rsidRPr="003E1A7C">
        <w:rPr>
          <w:rFonts w:asciiTheme="minorHAnsi" w:hAnsiTheme="minorHAnsi"/>
          <w:sz w:val="24"/>
          <w:szCs w:val="24"/>
        </w:rPr>
        <w:t xml:space="preserve"> incident at the "Time Stomp" festival underscores the necessity of stringent safety protocols and efficient crowd management. Implementing the recommended steps can help address the current situation and enhance the safety of future events. Engaging with legal experts and working closely with authorities will be essential in managing the legal aspects and ensuring the safety and well-being of all participants.</w:t>
      </w:r>
    </w:p>
    <w:p w14:paraId="3FCE9821" w14:textId="77777777" w:rsidR="003E1A7C" w:rsidRPr="003E1A7C" w:rsidRDefault="003E1A7C" w:rsidP="003E1A7C">
      <w:pPr>
        <w:spacing w:after="160" w:line="278" w:lineRule="auto"/>
        <w:jc w:val="both"/>
        <w:rPr>
          <w:rFonts w:asciiTheme="minorHAnsi" w:hAnsiTheme="minorHAnsi"/>
          <w:sz w:val="24"/>
          <w:szCs w:val="24"/>
        </w:rPr>
      </w:pPr>
      <w:r w:rsidRPr="003E1A7C">
        <w:rPr>
          <w:rFonts w:asciiTheme="minorHAnsi" w:hAnsiTheme="minorHAnsi"/>
          <w:sz w:val="24"/>
          <w:szCs w:val="24"/>
        </w:rPr>
        <w:t>To further improve safety, it is important to conduct thorough risk assessments before each event. This includes identifying potential hazards, evaluating the likelihood of their occurrence, and implementing measures to mitigate these risks. Regular training sessions for staff and security personnel on emergency procedures and crowd control techniques can also help prevent similar incidents in the future.</w:t>
      </w:r>
    </w:p>
    <w:p w14:paraId="73AF046D" w14:textId="77777777" w:rsidR="003E1A7C" w:rsidRDefault="003E1A7C" w:rsidP="003E1A7C">
      <w:pPr>
        <w:spacing w:after="160" w:line="278" w:lineRule="auto"/>
        <w:jc w:val="both"/>
        <w:rPr>
          <w:rFonts w:asciiTheme="minorHAnsi" w:hAnsiTheme="minorHAnsi"/>
          <w:sz w:val="24"/>
          <w:szCs w:val="24"/>
        </w:rPr>
      </w:pPr>
      <w:r w:rsidRPr="003E1A7C">
        <w:rPr>
          <w:rFonts w:asciiTheme="minorHAnsi" w:hAnsiTheme="minorHAnsi"/>
          <w:sz w:val="24"/>
          <w:szCs w:val="24"/>
        </w:rPr>
        <w:t>Additionally, clear communication with attendees about safety protocols and emergency procedures is crucial. Providing information on what to do in case of an emergency and ensuring that exits are clearly marked and accessible can help manage crowds more effectively and reduce panic during unforeseen events</w:t>
      </w:r>
    </w:p>
    <w:p w14:paraId="506B2AE1" w14:textId="3A58D6BA" w:rsidR="006C6BAD" w:rsidRDefault="006C6BAD">
      <w:pPr>
        <w:spacing w:after="160" w:line="278" w:lineRule="auto"/>
        <w:rPr>
          <w:rFonts w:asciiTheme="minorHAnsi" w:hAnsiTheme="minorHAnsi"/>
          <w:sz w:val="24"/>
          <w:szCs w:val="24"/>
        </w:rPr>
      </w:pPr>
      <w:r>
        <w:rPr>
          <w:rFonts w:asciiTheme="minorHAnsi" w:hAnsiTheme="minorHAnsi"/>
          <w:sz w:val="24"/>
          <w:szCs w:val="24"/>
        </w:rPr>
        <w:br w:type="page"/>
      </w:r>
    </w:p>
    <w:p w14:paraId="49089857" w14:textId="77777777" w:rsidR="00005314" w:rsidRDefault="00CA1EFF" w:rsidP="00CA1EFF">
      <w:pPr>
        <w:pStyle w:val="Heading2"/>
      </w:pPr>
      <w:bookmarkStart w:id="1" w:name="_Toc197026958"/>
      <w:r>
        <w:lastRenderedPageBreak/>
        <w:t>Assignment 1 - Question 2</w:t>
      </w:r>
      <w:bookmarkEnd w:id="1"/>
      <w:r>
        <w:t xml:space="preserve"> </w:t>
      </w:r>
    </w:p>
    <w:p w14:paraId="206BEB33" w14:textId="77777777" w:rsidR="00005314" w:rsidRDefault="00005314" w:rsidP="00005314"/>
    <w:p w14:paraId="700E4CC1" w14:textId="77777777" w:rsidR="00005314" w:rsidRDefault="00005314" w:rsidP="00005314"/>
    <w:p w14:paraId="1F6E7D86" w14:textId="77777777" w:rsidR="006D000D" w:rsidRDefault="006D000D" w:rsidP="006D000D">
      <w:pPr>
        <w:jc w:val="both"/>
        <w:rPr>
          <w:rFonts w:asciiTheme="minorHAnsi" w:hAnsiTheme="minorHAnsi"/>
          <w:sz w:val="24"/>
          <w:szCs w:val="24"/>
        </w:rPr>
      </w:pPr>
      <w:r w:rsidRPr="006D000D">
        <w:rPr>
          <w:rFonts w:asciiTheme="minorHAnsi" w:hAnsiTheme="minorHAnsi"/>
          <w:sz w:val="24"/>
          <w:szCs w:val="24"/>
        </w:rPr>
        <w:t>The tragic events at the "Time Stomp" festival clearly illustrate significant failings in event safety and organisation, particularly in the areas of crowd management and firework safety. These failings highlight the need for urgent reform to ensure the safety and well-being of attendees at large-scale events. Below is a detailed exploration of these two key issues and recommendations for change.</w:t>
      </w:r>
    </w:p>
    <w:p w14:paraId="2CC0FE96" w14:textId="77777777" w:rsidR="006D000D" w:rsidRPr="006D000D" w:rsidRDefault="006D000D" w:rsidP="006D000D">
      <w:pPr>
        <w:jc w:val="both"/>
        <w:rPr>
          <w:rFonts w:asciiTheme="minorHAnsi" w:hAnsiTheme="minorHAnsi"/>
          <w:sz w:val="24"/>
          <w:szCs w:val="24"/>
        </w:rPr>
      </w:pPr>
    </w:p>
    <w:p w14:paraId="6CD2356D" w14:textId="77777777" w:rsidR="006D000D" w:rsidRDefault="006D000D" w:rsidP="006D000D">
      <w:pPr>
        <w:jc w:val="both"/>
        <w:rPr>
          <w:rFonts w:asciiTheme="minorHAnsi" w:hAnsiTheme="minorHAnsi"/>
          <w:b/>
          <w:bCs/>
          <w:sz w:val="24"/>
          <w:szCs w:val="24"/>
        </w:rPr>
      </w:pPr>
      <w:r w:rsidRPr="006D000D">
        <w:rPr>
          <w:rFonts w:asciiTheme="minorHAnsi" w:hAnsiTheme="minorHAnsi"/>
          <w:b/>
          <w:bCs/>
          <w:sz w:val="24"/>
          <w:szCs w:val="24"/>
        </w:rPr>
        <w:t>1. Deficiency in Crowd Management Protocols</w:t>
      </w:r>
    </w:p>
    <w:p w14:paraId="096736B2" w14:textId="77777777" w:rsidR="00427F1D" w:rsidRPr="006D000D" w:rsidRDefault="00427F1D" w:rsidP="006D000D">
      <w:pPr>
        <w:jc w:val="both"/>
        <w:rPr>
          <w:rFonts w:asciiTheme="minorHAnsi" w:hAnsiTheme="minorHAnsi"/>
          <w:b/>
          <w:bCs/>
          <w:sz w:val="24"/>
          <w:szCs w:val="24"/>
        </w:rPr>
      </w:pPr>
    </w:p>
    <w:p w14:paraId="575875D5" w14:textId="77777777" w:rsidR="006D000D" w:rsidRDefault="006D000D" w:rsidP="006D000D">
      <w:pPr>
        <w:jc w:val="both"/>
        <w:rPr>
          <w:rFonts w:asciiTheme="minorHAnsi" w:hAnsiTheme="minorHAnsi"/>
          <w:sz w:val="24"/>
          <w:szCs w:val="24"/>
        </w:rPr>
      </w:pPr>
      <w:r w:rsidRPr="006D000D">
        <w:rPr>
          <w:rFonts w:asciiTheme="minorHAnsi" w:hAnsiTheme="minorHAnsi"/>
          <w:sz w:val="24"/>
          <w:szCs w:val="24"/>
        </w:rPr>
        <w:t>The stampede at the "Time Stomp" festival exposed serious deficiencies in the way crowds were managed during the event. Effective crowd management is a cornerstone of any safe public gathering, and when poorly executed, it poses significant risks to public safety. The panic triggered by the fireworks malfunction led to chaos among attendees, resulting in physical harm and long-term psychological trauma for many. Sarah’s severe injuries from being trampled, combined with the emotional and psychological damage suffered by others such as Jack, who now has post-traumatic stress disorder (PTSD), are clear evidence of the catastrophic consequences of poor crowd control.</w:t>
      </w:r>
    </w:p>
    <w:p w14:paraId="52ABCC22" w14:textId="77777777" w:rsidR="006D000D" w:rsidRPr="006D000D" w:rsidRDefault="006D000D" w:rsidP="006D000D">
      <w:pPr>
        <w:jc w:val="both"/>
        <w:rPr>
          <w:rFonts w:asciiTheme="minorHAnsi" w:hAnsiTheme="minorHAnsi"/>
          <w:sz w:val="24"/>
          <w:szCs w:val="24"/>
        </w:rPr>
      </w:pPr>
    </w:p>
    <w:p w14:paraId="397FF2D3" w14:textId="54A13B6C" w:rsidR="00B65C2D" w:rsidRDefault="00B223FA" w:rsidP="006D000D">
      <w:pPr>
        <w:jc w:val="both"/>
        <w:rPr>
          <w:rFonts w:asciiTheme="minorHAnsi" w:hAnsiTheme="minorHAnsi"/>
          <w:sz w:val="24"/>
          <w:szCs w:val="24"/>
        </w:rPr>
      </w:pPr>
      <w:r>
        <w:rPr>
          <w:rFonts w:asciiTheme="minorHAnsi" w:hAnsiTheme="minorHAnsi"/>
          <w:sz w:val="24"/>
          <w:szCs w:val="24"/>
        </w:rPr>
        <w:t>As stated by (</w:t>
      </w:r>
      <w:r w:rsidR="004578FB" w:rsidRPr="004578FB">
        <w:rPr>
          <w:rFonts w:asciiTheme="minorHAnsi" w:hAnsiTheme="minorHAnsi"/>
          <w:sz w:val="24"/>
          <w:szCs w:val="24"/>
        </w:rPr>
        <w:t>Feliciani, Shimura and Nishinari, 2022</w:t>
      </w:r>
      <w:r w:rsidR="004578FB">
        <w:rPr>
          <w:rFonts w:asciiTheme="minorHAnsi" w:hAnsiTheme="minorHAnsi"/>
          <w:sz w:val="24"/>
          <w:szCs w:val="24"/>
        </w:rPr>
        <w:t xml:space="preserve">) </w:t>
      </w:r>
      <w:r w:rsidR="007128D6">
        <w:rPr>
          <w:rFonts w:asciiTheme="minorHAnsi" w:hAnsiTheme="minorHAnsi"/>
          <w:sz w:val="24"/>
          <w:szCs w:val="24"/>
        </w:rPr>
        <w:t xml:space="preserve">“proactive security activities that bring safety and comfort to </w:t>
      </w:r>
      <w:r w:rsidR="00C7516C">
        <w:rPr>
          <w:rFonts w:asciiTheme="minorHAnsi" w:hAnsiTheme="minorHAnsi"/>
          <w:sz w:val="24"/>
          <w:szCs w:val="24"/>
        </w:rPr>
        <w:t>individuals</w:t>
      </w:r>
      <w:r w:rsidR="007128D6">
        <w:rPr>
          <w:rFonts w:asciiTheme="minorHAnsi" w:hAnsiTheme="minorHAnsi"/>
          <w:sz w:val="24"/>
          <w:szCs w:val="24"/>
        </w:rPr>
        <w:t xml:space="preserve"> </w:t>
      </w:r>
      <w:r w:rsidR="00C7516C">
        <w:rPr>
          <w:rFonts w:asciiTheme="minorHAnsi" w:hAnsiTheme="minorHAnsi"/>
          <w:sz w:val="24"/>
          <w:szCs w:val="24"/>
        </w:rPr>
        <w:t xml:space="preserve">by facilitating effective movement of crowds”. </w:t>
      </w:r>
      <w:r w:rsidR="006D000D" w:rsidRPr="006D000D">
        <w:rPr>
          <w:rFonts w:asciiTheme="minorHAnsi" w:hAnsiTheme="minorHAnsi"/>
          <w:sz w:val="24"/>
          <w:szCs w:val="24"/>
        </w:rPr>
        <w:t xml:space="preserve">Effective crowd management starts with comprehensive planning and proactive measures. A failure to implement measures such as controlled entry and exit points, strategically placed barriers to prevent overcrowding, and adequately trained security personnel can create dangerous conditions where incidents spiral out of control. </w:t>
      </w:r>
    </w:p>
    <w:p w14:paraId="014921A4" w14:textId="77777777" w:rsidR="00D0290F" w:rsidRDefault="00D0290F" w:rsidP="006D000D">
      <w:pPr>
        <w:jc w:val="both"/>
        <w:rPr>
          <w:rFonts w:asciiTheme="minorHAnsi" w:hAnsiTheme="minorHAnsi"/>
          <w:sz w:val="24"/>
          <w:szCs w:val="24"/>
        </w:rPr>
      </w:pPr>
    </w:p>
    <w:p w14:paraId="77AD411F" w14:textId="350A23EC" w:rsidR="006D000D" w:rsidRDefault="008E6092" w:rsidP="006D000D">
      <w:pPr>
        <w:jc w:val="both"/>
        <w:rPr>
          <w:rFonts w:asciiTheme="minorHAnsi" w:hAnsiTheme="minorHAnsi"/>
          <w:sz w:val="24"/>
          <w:szCs w:val="24"/>
        </w:rPr>
      </w:pPr>
      <w:r>
        <w:rPr>
          <w:rFonts w:asciiTheme="minorHAnsi" w:hAnsiTheme="minorHAnsi"/>
          <w:sz w:val="24"/>
          <w:szCs w:val="24"/>
        </w:rPr>
        <w:t>In their book (</w:t>
      </w:r>
      <w:r w:rsidR="00B65C2D" w:rsidRPr="00B65C2D">
        <w:rPr>
          <w:rFonts w:asciiTheme="minorHAnsi" w:hAnsiTheme="minorHAnsi"/>
          <w:sz w:val="24"/>
          <w:szCs w:val="24"/>
        </w:rPr>
        <w:t>O'Toole, 2019</w:t>
      </w:r>
      <w:r w:rsidR="00596B45">
        <w:rPr>
          <w:rFonts w:asciiTheme="minorHAnsi" w:hAnsiTheme="minorHAnsi"/>
          <w:sz w:val="24"/>
          <w:szCs w:val="24"/>
        </w:rPr>
        <w:t xml:space="preserve">) stated that “we take on crowns from the complexity theory. A crowd is </w:t>
      </w:r>
      <w:r w:rsidR="00D0290F">
        <w:rPr>
          <w:rFonts w:asciiTheme="minorHAnsi" w:hAnsiTheme="minorHAnsi"/>
          <w:sz w:val="24"/>
          <w:szCs w:val="24"/>
        </w:rPr>
        <w:t>complex</w:t>
      </w:r>
      <w:r w:rsidR="00596B45">
        <w:rPr>
          <w:rFonts w:asciiTheme="minorHAnsi" w:hAnsiTheme="minorHAnsi"/>
          <w:sz w:val="24"/>
          <w:szCs w:val="24"/>
        </w:rPr>
        <w:t xml:space="preserve"> as </w:t>
      </w:r>
      <w:proofErr w:type="gramStart"/>
      <w:r w:rsidR="00596B45">
        <w:rPr>
          <w:rFonts w:asciiTheme="minorHAnsi" w:hAnsiTheme="minorHAnsi"/>
          <w:sz w:val="24"/>
          <w:szCs w:val="24"/>
        </w:rPr>
        <w:t>each individual</w:t>
      </w:r>
      <w:proofErr w:type="gramEnd"/>
      <w:r w:rsidR="00596B45">
        <w:rPr>
          <w:rFonts w:asciiTheme="minorHAnsi" w:hAnsiTheme="minorHAnsi"/>
          <w:sz w:val="24"/>
          <w:szCs w:val="24"/>
        </w:rPr>
        <w:t xml:space="preserve"> is a free agent</w:t>
      </w:r>
      <w:r w:rsidR="00827286">
        <w:rPr>
          <w:rFonts w:asciiTheme="minorHAnsi" w:hAnsiTheme="minorHAnsi"/>
          <w:sz w:val="24"/>
          <w:szCs w:val="24"/>
        </w:rPr>
        <w:t xml:space="preserve">, and in a crowd, respond </w:t>
      </w:r>
      <w:r w:rsidR="00D0290F">
        <w:rPr>
          <w:rFonts w:asciiTheme="minorHAnsi" w:hAnsiTheme="minorHAnsi"/>
          <w:sz w:val="24"/>
          <w:szCs w:val="24"/>
        </w:rPr>
        <w:t>t</w:t>
      </w:r>
      <w:r w:rsidR="00827286">
        <w:rPr>
          <w:rFonts w:asciiTheme="minorHAnsi" w:hAnsiTheme="minorHAnsi"/>
          <w:sz w:val="24"/>
          <w:szCs w:val="24"/>
        </w:rPr>
        <w:t xml:space="preserve">o the people near them”. This means that if one person in a crowd </w:t>
      </w:r>
      <w:r w:rsidR="00D0290F">
        <w:rPr>
          <w:rFonts w:asciiTheme="minorHAnsi" w:hAnsiTheme="minorHAnsi"/>
          <w:sz w:val="24"/>
          <w:szCs w:val="24"/>
        </w:rPr>
        <w:t xml:space="preserve">starts to panic then </w:t>
      </w:r>
      <w:r w:rsidR="006D000D" w:rsidRPr="006D000D">
        <w:rPr>
          <w:rFonts w:asciiTheme="minorHAnsi" w:hAnsiTheme="minorHAnsi"/>
          <w:sz w:val="24"/>
          <w:szCs w:val="24"/>
        </w:rPr>
        <w:t>stampedes are often exacerbated by unclear or inadequate communication, as attendees may not know where to go or how to stay safe during an emergency. In this instance, the lack of clear announcements or guidance during the fireworks malfunction likely worsened the situation.</w:t>
      </w:r>
    </w:p>
    <w:p w14:paraId="0E1B29EF" w14:textId="77777777" w:rsidR="006D000D" w:rsidRPr="006D000D" w:rsidRDefault="006D000D" w:rsidP="006D000D">
      <w:pPr>
        <w:jc w:val="both"/>
        <w:rPr>
          <w:rFonts w:asciiTheme="minorHAnsi" w:hAnsiTheme="minorHAnsi"/>
          <w:sz w:val="24"/>
          <w:szCs w:val="24"/>
        </w:rPr>
      </w:pPr>
    </w:p>
    <w:p w14:paraId="4CA82CCF" w14:textId="77777777" w:rsidR="006D000D" w:rsidRDefault="006D000D" w:rsidP="006D000D">
      <w:pPr>
        <w:jc w:val="both"/>
        <w:rPr>
          <w:rFonts w:asciiTheme="minorHAnsi" w:hAnsiTheme="minorHAnsi"/>
          <w:sz w:val="24"/>
          <w:szCs w:val="24"/>
        </w:rPr>
      </w:pPr>
      <w:r w:rsidRPr="006D000D">
        <w:rPr>
          <w:rFonts w:asciiTheme="minorHAnsi" w:hAnsiTheme="minorHAnsi"/>
          <w:sz w:val="24"/>
          <w:szCs w:val="24"/>
        </w:rPr>
        <w:t>To address these concerns, there is a pressing need for stricter crowd management regulations at large-scale events. Event organisers should be required to conduct detailed risk assessments before the event begins. These assessments should identify potential hazards, evaluate their likelihood of occurrence, and implement measures to mitigate risks. Organisers can also use real-time crowd monitoring technologies, such as cameras with AI capabilities, to track crowd density and movements. These tools allow organisers to identify potential bottlenecks and intervene before a situation escalates into a crisis.</w:t>
      </w:r>
    </w:p>
    <w:p w14:paraId="68D12AA8" w14:textId="77777777" w:rsidR="006D000D" w:rsidRPr="006D000D" w:rsidRDefault="006D000D" w:rsidP="006D000D">
      <w:pPr>
        <w:jc w:val="both"/>
        <w:rPr>
          <w:rFonts w:asciiTheme="minorHAnsi" w:hAnsiTheme="minorHAnsi"/>
          <w:sz w:val="24"/>
          <w:szCs w:val="24"/>
        </w:rPr>
      </w:pPr>
    </w:p>
    <w:p w14:paraId="6ACBE66D" w14:textId="77777777" w:rsidR="006D000D" w:rsidRDefault="006D000D" w:rsidP="006D000D">
      <w:pPr>
        <w:jc w:val="both"/>
        <w:rPr>
          <w:rFonts w:asciiTheme="minorHAnsi" w:hAnsiTheme="minorHAnsi"/>
          <w:sz w:val="24"/>
          <w:szCs w:val="24"/>
        </w:rPr>
      </w:pPr>
      <w:r w:rsidRPr="006D000D">
        <w:rPr>
          <w:rFonts w:asciiTheme="minorHAnsi" w:hAnsiTheme="minorHAnsi"/>
          <w:sz w:val="24"/>
          <w:szCs w:val="24"/>
        </w:rPr>
        <w:t xml:space="preserve">Another critical reform is ensuring the training of all staff and security personnel. Regular training sessions should focus on emergency procedures, including guiding attendees to </w:t>
      </w:r>
      <w:r w:rsidRPr="006D000D">
        <w:rPr>
          <w:rFonts w:asciiTheme="minorHAnsi" w:hAnsiTheme="minorHAnsi"/>
          <w:sz w:val="24"/>
          <w:szCs w:val="24"/>
        </w:rPr>
        <w:lastRenderedPageBreak/>
        <w:t>safety during unexpected events. Furthermore, staff must be trained to manage crowd flow effectively and reduce panic, which is especially vital during evacuation scenarios. Establishing clearly designated safe zones within the venue, where people can gather away from the main event areas, is another step that could help during emergencies.</w:t>
      </w:r>
    </w:p>
    <w:p w14:paraId="601C2067" w14:textId="77777777" w:rsidR="008E6092" w:rsidRPr="006D000D" w:rsidRDefault="008E6092" w:rsidP="006D000D">
      <w:pPr>
        <w:jc w:val="both"/>
        <w:rPr>
          <w:rFonts w:asciiTheme="minorHAnsi" w:hAnsiTheme="minorHAnsi"/>
          <w:sz w:val="24"/>
          <w:szCs w:val="24"/>
        </w:rPr>
      </w:pPr>
    </w:p>
    <w:p w14:paraId="2B53CCA6" w14:textId="77777777" w:rsidR="006D000D" w:rsidRDefault="006D000D" w:rsidP="006D000D">
      <w:pPr>
        <w:jc w:val="both"/>
        <w:rPr>
          <w:rFonts w:asciiTheme="minorHAnsi" w:hAnsiTheme="minorHAnsi"/>
          <w:sz w:val="24"/>
          <w:szCs w:val="24"/>
        </w:rPr>
      </w:pPr>
      <w:r w:rsidRPr="006D000D">
        <w:rPr>
          <w:rFonts w:asciiTheme="minorHAnsi" w:hAnsiTheme="minorHAnsi"/>
          <w:sz w:val="24"/>
          <w:szCs w:val="24"/>
        </w:rPr>
        <w:t>Communication with attendees must also be prioritised. Providing attendees with clear instructions on safety measures and emergency protocols before and during the event can help reduce confusion and panic. For instance, announcements about emergency exits, the location of first aid stations, and what to do during a crisis should be made regularly. The placement of clear and accessible signage around the event venue can further assist attendees in navigating the space and reaching safety in case of an emergency.</w:t>
      </w:r>
    </w:p>
    <w:p w14:paraId="13A6CA88" w14:textId="77777777" w:rsidR="00831EFF" w:rsidRPr="006D000D" w:rsidRDefault="00831EFF" w:rsidP="006D000D">
      <w:pPr>
        <w:jc w:val="both"/>
        <w:rPr>
          <w:rFonts w:asciiTheme="minorHAnsi" w:hAnsiTheme="minorHAnsi"/>
          <w:sz w:val="24"/>
          <w:szCs w:val="24"/>
        </w:rPr>
      </w:pPr>
    </w:p>
    <w:p w14:paraId="48DEC941" w14:textId="77777777" w:rsidR="006D000D" w:rsidRDefault="006D000D" w:rsidP="006D000D">
      <w:pPr>
        <w:jc w:val="both"/>
        <w:rPr>
          <w:rFonts w:asciiTheme="minorHAnsi" w:hAnsiTheme="minorHAnsi"/>
          <w:sz w:val="24"/>
          <w:szCs w:val="24"/>
        </w:rPr>
      </w:pPr>
      <w:r w:rsidRPr="006D000D">
        <w:rPr>
          <w:rFonts w:asciiTheme="minorHAnsi" w:hAnsiTheme="minorHAnsi"/>
          <w:sz w:val="24"/>
          <w:szCs w:val="24"/>
        </w:rPr>
        <w:t>Additionally, legal frameworks should mandate that organisers establish emergency evacuation routes, which are not only clearly communicated but also regularly tested to ensure they are functional during high-pressure situations. For example, drills or simulations could help staff and emergency services understand and address potential logistical issues ahead of time. Enforcing such reforms would significantly reduce the likelihood of uncontrolled stampedes, ensuring attendee safety and preventing tragic outcomes like those witnessed at the "Time Stomp" festival.</w:t>
      </w:r>
    </w:p>
    <w:p w14:paraId="271C03F2" w14:textId="77777777" w:rsidR="00831EFF" w:rsidRPr="006D000D" w:rsidRDefault="00831EFF" w:rsidP="006D000D">
      <w:pPr>
        <w:jc w:val="both"/>
        <w:rPr>
          <w:rFonts w:asciiTheme="minorHAnsi" w:hAnsiTheme="minorHAnsi"/>
          <w:sz w:val="24"/>
          <w:szCs w:val="24"/>
        </w:rPr>
      </w:pPr>
    </w:p>
    <w:p w14:paraId="25DBB15C" w14:textId="77777777" w:rsidR="006D000D" w:rsidRDefault="006D000D" w:rsidP="006D000D">
      <w:pPr>
        <w:jc w:val="both"/>
        <w:rPr>
          <w:rFonts w:asciiTheme="minorHAnsi" w:hAnsiTheme="minorHAnsi"/>
          <w:b/>
          <w:bCs/>
          <w:sz w:val="24"/>
          <w:szCs w:val="24"/>
        </w:rPr>
      </w:pPr>
      <w:r w:rsidRPr="006D000D">
        <w:rPr>
          <w:rFonts w:asciiTheme="minorHAnsi" w:hAnsiTheme="minorHAnsi"/>
          <w:b/>
          <w:bCs/>
          <w:sz w:val="24"/>
          <w:szCs w:val="24"/>
        </w:rPr>
        <w:t>2. Firework Safety and Supplier Accountability</w:t>
      </w:r>
    </w:p>
    <w:p w14:paraId="6581F8ED" w14:textId="77777777" w:rsidR="00831EFF" w:rsidRPr="006D000D" w:rsidRDefault="00831EFF" w:rsidP="006D000D">
      <w:pPr>
        <w:jc w:val="both"/>
        <w:rPr>
          <w:rFonts w:asciiTheme="minorHAnsi" w:hAnsiTheme="minorHAnsi"/>
          <w:b/>
          <w:bCs/>
          <w:sz w:val="24"/>
          <w:szCs w:val="24"/>
        </w:rPr>
      </w:pPr>
    </w:p>
    <w:p w14:paraId="782FDBBA" w14:textId="77777777" w:rsidR="006D000D" w:rsidRDefault="006D000D" w:rsidP="006D000D">
      <w:pPr>
        <w:jc w:val="both"/>
        <w:rPr>
          <w:rFonts w:asciiTheme="minorHAnsi" w:hAnsiTheme="minorHAnsi"/>
          <w:sz w:val="24"/>
          <w:szCs w:val="24"/>
        </w:rPr>
      </w:pPr>
      <w:r w:rsidRPr="006D000D">
        <w:rPr>
          <w:rFonts w:asciiTheme="minorHAnsi" w:hAnsiTheme="minorHAnsi"/>
          <w:sz w:val="24"/>
          <w:szCs w:val="24"/>
        </w:rPr>
        <w:t>The malfunctioning fireworks at the festival were the direct trigger for the panic that led to the stampede, underlining the critical importance of rigorous safety checks for all equipment used at public events. When fireworks malfunctioned and began shooting into the crowd, it became evident that essential safety protocols and vetting processes for suppliers had been overlooked or inadequately enforced. Sarah’s injuries, including the burn on her face from a stray firework and the subsequent events that led to the amputation of her left arm and paralysis from the waist down, highlight the devastating consequences of such negligence.</w:t>
      </w:r>
    </w:p>
    <w:p w14:paraId="395F7E97" w14:textId="77777777" w:rsidR="00077C88" w:rsidRPr="006D000D" w:rsidRDefault="00077C88" w:rsidP="006D000D">
      <w:pPr>
        <w:jc w:val="both"/>
        <w:rPr>
          <w:rFonts w:asciiTheme="minorHAnsi" w:hAnsiTheme="minorHAnsi"/>
          <w:sz w:val="24"/>
          <w:szCs w:val="24"/>
        </w:rPr>
      </w:pPr>
    </w:p>
    <w:p w14:paraId="5F0D6F72" w14:textId="77777777" w:rsidR="006D000D" w:rsidRDefault="006D000D" w:rsidP="006D000D">
      <w:pPr>
        <w:jc w:val="both"/>
        <w:rPr>
          <w:rFonts w:asciiTheme="minorHAnsi" w:hAnsiTheme="minorHAnsi"/>
          <w:sz w:val="24"/>
          <w:szCs w:val="24"/>
        </w:rPr>
      </w:pPr>
      <w:r w:rsidRPr="006D000D">
        <w:rPr>
          <w:rFonts w:asciiTheme="minorHAnsi" w:hAnsiTheme="minorHAnsi"/>
          <w:sz w:val="24"/>
          <w:szCs w:val="24"/>
        </w:rPr>
        <w:t>Ensuring the safety of equipment, including fireworks, begins with holding manufacturers and suppliers accountable for the quality of their products. One of the main failings in this case appears to be the lack of thorough inspections and quality assurance measures for the fireworks used at the event. Event organisers must prioritise working with reputable suppliers who can provide guarantees of compliance with established safety standards. By demanding warranties and certifications for equipment, organisers can ensure that only high-quality and rigorously tested products are used.</w:t>
      </w:r>
    </w:p>
    <w:p w14:paraId="465AFE8A" w14:textId="77777777" w:rsidR="00077C88" w:rsidRPr="006D000D" w:rsidRDefault="00077C88" w:rsidP="006D000D">
      <w:pPr>
        <w:jc w:val="both"/>
        <w:rPr>
          <w:rFonts w:asciiTheme="minorHAnsi" w:hAnsiTheme="minorHAnsi"/>
          <w:sz w:val="24"/>
          <w:szCs w:val="24"/>
        </w:rPr>
      </w:pPr>
    </w:p>
    <w:p w14:paraId="21795271" w14:textId="588616E1" w:rsidR="006D000D" w:rsidRDefault="006D000D" w:rsidP="006D000D">
      <w:pPr>
        <w:jc w:val="both"/>
        <w:rPr>
          <w:rFonts w:asciiTheme="minorHAnsi" w:hAnsiTheme="minorHAnsi"/>
          <w:sz w:val="24"/>
          <w:szCs w:val="24"/>
        </w:rPr>
      </w:pPr>
      <w:r w:rsidRPr="006D000D">
        <w:rPr>
          <w:rFonts w:asciiTheme="minorHAnsi" w:hAnsiTheme="minorHAnsi"/>
          <w:sz w:val="24"/>
          <w:szCs w:val="24"/>
        </w:rPr>
        <w:t>Additionally, reforms should include stricter regulations for manufacturers and suppliers of fireworks to meet safety certifications. Introducing a mandatory pre-event inspection process is also critical. This would involve testing all fireworks in controlled conditions prior to their use at the event to identify potential defects or issues. By conducting these tests well in advance, organisers can address any safety concerns without disrupting the event.</w:t>
      </w:r>
      <w:r w:rsidR="00E614DF">
        <w:rPr>
          <w:rFonts w:asciiTheme="minorHAnsi" w:hAnsiTheme="minorHAnsi"/>
          <w:sz w:val="24"/>
          <w:szCs w:val="24"/>
        </w:rPr>
        <w:t xml:space="preserve"> </w:t>
      </w:r>
    </w:p>
    <w:p w14:paraId="5BDD8C96" w14:textId="77777777" w:rsidR="00077C88" w:rsidRPr="006D000D" w:rsidRDefault="00077C88" w:rsidP="006D000D">
      <w:pPr>
        <w:jc w:val="both"/>
        <w:rPr>
          <w:rFonts w:asciiTheme="minorHAnsi" w:hAnsiTheme="minorHAnsi"/>
          <w:sz w:val="24"/>
          <w:szCs w:val="24"/>
        </w:rPr>
      </w:pPr>
    </w:p>
    <w:p w14:paraId="465C6D5A" w14:textId="77777777" w:rsidR="006D000D" w:rsidRDefault="006D000D" w:rsidP="006D000D">
      <w:pPr>
        <w:jc w:val="both"/>
        <w:rPr>
          <w:rFonts w:asciiTheme="minorHAnsi" w:hAnsiTheme="minorHAnsi"/>
          <w:sz w:val="24"/>
          <w:szCs w:val="24"/>
        </w:rPr>
      </w:pPr>
      <w:r w:rsidRPr="006D000D">
        <w:rPr>
          <w:rFonts w:asciiTheme="minorHAnsi" w:hAnsiTheme="minorHAnsi"/>
          <w:sz w:val="24"/>
          <w:szCs w:val="24"/>
        </w:rPr>
        <w:t>Accountability is another key area where improvements are needed. Establishing clearer liability laws that explicitly hold manufacturers and suppliers accountable for defective products can act as a powerful deterrent, encouraging stricter quality control measures. In cases where defective fireworks result in injuries or damages, such laws would ensure that manufacturers and suppliers are held responsible for their failures, rather than placing the entire burden on event organisers.</w:t>
      </w:r>
    </w:p>
    <w:p w14:paraId="082B40E7" w14:textId="77777777" w:rsidR="00672DB6" w:rsidRPr="006D000D" w:rsidRDefault="00672DB6" w:rsidP="006D000D">
      <w:pPr>
        <w:jc w:val="both"/>
        <w:rPr>
          <w:rFonts w:asciiTheme="minorHAnsi" w:hAnsiTheme="minorHAnsi"/>
          <w:sz w:val="24"/>
          <w:szCs w:val="24"/>
        </w:rPr>
      </w:pPr>
    </w:p>
    <w:p w14:paraId="62DBE74A" w14:textId="77777777" w:rsidR="006D000D" w:rsidRDefault="006D000D" w:rsidP="006D000D">
      <w:pPr>
        <w:jc w:val="both"/>
        <w:rPr>
          <w:rFonts w:asciiTheme="minorHAnsi" w:hAnsiTheme="minorHAnsi"/>
          <w:sz w:val="24"/>
          <w:szCs w:val="24"/>
        </w:rPr>
      </w:pPr>
      <w:r w:rsidRPr="006D000D">
        <w:rPr>
          <w:rFonts w:asciiTheme="minorHAnsi" w:hAnsiTheme="minorHAnsi"/>
          <w:sz w:val="24"/>
          <w:szCs w:val="24"/>
        </w:rPr>
        <w:t>In addition to tighter regulations for suppliers, event organisers themselves must take proactive steps to enhance safety. This includes implementing robust protocols for fireworks displays, such as setting up protective barriers to prevent fireworks from reaching the crowd in the event of a malfunction. Ensuring that the fireworks are operated by certified and experienced professionals is equally important. Competent pyrotechnicians can better manage potential risks and respond effectively to technical issues during the display.</w:t>
      </w:r>
    </w:p>
    <w:p w14:paraId="1ADAD21B" w14:textId="77777777" w:rsidR="00672DB6" w:rsidRPr="006D000D" w:rsidRDefault="00672DB6" w:rsidP="006D000D">
      <w:pPr>
        <w:jc w:val="both"/>
        <w:rPr>
          <w:rFonts w:asciiTheme="minorHAnsi" w:hAnsiTheme="minorHAnsi"/>
          <w:sz w:val="24"/>
          <w:szCs w:val="24"/>
        </w:rPr>
      </w:pPr>
    </w:p>
    <w:p w14:paraId="2944FAAB" w14:textId="6A500991" w:rsidR="006D000D" w:rsidRDefault="006D000D" w:rsidP="006D000D">
      <w:pPr>
        <w:jc w:val="both"/>
        <w:rPr>
          <w:rFonts w:asciiTheme="minorHAnsi" w:hAnsiTheme="minorHAnsi"/>
          <w:sz w:val="24"/>
          <w:szCs w:val="24"/>
        </w:rPr>
      </w:pPr>
      <w:r w:rsidRPr="006D000D">
        <w:rPr>
          <w:rFonts w:asciiTheme="minorHAnsi" w:hAnsiTheme="minorHAnsi"/>
          <w:sz w:val="24"/>
          <w:szCs w:val="24"/>
        </w:rPr>
        <w:t>Moreover, regulatory bodies should consider imposing stricter penalties for non-compliance with safety standards. These penalties would not only serve as a deterrent but also reinforce the importance of prioritising safety during large-scale public events. The establishment of an independent oversight authority to supervise and enforce equipment safety at such events could further enhance accountability. This authority could be tasked with conducting random inspections, certifying equipment, and ensuring compliance with safety regulations</w:t>
      </w:r>
      <w:r w:rsidR="00AA3786">
        <w:rPr>
          <w:rFonts w:asciiTheme="minorHAnsi" w:hAnsiTheme="minorHAnsi"/>
          <w:sz w:val="24"/>
          <w:szCs w:val="24"/>
        </w:rPr>
        <w:t xml:space="preserve"> in accordance with </w:t>
      </w:r>
      <w:r w:rsidR="00AA3786" w:rsidRPr="00E614DF">
        <w:rPr>
          <w:rFonts w:asciiTheme="minorHAnsi" w:hAnsiTheme="minorHAnsi"/>
          <w:sz w:val="24"/>
          <w:szCs w:val="24"/>
        </w:rPr>
        <w:t>The Fireworks Regulations 2004</w:t>
      </w:r>
      <w:r w:rsidR="00AA3786">
        <w:rPr>
          <w:rFonts w:asciiTheme="minorHAnsi" w:hAnsiTheme="minorHAnsi"/>
          <w:sz w:val="24"/>
          <w:szCs w:val="24"/>
        </w:rPr>
        <w:t>.</w:t>
      </w:r>
    </w:p>
    <w:p w14:paraId="3F2BF280" w14:textId="77777777" w:rsidR="00672DB6" w:rsidRPr="006D000D" w:rsidRDefault="00672DB6" w:rsidP="006D000D">
      <w:pPr>
        <w:jc w:val="both"/>
        <w:rPr>
          <w:rFonts w:asciiTheme="minorHAnsi" w:hAnsiTheme="minorHAnsi"/>
          <w:sz w:val="24"/>
          <w:szCs w:val="24"/>
        </w:rPr>
      </w:pPr>
    </w:p>
    <w:p w14:paraId="56514477" w14:textId="77777777" w:rsidR="006D000D" w:rsidRDefault="006D000D" w:rsidP="006D000D">
      <w:pPr>
        <w:jc w:val="both"/>
        <w:rPr>
          <w:rFonts w:asciiTheme="minorHAnsi" w:hAnsiTheme="minorHAnsi"/>
          <w:sz w:val="24"/>
          <w:szCs w:val="24"/>
        </w:rPr>
      </w:pPr>
      <w:r w:rsidRPr="006D000D">
        <w:rPr>
          <w:rFonts w:asciiTheme="minorHAnsi" w:hAnsiTheme="minorHAnsi"/>
          <w:sz w:val="24"/>
          <w:szCs w:val="24"/>
        </w:rPr>
        <w:t>The events at the "Time Stomp" festival also highlight the need for ongoing education and awareness campaigns for both organisers and attendees. Organisers should be educated on the importance of safety protocols, while attendees should be informed of safety measures and how to respond in emergencies. Public awareness campaigns could help attendees better understand the risks associated with large events and encourage them to follow safety guidelines.</w:t>
      </w:r>
    </w:p>
    <w:p w14:paraId="4EF29278" w14:textId="77777777" w:rsidR="00672DB6" w:rsidRPr="006D000D" w:rsidRDefault="00672DB6" w:rsidP="006D000D">
      <w:pPr>
        <w:jc w:val="both"/>
        <w:rPr>
          <w:rFonts w:asciiTheme="minorHAnsi" w:hAnsiTheme="minorHAnsi"/>
          <w:sz w:val="24"/>
          <w:szCs w:val="24"/>
        </w:rPr>
      </w:pPr>
    </w:p>
    <w:p w14:paraId="0ABA32EE" w14:textId="0684CA66" w:rsidR="00945FDC" w:rsidRPr="00960A2A" w:rsidRDefault="00960A2A" w:rsidP="006D000D">
      <w:pPr>
        <w:jc w:val="both"/>
        <w:rPr>
          <w:rFonts w:asciiTheme="minorHAnsi" w:hAnsiTheme="minorHAnsi"/>
          <w:b/>
          <w:bCs/>
          <w:sz w:val="24"/>
          <w:szCs w:val="24"/>
        </w:rPr>
      </w:pPr>
      <w:r w:rsidRPr="00960A2A">
        <w:rPr>
          <w:rFonts w:asciiTheme="minorHAnsi" w:hAnsiTheme="minorHAnsi"/>
          <w:b/>
          <w:bCs/>
          <w:sz w:val="24"/>
          <w:szCs w:val="24"/>
        </w:rPr>
        <w:t xml:space="preserve">Advice to Bob in relation to his own personal claim </w:t>
      </w:r>
    </w:p>
    <w:p w14:paraId="62ABEA31" w14:textId="77777777" w:rsidR="00960A2A" w:rsidRPr="006D000D" w:rsidRDefault="00960A2A" w:rsidP="006D000D">
      <w:pPr>
        <w:jc w:val="both"/>
        <w:rPr>
          <w:rFonts w:asciiTheme="minorHAnsi" w:hAnsiTheme="minorHAnsi"/>
          <w:sz w:val="24"/>
          <w:szCs w:val="24"/>
        </w:rPr>
      </w:pPr>
    </w:p>
    <w:p w14:paraId="703538BC" w14:textId="77777777" w:rsidR="00960A2A" w:rsidRDefault="00960A2A" w:rsidP="00960A2A">
      <w:pPr>
        <w:jc w:val="both"/>
        <w:rPr>
          <w:rFonts w:asciiTheme="minorHAnsi" w:hAnsiTheme="minorHAnsi"/>
          <w:sz w:val="24"/>
          <w:szCs w:val="24"/>
        </w:rPr>
      </w:pPr>
      <w:r w:rsidRPr="00960A2A">
        <w:rPr>
          <w:rFonts w:asciiTheme="minorHAnsi" w:hAnsiTheme="minorHAnsi"/>
          <w:sz w:val="24"/>
          <w:szCs w:val="24"/>
        </w:rPr>
        <w:t>Although Bob was the organiser of the festival, he may still pursue a claim by focusing on the psychological toll stemming from his role as a rescuer or a direct witness to the traumatic events. Courts have, in certain cases, acknowledged that individuals who experience significant emotional distress while aiding others during emergencies may be entitled to compensation for psychiatric injuries. However, this argument presents challenges in Bob's situation, as his primary responsibility was to ensure the overall safety of the event, which could complicate the assertion of a claim.</w:t>
      </w:r>
    </w:p>
    <w:p w14:paraId="08D66733" w14:textId="77777777" w:rsidR="00960A2A" w:rsidRPr="00960A2A" w:rsidRDefault="00960A2A" w:rsidP="00960A2A">
      <w:pPr>
        <w:jc w:val="both"/>
        <w:rPr>
          <w:rFonts w:asciiTheme="minorHAnsi" w:hAnsiTheme="minorHAnsi"/>
          <w:sz w:val="24"/>
          <w:szCs w:val="24"/>
        </w:rPr>
      </w:pPr>
    </w:p>
    <w:p w14:paraId="44CE76DD" w14:textId="77777777" w:rsidR="00960A2A" w:rsidRDefault="00960A2A" w:rsidP="00960A2A">
      <w:pPr>
        <w:jc w:val="both"/>
        <w:rPr>
          <w:rFonts w:asciiTheme="minorHAnsi" w:hAnsiTheme="minorHAnsi"/>
          <w:sz w:val="24"/>
          <w:szCs w:val="24"/>
        </w:rPr>
      </w:pPr>
      <w:r w:rsidRPr="00960A2A">
        <w:rPr>
          <w:rFonts w:asciiTheme="minorHAnsi" w:hAnsiTheme="minorHAnsi"/>
          <w:sz w:val="24"/>
          <w:szCs w:val="24"/>
        </w:rPr>
        <w:t>Additionally, Bob’s case may invoke the principles of the Eggshell Skull Rule, a legal doctrine which asserts that a party at fault is liable for the full extent of harm suffered by a claimant, even if pre-existing vulnerabilities contribute to the severity of the injuries. If Bob had a predisposition to mental health issues, such as anxiety or depression, and the festival's distressing circumstances—such as managing chaos and witnessing injuries—</w:t>
      </w:r>
      <w:r w:rsidRPr="00960A2A">
        <w:rPr>
          <w:rFonts w:asciiTheme="minorHAnsi" w:hAnsiTheme="minorHAnsi"/>
          <w:sz w:val="24"/>
          <w:szCs w:val="24"/>
        </w:rPr>
        <w:lastRenderedPageBreak/>
        <w:t>exacerbated these conditions, liability may still be attributed to the responsible party. This principle would ensure that Bob’s psychological harm is considered in its entirety, regardless of any prior fragility, provided he can establish that his injuries were directly caused or worsened by the events at the festival.</w:t>
      </w:r>
    </w:p>
    <w:p w14:paraId="254B3FF1" w14:textId="77777777" w:rsidR="00960A2A" w:rsidRDefault="00960A2A" w:rsidP="00960A2A">
      <w:pPr>
        <w:jc w:val="both"/>
        <w:rPr>
          <w:rFonts w:asciiTheme="minorHAnsi" w:hAnsiTheme="minorHAnsi"/>
          <w:sz w:val="24"/>
          <w:szCs w:val="24"/>
        </w:rPr>
      </w:pPr>
    </w:p>
    <w:p w14:paraId="0E05902A" w14:textId="77777777" w:rsidR="00960A2A" w:rsidRDefault="00960A2A" w:rsidP="00960A2A">
      <w:pPr>
        <w:jc w:val="both"/>
        <w:rPr>
          <w:rFonts w:asciiTheme="minorHAnsi" w:hAnsiTheme="minorHAnsi"/>
          <w:sz w:val="24"/>
          <w:szCs w:val="24"/>
        </w:rPr>
      </w:pPr>
      <w:r w:rsidRPr="00960A2A">
        <w:rPr>
          <w:rFonts w:asciiTheme="minorHAnsi" w:hAnsiTheme="minorHAnsi"/>
          <w:sz w:val="24"/>
          <w:szCs w:val="24"/>
        </w:rPr>
        <w:t>In his role as the organiser, Bob bore the legal duty of care to ensure the safety and well-being of attendees, staff, and himself during the event. This responsibility places him in a position where he could be viewed as partly or wholly accountable for the shortcomings that contributed to the incident. Consequently, it might be challenging for Bob to pursue compensation, as his own role in the situation could be interpreted as negligence.</w:t>
      </w:r>
    </w:p>
    <w:p w14:paraId="125DEBD5" w14:textId="77777777" w:rsidR="00960A2A" w:rsidRPr="00960A2A" w:rsidRDefault="00960A2A" w:rsidP="00960A2A">
      <w:pPr>
        <w:jc w:val="both"/>
        <w:rPr>
          <w:rFonts w:asciiTheme="minorHAnsi" w:hAnsiTheme="minorHAnsi"/>
          <w:sz w:val="24"/>
          <w:szCs w:val="24"/>
        </w:rPr>
      </w:pPr>
    </w:p>
    <w:p w14:paraId="06784AC4" w14:textId="77777777" w:rsidR="00960A2A" w:rsidRPr="00960A2A" w:rsidRDefault="00960A2A" w:rsidP="00960A2A">
      <w:pPr>
        <w:jc w:val="both"/>
        <w:rPr>
          <w:rFonts w:asciiTheme="minorHAnsi" w:hAnsiTheme="minorHAnsi"/>
          <w:sz w:val="24"/>
          <w:szCs w:val="24"/>
        </w:rPr>
      </w:pPr>
      <w:r w:rsidRPr="00960A2A">
        <w:rPr>
          <w:rFonts w:asciiTheme="minorHAnsi" w:hAnsiTheme="minorHAnsi"/>
          <w:sz w:val="24"/>
          <w:szCs w:val="24"/>
        </w:rPr>
        <w:t>However, there are certain scenarios in which Bob may be able to claim compensation, contingent upon specific circumstances:</w:t>
      </w:r>
    </w:p>
    <w:p w14:paraId="12A373FE" w14:textId="77777777" w:rsidR="00960A2A" w:rsidRDefault="00960A2A" w:rsidP="00960A2A">
      <w:pPr>
        <w:jc w:val="both"/>
        <w:rPr>
          <w:rFonts w:asciiTheme="minorHAnsi" w:hAnsiTheme="minorHAnsi"/>
          <w:sz w:val="24"/>
          <w:szCs w:val="24"/>
        </w:rPr>
      </w:pPr>
    </w:p>
    <w:p w14:paraId="0AD1644E" w14:textId="77777777" w:rsidR="00960A2A" w:rsidRDefault="00960A2A" w:rsidP="00960A2A">
      <w:pPr>
        <w:jc w:val="both"/>
        <w:rPr>
          <w:rFonts w:asciiTheme="minorHAnsi" w:hAnsiTheme="minorHAnsi"/>
          <w:sz w:val="24"/>
          <w:szCs w:val="24"/>
        </w:rPr>
      </w:pPr>
    </w:p>
    <w:p w14:paraId="7C28A3C7" w14:textId="77777777" w:rsidR="00960A2A" w:rsidRDefault="00960A2A" w:rsidP="00960A2A">
      <w:pPr>
        <w:pStyle w:val="ListParagraph"/>
        <w:numPr>
          <w:ilvl w:val="0"/>
          <w:numId w:val="24"/>
        </w:numPr>
        <w:jc w:val="both"/>
        <w:rPr>
          <w:rFonts w:asciiTheme="minorHAnsi" w:hAnsiTheme="minorHAnsi"/>
          <w:sz w:val="24"/>
          <w:szCs w:val="24"/>
        </w:rPr>
      </w:pPr>
      <w:r w:rsidRPr="00960A2A">
        <w:rPr>
          <w:rFonts w:asciiTheme="minorHAnsi" w:hAnsiTheme="minorHAnsi"/>
          <w:b/>
          <w:bCs/>
          <w:sz w:val="24"/>
          <w:szCs w:val="24"/>
        </w:rPr>
        <w:t>Distinction Between Personal and Organisational Liability</w:t>
      </w:r>
      <w:r w:rsidRPr="00960A2A">
        <w:rPr>
          <w:rFonts w:asciiTheme="minorHAnsi" w:hAnsiTheme="minorHAnsi"/>
          <w:sz w:val="24"/>
          <w:szCs w:val="24"/>
        </w:rPr>
        <w:t xml:space="preserve"> </w:t>
      </w:r>
    </w:p>
    <w:p w14:paraId="5A158174" w14:textId="246CC75B" w:rsidR="00960A2A" w:rsidRPr="00960A2A" w:rsidRDefault="00960A2A" w:rsidP="00960A2A">
      <w:pPr>
        <w:pStyle w:val="ListParagraph"/>
        <w:jc w:val="both"/>
        <w:rPr>
          <w:rFonts w:asciiTheme="minorHAnsi" w:hAnsiTheme="minorHAnsi"/>
          <w:sz w:val="24"/>
          <w:szCs w:val="24"/>
        </w:rPr>
      </w:pPr>
      <w:r w:rsidRPr="00960A2A">
        <w:rPr>
          <w:rFonts w:asciiTheme="minorHAnsi" w:hAnsiTheme="minorHAnsi"/>
          <w:sz w:val="24"/>
          <w:szCs w:val="24"/>
        </w:rPr>
        <w:t>Bob may be able to argue that the injuries and psychological harm he suffered resulted from factors outside of his direct control as the organiser. For instance, if the fireworks malfunction was caused by an external contractor or supplier, and Bob had reasonably relied on their expertise while taking due precautions, the liability may shift to the supplier or contractor. If he can demonstrate negligence on their part, such as providing defective equipment or failing to meet safety standards, Bob could potentially pursue a claim against them as a third party.</w:t>
      </w:r>
    </w:p>
    <w:p w14:paraId="1DB7B805" w14:textId="77777777" w:rsidR="00960A2A" w:rsidRPr="00960A2A" w:rsidRDefault="00960A2A" w:rsidP="00960A2A">
      <w:pPr>
        <w:jc w:val="both"/>
        <w:rPr>
          <w:rFonts w:asciiTheme="minorHAnsi" w:hAnsiTheme="minorHAnsi"/>
          <w:sz w:val="24"/>
          <w:szCs w:val="24"/>
        </w:rPr>
      </w:pPr>
    </w:p>
    <w:p w14:paraId="6F74EF28" w14:textId="77777777" w:rsidR="00960A2A" w:rsidRDefault="00960A2A" w:rsidP="00960A2A">
      <w:pPr>
        <w:pStyle w:val="ListParagraph"/>
        <w:numPr>
          <w:ilvl w:val="0"/>
          <w:numId w:val="24"/>
        </w:numPr>
        <w:jc w:val="both"/>
        <w:rPr>
          <w:rFonts w:asciiTheme="minorHAnsi" w:hAnsiTheme="minorHAnsi"/>
          <w:sz w:val="24"/>
          <w:szCs w:val="24"/>
        </w:rPr>
      </w:pPr>
      <w:r w:rsidRPr="00960A2A">
        <w:rPr>
          <w:rFonts w:asciiTheme="minorHAnsi" w:hAnsiTheme="minorHAnsi"/>
          <w:b/>
          <w:bCs/>
          <w:sz w:val="24"/>
          <w:szCs w:val="24"/>
        </w:rPr>
        <w:t>Insurance or Employer's Liability Claims</w:t>
      </w:r>
      <w:r w:rsidRPr="00960A2A">
        <w:rPr>
          <w:rFonts w:asciiTheme="minorHAnsi" w:hAnsiTheme="minorHAnsi"/>
          <w:sz w:val="24"/>
          <w:szCs w:val="24"/>
        </w:rPr>
        <w:t xml:space="preserve"> </w:t>
      </w:r>
    </w:p>
    <w:p w14:paraId="06141876" w14:textId="3E201290" w:rsidR="00960A2A" w:rsidRPr="00960A2A" w:rsidRDefault="00960A2A" w:rsidP="00960A2A">
      <w:pPr>
        <w:pStyle w:val="ListParagraph"/>
        <w:jc w:val="both"/>
        <w:rPr>
          <w:rFonts w:asciiTheme="minorHAnsi" w:hAnsiTheme="minorHAnsi"/>
          <w:sz w:val="24"/>
          <w:szCs w:val="24"/>
        </w:rPr>
      </w:pPr>
      <w:r w:rsidRPr="00960A2A">
        <w:rPr>
          <w:rFonts w:asciiTheme="minorHAnsi" w:hAnsiTheme="minorHAnsi"/>
          <w:sz w:val="24"/>
          <w:szCs w:val="24"/>
        </w:rPr>
        <w:t xml:space="preserve">If the festival was run through a business or organisation, Bob might be able to claim compensation through employer’s liability </w:t>
      </w:r>
      <w:proofErr w:type="gramStart"/>
      <w:r w:rsidRPr="00960A2A">
        <w:rPr>
          <w:rFonts w:asciiTheme="minorHAnsi" w:hAnsiTheme="minorHAnsi"/>
          <w:sz w:val="24"/>
          <w:szCs w:val="24"/>
        </w:rPr>
        <w:t>insurance</w:t>
      </w:r>
      <w:proofErr w:type="gramEnd"/>
      <w:r w:rsidRPr="00960A2A">
        <w:rPr>
          <w:rFonts w:asciiTheme="minorHAnsi" w:hAnsiTheme="minorHAnsi"/>
          <w:sz w:val="24"/>
          <w:szCs w:val="24"/>
        </w:rPr>
        <w:t xml:space="preserve"> or another relevant policy held by the company. Should his injuries stem from safety failings managed by other team members or subcontractors rather than himself personally, the liability may fall on the company rather than him directly. A well-structured insurance policy designed to cover such risks might provide the avenue for a compensation claim.</w:t>
      </w:r>
    </w:p>
    <w:p w14:paraId="32182065" w14:textId="77777777" w:rsidR="00960A2A" w:rsidRPr="00960A2A" w:rsidRDefault="00960A2A" w:rsidP="00960A2A">
      <w:pPr>
        <w:jc w:val="both"/>
        <w:rPr>
          <w:rFonts w:asciiTheme="minorHAnsi" w:hAnsiTheme="minorHAnsi"/>
          <w:sz w:val="24"/>
          <w:szCs w:val="24"/>
        </w:rPr>
      </w:pPr>
    </w:p>
    <w:p w14:paraId="6AF78BC3" w14:textId="77777777" w:rsidR="00960A2A" w:rsidRPr="00960A2A" w:rsidRDefault="00960A2A" w:rsidP="00960A2A">
      <w:pPr>
        <w:pStyle w:val="ListParagraph"/>
        <w:numPr>
          <w:ilvl w:val="0"/>
          <w:numId w:val="24"/>
        </w:numPr>
        <w:jc w:val="both"/>
        <w:rPr>
          <w:rFonts w:asciiTheme="minorHAnsi" w:hAnsiTheme="minorHAnsi"/>
          <w:sz w:val="24"/>
          <w:szCs w:val="24"/>
        </w:rPr>
      </w:pPr>
      <w:r w:rsidRPr="00960A2A">
        <w:rPr>
          <w:rFonts w:asciiTheme="minorHAnsi" w:hAnsiTheme="minorHAnsi"/>
          <w:b/>
          <w:bCs/>
          <w:sz w:val="24"/>
          <w:szCs w:val="24"/>
        </w:rPr>
        <w:t>Partial Liability via Contributory Negligence</w:t>
      </w:r>
    </w:p>
    <w:p w14:paraId="4BFB07C3" w14:textId="32B13397" w:rsidR="00960A2A" w:rsidRPr="00960A2A" w:rsidRDefault="00960A2A" w:rsidP="00960A2A">
      <w:pPr>
        <w:pStyle w:val="ListParagraph"/>
        <w:jc w:val="both"/>
        <w:rPr>
          <w:rFonts w:asciiTheme="minorHAnsi" w:hAnsiTheme="minorHAnsi"/>
          <w:sz w:val="24"/>
          <w:szCs w:val="24"/>
        </w:rPr>
      </w:pPr>
      <w:r w:rsidRPr="00960A2A">
        <w:rPr>
          <w:rFonts w:asciiTheme="minorHAnsi" w:hAnsiTheme="minorHAnsi"/>
          <w:sz w:val="24"/>
          <w:szCs w:val="24"/>
        </w:rPr>
        <w:t>Even if Bob is deemed partly responsible for the safety lapses, he could still be eligible for partial compensation under the legal principle of contributory negligence. This principle allows for the reduction of compensation in proportion to the claimant's contribution to their injuries. If Bob can demonstrate that certain aspects of the incident</w:t>
      </w:r>
      <w:r>
        <w:rPr>
          <w:rFonts w:asciiTheme="minorHAnsi" w:hAnsiTheme="minorHAnsi"/>
          <w:sz w:val="24"/>
          <w:szCs w:val="24"/>
        </w:rPr>
        <w:t>, s</w:t>
      </w:r>
      <w:r w:rsidRPr="00960A2A">
        <w:rPr>
          <w:rFonts w:asciiTheme="minorHAnsi" w:hAnsiTheme="minorHAnsi"/>
          <w:sz w:val="24"/>
          <w:szCs w:val="24"/>
        </w:rPr>
        <w:t>uch as the fireworks malfunction</w:t>
      </w:r>
      <w:r>
        <w:rPr>
          <w:rFonts w:asciiTheme="minorHAnsi" w:hAnsiTheme="minorHAnsi"/>
          <w:sz w:val="24"/>
          <w:szCs w:val="24"/>
        </w:rPr>
        <w:t xml:space="preserve">, </w:t>
      </w:r>
      <w:r w:rsidRPr="00960A2A">
        <w:rPr>
          <w:rFonts w:asciiTheme="minorHAnsi" w:hAnsiTheme="minorHAnsi"/>
          <w:sz w:val="24"/>
          <w:szCs w:val="24"/>
        </w:rPr>
        <w:t>were outside his control or unforeseeable despite his role, he may still be entitled to partial damages.</w:t>
      </w:r>
    </w:p>
    <w:p w14:paraId="435FD373" w14:textId="77777777" w:rsidR="00960A2A" w:rsidRPr="00960A2A" w:rsidRDefault="00960A2A" w:rsidP="00960A2A">
      <w:pPr>
        <w:jc w:val="both"/>
        <w:rPr>
          <w:rFonts w:asciiTheme="minorHAnsi" w:hAnsiTheme="minorHAnsi"/>
          <w:sz w:val="24"/>
          <w:szCs w:val="24"/>
        </w:rPr>
      </w:pPr>
    </w:p>
    <w:p w14:paraId="2F5555C4" w14:textId="77777777" w:rsidR="00960A2A" w:rsidRDefault="00960A2A" w:rsidP="00960A2A">
      <w:pPr>
        <w:jc w:val="both"/>
        <w:rPr>
          <w:rFonts w:asciiTheme="minorHAnsi" w:hAnsiTheme="minorHAnsi"/>
          <w:b/>
          <w:bCs/>
          <w:sz w:val="24"/>
          <w:szCs w:val="24"/>
        </w:rPr>
      </w:pPr>
      <w:r w:rsidRPr="006D000D">
        <w:rPr>
          <w:rFonts w:asciiTheme="minorHAnsi" w:hAnsiTheme="minorHAnsi"/>
          <w:b/>
          <w:bCs/>
          <w:sz w:val="24"/>
          <w:szCs w:val="24"/>
        </w:rPr>
        <w:t>Conclusion</w:t>
      </w:r>
    </w:p>
    <w:p w14:paraId="77C80835" w14:textId="77777777" w:rsidR="00960A2A" w:rsidRPr="006D000D" w:rsidRDefault="00960A2A" w:rsidP="00960A2A">
      <w:pPr>
        <w:jc w:val="both"/>
        <w:rPr>
          <w:rFonts w:asciiTheme="minorHAnsi" w:hAnsiTheme="minorHAnsi"/>
          <w:b/>
          <w:bCs/>
          <w:sz w:val="24"/>
          <w:szCs w:val="24"/>
        </w:rPr>
      </w:pPr>
    </w:p>
    <w:p w14:paraId="4FEFC872" w14:textId="77777777" w:rsidR="00960A2A" w:rsidRDefault="00960A2A" w:rsidP="00960A2A">
      <w:pPr>
        <w:jc w:val="both"/>
        <w:rPr>
          <w:rFonts w:asciiTheme="minorHAnsi" w:hAnsiTheme="minorHAnsi"/>
          <w:sz w:val="24"/>
          <w:szCs w:val="24"/>
        </w:rPr>
      </w:pPr>
      <w:r w:rsidRPr="00945FDC">
        <w:rPr>
          <w:rFonts w:asciiTheme="minorHAnsi" w:hAnsiTheme="minorHAnsi"/>
          <w:sz w:val="24"/>
          <w:szCs w:val="24"/>
        </w:rPr>
        <w:t xml:space="preserve">Tackling the concerns surrounding crowd management and firework safety is critical to avoiding incidents like those at the "Time Stomp" festival in the future. This event serves as a powerful reminder of how inadequate safety measures can result in devastating </w:t>
      </w:r>
      <w:r w:rsidRPr="00945FDC">
        <w:rPr>
          <w:rFonts w:asciiTheme="minorHAnsi" w:hAnsiTheme="minorHAnsi"/>
          <w:sz w:val="24"/>
          <w:szCs w:val="24"/>
        </w:rPr>
        <w:lastRenderedPageBreak/>
        <w:t>consequences, ranging from severe physical injuries to deep psychological scars for those involved. Enhancing safety protocols in these areas should be a top priority for event organisers and regulatory authorities alike.</w:t>
      </w:r>
    </w:p>
    <w:p w14:paraId="3CE9AC89" w14:textId="77777777" w:rsidR="00960A2A" w:rsidRPr="00945FDC" w:rsidRDefault="00960A2A" w:rsidP="00960A2A">
      <w:pPr>
        <w:jc w:val="both"/>
        <w:rPr>
          <w:rFonts w:asciiTheme="minorHAnsi" w:hAnsiTheme="minorHAnsi"/>
          <w:sz w:val="24"/>
          <w:szCs w:val="24"/>
        </w:rPr>
      </w:pPr>
    </w:p>
    <w:p w14:paraId="6B8CC58E" w14:textId="77777777" w:rsidR="00960A2A" w:rsidRDefault="00960A2A" w:rsidP="00960A2A">
      <w:pPr>
        <w:jc w:val="both"/>
        <w:rPr>
          <w:rFonts w:asciiTheme="minorHAnsi" w:hAnsiTheme="minorHAnsi"/>
          <w:sz w:val="24"/>
          <w:szCs w:val="24"/>
        </w:rPr>
      </w:pPr>
      <w:r w:rsidRPr="00945FDC">
        <w:rPr>
          <w:rFonts w:asciiTheme="minorHAnsi" w:hAnsiTheme="minorHAnsi"/>
          <w:sz w:val="24"/>
          <w:szCs w:val="24"/>
        </w:rPr>
        <w:t>Implementing more robust crowd management regulations is a vital step toward creating safer environments. This includes ensuring that clear evacuation routes are established, staff and security personnel are well-trained in handling emergencies, and advanced crowd monitoring technologies are utilised to prevent overcrowding or bottlenecks. Equally important is the need to hold suppliers of event equipment, such as fireworks, fully accountable for the quality and safety of their products. By thoroughly vetting suppliers, conducting pre-event inspections, and enforcing strict compliance with safety standards, organisers can reduce the risk of equipment failures that could endanger attendees.</w:t>
      </w:r>
    </w:p>
    <w:p w14:paraId="1283C4DC" w14:textId="77777777" w:rsidR="00960A2A" w:rsidRPr="00945FDC" w:rsidRDefault="00960A2A" w:rsidP="00960A2A">
      <w:pPr>
        <w:jc w:val="both"/>
        <w:rPr>
          <w:rFonts w:asciiTheme="minorHAnsi" w:hAnsiTheme="minorHAnsi"/>
          <w:sz w:val="24"/>
          <w:szCs w:val="24"/>
        </w:rPr>
      </w:pPr>
    </w:p>
    <w:p w14:paraId="6423F187" w14:textId="77777777" w:rsidR="00960A2A" w:rsidRPr="00945FDC" w:rsidRDefault="00960A2A" w:rsidP="00960A2A">
      <w:pPr>
        <w:jc w:val="both"/>
        <w:rPr>
          <w:rFonts w:asciiTheme="minorHAnsi" w:hAnsiTheme="minorHAnsi"/>
          <w:sz w:val="24"/>
          <w:szCs w:val="24"/>
        </w:rPr>
      </w:pPr>
      <w:r w:rsidRPr="00945FDC">
        <w:rPr>
          <w:rFonts w:asciiTheme="minorHAnsi" w:hAnsiTheme="minorHAnsi"/>
          <w:sz w:val="24"/>
          <w:szCs w:val="24"/>
        </w:rPr>
        <w:t>Adopting these measures can significantly lower the risk of harm at future events and reassure the public that their safety is a top priority. Not only would this approach minimise potential dangers, but it would also help to rebuild trust and confidence in the safety of large-scale gatherings. These improvements represent a proactive step toward ensuring that festivals and other public events are both enjoyable and secure for everyone involved.</w:t>
      </w:r>
    </w:p>
    <w:p w14:paraId="13697991" w14:textId="672ACD2E" w:rsidR="004D3DA3" w:rsidRPr="006D000D" w:rsidRDefault="004D3DA3" w:rsidP="006D000D">
      <w:pPr>
        <w:jc w:val="both"/>
        <w:rPr>
          <w:rFonts w:asciiTheme="minorHAnsi" w:eastAsiaTheme="majorEastAsia" w:hAnsiTheme="minorHAnsi"/>
          <w:sz w:val="24"/>
          <w:szCs w:val="24"/>
        </w:rPr>
      </w:pPr>
      <w:r w:rsidRPr="006D000D">
        <w:rPr>
          <w:rFonts w:asciiTheme="minorHAnsi" w:hAnsiTheme="minorHAnsi"/>
          <w:sz w:val="24"/>
          <w:szCs w:val="24"/>
        </w:rPr>
        <w:br w:type="page"/>
      </w:r>
    </w:p>
    <w:p w14:paraId="16ADC313" w14:textId="4DF23997" w:rsidR="00396770" w:rsidRPr="00396770" w:rsidRDefault="00396770" w:rsidP="00816DAC">
      <w:pPr>
        <w:pStyle w:val="Heading2"/>
      </w:pPr>
      <w:bookmarkStart w:id="2" w:name="_Toc197026959"/>
      <w:r w:rsidRPr="00396770">
        <w:lastRenderedPageBreak/>
        <w:t>Sources</w:t>
      </w:r>
      <w:bookmarkEnd w:id="2"/>
      <w:r w:rsidRPr="00396770">
        <w:t xml:space="preserve"> </w:t>
      </w:r>
    </w:p>
    <w:p w14:paraId="7AF600D9" w14:textId="77777777" w:rsidR="006C6BAD" w:rsidRDefault="006C6BAD" w:rsidP="006C6BAD">
      <w:pPr>
        <w:spacing w:line="720" w:lineRule="auto"/>
      </w:pPr>
      <w:hyperlink r:id="rId8" w:history="1">
        <w:r w:rsidRPr="00C05CF0">
          <w:rPr>
            <w:rStyle w:val="Hyperlink"/>
            <w:rFonts w:asciiTheme="minorHAnsi" w:hAnsiTheme="minorHAnsi"/>
            <w:sz w:val="24"/>
            <w:szCs w:val="24"/>
          </w:rPr>
          <w:t>£50k</w:t>
        </w:r>
        <w:r w:rsidRPr="00C05CF0">
          <w:rPr>
            <w:rStyle w:val="Hyperlink"/>
            <w:rFonts w:asciiTheme="minorHAnsi" w:hAnsiTheme="minorHAnsi"/>
            <w:sz w:val="24"/>
            <w:szCs w:val="24"/>
          </w:rPr>
          <w:t xml:space="preserve"> </w:t>
        </w:r>
        <w:r w:rsidRPr="00C05CF0">
          <w:rPr>
            <w:rStyle w:val="Hyperlink"/>
            <w:rFonts w:asciiTheme="minorHAnsi" w:hAnsiTheme="minorHAnsi"/>
            <w:sz w:val="24"/>
            <w:szCs w:val="24"/>
          </w:rPr>
          <w:t>awarded to fireworks victim | RWK Goodman</w:t>
        </w:r>
      </w:hyperlink>
    </w:p>
    <w:p w14:paraId="4A8B8688" w14:textId="77777777" w:rsidR="006C6BAD" w:rsidRDefault="006C6BAD" w:rsidP="006C6BAD">
      <w:pPr>
        <w:spacing w:line="720" w:lineRule="auto"/>
      </w:pPr>
      <w:hyperlink r:id="rId9" w:history="1">
        <w:proofErr w:type="spellStart"/>
        <w:r w:rsidRPr="00F75845">
          <w:rPr>
            <w:rStyle w:val="Hyperlink"/>
            <w:rFonts w:asciiTheme="minorHAnsi" w:hAnsiTheme="minorHAnsi"/>
            <w:sz w:val="24"/>
            <w:szCs w:val="24"/>
          </w:rPr>
          <w:t>Boardmasters</w:t>
        </w:r>
        <w:proofErr w:type="spellEnd"/>
        <w:r w:rsidRPr="00F75845">
          <w:rPr>
            <w:rStyle w:val="Hyperlink"/>
            <w:rFonts w:asciiTheme="minorHAnsi" w:hAnsiTheme="minorHAnsi"/>
            <w:sz w:val="24"/>
            <w:szCs w:val="24"/>
          </w:rPr>
          <w:t xml:space="preserve"> crowd surge leaves </w:t>
        </w:r>
        <w:proofErr w:type="gramStart"/>
        <w:r w:rsidRPr="00F75845">
          <w:rPr>
            <w:rStyle w:val="Hyperlink"/>
            <w:rFonts w:asciiTheme="minorHAnsi" w:hAnsiTheme="minorHAnsi"/>
            <w:sz w:val="24"/>
            <w:szCs w:val="24"/>
          </w:rPr>
          <w:t>festival-goers</w:t>
        </w:r>
        <w:proofErr w:type="gramEnd"/>
        <w:r w:rsidRPr="00F75845">
          <w:rPr>
            <w:rStyle w:val="Hyperlink"/>
            <w:rFonts w:asciiTheme="minorHAnsi" w:hAnsiTheme="minorHAnsi"/>
            <w:sz w:val="24"/>
            <w:szCs w:val="24"/>
          </w:rPr>
          <w:t xml:space="preserve"> injured - BBC News</w:t>
        </w:r>
      </w:hyperlink>
    </w:p>
    <w:p w14:paraId="65B4F96E" w14:textId="77777777" w:rsidR="006C6BAD" w:rsidRDefault="006C6BAD" w:rsidP="006C6BAD">
      <w:pPr>
        <w:spacing w:line="720" w:lineRule="auto"/>
        <w:rPr>
          <w:rStyle w:val="Hyperlink"/>
          <w:rFonts w:asciiTheme="minorHAnsi" w:hAnsiTheme="minorHAnsi"/>
          <w:sz w:val="24"/>
          <w:szCs w:val="24"/>
        </w:rPr>
      </w:pPr>
      <w:hyperlink r:id="rId10" w:history="1">
        <w:r w:rsidRPr="00173397">
          <w:rPr>
            <w:rStyle w:val="Hyperlink"/>
            <w:rFonts w:asciiTheme="minorHAnsi" w:hAnsiTheme="minorHAnsi"/>
            <w:sz w:val="24"/>
            <w:szCs w:val="24"/>
          </w:rPr>
          <w:t>Bradford fire: The Valley Parade disaster 30 years on - BBC Sport</w:t>
        </w:r>
      </w:hyperlink>
    </w:p>
    <w:p w14:paraId="6AD1CB9F" w14:textId="77777777" w:rsidR="006C6BAD" w:rsidRDefault="006C6BAD" w:rsidP="006C6BAD">
      <w:pPr>
        <w:spacing w:line="720" w:lineRule="auto"/>
      </w:pPr>
      <w:hyperlink r:id="rId11" w:history="1">
        <w:r w:rsidRPr="00F75845">
          <w:rPr>
            <w:rStyle w:val="Hyperlink"/>
            <w:rFonts w:asciiTheme="minorHAnsi" w:hAnsiTheme="minorHAnsi"/>
            <w:sz w:val="24"/>
            <w:szCs w:val="24"/>
          </w:rPr>
          <w:t xml:space="preserve">Council investigating </w:t>
        </w:r>
        <w:proofErr w:type="spellStart"/>
        <w:r w:rsidRPr="00F75845">
          <w:rPr>
            <w:rStyle w:val="Hyperlink"/>
            <w:rFonts w:asciiTheme="minorHAnsi" w:hAnsiTheme="minorHAnsi"/>
            <w:sz w:val="24"/>
            <w:szCs w:val="24"/>
          </w:rPr>
          <w:t>Boardmasters</w:t>
        </w:r>
        <w:proofErr w:type="spellEnd"/>
        <w:r w:rsidRPr="00F75845">
          <w:rPr>
            <w:rStyle w:val="Hyperlink"/>
            <w:rFonts w:asciiTheme="minorHAnsi" w:hAnsiTheme="minorHAnsi"/>
            <w:sz w:val="24"/>
            <w:szCs w:val="24"/>
          </w:rPr>
          <w:t xml:space="preserve"> festival crowd surges - BBC News</w:t>
        </w:r>
      </w:hyperlink>
    </w:p>
    <w:p w14:paraId="0D7D8ABA" w14:textId="77777777" w:rsidR="006C6BAD" w:rsidRDefault="006C6BAD" w:rsidP="006C6BAD">
      <w:pPr>
        <w:spacing w:line="720" w:lineRule="auto"/>
      </w:pPr>
      <w:hyperlink r:id="rId12" w:history="1">
        <w:r w:rsidRPr="009A3B27">
          <w:rPr>
            <w:rStyle w:val="Hyperlink"/>
            <w:rFonts w:asciiTheme="minorHAnsi" w:hAnsiTheme="minorHAnsi"/>
            <w:sz w:val="24"/>
            <w:szCs w:val="24"/>
          </w:rPr>
          <w:t>Find a Solicitor - The Law Society</w:t>
        </w:r>
      </w:hyperlink>
    </w:p>
    <w:p w14:paraId="35C49EBC" w14:textId="6E1713DB" w:rsidR="009A6D50" w:rsidRDefault="009A6D50" w:rsidP="006C6BAD">
      <w:pPr>
        <w:spacing w:line="720" w:lineRule="auto"/>
        <w:rPr>
          <w:rFonts w:asciiTheme="minorHAnsi" w:hAnsiTheme="minorHAnsi"/>
          <w:sz w:val="24"/>
          <w:szCs w:val="24"/>
        </w:rPr>
      </w:pPr>
      <w:hyperlink r:id="rId13" w:history="1">
        <w:r w:rsidRPr="009A6D50">
          <w:rPr>
            <w:rStyle w:val="Hyperlink"/>
            <w:rFonts w:asciiTheme="minorHAnsi" w:hAnsiTheme="minorHAnsi"/>
            <w:sz w:val="24"/>
            <w:szCs w:val="24"/>
          </w:rPr>
          <w:t>Fireworks: the law - GOV.UK</w:t>
        </w:r>
      </w:hyperlink>
    </w:p>
    <w:p w14:paraId="50B4EE9A" w14:textId="2E34601F" w:rsidR="001D7CC5" w:rsidRDefault="001D7CC5" w:rsidP="006C6BAD">
      <w:pPr>
        <w:spacing w:line="720" w:lineRule="auto"/>
        <w:rPr>
          <w:rFonts w:asciiTheme="minorHAnsi" w:hAnsiTheme="minorHAnsi"/>
          <w:sz w:val="24"/>
          <w:szCs w:val="24"/>
        </w:rPr>
      </w:pPr>
      <w:hyperlink r:id="rId14" w:history="1">
        <w:r w:rsidRPr="001D7CC5">
          <w:rPr>
            <w:rStyle w:val="Hyperlink"/>
            <w:rFonts w:asciiTheme="minorHAnsi" w:hAnsiTheme="minorHAnsi"/>
            <w:sz w:val="24"/>
            <w:szCs w:val="24"/>
          </w:rPr>
          <w:t>Firework Laws &amp; Regulations – UKFR</w:t>
        </w:r>
      </w:hyperlink>
    </w:p>
    <w:p w14:paraId="243FADB5" w14:textId="77777777" w:rsidR="006C6BAD" w:rsidRDefault="006C6BAD" w:rsidP="006C6BAD">
      <w:pPr>
        <w:spacing w:line="720" w:lineRule="auto"/>
        <w:rPr>
          <w:rFonts w:asciiTheme="minorHAnsi" w:hAnsiTheme="minorHAnsi"/>
          <w:sz w:val="24"/>
          <w:szCs w:val="24"/>
        </w:rPr>
      </w:pPr>
      <w:hyperlink r:id="rId15" w:history="1">
        <w:r w:rsidRPr="002A2602">
          <w:rPr>
            <w:rStyle w:val="Hyperlink"/>
            <w:rFonts w:asciiTheme="minorHAnsi" w:hAnsiTheme="minorHAnsi"/>
            <w:sz w:val="24"/>
            <w:szCs w:val="24"/>
          </w:rPr>
          <w:t>For barristers &amp; legal professionals</w:t>
        </w:r>
      </w:hyperlink>
    </w:p>
    <w:p w14:paraId="39F7ABB5" w14:textId="77777777" w:rsidR="006C6BAD" w:rsidRDefault="006C6BAD" w:rsidP="006C6BAD">
      <w:pPr>
        <w:spacing w:line="720" w:lineRule="auto"/>
      </w:pPr>
      <w:hyperlink r:id="rId16" w:history="1">
        <w:r w:rsidRPr="00173397">
          <w:rPr>
            <w:rStyle w:val="Hyperlink"/>
            <w:rFonts w:asciiTheme="minorHAnsi" w:hAnsiTheme="minorHAnsi"/>
            <w:sz w:val="24"/>
            <w:szCs w:val="24"/>
          </w:rPr>
          <w:t>Hillsborough: Timeline of the 1989 stadium disaster - BBC News</w:t>
        </w:r>
      </w:hyperlink>
    </w:p>
    <w:p w14:paraId="3A40DCD2" w14:textId="35A6B291" w:rsidR="00316A82" w:rsidRDefault="00316A82" w:rsidP="006C6BAD">
      <w:pPr>
        <w:spacing w:line="720" w:lineRule="auto"/>
        <w:rPr>
          <w:rFonts w:asciiTheme="minorHAnsi" w:hAnsiTheme="minorHAnsi"/>
          <w:sz w:val="24"/>
          <w:szCs w:val="24"/>
        </w:rPr>
      </w:pPr>
      <w:hyperlink r:id="rId17" w:history="1">
        <w:r w:rsidRPr="00316A82">
          <w:rPr>
            <w:rStyle w:val="Hyperlink"/>
            <w:rFonts w:asciiTheme="minorHAnsi" w:hAnsiTheme="minorHAnsi"/>
            <w:sz w:val="24"/>
            <w:szCs w:val="24"/>
          </w:rPr>
          <w:t>House of Lords - Lister and Others (AP) v Hesley Hall Limited</w:t>
        </w:r>
      </w:hyperlink>
    </w:p>
    <w:p w14:paraId="6D830602" w14:textId="77777777" w:rsidR="006C6BAD" w:rsidRPr="00173397" w:rsidRDefault="006C6BAD" w:rsidP="006C6BAD">
      <w:pPr>
        <w:spacing w:line="720" w:lineRule="auto"/>
        <w:rPr>
          <w:rFonts w:asciiTheme="minorHAnsi" w:hAnsiTheme="minorHAnsi"/>
          <w:sz w:val="24"/>
          <w:szCs w:val="24"/>
        </w:rPr>
      </w:pPr>
      <w:hyperlink r:id="rId18" w:history="1">
        <w:r w:rsidRPr="00173397">
          <w:rPr>
            <w:rStyle w:val="Hyperlink"/>
            <w:rFonts w:asciiTheme="minorHAnsi" w:hAnsiTheme="minorHAnsi"/>
            <w:sz w:val="24"/>
            <w:szCs w:val="24"/>
          </w:rPr>
          <w:t>Occupiers’ Liability Act 1957</w:t>
        </w:r>
      </w:hyperlink>
    </w:p>
    <w:p w14:paraId="568A70F6" w14:textId="77777777" w:rsidR="006C6BAD" w:rsidRDefault="006C6BAD" w:rsidP="006C6BAD">
      <w:pPr>
        <w:spacing w:line="720" w:lineRule="auto"/>
      </w:pPr>
      <w:hyperlink r:id="rId19" w:history="1">
        <w:r w:rsidRPr="00F75845">
          <w:rPr>
            <w:rStyle w:val="Hyperlink"/>
            <w:rFonts w:asciiTheme="minorHAnsi" w:hAnsiTheme="minorHAnsi"/>
            <w:sz w:val="24"/>
            <w:szCs w:val="24"/>
          </w:rPr>
          <w:t xml:space="preserve">Organisers apologise after </w:t>
        </w:r>
        <w:proofErr w:type="gramStart"/>
        <w:r w:rsidRPr="00F75845">
          <w:rPr>
            <w:rStyle w:val="Hyperlink"/>
            <w:rFonts w:asciiTheme="minorHAnsi" w:hAnsiTheme="minorHAnsi"/>
            <w:sz w:val="24"/>
            <w:szCs w:val="24"/>
          </w:rPr>
          <w:t>festival-goers</w:t>
        </w:r>
        <w:proofErr w:type="gramEnd"/>
        <w:r w:rsidRPr="00F75845">
          <w:rPr>
            <w:rStyle w:val="Hyperlink"/>
            <w:rFonts w:asciiTheme="minorHAnsi" w:hAnsiTheme="minorHAnsi"/>
            <w:sz w:val="24"/>
            <w:szCs w:val="24"/>
          </w:rPr>
          <w:t xml:space="preserve"> are hurt in crush caused by ticketing glitch | London Evening Standard | The Standard</w:t>
        </w:r>
      </w:hyperlink>
    </w:p>
    <w:p w14:paraId="181C7F7C" w14:textId="77777777" w:rsidR="006C6BAD" w:rsidRPr="00A5616B" w:rsidRDefault="006C6BAD" w:rsidP="006C6BAD">
      <w:pPr>
        <w:spacing w:line="720" w:lineRule="auto"/>
        <w:rPr>
          <w:rFonts w:asciiTheme="minorHAnsi" w:hAnsiTheme="minorHAnsi"/>
          <w:sz w:val="24"/>
          <w:szCs w:val="24"/>
        </w:rPr>
      </w:pPr>
      <w:hyperlink r:id="rId20" w:history="1">
        <w:r w:rsidRPr="00A5616B">
          <w:rPr>
            <w:rStyle w:val="Hyperlink"/>
            <w:rFonts w:asciiTheme="minorHAnsi" w:hAnsiTheme="minorHAnsi"/>
            <w:sz w:val="24"/>
            <w:szCs w:val="24"/>
          </w:rPr>
          <w:t>PART 32 – EVIDENCE – Civil Procedure Rules</w:t>
        </w:r>
      </w:hyperlink>
    </w:p>
    <w:p w14:paraId="18538407" w14:textId="77777777" w:rsidR="006C6BAD" w:rsidRDefault="006C6BAD" w:rsidP="006C6BAD">
      <w:pPr>
        <w:spacing w:line="720" w:lineRule="auto"/>
      </w:pPr>
      <w:hyperlink r:id="rId21" w:history="1">
        <w:r w:rsidRPr="00F75845">
          <w:rPr>
            <w:rStyle w:val="Hyperlink"/>
            <w:rFonts w:asciiTheme="minorHAnsi" w:hAnsiTheme="minorHAnsi"/>
            <w:sz w:val="24"/>
            <w:szCs w:val="24"/>
          </w:rPr>
          <w:t>Stampedes, trampling and late headliners: All the chaos that went down at Wireless</w:t>
        </w:r>
      </w:hyperlink>
    </w:p>
    <w:p w14:paraId="6BF046D0" w14:textId="77777777" w:rsidR="0089541B" w:rsidRDefault="0089541B" w:rsidP="0089541B">
      <w:pPr>
        <w:spacing w:line="720" w:lineRule="auto"/>
        <w:rPr>
          <w:rFonts w:asciiTheme="minorHAnsi" w:hAnsiTheme="minorHAnsi"/>
          <w:sz w:val="24"/>
          <w:szCs w:val="24"/>
        </w:rPr>
      </w:pPr>
      <w:hyperlink r:id="rId22" w:history="1">
        <w:r w:rsidRPr="00AA3786">
          <w:rPr>
            <w:rStyle w:val="Hyperlink"/>
            <w:rFonts w:asciiTheme="minorHAnsi" w:hAnsiTheme="minorHAnsi"/>
            <w:sz w:val="24"/>
            <w:szCs w:val="24"/>
          </w:rPr>
          <w:t>The Fireworks Regulations 2004</w:t>
        </w:r>
      </w:hyperlink>
    </w:p>
    <w:p w14:paraId="38FA0DCD" w14:textId="77777777" w:rsidR="0089541B" w:rsidRDefault="0089541B" w:rsidP="006C6BAD">
      <w:pPr>
        <w:spacing w:line="720" w:lineRule="auto"/>
      </w:pPr>
    </w:p>
    <w:p w14:paraId="56FCBB10" w14:textId="77777777" w:rsidR="006C6BAD" w:rsidRDefault="006C6BAD" w:rsidP="006C6BAD">
      <w:pPr>
        <w:spacing w:line="720" w:lineRule="auto"/>
      </w:pPr>
      <w:hyperlink r:id="rId23" w:history="1">
        <w:r w:rsidRPr="00F75845">
          <w:rPr>
            <w:rStyle w:val="Hyperlink"/>
            <w:rFonts w:asciiTheme="minorHAnsi" w:hAnsiTheme="minorHAnsi"/>
            <w:sz w:val="24"/>
            <w:szCs w:val="24"/>
          </w:rPr>
          <w:t xml:space="preserve">Woman 'fractures knee' in </w:t>
        </w:r>
        <w:proofErr w:type="spellStart"/>
        <w:r w:rsidRPr="00F75845">
          <w:rPr>
            <w:rStyle w:val="Hyperlink"/>
            <w:rFonts w:asciiTheme="minorHAnsi" w:hAnsiTheme="minorHAnsi"/>
            <w:sz w:val="24"/>
            <w:szCs w:val="24"/>
          </w:rPr>
          <w:t>Boardmasters</w:t>
        </w:r>
        <w:proofErr w:type="spellEnd"/>
        <w:r w:rsidRPr="00F75845">
          <w:rPr>
            <w:rStyle w:val="Hyperlink"/>
            <w:rFonts w:asciiTheme="minorHAnsi" w:hAnsiTheme="minorHAnsi"/>
            <w:sz w:val="24"/>
            <w:szCs w:val="24"/>
          </w:rPr>
          <w:t xml:space="preserve"> crowd surge - BBC News</w:t>
        </w:r>
      </w:hyperlink>
    </w:p>
    <w:p w14:paraId="38A12955" w14:textId="77777777" w:rsidR="006C6BAD" w:rsidRDefault="006C6BAD" w:rsidP="006C6BAD">
      <w:pPr>
        <w:spacing w:line="720" w:lineRule="auto"/>
      </w:pPr>
      <w:hyperlink r:id="rId24" w:history="1">
        <w:r w:rsidRPr="00F75845">
          <w:rPr>
            <w:rStyle w:val="Hyperlink"/>
            <w:rFonts w:asciiTheme="minorHAnsi" w:hAnsiTheme="minorHAnsi"/>
            <w:sz w:val="24"/>
            <w:szCs w:val="24"/>
          </w:rPr>
          <w:t>Woman, 24, thought 'she was going to die' in We Are FSTVAL crush as she reveals horrific bruises after stampede | The Sun</w:t>
        </w:r>
      </w:hyperlink>
    </w:p>
    <w:p w14:paraId="24FFDAD7" w14:textId="29751837" w:rsidR="00713414" w:rsidRDefault="00713414">
      <w:pPr>
        <w:spacing w:after="160" w:line="278" w:lineRule="auto"/>
      </w:pPr>
      <w:r>
        <w:br w:type="page"/>
      </w:r>
    </w:p>
    <w:p w14:paraId="55ECD403" w14:textId="6FC88322" w:rsidR="00396770" w:rsidRDefault="00396770" w:rsidP="00816DAC">
      <w:pPr>
        <w:pStyle w:val="Heading2"/>
      </w:pPr>
      <w:bookmarkStart w:id="3" w:name="_Toc197026960"/>
      <w:r w:rsidRPr="00396770">
        <w:lastRenderedPageBreak/>
        <w:t>References</w:t>
      </w:r>
      <w:bookmarkEnd w:id="3"/>
    </w:p>
    <w:p w14:paraId="625B8DD9" w14:textId="77777777" w:rsidR="006C6BAD" w:rsidRDefault="006C6BAD" w:rsidP="00D51AFB">
      <w:pPr>
        <w:spacing w:line="360" w:lineRule="auto"/>
        <w:rPr>
          <w:rFonts w:asciiTheme="minorHAnsi" w:hAnsiTheme="minorHAnsi"/>
          <w:sz w:val="24"/>
          <w:szCs w:val="24"/>
        </w:rPr>
      </w:pPr>
    </w:p>
    <w:p w14:paraId="00ABAACD" w14:textId="0992DE01" w:rsidR="006C6BAD" w:rsidRDefault="006C6BAD" w:rsidP="00D51AFB">
      <w:pPr>
        <w:spacing w:line="360" w:lineRule="auto"/>
        <w:rPr>
          <w:rFonts w:asciiTheme="minorHAnsi" w:hAnsiTheme="minorHAnsi"/>
          <w:sz w:val="24"/>
          <w:szCs w:val="24"/>
        </w:rPr>
      </w:pPr>
      <w:r w:rsidRPr="00D51AFB">
        <w:rPr>
          <w:rFonts w:asciiTheme="minorHAnsi" w:hAnsiTheme="minorHAnsi"/>
          <w:sz w:val="24"/>
          <w:szCs w:val="24"/>
        </w:rPr>
        <w:t>Allen, J., Harris, R. and Jago, L., 2022. </w:t>
      </w:r>
      <w:r w:rsidRPr="00D51AFB">
        <w:rPr>
          <w:rFonts w:asciiTheme="minorHAnsi" w:hAnsiTheme="minorHAnsi"/>
          <w:i/>
          <w:iCs/>
          <w:sz w:val="24"/>
          <w:szCs w:val="24"/>
        </w:rPr>
        <w:t>Festival &amp; special event management</w:t>
      </w:r>
      <w:r w:rsidRPr="00D51AFB">
        <w:rPr>
          <w:rFonts w:asciiTheme="minorHAnsi" w:hAnsiTheme="minorHAnsi"/>
          <w:sz w:val="24"/>
          <w:szCs w:val="24"/>
        </w:rPr>
        <w:t>. John Wiley &amp; Sons.</w:t>
      </w:r>
    </w:p>
    <w:p w14:paraId="3EE6013D" w14:textId="77777777" w:rsidR="006C6BAD" w:rsidRDefault="006C6BAD" w:rsidP="00D51AFB">
      <w:pPr>
        <w:spacing w:line="360" w:lineRule="auto"/>
        <w:rPr>
          <w:rFonts w:asciiTheme="minorHAnsi" w:hAnsiTheme="minorHAnsi"/>
          <w:sz w:val="24"/>
          <w:szCs w:val="24"/>
        </w:rPr>
      </w:pPr>
    </w:p>
    <w:p w14:paraId="54C438D0" w14:textId="77777777" w:rsidR="006C6BAD" w:rsidRDefault="006C6BAD" w:rsidP="00D51AFB">
      <w:pPr>
        <w:spacing w:line="360" w:lineRule="auto"/>
        <w:rPr>
          <w:rFonts w:asciiTheme="minorHAnsi" w:hAnsiTheme="minorHAnsi"/>
          <w:sz w:val="24"/>
          <w:szCs w:val="24"/>
        </w:rPr>
      </w:pPr>
      <w:r w:rsidRPr="00B42E52">
        <w:rPr>
          <w:rFonts w:asciiTheme="minorHAnsi" w:hAnsiTheme="minorHAnsi"/>
          <w:sz w:val="24"/>
          <w:szCs w:val="24"/>
        </w:rPr>
        <w:t>Anderson, B. and Adey, P., 2012. Governing events and life:</w:t>
      </w:r>
      <w:r>
        <w:rPr>
          <w:rFonts w:asciiTheme="minorHAnsi" w:hAnsiTheme="minorHAnsi"/>
          <w:sz w:val="24"/>
          <w:szCs w:val="24"/>
        </w:rPr>
        <w:t xml:space="preserve"> </w:t>
      </w:r>
      <w:r w:rsidRPr="00B42E52">
        <w:rPr>
          <w:rFonts w:asciiTheme="minorHAnsi" w:hAnsiTheme="minorHAnsi"/>
          <w:sz w:val="24"/>
          <w:szCs w:val="24"/>
        </w:rPr>
        <w:t>‘emergency’ in UK Civil Contingencies. </w:t>
      </w:r>
      <w:r w:rsidRPr="00B42E52">
        <w:rPr>
          <w:rFonts w:asciiTheme="minorHAnsi" w:hAnsiTheme="minorHAnsi"/>
          <w:i/>
          <w:iCs/>
          <w:sz w:val="24"/>
          <w:szCs w:val="24"/>
        </w:rPr>
        <w:t>Political Geography</w:t>
      </w:r>
      <w:r w:rsidRPr="00B42E52">
        <w:rPr>
          <w:rFonts w:asciiTheme="minorHAnsi" w:hAnsiTheme="minorHAnsi"/>
          <w:sz w:val="24"/>
          <w:szCs w:val="24"/>
        </w:rPr>
        <w:t>, </w:t>
      </w:r>
      <w:r w:rsidRPr="00B42E52">
        <w:rPr>
          <w:rFonts w:asciiTheme="minorHAnsi" w:hAnsiTheme="minorHAnsi"/>
          <w:i/>
          <w:iCs/>
          <w:sz w:val="24"/>
          <w:szCs w:val="24"/>
        </w:rPr>
        <w:t>31</w:t>
      </w:r>
      <w:r w:rsidRPr="00B42E52">
        <w:rPr>
          <w:rFonts w:asciiTheme="minorHAnsi" w:hAnsiTheme="minorHAnsi"/>
          <w:sz w:val="24"/>
          <w:szCs w:val="24"/>
        </w:rPr>
        <w:t>(1), pp.24-33.</w:t>
      </w:r>
    </w:p>
    <w:p w14:paraId="2354803B" w14:textId="77777777" w:rsidR="006C6BAD" w:rsidRDefault="006C6BAD" w:rsidP="00D51AFB">
      <w:pPr>
        <w:spacing w:line="360" w:lineRule="auto"/>
        <w:rPr>
          <w:rFonts w:asciiTheme="minorHAnsi" w:hAnsiTheme="minorHAnsi"/>
          <w:sz w:val="24"/>
          <w:szCs w:val="24"/>
        </w:rPr>
      </w:pPr>
    </w:p>
    <w:p w14:paraId="06C46234" w14:textId="77777777" w:rsidR="006C6BAD" w:rsidRDefault="006C6BAD" w:rsidP="00D51AFB">
      <w:pPr>
        <w:spacing w:line="360" w:lineRule="auto"/>
        <w:rPr>
          <w:rFonts w:asciiTheme="minorHAnsi" w:hAnsiTheme="minorHAnsi"/>
          <w:sz w:val="24"/>
          <w:szCs w:val="24"/>
        </w:rPr>
      </w:pPr>
      <w:r w:rsidRPr="00D51AFB">
        <w:rPr>
          <w:rFonts w:asciiTheme="minorHAnsi" w:hAnsiTheme="minorHAnsi"/>
          <w:sz w:val="24"/>
          <w:szCs w:val="24"/>
        </w:rPr>
        <w:t>Anderton, C., 2018. </w:t>
      </w:r>
      <w:r w:rsidRPr="00D51AFB">
        <w:rPr>
          <w:rFonts w:asciiTheme="minorHAnsi" w:hAnsiTheme="minorHAnsi"/>
          <w:i/>
          <w:iCs/>
          <w:sz w:val="24"/>
          <w:szCs w:val="24"/>
        </w:rPr>
        <w:t>Music festivals in the UK: Beyond the carnivalesque</w:t>
      </w:r>
      <w:r w:rsidRPr="00D51AFB">
        <w:rPr>
          <w:rFonts w:asciiTheme="minorHAnsi" w:hAnsiTheme="minorHAnsi"/>
          <w:sz w:val="24"/>
          <w:szCs w:val="24"/>
        </w:rPr>
        <w:t>. Routledge.</w:t>
      </w:r>
    </w:p>
    <w:p w14:paraId="248CC67B" w14:textId="77777777" w:rsidR="00547EEA" w:rsidRDefault="00547EEA" w:rsidP="00D51AFB">
      <w:pPr>
        <w:spacing w:line="360" w:lineRule="auto"/>
        <w:rPr>
          <w:rFonts w:asciiTheme="minorHAnsi" w:hAnsiTheme="minorHAnsi"/>
          <w:sz w:val="24"/>
          <w:szCs w:val="24"/>
        </w:rPr>
      </w:pPr>
    </w:p>
    <w:p w14:paraId="36F80D47" w14:textId="77777777" w:rsidR="006C6BAD" w:rsidRDefault="006C6BAD" w:rsidP="00D51AFB">
      <w:pPr>
        <w:spacing w:line="360" w:lineRule="auto"/>
        <w:rPr>
          <w:rFonts w:asciiTheme="minorHAnsi" w:hAnsiTheme="minorHAnsi"/>
          <w:sz w:val="24"/>
          <w:szCs w:val="24"/>
        </w:rPr>
      </w:pPr>
      <w:r w:rsidRPr="004A58EB">
        <w:rPr>
          <w:rFonts w:asciiTheme="minorHAnsi" w:hAnsiTheme="minorHAnsi"/>
          <w:sz w:val="24"/>
          <w:szCs w:val="24"/>
        </w:rPr>
        <w:t xml:space="preserve">Berger, L.R., </w:t>
      </w:r>
      <w:proofErr w:type="spellStart"/>
      <w:r w:rsidRPr="004A58EB">
        <w:rPr>
          <w:rFonts w:asciiTheme="minorHAnsi" w:hAnsiTheme="minorHAnsi"/>
          <w:sz w:val="24"/>
          <w:szCs w:val="24"/>
        </w:rPr>
        <w:t>Kalishman</w:t>
      </w:r>
      <w:proofErr w:type="spellEnd"/>
      <w:r w:rsidRPr="004A58EB">
        <w:rPr>
          <w:rFonts w:asciiTheme="minorHAnsi" w:hAnsiTheme="minorHAnsi"/>
          <w:sz w:val="24"/>
          <w:szCs w:val="24"/>
        </w:rPr>
        <w:t>, S. and Rivara, F.P., 1985. Injuries from fireworks. </w:t>
      </w:r>
      <w:proofErr w:type="spellStart"/>
      <w:r w:rsidRPr="004A58EB">
        <w:rPr>
          <w:rFonts w:asciiTheme="minorHAnsi" w:hAnsiTheme="minorHAnsi"/>
          <w:i/>
          <w:iCs/>
          <w:sz w:val="24"/>
          <w:szCs w:val="24"/>
        </w:rPr>
        <w:t>Pediatrics</w:t>
      </w:r>
      <w:proofErr w:type="spellEnd"/>
      <w:r w:rsidRPr="004A58EB">
        <w:rPr>
          <w:rFonts w:asciiTheme="minorHAnsi" w:hAnsiTheme="minorHAnsi"/>
          <w:sz w:val="24"/>
          <w:szCs w:val="24"/>
        </w:rPr>
        <w:t>, </w:t>
      </w:r>
      <w:r w:rsidRPr="004A58EB">
        <w:rPr>
          <w:rFonts w:asciiTheme="minorHAnsi" w:hAnsiTheme="minorHAnsi"/>
          <w:i/>
          <w:iCs/>
          <w:sz w:val="24"/>
          <w:szCs w:val="24"/>
        </w:rPr>
        <w:t>75</w:t>
      </w:r>
      <w:r w:rsidRPr="004A58EB">
        <w:rPr>
          <w:rFonts w:asciiTheme="minorHAnsi" w:hAnsiTheme="minorHAnsi"/>
          <w:sz w:val="24"/>
          <w:szCs w:val="24"/>
        </w:rPr>
        <w:t>(5), pp.877-882.</w:t>
      </w:r>
    </w:p>
    <w:p w14:paraId="47C3115C" w14:textId="77777777" w:rsidR="008860CA" w:rsidRDefault="008860CA" w:rsidP="00D51AFB">
      <w:pPr>
        <w:spacing w:line="360" w:lineRule="auto"/>
        <w:rPr>
          <w:rFonts w:asciiTheme="minorHAnsi" w:hAnsiTheme="minorHAnsi"/>
          <w:sz w:val="24"/>
          <w:szCs w:val="24"/>
        </w:rPr>
      </w:pPr>
    </w:p>
    <w:p w14:paraId="75716C11" w14:textId="4DB7F985" w:rsidR="008860CA" w:rsidRDefault="008860CA" w:rsidP="00D51AFB">
      <w:pPr>
        <w:spacing w:line="360" w:lineRule="auto"/>
        <w:rPr>
          <w:rFonts w:asciiTheme="minorHAnsi" w:hAnsiTheme="minorHAnsi"/>
          <w:sz w:val="24"/>
          <w:szCs w:val="24"/>
        </w:rPr>
      </w:pPr>
      <w:r w:rsidRPr="008860CA">
        <w:rPr>
          <w:rFonts w:asciiTheme="minorHAnsi" w:hAnsiTheme="minorHAnsi"/>
          <w:sz w:val="24"/>
          <w:szCs w:val="24"/>
        </w:rPr>
        <w:t xml:space="preserve">Bisson, J.I., Ariti, C., Cullen, K., </w:t>
      </w:r>
      <w:proofErr w:type="spellStart"/>
      <w:r w:rsidRPr="008860CA">
        <w:rPr>
          <w:rFonts w:asciiTheme="minorHAnsi" w:hAnsiTheme="minorHAnsi"/>
          <w:sz w:val="24"/>
          <w:szCs w:val="24"/>
        </w:rPr>
        <w:t>Kitchiner</w:t>
      </w:r>
      <w:proofErr w:type="spellEnd"/>
      <w:r w:rsidRPr="008860CA">
        <w:rPr>
          <w:rFonts w:asciiTheme="minorHAnsi" w:hAnsiTheme="minorHAnsi"/>
          <w:sz w:val="24"/>
          <w:szCs w:val="24"/>
        </w:rPr>
        <w:t>, N., Lewis, C., Roberts, N.P., Simon, N., Smallman, K., Addison, K., Bell, V. and Brookes-Howell, L., 2022. Guided, internet based, cognitive behavioural therapy for post-traumatic stress disorder: pragmatic, multicentre, randomised controlled non-inferiority trial (RAPID). </w:t>
      </w:r>
      <w:proofErr w:type="spellStart"/>
      <w:r w:rsidRPr="008860CA">
        <w:rPr>
          <w:rFonts w:asciiTheme="minorHAnsi" w:hAnsiTheme="minorHAnsi"/>
          <w:i/>
          <w:iCs/>
          <w:sz w:val="24"/>
          <w:szCs w:val="24"/>
        </w:rPr>
        <w:t>bmj</w:t>
      </w:r>
      <w:proofErr w:type="spellEnd"/>
      <w:r w:rsidRPr="008860CA">
        <w:rPr>
          <w:rFonts w:asciiTheme="minorHAnsi" w:hAnsiTheme="minorHAnsi"/>
          <w:sz w:val="24"/>
          <w:szCs w:val="24"/>
        </w:rPr>
        <w:t>, </w:t>
      </w:r>
      <w:r w:rsidRPr="008860CA">
        <w:rPr>
          <w:rFonts w:asciiTheme="minorHAnsi" w:hAnsiTheme="minorHAnsi"/>
          <w:i/>
          <w:iCs/>
          <w:sz w:val="24"/>
          <w:szCs w:val="24"/>
        </w:rPr>
        <w:t>377</w:t>
      </w:r>
      <w:r w:rsidRPr="008860CA">
        <w:rPr>
          <w:rFonts w:asciiTheme="minorHAnsi" w:hAnsiTheme="minorHAnsi"/>
          <w:sz w:val="24"/>
          <w:szCs w:val="24"/>
        </w:rPr>
        <w:t>.</w:t>
      </w:r>
    </w:p>
    <w:p w14:paraId="457C9120" w14:textId="77777777" w:rsidR="006C6BAD" w:rsidRDefault="006C6BAD" w:rsidP="00D51AFB">
      <w:pPr>
        <w:spacing w:line="360" w:lineRule="auto"/>
        <w:rPr>
          <w:rFonts w:asciiTheme="minorHAnsi" w:hAnsiTheme="minorHAnsi"/>
          <w:sz w:val="24"/>
          <w:szCs w:val="24"/>
        </w:rPr>
      </w:pPr>
    </w:p>
    <w:p w14:paraId="652232F5" w14:textId="77777777" w:rsidR="006C6BAD" w:rsidRDefault="006C6BAD" w:rsidP="00D51AFB">
      <w:pPr>
        <w:spacing w:line="360" w:lineRule="auto"/>
        <w:rPr>
          <w:rFonts w:asciiTheme="minorHAnsi" w:hAnsiTheme="minorHAnsi"/>
          <w:sz w:val="24"/>
          <w:szCs w:val="24"/>
        </w:rPr>
      </w:pPr>
      <w:r w:rsidRPr="00D51AFB">
        <w:rPr>
          <w:rFonts w:asciiTheme="minorHAnsi" w:hAnsiTheme="minorHAnsi"/>
          <w:sz w:val="24"/>
          <w:szCs w:val="24"/>
        </w:rPr>
        <w:t>Bladen, C., Kennell, J., Abson, E. and Wilde, N., 2022. </w:t>
      </w:r>
      <w:r w:rsidRPr="00D51AFB">
        <w:rPr>
          <w:rFonts w:asciiTheme="minorHAnsi" w:hAnsiTheme="minorHAnsi"/>
          <w:i/>
          <w:iCs/>
          <w:sz w:val="24"/>
          <w:szCs w:val="24"/>
        </w:rPr>
        <w:t>Events management: An introduction</w:t>
      </w:r>
      <w:r w:rsidRPr="00D51AFB">
        <w:rPr>
          <w:rFonts w:asciiTheme="minorHAnsi" w:hAnsiTheme="minorHAnsi"/>
          <w:sz w:val="24"/>
          <w:szCs w:val="24"/>
        </w:rPr>
        <w:t>. Routledge.</w:t>
      </w:r>
    </w:p>
    <w:p w14:paraId="440E6ED5" w14:textId="77777777" w:rsidR="006C6BAD" w:rsidRDefault="006C6BAD" w:rsidP="00D51AFB">
      <w:pPr>
        <w:spacing w:line="360" w:lineRule="auto"/>
        <w:rPr>
          <w:rFonts w:asciiTheme="minorHAnsi" w:hAnsiTheme="minorHAnsi"/>
          <w:sz w:val="24"/>
          <w:szCs w:val="24"/>
        </w:rPr>
      </w:pPr>
    </w:p>
    <w:p w14:paraId="614ECB49" w14:textId="46BC8755" w:rsidR="00B302F9" w:rsidRDefault="00B302F9" w:rsidP="00D51AFB">
      <w:pPr>
        <w:spacing w:line="360" w:lineRule="auto"/>
        <w:rPr>
          <w:rFonts w:asciiTheme="minorHAnsi" w:hAnsiTheme="minorHAnsi"/>
          <w:sz w:val="24"/>
          <w:szCs w:val="24"/>
        </w:rPr>
      </w:pPr>
      <w:r w:rsidRPr="00B302F9">
        <w:rPr>
          <w:rFonts w:asciiTheme="minorHAnsi" w:hAnsiTheme="minorHAnsi"/>
          <w:sz w:val="24"/>
          <w:szCs w:val="24"/>
        </w:rPr>
        <w:t>Bornstein, B.H. and Schwartz, S.L., 2009. Injured body, injured mind: Dealing with damages for psychological harm. </w:t>
      </w:r>
      <w:r w:rsidRPr="00B302F9">
        <w:rPr>
          <w:rFonts w:asciiTheme="minorHAnsi" w:hAnsiTheme="minorHAnsi"/>
          <w:i/>
          <w:iCs/>
          <w:sz w:val="24"/>
          <w:szCs w:val="24"/>
        </w:rPr>
        <w:t>Jury Expert</w:t>
      </w:r>
      <w:r w:rsidRPr="00B302F9">
        <w:rPr>
          <w:rFonts w:asciiTheme="minorHAnsi" w:hAnsiTheme="minorHAnsi"/>
          <w:sz w:val="24"/>
          <w:szCs w:val="24"/>
        </w:rPr>
        <w:t>, </w:t>
      </w:r>
      <w:r w:rsidRPr="00B302F9">
        <w:rPr>
          <w:rFonts w:asciiTheme="minorHAnsi" w:hAnsiTheme="minorHAnsi"/>
          <w:i/>
          <w:iCs/>
          <w:sz w:val="24"/>
          <w:szCs w:val="24"/>
        </w:rPr>
        <w:t>21</w:t>
      </w:r>
      <w:r w:rsidRPr="00B302F9">
        <w:rPr>
          <w:rFonts w:asciiTheme="minorHAnsi" w:hAnsiTheme="minorHAnsi"/>
          <w:sz w:val="24"/>
          <w:szCs w:val="24"/>
        </w:rPr>
        <w:t>, p.33.</w:t>
      </w:r>
    </w:p>
    <w:p w14:paraId="05FDF77D" w14:textId="77777777" w:rsidR="00B302F9" w:rsidRDefault="00B302F9" w:rsidP="00D51AFB">
      <w:pPr>
        <w:spacing w:line="360" w:lineRule="auto"/>
        <w:rPr>
          <w:rFonts w:asciiTheme="minorHAnsi" w:hAnsiTheme="minorHAnsi"/>
          <w:sz w:val="24"/>
          <w:szCs w:val="24"/>
        </w:rPr>
      </w:pPr>
    </w:p>
    <w:p w14:paraId="6C09DCDC" w14:textId="77777777" w:rsidR="006C6BAD" w:rsidRDefault="006C6BAD" w:rsidP="00D51AFB">
      <w:pPr>
        <w:spacing w:line="360" w:lineRule="auto"/>
        <w:rPr>
          <w:rFonts w:asciiTheme="minorHAnsi" w:hAnsiTheme="minorHAnsi"/>
          <w:sz w:val="24"/>
          <w:szCs w:val="24"/>
        </w:rPr>
      </w:pPr>
      <w:r w:rsidRPr="00D51AFB">
        <w:rPr>
          <w:rFonts w:asciiTheme="minorHAnsi" w:hAnsiTheme="minorHAnsi"/>
          <w:sz w:val="24"/>
          <w:szCs w:val="24"/>
        </w:rPr>
        <w:t xml:space="preserve">Bowdin, G., Allen, J., Harris, R., McDonnell, I. and </w:t>
      </w:r>
      <w:proofErr w:type="spellStart"/>
      <w:r w:rsidRPr="00D51AFB">
        <w:rPr>
          <w:rFonts w:asciiTheme="minorHAnsi" w:hAnsiTheme="minorHAnsi"/>
          <w:sz w:val="24"/>
          <w:szCs w:val="24"/>
        </w:rPr>
        <w:t>O'toole</w:t>
      </w:r>
      <w:proofErr w:type="spellEnd"/>
      <w:r w:rsidRPr="00D51AFB">
        <w:rPr>
          <w:rFonts w:asciiTheme="minorHAnsi" w:hAnsiTheme="minorHAnsi"/>
          <w:sz w:val="24"/>
          <w:szCs w:val="24"/>
        </w:rPr>
        <w:t>, W., 2012. </w:t>
      </w:r>
      <w:r w:rsidRPr="00D51AFB">
        <w:rPr>
          <w:rFonts w:asciiTheme="minorHAnsi" w:hAnsiTheme="minorHAnsi"/>
          <w:i/>
          <w:iCs/>
          <w:sz w:val="24"/>
          <w:szCs w:val="24"/>
        </w:rPr>
        <w:t>Events management</w:t>
      </w:r>
      <w:r w:rsidRPr="00D51AFB">
        <w:rPr>
          <w:rFonts w:asciiTheme="minorHAnsi" w:hAnsiTheme="minorHAnsi"/>
          <w:sz w:val="24"/>
          <w:szCs w:val="24"/>
        </w:rPr>
        <w:t xml:space="preserve">. Routledge. – This book details about event management </w:t>
      </w:r>
    </w:p>
    <w:p w14:paraId="49ADD32B" w14:textId="77777777" w:rsidR="006C6BAD" w:rsidRDefault="006C6BAD" w:rsidP="00D51AFB">
      <w:pPr>
        <w:spacing w:line="360" w:lineRule="auto"/>
        <w:rPr>
          <w:rFonts w:asciiTheme="minorHAnsi" w:hAnsiTheme="minorHAnsi"/>
          <w:sz w:val="24"/>
          <w:szCs w:val="24"/>
        </w:rPr>
      </w:pPr>
    </w:p>
    <w:p w14:paraId="516AC76D" w14:textId="77777777" w:rsidR="006C6BAD" w:rsidRDefault="006C6BAD" w:rsidP="00D51AFB">
      <w:pPr>
        <w:spacing w:line="360" w:lineRule="auto"/>
        <w:rPr>
          <w:rFonts w:asciiTheme="minorHAnsi" w:hAnsiTheme="minorHAnsi"/>
          <w:sz w:val="24"/>
          <w:szCs w:val="24"/>
        </w:rPr>
      </w:pPr>
      <w:r w:rsidRPr="008F6777">
        <w:rPr>
          <w:rFonts w:asciiTheme="minorHAnsi" w:hAnsiTheme="minorHAnsi"/>
          <w:sz w:val="24"/>
          <w:szCs w:val="24"/>
        </w:rPr>
        <w:t>Chapman, D., Dennis, S., Joyce, B., Donalds, A.C. and Sime, M.J.C., 2010. UK Fireworks Surveillance for Compliance with ADR and the UN Default Classification of Fireworks. </w:t>
      </w:r>
      <w:r w:rsidRPr="008F6777">
        <w:rPr>
          <w:rFonts w:asciiTheme="minorHAnsi" w:hAnsiTheme="minorHAnsi"/>
          <w:i/>
          <w:iCs/>
          <w:sz w:val="24"/>
          <w:szCs w:val="24"/>
        </w:rPr>
        <w:t>Journal of Pyrotechnics</w:t>
      </w:r>
      <w:r w:rsidRPr="008F6777">
        <w:rPr>
          <w:rFonts w:asciiTheme="minorHAnsi" w:hAnsiTheme="minorHAnsi"/>
          <w:sz w:val="24"/>
          <w:szCs w:val="24"/>
        </w:rPr>
        <w:t>, (29), p.40.</w:t>
      </w:r>
    </w:p>
    <w:p w14:paraId="6A75DFAC" w14:textId="77777777" w:rsidR="006C6BAD" w:rsidRDefault="006C6BAD" w:rsidP="00D51AFB">
      <w:pPr>
        <w:spacing w:line="360" w:lineRule="auto"/>
        <w:rPr>
          <w:rFonts w:asciiTheme="minorHAnsi" w:hAnsiTheme="minorHAnsi"/>
          <w:sz w:val="24"/>
          <w:szCs w:val="24"/>
        </w:rPr>
      </w:pPr>
    </w:p>
    <w:p w14:paraId="087182D5" w14:textId="77777777" w:rsidR="006C6BAD" w:rsidRDefault="006C6BAD" w:rsidP="00D51AFB">
      <w:pPr>
        <w:spacing w:line="360" w:lineRule="auto"/>
        <w:rPr>
          <w:rFonts w:asciiTheme="minorHAnsi" w:hAnsiTheme="minorHAnsi"/>
          <w:sz w:val="24"/>
          <w:szCs w:val="24"/>
        </w:rPr>
      </w:pPr>
      <w:r w:rsidRPr="00D51AFB">
        <w:rPr>
          <w:rFonts w:asciiTheme="minorHAnsi" w:hAnsiTheme="minorHAnsi"/>
          <w:sz w:val="24"/>
          <w:szCs w:val="24"/>
        </w:rPr>
        <w:lastRenderedPageBreak/>
        <w:t>Dowson, R., Lomax, D. and Theodore-</w:t>
      </w:r>
      <w:proofErr w:type="spellStart"/>
      <w:r w:rsidRPr="00D51AFB">
        <w:rPr>
          <w:rFonts w:asciiTheme="minorHAnsi" w:hAnsiTheme="minorHAnsi"/>
          <w:sz w:val="24"/>
          <w:szCs w:val="24"/>
        </w:rPr>
        <w:t>Saltibus</w:t>
      </w:r>
      <w:proofErr w:type="spellEnd"/>
      <w:r w:rsidRPr="00D51AFB">
        <w:rPr>
          <w:rFonts w:asciiTheme="minorHAnsi" w:hAnsiTheme="minorHAnsi"/>
          <w:sz w:val="24"/>
          <w:szCs w:val="24"/>
        </w:rPr>
        <w:t>, B., 2014. Rave Culture. </w:t>
      </w:r>
      <w:r w:rsidRPr="00D51AFB">
        <w:rPr>
          <w:rFonts w:asciiTheme="minorHAnsi" w:hAnsiTheme="minorHAnsi"/>
          <w:i/>
          <w:iCs/>
          <w:sz w:val="24"/>
          <w:szCs w:val="24"/>
        </w:rPr>
        <w:t>Protests as Events: Politics, Activism and Leisure</w:t>
      </w:r>
      <w:r w:rsidRPr="00D51AFB">
        <w:rPr>
          <w:rFonts w:asciiTheme="minorHAnsi" w:hAnsiTheme="minorHAnsi"/>
          <w:sz w:val="24"/>
          <w:szCs w:val="24"/>
        </w:rPr>
        <w:t>, p.191.</w:t>
      </w:r>
    </w:p>
    <w:p w14:paraId="369C78F0" w14:textId="77777777" w:rsidR="006C6BAD" w:rsidRDefault="006C6BAD" w:rsidP="00D51AFB">
      <w:pPr>
        <w:spacing w:line="360" w:lineRule="auto"/>
        <w:rPr>
          <w:rFonts w:asciiTheme="minorHAnsi" w:hAnsiTheme="minorHAnsi"/>
          <w:sz w:val="24"/>
          <w:szCs w:val="24"/>
        </w:rPr>
      </w:pPr>
    </w:p>
    <w:p w14:paraId="05B4DDE1" w14:textId="77777777" w:rsidR="006C6BAD" w:rsidRDefault="006C6BAD" w:rsidP="00D51AFB">
      <w:pPr>
        <w:spacing w:line="360" w:lineRule="auto"/>
        <w:rPr>
          <w:rFonts w:asciiTheme="minorHAnsi" w:hAnsiTheme="minorHAnsi"/>
          <w:sz w:val="24"/>
          <w:szCs w:val="24"/>
        </w:rPr>
      </w:pPr>
      <w:r w:rsidRPr="005E0BC3">
        <w:rPr>
          <w:rFonts w:asciiTheme="minorHAnsi" w:hAnsiTheme="minorHAnsi"/>
          <w:sz w:val="24"/>
          <w:szCs w:val="24"/>
        </w:rPr>
        <w:t>Earl, C. and Raineri, A., 2005. Crowd management for outdoor music festivals. </w:t>
      </w:r>
      <w:r w:rsidRPr="005E0BC3">
        <w:rPr>
          <w:rFonts w:asciiTheme="minorHAnsi" w:hAnsiTheme="minorHAnsi"/>
          <w:i/>
          <w:iCs/>
          <w:sz w:val="24"/>
          <w:szCs w:val="24"/>
        </w:rPr>
        <w:t>Journal of Occupational Health and Safety, Australia and New Zealand</w:t>
      </w:r>
      <w:r w:rsidRPr="005E0BC3">
        <w:rPr>
          <w:rFonts w:asciiTheme="minorHAnsi" w:hAnsiTheme="minorHAnsi"/>
          <w:sz w:val="24"/>
          <w:szCs w:val="24"/>
        </w:rPr>
        <w:t>, </w:t>
      </w:r>
      <w:r w:rsidRPr="005E0BC3">
        <w:rPr>
          <w:rFonts w:asciiTheme="minorHAnsi" w:hAnsiTheme="minorHAnsi"/>
          <w:i/>
          <w:iCs/>
          <w:sz w:val="24"/>
          <w:szCs w:val="24"/>
        </w:rPr>
        <w:t>21</w:t>
      </w:r>
      <w:r w:rsidRPr="005E0BC3">
        <w:rPr>
          <w:rFonts w:asciiTheme="minorHAnsi" w:hAnsiTheme="minorHAnsi"/>
          <w:sz w:val="24"/>
          <w:szCs w:val="24"/>
        </w:rPr>
        <w:t>(3), pp.205-215.</w:t>
      </w:r>
    </w:p>
    <w:p w14:paraId="27CF0864" w14:textId="77777777" w:rsidR="006C6BAD" w:rsidRDefault="006C6BAD" w:rsidP="00D51AFB">
      <w:pPr>
        <w:spacing w:line="360" w:lineRule="auto"/>
        <w:rPr>
          <w:rFonts w:asciiTheme="minorHAnsi" w:hAnsiTheme="minorHAnsi"/>
          <w:sz w:val="24"/>
          <w:szCs w:val="24"/>
        </w:rPr>
      </w:pPr>
    </w:p>
    <w:p w14:paraId="47C94B43" w14:textId="1267DA96" w:rsidR="0094184C" w:rsidRDefault="0094184C" w:rsidP="004D3CC8">
      <w:pPr>
        <w:spacing w:line="360" w:lineRule="auto"/>
        <w:rPr>
          <w:rFonts w:asciiTheme="minorHAnsi" w:hAnsiTheme="minorHAnsi"/>
          <w:sz w:val="24"/>
          <w:szCs w:val="24"/>
        </w:rPr>
      </w:pPr>
      <w:r w:rsidRPr="0094184C">
        <w:rPr>
          <w:rFonts w:asciiTheme="minorHAnsi" w:hAnsiTheme="minorHAnsi"/>
          <w:sz w:val="24"/>
          <w:szCs w:val="24"/>
        </w:rPr>
        <w:t xml:space="preserve">Ehlers, A., Wild, J., Warnock-Parkes, E., Grey, N., Murray, H., Kerr, A., Rozental, A., Thew, G., Janecka, M., </w:t>
      </w:r>
      <w:proofErr w:type="spellStart"/>
      <w:r w:rsidRPr="0094184C">
        <w:rPr>
          <w:rFonts w:asciiTheme="minorHAnsi" w:hAnsiTheme="minorHAnsi"/>
          <w:sz w:val="24"/>
          <w:szCs w:val="24"/>
        </w:rPr>
        <w:t>Beierl</w:t>
      </w:r>
      <w:proofErr w:type="spellEnd"/>
      <w:r w:rsidRPr="0094184C">
        <w:rPr>
          <w:rFonts w:asciiTheme="minorHAnsi" w:hAnsiTheme="minorHAnsi"/>
          <w:sz w:val="24"/>
          <w:szCs w:val="24"/>
        </w:rPr>
        <w:t xml:space="preserve">, E.T. and </w:t>
      </w:r>
      <w:proofErr w:type="spellStart"/>
      <w:r w:rsidRPr="0094184C">
        <w:rPr>
          <w:rFonts w:asciiTheme="minorHAnsi" w:hAnsiTheme="minorHAnsi"/>
          <w:sz w:val="24"/>
          <w:szCs w:val="24"/>
        </w:rPr>
        <w:t>Tsiachristas</w:t>
      </w:r>
      <w:proofErr w:type="spellEnd"/>
      <w:r w:rsidRPr="0094184C">
        <w:rPr>
          <w:rFonts w:asciiTheme="minorHAnsi" w:hAnsiTheme="minorHAnsi"/>
          <w:sz w:val="24"/>
          <w:szCs w:val="24"/>
        </w:rPr>
        <w:t>, A., 2023. Therapist-assisted online psychological therapies differing in trauma focus for post-traumatic stress disorder (STOP-PTSD): a UK-based, single-blind, randomised controlled trial. </w:t>
      </w:r>
      <w:r w:rsidRPr="0094184C">
        <w:rPr>
          <w:rFonts w:asciiTheme="minorHAnsi" w:hAnsiTheme="minorHAnsi"/>
          <w:i/>
          <w:iCs/>
          <w:sz w:val="24"/>
          <w:szCs w:val="24"/>
        </w:rPr>
        <w:t>The Lancet Psychiatry</w:t>
      </w:r>
      <w:r w:rsidRPr="0094184C">
        <w:rPr>
          <w:rFonts w:asciiTheme="minorHAnsi" w:hAnsiTheme="minorHAnsi"/>
          <w:sz w:val="24"/>
          <w:szCs w:val="24"/>
        </w:rPr>
        <w:t>, </w:t>
      </w:r>
      <w:r w:rsidRPr="0094184C">
        <w:rPr>
          <w:rFonts w:asciiTheme="minorHAnsi" w:hAnsiTheme="minorHAnsi"/>
          <w:i/>
          <w:iCs/>
          <w:sz w:val="24"/>
          <w:szCs w:val="24"/>
        </w:rPr>
        <w:t>10</w:t>
      </w:r>
      <w:r w:rsidRPr="0094184C">
        <w:rPr>
          <w:rFonts w:asciiTheme="minorHAnsi" w:hAnsiTheme="minorHAnsi"/>
          <w:sz w:val="24"/>
          <w:szCs w:val="24"/>
        </w:rPr>
        <w:t>(8), pp.608-622.</w:t>
      </w:r>
    </w:p>
    <w:p w14:paraId="477C23D0" w14:textId="77777777" w:rsidR="0094184C" w:rsidRDefault="0094184C" w:rsidP="004D3CC8">
      <w:pPr>
        <w:spacing w:line="360" w:lineRule="auto"/>
        <w:rPr>
          <w:rFonts w:asciiTheme="minorHAnsi" w:hAnsiTheme="minorHAnsi"/>
          <w:sz w:val="24"/>
          <w:szCs w:val="24"/>
        </w:rPr>
      </w:pPr>
    </w:p>
    <w:p w14:paraId="06B0B292" w14:textId="105928BA" w:rsidR="006C6BAD" w:rsidRDefault="006C6BAD" w:rsidP="004D3CC8">
      <w:pPr>
        <w:spacing w:line="360" w:lineRule="auto"/>
        <w:rPr>
          <w:rFonts w:asciiTheme="minorHAnsi" w:hAnsiTheme="minorHAnsi"/>
          <w:sz w:val="24"/>
          <w:szCs w:val="24"/>
        </w:rPr>
      </w:pPr>
      <w:r w:rsidRPr="00CD1E87">
        <w:rPr>
          <w:rFonts w:asciiTheme="minorHAnsi" w:hAnsiTheme="minorHAnsi"/>
          <w:sz w:val="24"/>
          <w:szCs w:val="24"/>
        </w:rPr>
        <w:t>Feliciani, C., Shimura, K. and Nishinari, K., 2022. </w:t>
      </w:r>
      <w:r w:rsidRPr="00CD1E87">
        <w:rPr>
          <w:rFonts w:asciiTheme="minorHAnsi" w:hAnsiTheme="minorHAnsi"/>
          <w:i/>
          <w:iCs/>
          <w:sz w:val="24"/>
          <w:szCs w:val="24"/>
        </w:rPr>
        <w:t>Introduction to crowd management: Managing crowds in the digital era: Theory and Practice</w:t>
      </w:r>
      <w:r w:rsidRPr="00CD1E87">
        <w:rPr>
          <w:rFonts w:asciiTheme="minorHAnsi" w:hAnsiTheme="minorHAnsi"/>
          <w:sz w:val="24"/>
          <w:szCs w:val="24"/>
        </w:rPr>
        <w:t>. Springer Nature.</w:t>
      </w:r>
    </w:p>
    <w:p w14:paraId="244D38A1" w14:textId="77777777" w:rsidR="006C6BAD" w:rsidRDefault="006C6BAD" w:rsidP="004D3CC8">
      <w:pPr>
        <w:spacing w:line="360" w:lineRule="auto"/>
        <w:rPr>
          <w:rFonts w:asciiTheme="minorHAnsi" w:hAnsiTheme="minorHAnsi"/>
          <w:sz w:val="24"/>
          <w:szCs w:val="24"/>
        </w:rPr>
      </w:pPr>
    </w:p>
    <w:p w14:paraId="5051ECE2" w14:textId="7C1094B3" w:rsidR="00886642" w:rsidRDefault="00886642" w:rsidP="004D3CC8">
      <w:pPr>
        <w:spacing w:line="360" w:lineRule="auto"/>
        <w:rPr>
          <w:rFonts w:asciiTheme="minorHAnsi" w:hAnsiTheme="minorHAnsi"/>
          <w:sz w:val="24"/>
          <w:szCs w:val="24"/>
        </w:rPr>
      </w:pPr>
      <w:r w:rsidRPr="00886642">
        <w:rPr>
          <w:rFonts w:asciiTheme="minorHAnsi" w:hAnsiTheme="minorHAnsi"/>
          <w:sz w:val="24"/>
          <w:szCs w:val="24"/>
        </w:rPr>
        <w:t>Grey, B.J., 2014. The future of emotional harm. </w:t>
      </w:r>
      <w:r w:rsidRPr="00886642">
        <w:rPr>
          <w:rFonts w:asciiTheme="minorHAnsi" w:hAnsiTheme="minorHAnsi"/>
          <w:i/>
          <w:iCs/>
          <w:sz w:val="24"/>
          <w:szCs w:val="24"/>
        </w:rPr>
        <w:t>Fordham L. Rev.</w:t>
      </w:r>
      <w:r w:rsidRPr="00886642">
        <w:rPr>
          <w:rFonts w:asciiTheme="minorHAnsi" w:hAnsiTheme="minorHAnsi"/>
          <w:sz w:val="24"/>
          <w:szCs w:val="24"/>
        </w:rPr>
        <w:t>, </w:t>
      </w:r>
      <w:r w:rsidRPr="00886642">
        <w:rPr>
          <w:rFonts w:asciiTheme="minorHAnsi" w:hAnsiTheme="minorHAnsi"/>
          <w:i/>
          <w:iCs/>
          <w:sz w:val="24"/>
          <w:szCs w:val="24"/>
        </w:rPr>
        <w:t>83</w:t>
      </w:r>
      <w:r w:rsidRPr="00886642">
        <w:rPr>
          <w:rFonts w:asciiTheme="minorHAnsi" w:hAnsiTheme="minorHAnsi"/>
          <w:sz w:val="24"/>
          <w:szCs w:val="24"/>
        </w:rPr>
        <w:t>, p.2605.</w:t>
      </w:r>
    </w:p>
    <w:p w14:paraId="087A6664" w14:textId="77777777" w:rsidR="00886642" w:rsidRDefault="00886642" w:rsidP="004D3CC8">
      <w:pPr>
        <w:spacing w:line="360" w:lineRule="auto"/>
        <w:rPr>
          <w:rFonts w:asciiTheme="minorHAnsi" w:hAnsiTheme="minorHAnsi"/>
          <w:sz w:val="24"/>
          <w:szCs w:val="24"/>
        </w:rPr>
      </w:pPr>
    </w:p>
    <w:p w14:paraId="43BF367F" w14:textId="71F96A92" w:rsidR="006C6BAD" w:rsidRDefault="006C6BAD" w:rsidP="004D3CC8">
      <w:pPr>
        <w:spacing w:line="360" w:lineRule="auto"/>
        <w:rPr>
          <w:rFonts w:asciiTheme="minorHAnsi" w:hAnsiTheme="minorHAnsi"/>
          <w:sz w:val="24"/>
          <w:szCs w:val="24"/>
        </w:rPr>
      </w:pPr>
      <w:r w:rsidRPr="000864D4">
        <w:rPr>
          <w:rFonts w:asciiTheme="minorHAnsi" w:hAnsiTheme="minorHAnsi"/>
          <w:sz w:val="24"/>
          <w:szCs w:val="24"/>
        </w:rPr>
        <w:t>Horsey, K. and Rackley, E., 2023. </w:t>
      </w:r>
      <w:r w:rsidRPr="000864D4">
        <w:rPr>
          <w:rFonts w:asciiTheme="minorHAnsi" w:hAnsiTheme="minorHAnsi"/>
          <w:i/>
          <w:iCs/>
          <w:sz w:val="24"/>
          <w:szCs w:val="24"/>
        </w:rPr>
        <w:t>Casebook on Tort Law</w:t>
      </w:r>
      <w:r w:rsidRPr="000864D4">
        <w:rPr>
          <w:rFonts w:asciiTheme="minorHAnsi" w:hAnsiTheme="minorHAnsi"/>
          <w:sz w:val="24"/>
          <w:szCs w:val="24"/>
        </w:rPr>
        <w:t>. oxford university press.</w:t>
      </w:r>
    </w:p>
    <w:p w14:paraId="2326EF0F" w14:textId="77777777" w:rsidR="006C6BAD" w:rsidRDefault="006C6BAD" w:rsidP="004D3CC8">
      <w:pPr>
        <w:spacing w:line="360" w:lineRule="auto"/>
        <w:rPr>
          <w:rFonts w:asciiTheme="minorHAnsi" w:hAnsiTheme="minorHAnsi"/>
          <w:sz w:val="24"/>
          <w:szCs w:val="24"/>
        </w:rPr>
      </w:pPr>
    </w:p>
    <w:p w14:paraId="199A8D77" w14:textId="77777777" w:rsidR="006C6BAD" w:rsidRDefault="006C6BAD" w:rsidP="00D51AFB">
      <w:pPr>
        <w:spacing w:line="360" w:lineRule="auto"/>
        <w:rPr>
          <w:rFonts w:asciiTheme="minorHAnsi" w:hAnsiTheme="minorHAnsi"/>
          <w:sz w:val="24"/>
          <w:szCs w:val="24"/>
        </w:rPr>
      </w:pPr>
      <w:r w:rsidRPr="00A438BF">
        <w:rPr>
          <w:rFonts w:asciiTheme="minorHAnsi" w:hAnsiTheme="minorHAnsi"/>
          <w:sz w:val="24"/>
          <w:szCs w:val="24"/>
        </w:rPr>
        <w:t>Johnston, J.J., Jenkins, M. and McKinney, L.A., 2001. Fireworks related injuries: does changing legislation make a difference? A thought for next Hallowe'en. </w:t>
      </w:r>
      <w:r w:rsidRPr="00A438BF">
        <w:rPr>
          <w:rFonts w:asciiTheme="minorHAnsi" w:hAnsiTheme="minorHAnsi"/>
          <w:i/>
          <w:iCs/>
          <w:sz w:val="24"/>
          <w:szCs w:val="24"/>
        </w:rPr>
        <w:t>Emergency Medicine Journal</w:t>
      </w:r>
      <w:r w:rsidRPr="00A438BF">
        <w:rPr>
          <w:rFonts w:asciiTheme="minorHAnsi" w:hAnsiTheme="minorHAnsi"/>
          <w:sz w:val="24"/>
          <w:szCs w:val="24"/>
        </w:rPr>
        <w:t>, </w:t>
      </w:r>
      <w:r w:rsidRPr="00A438BF">
        <w:rPr>
          <w:rFonts w:asciiTheme="minorHAnsi" w:hAnsiTheme="minorHAnsi"/>
          <w:i/>
          <w:iCs/>
          <w:sz w:val="24"/>
          <w:szCs w:val="24"/>
        </w:rPr>
        <w:t>18</w:t>
      </w:r>
      <w:r w:rsidRPr="00A438BF">
        <w:rPr>
          <w:rFonts w:asciiTheme="minorHAnsi" w:hAnsiTheme="minorHAnsi"/>
          <w:sz w:val="24"/>
          <w:szCs w:val="24"/>
        </w:rPr>
        <w:t>(3), pp.232-232.</w:t>
      </w:r>
    </w:p>
    <w:p w14:paraId="525AD214" w14:textId="77777777" w:rsidR="006C6BAD" w:rsidRDefault="006C6BAD" w:rsidP="00D51AFB">
      <w:pPr>
        <w:spacing w:line="360" w:lineRule="auto"/>
        <w:rPr>
          <w:rFonts w:asciiTheme="minorHAnsi" w:hAnsiTheme="minorHAnsi"/>
          <w:sz w:val="24"/>
          <w:szCs w:val="24"/>
        </w:rPr>
      </w:pPr>
    </w:p>
    <w:p w14:paraId="5931D436" w14:textId="77777777" w:rsidR="006C6BAD" w:rsidRDefault="006C6BAD" w:rsidP="00D51AFB">
      <w:pPr>
        <w:spacing w:line="360" w:lineRule="auto"/>
        <w:rPr>
          <w:rFonts w:asciiTheme="minorHAnsi" w:hAnsiTheme="minorHAnsi"/>
          <w:sz w:val="24"/>
          <w:szCs w:val="24"/>
        </w:rPr>
      </w:pPr>
      <w:r w:rsidRPr="00D51AFB">
        <w:rPr>
          <w:rFonts w:asciiTheme="minorHAnsi" w:hAnsiTheme="minorHAnsi"/>
          <w:sz w:val="24"/>
          <w:szCs w:val="24"/>
        </w:rPr>
        <w:t>Kane, A.W. and Dvoskin, J.A., 2011. </w:t>
      </w:r>
      <w:r w:rsidRPr="00D51AFB">
        <w:rPr>
          <w:rFonts w:asciiTheme="minorHAnsi" w:hAnsiTheme="minorHAnsi"/>
          <w:i/>
          <w:iCs/>
          <w:sz w:val="24"/>
          <w:szCs w:val="24"/>
        </w:rPr>
        <w:t>Evaluation for personal injury claims</w:t>
      </w:r>
      <w:r w:rsidRPr="00D51AFB">
        <w:rPr>
          <w:rFonts w:asciiTheme="minorHAnsi" w:hAnsiTheme="minorHAnsi"/>
          <w:sz w:val="24"/>
          <w:szCs w:val="24"/>
        </w:rPr>
        <w:t>. Oxford University Press.</w:t>
      </w:r>
    </w:p>
    <w:p w14:paraId="2D3C61AC" w14:textId="77777777" w:rsidR="006C6BAD" w:rsidRDefault="006C6BAD" w:rsidP="00D51AFB">
      <w:pPr>
        <w:spacing w:line="360" w:lineRule="auto"/>
        <w:rPr>
          <w:rFonts w:asciiTheme="minorHAnsi" w:hAnsiTheme="minorHAnsi"/>
          <w:sz w:val="24"/>
          <w:szCs w:val="24"/>
        </w:rPr>
      </w:pPr>
    </w:p>
    <w:p w14:paraId="67A70E7B" w14:textId="77777777" w:rsidR="006C6BAD" w:rsidRDefault="006C6BAD" w:rsidP="00D51AFB">
      <w:pPr>
        <w:spacing w:line="360" w:lineRule="auto"/>
        <w:rPr>
          <w:rFonts w:asciiTheme="minorHAnsi" w:hAnsiTheme="minorHAnsi"/>
          <w:sz w:val="24"/>
          <w:szCs w:val="24"/>
        </w:rPr>
      </w:pPr>
      <w:r w:rsidRPr="004A58EB">
        <w:rPr>
          <w:rFonts w:asciiTheme="minorHAnsi" w:hAnsiTheme="minorHAnsi"/>
          <w:sz w:val="24"/>
          <w:szCs w:val="24"/>
        </w:rPr>
        <w:t>Kuhn, F., Morris, R., Witherspoon, C.D., Mann, L., Mester, V., Módis, L., Berta, A. and Bearden, W., 2000. Serious fireworks-related eye injuries. </w:t>
      </w:r>
      <w:r w:rsidRPr="004A58EB">
        <w:rPr>
          <w:rFonts w:asciiTheme="minorHAnsi" w:hAnsiTheme="minorHAnsi"/>
          <w:i/>
          <w:iCs/>
          <w:sz w:val="24"/>
          <w:szCs w:val="24"/>
        </w:rPr>
        <w:t>Ophthalmic epidemiology</w:t>
      </w:r>
      <w:r w:rsidRPr="004A58EB">
        <w:rPr>
          <w:rFonts w:asciiTheme="minorHAnsi" w:hAnsiTheme="minorHAnsi"/>
          <w:sz w:val="24"/>
          <w:szCs w:val="24"/>
        </w:rPr>
        <w:t>, </w:t>
      </w:r>
      <w:r w:rsidRPr="004A58EB">
        <w:rPr>
          <w:rFonts w:asciiTheme="minorHAnsi" w:hAnsiTheme="minorHAnsi"/>
          <w:i/>
          <w:iCs/>
          <w:sz w:val="24"/>
          <w:szCs w:val="24"/>
        </w:rPr>
        <w:t>7</w:t>
      </w:r>
      <w:r w:rsidRPr="004A58EB">
        <w:rPr>
          <w:rFonts w:asciiTheme="minorHAnsi" w:hAnsiTheme="minorHAnsi"/>
          <w:sz w:val="24"/>
          <w:szCs w:val="24"/>
        </w:rPr>
        <w:t>(2), pp.139-148.</w:t>
      </w:r>
    </w:p>
    <w:p w14:paraId="2A9619F3" w14:textId="77777777" w:rsidR="006C6BAD" w:rsidRDefault="006C6BAD" w:rsidP="00D51AFB">
      <w:pPr>
        <w:spacing w:line="360" w:lineRule="auto"/>
        <w:rPr>
          <w:rFonts w:asciiTheme="minorHAnsi" w:hAnsiTheme="minorHAnsi"/>
          <w:sz w:val="24"/>
          <w:szCs w:val="24"/>
        </w:rPr>
      </w:pPr>
    </w:p>
    <w:p w14:paraId="0EE36FFC" w14:textId="77777777" w:rsidR="006C6BAD" w:rsidRDefault="006C6BAD" w:rsidP="00A438BF">
      <w:pPr>
        <w:spacing w:line="360" w:lineRule="auto"/>
        <w:rPr>
          <w:rFonts w:asciiTheme="minorHAnsi" w:hAnsiTheme="minorHAnsi"/>
          <w:sz w:val="24"/>
          <w:szCs w:val="24"/>
        </w:rPr>
      </w:pPr>
      <w:r w:rsidRPr="00D51AFB">
        <w:rPr>
          <w:rFonts w:asciiTheme="minorHAnsi" w:hAnsiTheme="minorHAnsi"/>
          <w:sz w:val="24"/>
          <w:szCs w:val="24"/>
        </w:rPr>
        <w:t>Lindsey, K., 2011. </w:t>
      </w:r>
      <w:r w:rsidRPr="00D51AFB">
        <w:rPr>
          <w:rFonts w:asciiTheme="minorHAnsi" w:hAnsiTheme="minorHAnsi"/>
          <w:i/>
          <w:iCs/>
          <w:sz w:val="24"/>
          <w:szCs w:val="24"/>
        </w:rPr>
        <w:t>Planning and Managing a Corporate Event</w:t>
      </w:r>
      <w:r w:rsidRPr="00D51AFB">
        <w:rPr>
          <w:rFonts w:asciiTheme="minorHAnsi" w:hAnsiTheme="minorHAnsi"/>
          <w:sz w:val="24"/>
          <w:szCs w:val="24"/>
        </w:rPr>
        <w:t>. Hachette UK.</w:t>
      </w:r>
    </w:p>
    <w:p w14:paraId="2FCA2A43" w14:textId="77777777" w:rsidR="006C6BAD" w:rsidRDefault="006C6BAD" w:rsidP="00A438BF">
      <w:pPr>
        <w:spacing w:line="360" w:lineRule="auto"/>
        <w:rPr>
          <w:rFonts w:asciiTheme="minorHAnsi" w:hAnsiTheme="minorHAnsi"/>
          <w:sz w:val="24"/>
          <w:szCs w:val="24"/>
        </w:rPr>
      </w:pPr>
    </w:p>
    <w:p w14:paraId="464BCE38" w14:textId="77777777" w:rsidR="006C6BAD" w:rsidRDefault="006C6BAD" w:rsidP="00D51AFB">
      <w:pPr>
        <w:spacing w:line="360" w:lineRule="auto"/>
        <w:rPr>
          <w:rFonts w:asciiTheme="minorHAnsi" w:hAnsiTheme="minorHAnsi"/>
          <w:sz w:val="24"/>
          <w:szCs w:val="24"/>
        </w:rPr>
      </w:pPr>
      <w:r w:rsidRPr="007C4001">
        <w:rPr>
          <w:rFonts w:asciiTheme="minorHAnsi" w:hAnsiTheme="minorHAnsi"/>
          <w:sz w:val="24"/>
          <w:szCs w:val="24"/>
        </w:rPr>
        <w:lastRenderedPageBreak/>
        <w:t>Lund, A. and Turris, S., 2017. The event chain of survival in the context of music festivals: a framework for improving outcomes at major planned events. </w:t>
      </w:r>
      <w:r w:rsidRPr="007C4001">
        <w:rPr>
          <w:rFonts w:asciiTheme="minorHAnsi" w:hAnsiTheme="minorHAnsi"/>
          <w:i/>
          <w:iCs/>
          <w:sz w:val="24"/>
          <w:szCs w:val="24"/>
        </w:rPr>
        <w:t>Prehospital and disaster medicine</w:t>
      </w:r>
      <w:r w:rsidRPr="007C4001">
        <w:rPr>
          <w:rFonts w:asciiTheme="minorHAnsi" w:hAnsiTheme="minorHAnsi"/>
          <w:sz w:val="24"/>
          <w:szCs w:val="24"/>
        </w:rPr>
        <w:t>, </w:t>
      </w:r>
      <w:r w:rsidRPr="007C4001">
        <w:rPr>
          <w:rFonts w:asciiTheme="minorHAnsi" w:hAnsiTheme="minorHAnsi"/>
          <w:i/>
          <w:iCs/>
          <w:sz w:val="24"/>
          <w:szCs w:val="24"/>
        </w:rPr>
        <w:t>32</w:t>
      </w:r>
      <w:r w:rsidRPr="007C4001">
        <w:rPr>
          <w:rFonts w:asciiTheme="minorHAnsi" w:hAnsiTheme="minorHAnsi"/>
          <w:sz w:val="24"/>
          <w:szCs w:val="24"/>
        </w:rPr>
        <w:t>(4), pp.437-443.</w:t>
      </w:r>
    </w:p>
    <w:p w14:paraId="75751ED2" w14:textId="77777777" w:rsidR="006C6BAD" w:rsidRDefault="006C6BAD" w:rsidP="00D51AFB">
      <w:pPr>
        <w:spacing w:line="360" w:lineRule="auto"/>
        <w:rPr>
          <w:rFonts w:asciiTheme="minorHAnsi" w:hAnsiTheme="minorHAnsi"/>
          <w:sz w:val="24"/>
          <w:szCs w:val="24"/>
        </w:rPr>
      </w:pPr>
    </w:p>
    <w:p w14:paraId="454927D3" w14:textId="2B35EB04" w:rsidR="000A6E3F" w:rsidRDefault="000A6E3F" w:rsidP="00D51AFB">
      <w:pPr>
        <w:spacing w:line="360" w:lineRule="auto"/>
        <w:rPr>
          <w:rFonts w:asciiTheme="minorHAnsi" w:hAnsiTheme="minorHAnsi"/>
          <w:sz w:val="24"/>
          <w:szCs w:val="24"/>
        </w:rPr>
      </w:pPr>
      <w:proofErr w:type="spellStart"/>
      <w:r w:rsidRPr="000A6E3F">
        <w:rPr>
          <w:rFonts w:asciiTheme="minorHAnsi" w:hAnsiTheme="minorHAnsi"/>
          <w:sz w:val="24"/>
          <w:szCs w:val="24"/>
        </w:rPr>
        <w:t>Maercker</w:t>
      </w:r>
      <w:proofErr w:type="spellEnd"/>
      <w:r w:rsidRPr="000A6E3F">
        <w:rPr>
          <w:rFonts w:asciiTheme="minorHAnsi" w:hAnsiTheme="minorHAnsi"/>
          <w:sz w:val="24"/>
          <w:szCs w:val="24"/>
        </w:rPr>
        <w:t xml:space="preserve">, A., </w:t>
      </w:r>
      <w:proofErr w:type="spellStart"/>
      <w:r w:rsidRPr="000A6E3F">
        <w:rPr>
          <w:rFonts w:asciiTheme="minorHAnsi" w:hAnsiTheme="minorHAnsi"/>
          <w:sz w:val="24"/>
          <w:szCs w:val="24"/>
        </w:rPr>
        <w:t>Cloitre</w:t>
      </w:r>
      <w:proofErr w:type="spellEnd"/>
      <w:r w:rsidRPr="000A6E3F">
        <w:rPr>
          <w:rFonts w:asciiTheme="minorHAnsi" w:hAnsiTheme="minorHAnsi"/>
          <w:sz w:val="24"/>
          <w:szCs w:val="24"/>
        </w:rPr>
        <w:t xml:space="preserve">, M., </w:t>
      </w:r>
      <w:proofErr w:type="spellStart"/>
      <w:r w:rsidRPr="000A6E3F">
        <w:rPr>
          <w:rFonts w:asciiTheme="minorHAnsi" w:hAnsiTheme="minorHAnsi"/>
          <w:sz w:val="24"/>
          <w:szCs w:val="24"/>
        </w:rPr>
        <w:t>Bachem</w:t>
      </w:r>
      <w:proofErr w:type="spellEnd"/>
      <w:r w:rsidRPr="000A6E3F">
        <w:rPr>
          <w:rFonts w:asciiTheme="minorHAnsi" w:hAnsiTheme="minorHAnsi"/>
          <w:sz w:val="24"/>
          <w:szCs w:val="24"/>
        </w:rPr>
        <w:t>, R., Schlumpf, Y.R., Khoury, B., Hitchcock, C. and Bohus, M., 2022. Complex post-traumatic stress disorder. </w:t>
      </w:r>
      <w:r w:rsidRPr="000A6E3F">
        <w:rPr>
          <w:rFonts w:asciiTheme="minorHAnsi" w:hAnsiTheme="minorHAnsi"/>
          <w:i/>
          <w:iCs/>
          <w:sz w:val="24"/>
          <w:szCs w:val="24"/>
        </w:rPr>
        <w:t>The lancet</w:t>
      </w:r>
      <w:r w:rsidRPr="000A6E3F">
        <w:rPr>
          <w:rFonts w:asciiTheme="minorHAnsi" w:hAnsiTheme="minorHAnsi"/>
          <w:sz w:val="24"/>
          <w:szCs w:val="24"/>
        </w:rPr>
        <w:t>, </w:t>
      </w:r>
      <w:r w:rsidRPr="000A6E3F">
        <w:rPr>
          <w:rFonts w:asciiTheme="minorHAnsi" w:hAnsiTheme="minorHAnsi"/>
          <w:i/>
          <w:iCs/>
          <w:sz w:val="24"/>
          <w:szCs w:val="24"/>
        </w:rPr>
        <w:t>400</w:t>
      </w:r>
      <w:r w:rsidRPr="000A6E3F">
        <w:rPr>
          <w:rFonts w:asciiTheme="minorHAnsi" w:hAnsiTheme="minorHAnsi"/>
          <w:sz w:val="24"/>
          <w:szCs w:val="24"/>
        </w:rPr>
        <w:t>(10345), pp.60-72.</w:t>
      </w:r>
    </w:p>
    <w:p w14:paraId="1332A2E4" w14:textId="77777777" w:rsidR="000A6E3F" w:rsidRDefault="000A6E3F" w:rsidP="00D51AFB">
      <w:pPr>
        <w:spacing w:line="360" w:lineRule="auto"/>
        <w:rPr>
          <w:rFonts w:asciiTheme="minorHAnsi" w:hAnsiTheme="minorHAnsi"/>
          <w:sz w:val="24"/>
          <w:szCs w:val="24"/>
        </w:rPr>
      </w:pPr>
    </w:p>
    <w:p w14:paraId="76DC34B5" w14:textId="323C1E70" w:rsidR="00007377" w:rsidRDefault="00007377" w:rsidP="00D51AFB">
      <w:pPr>
        <w:spacing w:line="360" w:lineRule="auto"/>
        <w:rPr>
          <w:rFonts w:asciiTheme="minorHAnsi" w:hAnsiTheme="minorHAnsi"/>
          <w:sz w:val="24"/>
          <w:szCs w:val="24"/>
        </w:rPr>
      </w:pPr>
      <w:r w:rsidRPr="00007377">
        <w:rPr>
          <w:rFonts w:asciiTheme="minorHAnsi" w:hAnsiTheme="minorHAnsi"/>
          <w:sz w:val="24"/>
          <w:szCs w:val="24"/>
        </w:rPr>
        <w:t>Merians, A.N., Spiller, T., Harpaz-Rotem, I., Krystal, J.H. and Pietrzak, R.H., 2023. Post-traumatic stress disorder. </w:t>
      </w:r>
      <w:r w:rsidRPr="00007377">
        <w:rPr>
          <w:rFonts w:asciiTheme="minorHAnsi" w:hAnsiTheme="minorHAnsi"/>
          <w:i/>
          <w:iCs/>
          <w:sz w:val="24"/>
          <w:szCs w:val="24"/>
        </w:rPr>
        <w:t>Medical Clinics</w:t>
      </w:r>
      <w:r w:rsidRPr="00007377">
        <w:rPr>
          <w:rFonts w:asciiTheme="minorHAnsi" w:hAnsiTheme="minorHAnsi"/>
          <w:sz w:val="24"/>
          <w:szCs w:val="24"/>
        </w:rPr>
        <w:t>, </w:t>
      </w:r>
      <w:r w:rsidRPr="00007377">
        <w:rPr>
          <w:rFonts w:asciiTheme="minorHAnsi" w:hAnsiTheme="minorHAnsi"/>
          <w:i/>
          <w:iCs/>
          <w:sz w:val="24"/>
          <w:szCs w:val="24"/>
        </w:rPr>
        <w:t>107</w:t>
      </w:r>
      <w:r w:rsidRPr="00007377">
        <w:rPr>
          <w:rFonts w:asciiTheme="minorHAnsi" w:hAnsiTheme="minorHAnsi"/>
          <w:sz w:val="24"/>
          <w:szCs w:val="24"/>
        </w:rPr>
        <w:t>(1), pp.85-99.</w:t>
      </w:r>
    </w:p>
    <w:p w14:paraId="1C269C85" w14:textId="77777777" w:rsidR="00007377" w:rsidRDefault="00007377" w:rsidP="00D51AFB">
      <w:pPr>
        <w:spacing w:line="360" w:lineRule="auto"/>
        <w:rPr>
          <w:rFonts w:asciiTheme="minorHAnsi" w:hAnsiTheme="minorHAnsi"/>
          <w:sz w:val="24"/>
          <w:szCs w:val="24"/>
        </w:rPr>
      </w:pPr>
    </w:p>
    <w:p w14:paraId="6533129B" w14:textId="77777777" w:rsidR="006C6BAD" w:rsidRDefault="006C6BAD" w:rsidP="00D51AFB">
      <w:pPr>
        <w:spacing w:line="360" w:lineRule="auto"/>
        <w:rPr>
          <w:rFonts w:asciiTheme="minorHAnsi" w:hAnsiTheme="minorHAnsi"/>
          <w:sz w:val="24"/>
          <w:szCs w:val="24"/>
        </w:rPr>
      </w:pPr>
      <w:proofErr w:type="spellStart"/>
      <w:r w:rsidRPr="00135B71">
        <w:rPr>
          <w:rFonts w:asciiTheme="minorHAnsi" w:hAnsiTheme="minorHAnsi"/>
          <w:sz w:val="24"/>
          <w:szCs w:val="24"/>
        </w:rPr>
        <w:t>Muckett</w:t>
      </w:r>
      <w:proofErr w:type="spellEnd"/>
      <w:r w:rsidRPr="00135B71">
        <w:rPr>
          <w:rFonts w:asciiTheme="minorHAnsi" w:hAnsiTheme="minorHAnsi"/>
          <w:sz w:val="24"/>
          <w:szCs w:val="24"/>
        </w:rPr>
        <w:t>, M. and Furness, A., 2007. </w:t>
      </w:r>
      <w:r w:rsidRPr="00135B71">
        <w:rPr>
          <w:rFonts w:asciiTheme="minorHAnsi" w:hAnsiTheme="minorHAnsi"/>
          <w:i/>
          <w:iCs/>
          <w:sz w:val="24"/>
          <w:szCs w:val="24"/>
        </w:rPr>
        <w:t>Introduction to fire safety management</w:t>
      </w:r>
      <w:r w:rsidRPr="00135B71">
        <w:rPr>
          <w:rFonts w:asciiTheme="minorHAnsi" w:hAnsiTheme="minorHAnsi"/>
          <w:sz w:val="24"/>
          <w:szCs w:val="24"/>
        </w:rPr>
        <w:t>. Routledge.</w:t>
      </w:r>
    </w:p>
    <w:p w14:paraId="2294432A" w14:textId="77777777" w:rsidR="006C6BAD" w:rsidRDefault="006C6BAD" w:rsidP="00D51AFB">
      <w:pPr>
        <w:spacing w:line="360" w:lineRule="auto"/>
        <w:rPr>
          <w:rFonts w:asciiTheme="minorHAnsi" w:hAnsiTheme="minorHAnsi"/>
          <w:sz w:val="24"/>
          <w:szCs w:val="24"/>
        </w:rPr>
      </w:pPr>
    </w:p>
    <w:p w14:paraId="735DC376" w14:textId="28BD3605" w:rsidR="006C6BAD" w:rsidRDefault="006C6BAD" w:rsidP="00D51AFB">
      <w:pPr>
        <w:spacing w:line="360" w:lineRule="auto"/>
        <w:rPr>
          <w:rFonts w:asciiTheme="minorHAnsi" w:hAnsiTheme="minorHAnsi"/>
          <w:sz w:val="24"/>
          <w:szCs w:val="24"/>
        </w:rPr>
      </w:pPr>
      <w:r w:rsidRPr="0080381B">
        <w:rPr>
          <w:rFonts w:asciiTheme="minorHAnsi" w:hAnsiTheme="minorHAnsi"/>
          <w:sz w:val="24"/>
          <w:szCs w:val="24"/>
        </w:rPr>
        <w:t xml:space="preserve">Nallathambi, I., </w:t>
      </w:r>
      <w:proofErr w:type="spellStart"/>
      <w:r w:rsidRPr="0080381B">
        <w:rPr>
          <w:rFonts w:asciiTheme="minorHAnsi" w:hAnsiTheme="minorHAnsi"/>
          <w:sz w:val="24"/>
          <w:szCs w:val="24"/>
        </w:rPr>
        <w:t>Savaram</w:t>
      </w:r>
      <w:proofErr w:type="spellEnd"/>
      <w:r w:rsidRPr="0080381B">
        <w:rPr>
          <w:rFonts w:asciiTheme="minorHAnsi" w:hAnsiTheme="minorHAnsi"/>
          <w:sz w:val="24"/>
          <w:szCs w:val="24"/>
        </w:rPr>
        <w:t xml:space="preserve">, P., </w:t>
      </w:r>
      <w:proofErr w:type="spellStart"/>
      <w:r w:rsidRPr="0080381B">
        <w:rPr>
          <w:rFonts w:asciiTheme="minorHAnsi" w:hAnsiTheme="minorHAnsi"/>
          <w:sz w:val="24"/>
          <w:szCs w:val="24"/>
        </w:rPr>
        <w:t>Sengan</w:t>
      </w:r>
      <w:proofErr w:type="spellEnd"/>
      <w:r w:rsidRPr="0080381B">
        <w:rPr>
          <w:rFonts w:asciiTheme="minorHAnsi" w:hAnsiTheme="minorHAnsi"/>
          <w:sz w:val="24"/>
          <w:szCs w:val="24"/>
        </w:rPr>
        <w:t xml:space="preserve">, S., Alharbi, M., </w:t>
      </w:r>
      <w:proofErr w:type="spellStart"/>
      <w:r w:rsidRPr="0080381B">
        <w:rPr>
          <w:rFonts w:asciiTheme="minorHAnsi" w:hAnsiTheme="minorHAnsi"/>
          <w:sz w:val="24"/>
          <w:szCs w:val="24"/>
        </w:rPr>
        <w:t>Alshathri</w:t>
      </w:r>
      <w:proofErr w:type="spellEnd"/>
      <w:r w:rsidRPr="0080381B">
        <w:rPr>
          <w:rFonts w:asciiTheme="minorHAnsi" w:hAnsiTheme="minorHAnsi"/>
          <w:sz w:val="24"/>
          <w:szCs w:val="24"/>
        </w:rPr>
        <w:t>, S., Bajaj, M., Aly, M.H. and El-Shafai, W., 2023. Impact of fireworks industry safety measures and prevention management system on human error mitigation using a machine learning approach</w:t>
      </w:r>
      <w:r w:rsidR="00547EEA">
        <w:rPr>
          <w:rFonts w:asciiTheme="minorHAnsi" w:hAnsiTheme="minorHAnsi"/>
          <w:sz w:val="24"/>
          <w:szCs w:val="24"/>
        </w:rPr>
        <w:t>.</w:t>
      </w:r>
    </w:p>
    <w:p w14:paraId="6AE97D52" w14:textId="77777777" w:rsidR="00547EEA" w:rsidRDefault="00547EEA" w:rsidP="00D51AFB">
      <w:pPr>
        <w:spacing w:line="360" w:lineRule="auto"/>
        <w:rPr>
          <w:rFonts w:asciiTheme="minorHAnsi" w:hAnsiTheme="minorHAnsi"/>
          <w:sz w:val="24"/>
          <w:szCs w:val="24"/>
        </w:rPr>
      </w:pPr>
    </w:p>
    <w:p w14:paraId="49D48C05" w14:textId="59F036D6" w:rsidR="00547EEA" w:rsidRDefault="00547EEA" w:rsidP="00D51AFB">
      <w:pPr>
        <w:spacing w:line="360" w:lineRule="auto"/>
        <w:rPr>
          <w:rFonts w:asciiTheme="minorHAnsi" w:hAnsiTheme="minorHAnsi"/>
          <w:sz w:val="24"/>
          <w:szCs w:val="24"/>
        </w:rPr>
      </w:pPr>
      <w:proofErr w:type="spellStart"/>
      <w:r w:rsidRPr="00547EEA">
        <w:rPr>
          <w:rFonts w:asciiTheme="minorHAnsi" w:hAnsiTheme="minorHAnsi"/>
          <w:sz w:val="24"/>
          <w:szCs w:val="24"/>
        </w:rPr>
        <w:t>Neyers</w:t>
      </w:r>
      <w:proofErr w:type="spellEnd"/>
      <w:r w:rsidRPr="00547EEA">
        <w:rPr>
          <w:rFonts w:asciiTheme="minorHAnsi" w:hAnsiTheme="minorHAnsi"/>
          <w:sz w:val="24"/>
          <w:szCs w:val="24"/>
        </w:rPr>
        <w:t>, J.W., 2005. A theory of vicarious liability. </w:t>
      </w:r>
      <w:r w:rsidRPr="00547EEA">
        <w:rPr>
          <w:rFonts w:asciiTheme="minorHAnsi" w:hAnsiTheme="minorHAnsi"/>
          <w:i/>
          <w:iCs/>
          <w:sz w:val="24"/>
          <w:szCs w:val="24"/>
        </w:rPr>
        <w:t>Alta. L. Rev.</w:t>
      </w:r>
      <w:r w:rsidRPr="00547EEA">
        <w:rPr>
          <w:rFonts w:asciiTheme="minorHAnsi" w:hAnsiTheme="minorHAnsi"/>
          <w:sz w:val="24"/>
          <w:szCs w:val="24"/>
        </w:rPr>
        <w:t>, </w:t>
      </w:r>
      <w:r w:rsidRPr="00547EEA">
        <w:rPr>
          <w:rFonts w:asciiTheme="minorHAnsi" w:hAnsiTheme="minorHAnsi"/>
          <w:i/>
          <w:iCs/>
          <w:sz w:val="24"/>
          <w:szCs w:val="24"/>
        </w:rPr>
        <w:t>43</w:t>
      </w:r>
      <w:r w:rsidRPr="00547EEA">
        <w:rPr>
          <w:rFonts w:asciiTheme="minorHAnsi" w:hAnsiTheme="minorHAnsi"/>
          <w:sz w:val="24"/>
          <w:szCs w:val="24"/>
        </w:rPr>
        <w:t>, p.287.</w:t>
      </w:r>
    </w:p>
    <w:p w14:paraId="60010CA9" w14:textId="77777777" w:rsidR="006C6BAD" w:rsidRDefault="006C6BAD" w:rsidP="00D51AFB">
      <w:pPr>
        <w:spacing w:line="360" w:lineRule="auto"/>
        <w:rPr>
          <w:rFonts w:asciiTheme="minorHAnsi" w:hAnsiTheme="minorHAnsi"/>
          <w:sz w:val="24"/>
          <w:szCs w:val="24"/>
        </w:rPr>
      </w:pPr>
    </w:p>
    <w:p w14:paraId="6F206912" w14:textId="77777777" w:rsidR="006C6BAD" w:rsidRDefault="006C6BAD" w:rsidP="00D51AFB">
      <w:pPr>
        <w:spacing w:line="360" w:lineRule="auto"/>
        <w:rPr>
          <w:rFonts w:asciiTheme="minorHAnsi" w:hAnsiTheme="minorHAnsi"/>
          <w:sz w:val="24"/>
          <w:szCs w:val="24"/>
        </w:rPr>
      </w:pPr>
      <w:r w:rsidRPr="00EF3F63">
        <w:rPr>
          <w:rFonts w:asciiTheme="minorHAnsi" w:hAnsiTheme="minorHAnsi"/>
          <w:sz w:val="24"/>
          <w:szCs w:val="24"/>
        </w:rPr>
        <w:t>O'Toole, W., 2019. </w:t>
      </w:r>
      <w:r w:rsidRPr="00EF3F63">
        <w:rPr>
          <w:rFonts w:asciiTheme="minorHAnsi" w:hAnsiTheme="minorHAnsi"/>
          <w:i/>
          <w:iCs/>
          <w:sz w:val="24"/>
          <w:szCs w:val="24"/>
        </w:rPr>
        <w:t>Crowd Management: Risk, security and health</w:t>
      </w:r>
      <w:r w:rsidRPr="00EF3F63">
        <w:rPr>
          <w:rFonts w:asciiTheme="minorHAnsi" w:hAnsiTheme="minorHAnsi"/>
          <w:sz w:val="24"/>
          <w:szCs w:val="24"/>
        </w:rPr>
        <w:t>. Goodfellow Publishers Ltd.</w:t>
      </w:r>
    </w:p>
    <w:p w14:paraId="3E78A726" w14:textId="77777777" w:rsidR="006C6BAD" w:rsidRDefault="006C6BAD" w:rsidP="00D51AFB">
      <w:pPr>
        <w:spacing w:line="360" w:lineRule="auto"/>
        <w:rPr>
          <w:rFonts w:asciiTheme="minorHAnsi" w:hAnsiTheme="minorHAnsi"/>
          <w:sz w:val="24"/>
          <w:szCs w:val="24"/>
        </w:rPr>
      </w:pPr>
    </w:p>
    <w:p w14:paraId="4A2B4BC4" w14:textId="77777777" w:rsidR="00FE4B76" w:rsidRDefault="00FE4B76" w:rsidP="00D51AFB">
      <w:pPr>
        <w:spacing w:line="360" w:lineRule="auto"/>
        <w:rPr>
          <w:rFonts w:asciiTheme="minorHAnsi" w:hAnsiTheme="minorHAnsi"/>
          <w:sz w:val="24"/>
          <w:szCs w:val="24"/>
        </w:rPr>
      </w:pPr>
    </w:p>
    <w:p w14:paraId="6426FBF4" w14:textId="341BA285" w:rsidR="00FE4B76" w:rsidRDefault="00FE4B76" w:rsidP="00D51AFB">
      <w:pPr>
        <w:spacing w:line="360" w:lineRule="auto"/>
        <w:rPr>
          <w:rFonts w:asciiTheme="minorHAnsi" w:hAnsiTheme="minorHAnsi"/>
          <w:sz w:val="24"/>
          <w:szCs w:val="24"/>
        </w:rPr>
      </w:pPr>
      <w:r w:rsidRPr="00FE4B76">
        <w:rPr>
          <w:rFonts w:asciiTheme="minorHAnsi" w:hAnsiTheme="minorHAnsi"/>
          <w:sz w:val="24"/>
          <w:szCs w:val="24"/>
        </w:rPr>
        <w:t xml:space="preserve">Ressler, K.J., Berretta, S., Bolshakov, V.Y., Rosso, I.M., Meloni, E.G., Rauch, S.L. and </w:t>
      </w:r>
      <w:proofErr w:type="spellStart"/>
      <w:r w:rsidRPr="00FE4B76">
        <w:rPr>
          <w:rFonts w:asciiTheme="minorHAnsi" w:hAnsiTheme="minorHAnsi"/>
          <w:sz w:val="24"/>
          <w:szCs w:val="24"/>
        </w:rPr>
        <w:t>Carlezon</w:t>
      </w:r>
      <w:proofErr w:type="spellEnd"/>
      <w:r w:rsidRPr="00FE4B76">
        <w:rPr>
          <w:rFonts w:asciiTheme="minorHAnsi" w:hAnsiTheme="minorHAnsi"/>
          <w:sz w:val="24"/>
          <w:szCs w:val="24"/>
        </w:rPr>
        <w:t xml:space="preserve"> Jr, W.A., 2022. Post-traumatic stress disorder: clinical and translational neuroscience from cells to circuits. </w:t>
      </w:r>
      <w:r w:rsidRPr="00FE4B76">
        <w:rPr>
          <w:rFonts w:asciiTheme="minorHAnsi" w:hAnsiTheme="minorHAnsi"/>
          <w:i/>
          <w:iCs/>
          <w:sz w:val="24"/>
          <w:szCs w:val="24"/>
        </w:rPr>
        <w:t>Nature Reviews Neurology</w:t>
      </w:r>
      <w:r w:rsidRPr="00FE4B76">
        <w:rPr>
          <w:rFonts w:asciiTheme="minorHAnsi" w:hAnsiTheme="minorHAnsi"/>
          <w:sz w:val="24"/>
          <w:szCs w:val="24"/>
        </w:rPr>
        <w:t>, </w:t>
      </w:r>
      <w:r w:rsidRPr="00FE4B76">
        <w:rPr>
          <w:rFonts w:asciiTheme="minorHAnsi" w:hAnsiTheme="minorHAnsi"/>
          <w:i/>
          <w:iCs/>
          <w:sz w:val="24"/>
          <w:szCs w:val="24"/>
        </w:rPr>
        <w:t>18</w:t>
      </w:r>
      <w:r w:rsidRPr="00FE4B76">
        <w:rPr>
          <w:rFonts w:asciiTheme="minorHAnsi" w:hAnsiTheme="minorHAnsi"/>
          <w:sz w:val="24"/>
          <w:szCs w:val="24"/>
        </w:rPr>
        <w:t>(5), pp.273-288.</w:t>
      </w:r>
    </w:p>
    <w:p w14:paraId="01D8486D" w14:textId="77777777" w:rsidR="00FE4B76" w:rsidRDefault="00FE4B76" w:rsidP="00D51AFB">
      <w:pPr>
        <w:spacing w:line="360" w:lineRule="auto"/>
        <w:rPr>
          <w:rFonts w:asciiTheme="minorHAnsi" w:hAnsiTheme="minorHAnsi"/>
          <w:sz w:val="24"/>
          <w:szCs w:val="24"/>
        </w:rPr>
      </w:pPr>
    </w:p>
    <w:p w14:paraId="496BC443" w14:textId="77777777" w:rsidR="006C6BAD" w:rsidRDefault="006C6BAD" w:rsidP="00D51AFB">
      <w:pPr>
        <w:spacing w:line="360" w:lineRule="auto"/>
        <w:rPr>
          <w:rFonts w:asciiTheme="minorHAnsi" w:hAnsiTheme="minorHAnsi"/>
          <w:sz w:val="24"/>
          <w:szCs w:val="24"/>
        </w:rPr>
      </w:pPr>
      <w:proofErr w:type="spellStart"/>
      <w:r w:rsidRPr="00173397">
        <w:rPr>
          <w:rFonts w:asciiTheme="minorHAnsi" w:hAnsiTheme="minorHAnsi"/>
          <w:sz w:val="24"/>
          <w:szCs w:val="24"/>
        </w:rPr>
        <w:t>Scraton</w:t>
      </w:r>
      <w:proofErr w:type="spellEnd"/>
      <w:r w:rsidRPr="00173397">
        <w:rPr>
          <w:rFonts w:asciiTheme="minorHAnsi" w:hAnsiTheme="minorHAnsi"/>
          <w:sz w:val="24"/>
          <w:szCs w:val="24"/>
        </w:rPr>
        <w:t>, P., 1999. Policing with contempt: The degrading of truth and denial of justice in the aftermath of the Hillsborough disaster. </w:t>
      </w:r>
      <w:r w:rsidRPr="00173397">
        <w:rPr>
          <w:rFonts w:asciiTheme="minorHAnsi" w:hAnsiTheme="minorHAnsi"/>
          <w:i/>
          <w:iCs/>
          <w:sz w:val="24"/>
          <w:szCs w:val="24"/>
        </w:rPr>
        <w:t>Journal of Law and Society</w:t>
      </w:r>
      <w:r w:rsidRPr="00173397">
        <w:rPr>
          <w:rFonts w:asciiTheme="minorHAnsi" w:hAnsiTheme="minorHAnsi"/>
          <w:sz w:val="24"/>
          <w:szCs w:val="24"/>
        </w:rPr>
        <w:t>, </w:t>
      </w:r>
      <w:r w:rsidRPr="00173397">
        <w:rPr>
          <w:rFonts w:asciiTheme="minorHAnsi" w:hAnsiTheme="minorHAnsi"/>
          <w:i/>
          <w:iCs/>
          <w:sz w:val="24"/>
          <w:szCs w:val="24"/>
        </w:rPr>
        <w:t>26</w:t>
      </w:r>
      <w:r w:rsidRPr="00173397">
        <w:rPr>
          <w:rFonts w:asciiTheme="minorHAnsi" w:hAnsiTheme="minorHAnsi"/>
          <w:sz w:val="24"/>
          <w:szCs w:val="24"/>
        </w:rPr>
        <w:t>(3), pp.273-297.</w:t>
      </w:r>
    </w:p>
    <w:p w14:paraId="6A1A0EA8" w14:textId="77777777" w:rsidR="006C6BAD" w:rsidRDefault="006C6BAD" w:rsidP="00D51AFB">
      <w:pPr>
        <w:spacing w:line="360" w:lineRule="auto"/>
        <w:rPr>
          <w:rFonts w:asciiTheme="minorHAnsi" w:hAnsiTheme="minorHAnsi"/>
          <w:sz w:val="24"/>
          <w:szCs w:val="24"/>
        </w:rPr>
      </w:pPr>
    </w:p>
    <w:p w14:paraId="46550765" w14:textId="77777777" w:rsidR="006C6BAD" w:rsidRDefault="006C6BAD" w:rsidP="00D51AFB">
      <w:pPr>
        <w:spacing w:line="360" w:lineRule="auto"/>
        <w:rPr>
          <w:rFonts w:asciiTheme="minorHAnsi" w:hAnsiTheme="minorHAnsi"/>
          <w:sz w:val="24"/>
          <w:szCs w:val="24"/>
        </w:rPr>
      </w:pPr>
      <w:proofErr w:type="spellStart"/>
      <w:r w:rsidRPr="004A58EB">
        <w:rPr>
          <w:rFonts w:asciiTheme="minorHAnsi" w:hAnsiTheme="minorHAnsi"/>
          <w:sz w:val="24"/>
          <w:szCs w:val="24"/>
        </w:rPr>
        <w:t>Scraton</w:t>
      </w:r>
      <w:proofErr w:type="spellEnd"/>
      <w:r w:rsidRPr="004A58EB">
        <w:rPr>
          <w:rFonts w:asciiTheme="minorHAnsi" w:hAnsiTheme="minorHAnsi"/>
          <w:sz w:val="24"/>
          <w:szCs w:val="24"/>
        </w:rPr>
        <w:t>, P., 2016. </w:t>
      </w:r>
      <w:r w:rsidRPr="004A58EB">
        <w:rPr>
          <w:rFonts w:asciiTheme="minorHAnsi" w:hAnsiTheme="minorHAnsi"/>
          <w:i/>
          <w:iCs/>
          <w:sz w:val="24"/>
          <w:szCs w:val="24"/>
        </w:rPr>
        <w:t>Hillsborough-the truth</w:t>
      </w:r>
      <w:r w:rsidRPr="004A58EB">
        <w:rPr>
          <w:rFonts w:asciiTheme="minorHAnsi" w:hAnsiTheme="minorHAnsi"/>
          <w:sz w:val="24"/>
          <w:szCs w:val="24"/>
        </w:rPr>
        <w:t>. Random House.</w:t>
      </w:r>
    </w:p>
    <w:p w14:paraId="1CA7DBA0" w14:textId="77777777" w:rsidR="00270FC1" w:rsidRDefault="00270FC1" w:rsidP="00D51AFB">
      <w:pPr>
        <w:spacing w:line="360" w:lineRule="auto"/>
        <w:rPr>
          <w:rFonts w:asciiTheme="minorHAnsi" w:hAnsiTheme="minorHAnsi"/>
          <w:sz w:val="24"/>
          <w:szCs w:val="24"/>
        </w:rPr>
      </w:pPr>
    </w:p>
    <w:p w14:paraId="3B3721C4" w14:textId="4C1A94F1" w:rsidR="00270FC1" w:rsidRDefault="00270FC1" w:rsidP="00D51AFB">
      <w:pPr>
        <w:spacing w:line="360" w:lineRule="auto"/>
        <w:rPr>
          <w:rFonts w:asciiTheme="minorHAnsi" w:hAnsiTheme="minorHAnsi"/>
          <w:sz w:val="24"/>
          <w:szCs w:val="24"/>
        </w:rPr>
      </w:pPr>
      <w:r w:rsidRPr="00270FC1">
        <w:rPr>
          <w:rFonts w:asciiTheme="minorHAnsi" w:hAnsiTheme="minorHAnsi"/>
          <w:sz w:val="24"/>
          <w:szCs w:val="24"/>
        </w:rPr>
        <w:t>Schwartz, G.T., 1995. Hidden and Fundamental Issue of Employer Vicarious Liability, The. </w:t>
      </w:r>
      <w:r w:rsidRPr="00270FC1">
        <w:rPr>
          <w:rFonts w:asciiTheme="minorHAnsi" w:hAnsiTheme="minorHAnsi"/>
          <w:i/>
          <w:iCs/>
          <w:sz w:val="24"/>
          <w:szCs w:val="24"/>
        </w:rPr>
        <w:t>S. Cal. L. Rev.</w:t>
      </w:r>
      <w:r w:rsidRPr="00270FC1">
        <w:rPr>
          <w:rFonts w:asciiTheme="minorHAnsi" w:hAnsiTheme="minorHAnsi"/>
          <w:sz w:val="24"/>
          <w:szCs w:val="24"/>
        </w:rPr>
        <w:t>, </w:t>
      </w:r>
      <w:r w:rsidRPr="00270FC1">
        <w:rPr>
          <w:rFonts w:asciiTheme="minorHAnsi" w:hAnsiTheme="minorHAnsi"/>
          <w:i/>
          <w:iCs/>
          <w:sz w:val="24"/>
          <w:szCs w:val="24"/>
        </w:rPr>
        <w:t>69</w:t>
      </w:r>
      <w:r w:rsidRPr="00270FC1">
        <w:rPr>
          <w:rFonts w:asciiTheme="minorHAnsi" w:hAnsiTheme="minorHAnsi"/>
          <w:sz w:val="24"/>
          <w:szCs w:val="24"/>
        </w:rPr>
        <w:t>, p.1739.</w:t>
      </w:r>
    </w:p>
    <w:p w14:paraId="1AB2FCEB" w14:textId="77777777" w:rsidR="006C6BAD" w:rsidRDefault="006C6BAD" w:rsidP="00D51AFB">
      <w:pPr>
        <w:spacing w:line="360" w:lineRule="auto"/>
        <w:rPr>
          <w:rFonts w:asciiTheme="minorHAnsi" w:hAnsiTheme="minorHAnsi"/>
          <w:sz w:val="24"/>
          <w:szCs w:val="24"/>
        </w:rPr>
      </w:pPr>
    </w:p>
    <w:p w14:paraId="47098B5A" w14:textId="77777777" w:rsidR="006C6BAD" w:rsidRDefault="006C6BAD" w:rsidP="00D51AFB">
      <w:pPr>
        <w:spacing w:line="360" w:lineRule="auto"/>
        <w:rPr>
          <w:rFonts w:asciiTheme="minorHAnsi" w:hAnsiTheme="minorHAnsi"/>
          <w:sz w:val="24"/>
          <w:szCs w:val="24"/>
        </w:rPr>
      </w:pPr>
      <w:r w:rsidRPr="00405051">
        <w:rPr>
          <w:rFonts w:asciiTheme="minorHAnsi" w:hAnsiTheme="minorHAnsi"/>
          <w:sz w:val="24"/>
          <w:szCs w:val="24"/>
        </w:rPr>
        <w:t xml:space="preserve">Sealy, W.C., 2020. Managing the Risks: An Observation of Crowd Management and Other Risks Associated </w:t>
      </w:r>
      <w:proofErr w:type="gramStart"/>
      <w:r w:rsidRPr="00405051">
        <w:rPr>
          <w:rFonts w:asciiTheme="minorHAnsi" w:hAnsiTheme="minorHAnsi"/>
          <w:sz w:val="24"/>
          <w:szCs w:val="24"/>
        </w:rPr>
        <w:t>With</w:t>
      </w:r>
      <w:proofErr w:type="gramEnd"/>
      <w:r w:rsidRPr="00405051">
        <w:rPr>
          <w:rFonts w:asciiTheme="minorHAnsi" w:hAnsiTheme="minorHAnsi"/>
          <w:sz w:val="24"/>
          <w:szCs w:val="24"/>
        </w:rPr>
        <w:t xml:space="preserve"> Outdoor Music Festivals in the UK. In </w:t>
      </w:r>
      <w:r w:rsidRPr="00405051">
        <w:rPr>
          <w:rFonts w:asciiTheme="minorHAnsi" w:hAnsiTheme="minorHAnsi"/>
          <w:i/>
          <w:iCs/>
          <w:sz w:val="24"/>
          <w:szCs w:val="24"/>
        </w:rPr>
        <w:t>Legal, Safety, and Environmental Challenges for Event Management: Emerging Research and Opportunities</w:t>
      </w:r>
      <w:r w:rsidRPr="00405051">
        <w:rPr>
          <w:rFonts w:asciiTheme="minorHAnsi" w:hAnsiTheme="minorHAnsi"/>
          <w:sz w:val="24"/>
          <w:szCs w:val="24"/>
        </w:rPr>
        <w:t> (pp. 55-83). IGI Global.</w:t>
      </w:r>
    </w:p>
    <w:p w14:paraId="381E8668" w14:textId="77777777" w:rsidR="006C6BAD" w:rsidRDefault="006C6BAD" w:rsidP="00D51AFB">
      <w:pPr>
        <w:spacing w:line="360" w:lineRule="auto"/>
        <w:rPr>
          <w:rFonts w:asciiTheme="minorHAnsi" w:hAnsiTheme="minorHAnsi"/>
          <w:sz w:val="24"/>
          <w:szCs w:val="24"/>
        </w:rPr>
      </w:pPr>
    </w:p>
    <w:p w14:paraId="771410F4" w14:textId="23F40E96" w:rsidR="005371BF" w:rsidRDefault="005371BF" w:rsidP="00D51AFB">
      <w:pPr>
        <w:spacing w:line="360" w:lineRule="auto"/>
        <w:rPr>
          <w:rFonts w:asciiTheme="minorHAnsi" w:hAnsiTheme="minorHAnsi"/>
          <w:sz w:val="24"/>
          <w:szCs w:val="24"/>
        </w:rPr>
      </w:pPr>
      <w:r w:rsidRPr="005371BF">
        <w:rPr>
          <w:rFonts w:asciiTheme="minorHAnsi" w:hAnsiTheme="minorHAnsi"/>
          <w:sz w:val="24"/>
          <w:szCs w:val="24"/>
        </w:rPr>
        <w:t>Simon, N., Robertson, L., Lewis, C., Roberts, N.P., Bethell, A., Dawson, S. and Bisson, J.I., 2021. Internet</w:t>
      </w:r>
      <w:r w:rsidRPr="005371BF">
        <w:rPr>
          <w:rFonts w:ascii="Cambria Math" w:hAnsi="Cambria Math" w:cs="Cambria Math"/>
          <w:sz w:val="24"/>
          <w:szCs w:val="24"/>
        </w:rPr>
        <w:t>‐</w:t>
      </w:r>
      <w:r w:rsidRPr="005371BF">
        <w:rPr>
          <w:rFonts w:asciiTheme="minorHAnsi" w:hAnsiTheme="minorHAnsi"/>
          <w:sz w:val="24"/>
          <w:szCs w:val="24"/>
        </w:rPr>
        <w:t>based cognitive and behavioural therapies for post</w:t>
      </w:r>
      <w:r w:rsidRPr="005371BF">
        <w:rPr>
          <w:rFonts w:ascii="Cambria Math" w:hAnsi="Cambria Math" w:cs="Cambria Math"/>
          <w:sz w:val="24"/>
          <w:szCs w:val="24"/>
        </w:rPr>
        <w:t>‐</w:t>
      </w:r>
      <w:r w:rsidRPr="005371BF">
        <w:rPr>
          <w:rFonts w:asciiTheme="minorHAnsi" w:hAnsiTheme="minorHAnsi"/>
          <w:sz w:val="24"/>
          <w:szCs w:val="24"/>
        </w:rPr>
        <w:t>traumatic stress disorder (PTSD) in adults.</w:t>
      </w:r>
      <w:r w:rsidRPr="005371BF">
        <w:rPr>
          <w:rFonts w:ascii="Aptos" w:hAnsi="Aptos" w:cs="Aptos"/>
          <w:sz w:val="24"/>
          <w:szCs w:val="24"/>
        </w:rPr>
        <w:t> </w:t>
      </w:r>
      <w:r w:rsidRPr="005371BF">
        <w:rPr>
          <w:rFonts w:asciiTheme="minorHAnsi" w:hAnsiTheme="minorHAnsi"/>
          <w:i/>
          <w:iCs/>
          <w:sz w:val="24"/>
          <w:szCs w:val="24"/>
        </w:rPr>
        <w:t>Cochrane database of systematic reviews</w:t>
      </w:r>
      <w:r w:rsidRPr="005371BF">
        <w:rPr>
          <w:rFonts w:asciiTheme="minorHAnsi" w:hAnsiTheme="minorHAnsi"/>
          <w:sz w:val="24"/>
          <w:szCs w:val="24"/>
        </w:rPr>
        <w:t>, (5).</w:t>
      </w:r>
    </w:p>
    <w:p w14:paraId="156438B3" w14:textId="77777777" w:rsidR="005371BF" w:rsidRDefault="005371BF" w:rsidP="00D51AFB">
      <w:pPr>
        <w:spacing w:line="360" w:lineRule="auto"/>
        <w:rPr>
          <w:rFonts w:asciiTheme="minorHAnsi" w:hAnsiTheme="minorHAnsi"/>
          <w:sz w:val="24"/>
          <w:szCs w:val="24"/>
        </w:rPr>
      </w:pPr>
    </w:p>
    <w:p w14:paraId="5433D77B" w14:textId="77777777" w:rsidR="006C6BAD" w:rsidRDefault="006C6BAD" w:rsidP="00D51AFB">
      <w:pPr>
        <w:spacing w:line="360" w:lineRule="auto"/>
        <w:rPr>
          <w:rFonts w:asciiTheme="minorHAnsi" w:hAnsiTheme="minorHAnsi"/>
          <w:sz w:val="24"/>
          <w:szCs w:val="24"/>
        </w:rPr>
      </w:pPr>
      <w:r w:rsidRPr="00D51AFB">
        <w:rPr>
          <w:rFonts w:asciiTheme="minorHAnsi" w:hAnsiTheme="minorHAnsi"/>
          <w:sz w:val="24"/>
          <w:szCs w:val="24"/>
        </w:rPr>
        <w:t>Sprague, C., 1997. Damages for Personal Injury and Loss of Life--The English Approach. </w:t>
      </w:r>
    </w:p>
    <w:p w14:paraId="41733BF1" w14:textId="77777777" w:rsidR="006C6BAD" w:rsidRDefault="006C6BAD" w:rsidP="00D51AFB">
      <w:pPr>
        <w:spacing w:line="360" w:lineRule="auto"/>
        <w:rPr>
          <w:rFonts w:asciiTheme="minorHAnsi" w:hAnsiTheme="minorHAnsi"/>
          <w:sz w:val="24"/>
          <w:szCs w:val="24"/>
        </w:rPr>
      </w:pPr>
    </w:p>
    <w:p w14:paraId="63DE7714" w14:textId="77777777" w:rsidR="006C6BAD" w:rsidRDefault="006C6BAD" w:rsidP="00D51AFB">
      <w:pPr>
        <w:spacing w:line="360" w:lineRule="auto"/>
        <w:rPr>
          <w:rFonts w:asciiTheme="minorHAnsi" w:hAnsiTheme="minorHAnsi"/>
          <w:sz w:val="24"/>
          <w:szCs w:val="24"/>
        </w:rPr>
      </w:pPr>
      <w:r w:rsidRPr="005C2C85">
        <w:rPr>
          <w:rFonts w:asciiTheme="minorHAnsi" w:hAnsiTheme="minorHAnsi"/>
          <w:sz w:val="24"/>
          <w:szCs w:val="24"/>
        </w:rPr>
        <w:t>Stott, C., Livingstone, A. and Hoggett, J., 2008. Policing football crowds in England and Wales: a model of ‘good practice</w:t>
      </w:r>
      <w:proofErr w:type="gramStart"/>
      <w:r w:rsidRPr="005C2C85">
        <w:rPr>
          <w:rFonts w:asciiTheme="minorHAnsi" w:hAnsiTheme="minorHAnsi"/>
          <w:sz w:val="24"/>
          <w:szCs w:val="24"/>
        </w:rPr>
        <w:t>’?.</w:t>
      </w:r>
      <w:proofErr w:type="gramEnd"/>
      <w:r w:rsidRPr="005C2C85">
        <w:rPr>
          <w:rFonts w:asciiTheme="minorHAnsi" w:hAnsiTheme="minorHAnsi"/>
          <w:sz w:val="24"/>
          <w:szCs w:val="24"/>
        </w:rPr>
        <w:t> </w:t>
      </w:r>
      <w:r w:rsidRPr="005C2C85">
        <w:rPr>
          <w:rFonts w:asciiTheme="minorHAnsi" w:hAnsiTheme="minorHAnsi"/>
          <w:i/>
          <w:iCs/>
          <w:sz w:val="24"/>
          <w:szCs w:val="24"/>
        </w:rPr>
        <w:t>Policing &amp; Society</w:t>
      </w:r>
      <w:r w:rsidRPr="005C2C85">
        <w:rPr>
          <w:rFonts w:asciiTheme="minorHAnsi" w:hAnsiTheme="minorHAnsi"/>
          <w:sz w:val="24"/>
          <w:szCs w:val="24"/>
        </w:rPr>
        <w:t>, </w:t>
      </w:r>
      <w:r w:rsidRPr="005C2C85">
        <w:rPr>
          <w:rFonts w:asciiTheme="minorHAnsi" w:hAnsiTheme="minorHAnsi"/>
          <w:i/>
          <w:iCs/>
          <w:sz w:val="24"/>
          <w:szCs w:val="24"/>
        </w:rPr>
        <w:t>18</w:t>
      </w:r>
      <w:r w:rsidRPr="005C2C85">
        <w:rPr>
          <w:rFonts w:asciiTheme="minorHAnsi" w:hAnsiTheme="minorHAnsi"/>
          <w:sz w:val="24"/>
          <w:szCs w:val="24"/>
        </w:rPr>
        <w:t>(3), pp.258-281.</w:t>
      </w:r>
    </w:p>
    <w:p w14:paraId="3972D4B4" w14:textId="77777777" w:rsidR="006C6BAD" w:rsidRDefault="006C6BAD" w:rsidP="00D51AFB">
      <w:pPr>
        <w:spacing w:line="360" w:lineRule="auto"/>
        <w:rPr>
          <w:rFonts w:asciiTheme="minorHAnsi" w:hAnsiTheme="minorHAnsi"/>
          <w:sz w:val="24"/>
          <w:szCs w:val="24"/>
        </w:rPr>
      </w:pPr>
    </w:p>
    <w:p w14:paraId="3769B4AC" w14:textId="2B8F98B1" w:rsidR="00F7513C" w:rsidRDefault="00F7513C" w:rsidP="00D51AFB">
      <w:pPr>
        <w:spacing w:line="360" w:lineRule="auto"/>
        <w:rPr>
          <w:rFonts w:asciiTheme="minorHAnsi" w:hAnsiTheme="minorHAnsi"/>
          <w:sz w:val="24"/>
          <w:szCs w:val="24"/>
        </w:rPr>
      </w:pPr>
      <w:r w:rsidRPr="00F7513C">
        <w:rPr>
          <w:rFonts w:asciiTheme="minorHAnsi" w:hAnsiTheme="minorHAnsi"/>
          <w:sz w:val="24"/>
          <w:szCs w:val="24"/>
        </w:rPr>
        <w:t xml:space="preserve">Turner, S., </w:t>
      </w:r>
      <w:proofErr w:type="spellStart"/>
      <w:r w:rsidRPr="00F7513C">
        <w:rPr>
          <w:rFonts w:asciiTheme="minorHAnsi" w:hAnsiTheme="minorHAnsi"/>
          <w:sz w:val="24"/>
          <w:szCs w:val="24"/>
        </w:rPr>
        <w:t>Belsi</w:t>
      </w:r>
      <w:proofErr w:type="spellEnd"/>
      <w:r w:rsidRPr="00F7513C">
        <w:rPr>
          <w:rFonts w:asciiTheme="minorHAnsi" w:hAnsiTheme="minorHAnsi"/>
          <w:sz w:val="24"/>
          <w:szCs w:val="24"/>
        </w:rPr>
        <w:t>, A. and McGregor, A.H., 2022. Issues faced by people with amputation (s) during lower limb prosthetic rehabilitation: a thematic analysis. </w:t>
      </w:r>
      <w:r w:rsidRPr="00F7513C">
        <w:rPr>
          <w:rFonts w:asciiTheme="minorHAnsi" w:hAnsiTheme="minorHAnsi"/>
          <w:i/>
          <w:iCs/>
          <w:sz w:val="24"/>
          <w:szCs w:val="24"/>
        </w:rPr>
        <w:t>Prosthetics and orthotics international</w:t>
      </w:r>
      <w:r w:rsidRPr="00F7513C">
        <w:rPr>
          <w:rFonts w:asciiTheme="minorHAnsi" w:hAnsiTheme="minorHAnsi"/>
          <w:sz w:val="24"/>
          <w:szCs w:val="24"/>
        </w:rPr>
        <w:t>, </w:t>
      </w:r>
      <w:r w:rsidRPr="00F7513C">
        <w:rPr>
          <w:rFonts w:asciiTheme="minorHAnsi" w:hAnsiTheme="minorHAnsi"/>
          <w:i/>
          <w:iCs/>
          <w:sz w:val="24"/>
          <w:szCs w:val="24"/>
        </w:rPr>
        <w:t>46</w:t>
      </w:r>
      <w:r w:rsidRPr="00F7513C">
        <w:rPr>
          <w:rFonts w:asciiTheme="minorHAnsi" w:hAnsiTheme="minorHAnsi"/>
          <w:sz w:val="24"/>
          <w:szCs w:val="24"/>
        </w:rPr>
        <w:t>(1), pp.61-67.</w:t>
      </w:r>
    </w:p>
    <w:p w14:paraId="0A176919" w14:textId="77777777" w:rsidR="00F7513C" w:rsidRDefault="00F7513C" w:rsidP="00D51AFB">
      <w:pPr>
        <w:spacing w:line="360" w:lineRule="auto"/>
        <w:rPr>
          <w:rFonts w:asciiTheme="minorHAnsi" w:hAnsiTheme="minorHAnsi"/>
          <w:sz w:val="24"/>
          <w:szCs w:val="24"/>
        </w:rPr>
      </w:pPr>
    </w:p>
    <w:p w14:paraId="688B1B98" w14:textId="77777777" w:rsidR="006C6BAD" w:rsidRPr="00D51AFB" w:rsidRDefault="006C6BAD" w:rsidP="00D51AFB">
      <w:pPr>
        <w:spacing w:line="360" w:lineRule="auto"/>
        <w:rPr>
          <w:rFonts w:asciiTheme="minorHAnsi" w:hAnsiTheme="minorHAnsi"/>
          <w:sz w:val="24"/>
          <w:szCs w:val="24"/>
        </w:rPr>
      </w:pPr>
      <w:r w:rsidRPr="004A58EB">
        <w:rPr>
          <w:rFonts w:asciiTheme="minorHAnsi" w:hAnsiTheme="minorHAnsi"/>
          <w:sz w:val="24"/>
          <w:szCs w:val="24"/>
        </w:rPr>
        <w:t>Wardrope, J., Ryan, F., Clark, G., Venables, G., Crosby, A.C. and Redgrave, P., 1991. The Hillsborough tragedy. </w:t>
      </w:r>
      <w:r w:rsidRPr="004A58EB">
        <w:rPr>
          <w:rFonts w:asciiTheme="minorHAnsi" w:hAnsiTheme="minorHAnsi"/>
          <w:i/>
          <w:iCs/>
          <w:sz w:val="24"/>
          <w:szCs w:val="24"/>
        </w:rPr>
        <w:t>BMJ: British Medical Journal</w:t>
      </w:r>
      <w:r w:rsidRPr="004A58EB">
        <w:rPr>
          <w:rFonts w:asciiTheme="minorHAnsi" w:hAnsiTheme="minorHAnsi"/>
          <w:sz w:val="24"/>
          <w:szCs w:val="24"/>
        </w:rPr>
        <w:t>, </w:t>
      </w:r>
      <w:r w:rsidRPr="004A58EB">
        <w:rPr>
          <w:rFonts w:asciiTheme="minorHAnsi" w:hAnsiTheme="minorHAnsi"/>
          <w:i/>
          <w:iCs/>
          <w:sz w:val="24"/>
          <w:szCs w:val="24"/>
        </w:rPr>
        <w:t>303</w:t>
      </w:r>
      <w:r w:rsidRPr="004A58EB">
        <w:rPr>
          <w:rFonts w:asciiTheme="minorHAnsi" w:hAnsiTheme="minorHAnsi"/>
          <w:sz w:val="24"/>
          <w:szCs w:val="24"/>
        </w:rPr>
        <w:t>(6814), p.1381.</w:t>
      </w:r>
    </w:p>
    <w:sectPr w:rsidR="006C6BAD" w:rsidRPr="00D51A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8510C"/>
    <w:multiLevelType w:val="multilevel"/>
    <w:tmpl w:val="EE640D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0F3F81"/>
    <w:multiLevelType w:val="hybridMultilevel"/>
    <w:tmpl w:val="CE4CC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00171C"/>
    <w:multiLevelType w:val="multilevel"/>
    <w:tmpl w:val="98382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26155F"/>
    <w:multiLevelType w:val="multilevel"/>
    <w:tmpl w:val="72C0D30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526BCA"/>
    <w:multiLevelType w:val="multilevel"/>
    <w:tmpl w:val="CB88DA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FF1C45"/>
    <w:multiLevelType w:val="multilevel"/>
    <w:tmpl w:val="62247C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014329"/>
    <w:multiLevelType w:val="multilevel"/>
    <w:tmpl w:val="86085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CF74CC"/>
    <w:multiLevelType w:val="multilevel"/>
    <w:tmpl w:val="AB06821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numFmt w:val="bullet"/>
      <w:lvlText w:val="•"/>
      <w:lvlJc w:val="left"/>
      <w:pPr>
        <w:ind w:left="2160" w:hanging="360"/>
      </w:pPr>
      <w:rPr>
        <w:rFonts w:ascii="Aptos" w:eastAsia="Times New Roman" w:hAnsi="Aptos" w:cs="Times New Roman"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4A0E84"/>
    <w:multiLevelType w:val="hybridMultilevel"/>
    <w:tmpl w:val="0CBE247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62150F7"/>
    <w:multiLevelType w:val="hybridMultilevel"/>
    <w:tmpl w:val="BF98E43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39BA4134"/>
    <w:multiLevelType w:val="hybridMultilevel"/>
    <w:tmpl w:val="20C8E6F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39F77DB5"/>
    <w:multiLevelType w:val="multilevel"/>
    <w:tmpl w:val="96DAD0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DA323E"/>
    <w:multiLevelType w:val="multilevel"/>
    <w:tmpl w:val="61B273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262997"/>
    <w:multiLevelType w:val="multilevel"/>
    <w:tmpl w:val="98822D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1F46F6"/>
    <w:multiLevelType w:val="hybridMultilevel"/>
    <w:tmpl w:val="324AB33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55415466"/>
    <w:multiLevelType w:val="hybridMultilevel"/>
    <w:tmpl w:val="C3F8B8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6095952"/>
    <w:multiLevelType w:val="multilevel"/>
    <w:tmpl w:val="B1104A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425C80"/>
    <w:multiLevelType w:val="hybridMultilevel"/>
    <w:tmpl w:val="AF889BF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68740725"/>
    <w:multiLevelType w:val="multilevel"/>
    <w:tmpl w:val="72C0D30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91B0E7A"/>
    <w:multiLevelType w:val="multilevel"/>
    <w:tmpl w:val="3594CA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AEE057E"/>
    <w:multiLevelType w:val="hybridMultilevel"/>
    <w:tmpl w:val="6666E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597EB7"/>
    <w:multiLevelType w:val="multilevel"/>
    <w:tmpl w:val="FC24B2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7B82332"/>
    <w:multiLevelType w:val="multilevel"/>
    <w:tmpl w:val="FC24B2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5345CE"/>
    <w:multiLevelType w:val="hybridMultilevel"/>
    <w:tmpl w:val="3FAAD6D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7A91599D"/>
    <w:multiLevelType w:val="multilevel"/>
    <w:tmpl w:val="2482D5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5574052">
    <w:abstractNumId w:val="15"/>
  </w:num>
  <w:num w:numId="2" w16cid:durableId="510026651">
    <w:abstractNumId w:val="8"/>
  </w:num>
  <w:num w:numId="3" w16cid:durableId="717125884">
    <w:abstractNumId w:val="12"/>
  </w:num>
  <w:num w:numId="4" w16cid:durableId="1562595561">
    <w:abstractNumId w:val="5"/>
  </w:num>
  <w:num w:numId="5" w16cid:durableId="1715343984">
    <w:abstractNumId w:val="13"/>
  </w:num>
  <w:num w:numId="6" w16cid:durableId="1137144488">
    <w:abstractNumId w:val="4"/>
  </w:num>
  <w:num w:numId="7" w16cid:durableId="416289001">
    <w:abstractNumId w:val="19"/>
  </w:num>
  <w:num w:numId="8" w16cid:durableId="1127353807">
    <w:abstractNumId w:val="22"/>
  </w:num>
  <w:num w:numId="9" w16cid:durableId="412774869">
    <w:abstractNumId w:val="0"/>
  </w:num>
  <w:num w:numId="10" w16cid:durableId="1861821894">
    <w:abstractNumId w:val="11"/>
  </w:num>
  <w:num w:numId="11" w16cid:durableId="1320839941">
    <w:abstractNumId w:val="16"/>
  </w:num>
  <w:num w:numId="12" w16cid:durableId="1670208421">
    <w:abstractNumId w:val="24"/>
  </w:num>
  <w:num w:numId="13" w16cid:durableId="668756302">
    <w:abstractNumId w:val="6"/>
  </w:num>
  <w:num w:numId="14" w16cid:durableId="547687869">
    <w:abstractNumId w:val="9"/>
  </w:num>
  <w:num w:numId="15" w16cid:durableId="1658996208">
    <w:abstractNumId w:val="14"/>
  </w:num>
  <w:num w:numId="16" w16cid:durableId="381754886">
    <w:abstractNumId w:val="23"/>
  </w:num>
  <w:num w:numId="17" w16cid:durableId="1294949497">
    <w:abstractNumId w:val="17"/>
  </w:num>
  <w:num w:numId="18" w16cid:durableId="1087455585">
    <w:abstractNumId w:val="20"/>
  </w:num>
  <w:num w:numId="19" w16cid:durableId="894242652">
    <w:abstractNumId w:val="21"/>
  </w:num>
  <w:num w:numId="20" w16cid:durableId="502890192">
    <w:abstractNumId w:val="3"/>
  </w:num>
  <w:num w:numId="21" w16cid:durableId="98650909">
    <w:abstractNumId w:val="18"/>
  </w:num>
  <w:num w:numId="22" w16cid:durableId="1701664754">
    <w:abstractNumId w:val="7"/>
  </w:num>
  <w:num w:numId="23" w16cid:durableId="1458916275">
    <w:abstractNumId w:val="2"/>
  </w:num>
  <w:num w:numId="24" w16cid:durableId="1639651042">
    <w:abstractNumId w:val="1"/>
  </w:num>
  <w:num w:numId="25" w16cid:durableId="70236107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770"/>
    <w:rsid w:val="00005314"/>
    <w:rsid w:val="00007377"/>
    <w:rsid w:val="000327A4"/>
    <w:rsid w:val="0003785C"/>
    <w:rsid w:val="00044F35"/>
    <w:rsid w:val="00052A56"/>
    <w:rsid w:val="000617C0"/>
    <w:rsid w:val="000709CA"/>
    <w:rsid w:val="00077C88"/>
    <w:rsid w:val="000857D4"/>
    <w:rsid w:val="000864D4"/>
    <w:rsid w:val="000948DC"/>
    <w:rsid w:val="000A6E3F"/>
    <w:rsid w:val="000B52A3"/>
    <w:rsid w:val="000C06A2"/>
    <w:rsid w:val="000F2BE0"/>
    <w:rsid w:val="0010793A"/>
    <w:rsid w:val="00114A9B"/>
    <w:rsid w:val="00127B35"/>
    <w:rsid w:val="00130E7C"/>
    <w:rsid w:val="00135B71"/>
    <w:rsid w:val="00144CD9"/>
    <w:rsid w:val="00173397"/>
    <w:rsid w:val="00184642"/>
    <w:rsid w:val="001A5F80"/>
    <w:rsid w:val="001A6F90"/>
    <w:rsid w:val="001C5EE1"/>
    <w:rsid w:val="001C6D1F"/>
    <w:rsid w:val="001D4775"/>
    <w:rsid w:val="001D7CC5"/>
    <w:rsid w:val="00270FC1"/>
    <w:rsid w:val="002A2602"/>
    <w:rsid w:val="00300F0F"/>
    <w:rsid w:val="003015F8"/>
    <w:rsid w:val="00316A82"/>
    <w:rsid w:val="00326F85"/>
    <w:rsid w:val="00371B2B"/>
    <w:rsid w:val="00394305"/>
    <w:rsid w:val="00396770"/>
    <w:rsid w:val="003C7564"/>
    <w:rsid w:val="003E1A7C"/>
    <w:rsid w:val="003E5FBE"/>
    <w:rsid w:val="00405051"/>
    <w:rsid w:val="00416747"/>
    <w:rsid w:val="00426208"/>
    <w:rsid w:val="00427F1D"/>
    <w:rsid w:val="004578FB"/>
    <w:rsid w:val="00464F13"/>
    <w:rsid w:val="00492974"/>
    <w:rsid w:val="004A58EB"/>
    <w:rsid w:val="004A79B4"/>
    <w:rsid w:val="004D3CC8"/>
    <w:rsid w:val="004D3DA3"/>
    <w:rsid w:val="004E5C69"/>
    <w:rsid w:val="00504BF9"/>
    <w:rsid w:val="00510DFD"/>
    <w:rsid w:val="00530EB8"/>
    <w:rsid w:val="005371BF"/>
    <w:rsid w:val="00547EEA"/>
    <w:rsid w:val="0056795B"/>
    <w:rsid w:val="00581508"/>
    <w:rsid w:val="00596B45"/>
    <w:rsid w:val="005B181F"/>
    <w:rsid w:val="005C0974"/>
    <w:rsid w:val="005C2C85"/>
    <w:rsid w:val="005D14F9"/>
    <w:rsid w:val="005E0BC3"/>
    <w:rsid w:val="005E23A3"/>
    <w:rsid w:val="005E2571"/>
    <w:rsid w:val="00632E2F"/>
    <w:rsid w:val="00647ACF"/>
    <w:rsid w:val="00666F31"/>
    <w:rsid w:val="00672DB6"/>
    <w:rsid w:val="006749EF"/>
    <w:rsid w:val="0068632E"/>
    <w:rsid w:val="00687038"/>
    <w:rsid w:val="006A3089"/>
    <w:rsid w:val="006A3563"/>
    <w:rsid w:val="006B652B"/>
    <w:rsid w:val="006C4442"/>
    <w:rsid w:val="006C6BAD"/>
    <w:rsid w:val="006C7395"/>
    <w:rsid w:val="006D000D"/>
    <w:rsid w:val="006F1069"/>
    <w:rsid w:val="007128D6"/>
    <w:rsid w:val="00713414"/>
    <w:rsid w:val="00727720"/>
    <w:rsid w:val="00752AC7"/>
    <w:rsid w:val="00756E8D"/>
    <w:rsid w:val="007B7C9D"/>
    <w:rsid w:val="007C4001"/>
    <w:rsid w:val="007F703A"/>
    <w:rsid w:val="007F7AEB"/>
    <w:rsid w:val="00802107"/>
    <w:rsid w:val="0080381B"/>
    <w:rsid w:val="00816DAC"/>
    <w:rsid w:val="008232E3"/>
    <w:rsid w:val="00827286"/>
    <w:rsid w:val="00831EFF"/>
    <w:rsid w:val="00851311"/>
    <w:rsid w:val="008607E5"/>
    <w:rsid w:val="00864868"/>
    <w:rsid w:val="008662C1"/>
    <w:rsid w:val="00883C1E"/>
    <w:rsid w:val="008860CA"/>
    <w:rsid w:val="00886642"/>
    <w:rsid w:val="00891F34"/>
    <w:rsid w:val="00892559"/>
    <w:rsid w:val="0089541B"/>
    <w:rsid w:val="008B3266"/>
    <w:rsid w:val="008E6092"/>
    <w:rsid w:val="008F6777"/>
    <w:rsid w:val="00904768"/>
    <w:rsid w:val="0094184C"/>
    <w:rsid w:val="00945FDC"/>
    <w:rsid w:val="00960A2A"/>
    <w:rsid w:val="009738F6"/>
    <w:rsid w:val="009924B6"/>
    <w:rsid w:val="009932A6"/>
    <w:rsid w:val="009A3B27"/>
    <w:rsid w:val="009A6D50"/>
    <w:rsid w:val="009E3216"/>
    <w:rsid w:val="00A13007"/>
    <w:rsid w:val="00A438BF"/>
    <w:rsid w:val="00A5616B"/>
    <w:rsid w:val="00AA1970"/>
    <w:rsid w:val="00AA3786"/>
    <w:rsid w:val="00AA3C7B"/>
    <w:rsid w:val="00AA3EE3"/>
    <w:rsid w:val="00AB0581"/>
    <w:rsid w:val="00AF643F"/>
    <w:rsid w:val="00B223FA"/>
    <w:rsid w:val="00B302F9"/>
    <w:rsid w:val="00B42E52"/>
    <w:rsid w:val="00B65C2D"/>
    <w:rsid w:val="00B70E4C"/>
    <w:rsid w:val="00B976AB"/>
    <w:rsid w:val="00BA181D"/>
    <w:rsid w:val="00BC6C47"/>
    <w:rsid w:val="00BF00A2"/>
    <w:rsid w:val="00BF5CA8"/>
    <w:rsid w:val="00C05CF0"/>
    <w:rsid w:val="00C14103"/>
    <w:rsid w:val="00C22CF5"/>
    <w:rsid w:val="00C5691A"/>
    <w:rsid w:val="00C66DA5"/>
    <w:rsid w:val="00C7516C"/>
    <w:rsid w:val="00C93A52"/>
    <w:rsid w:val="00CA04CB"/>
    <w:rsid w:val="00CA1EFF"/>
    <w:rsid w:val="00CA36FC"/>
    <w:rsid w:val="00CD09F2"/>
    <w:rsid w:val="00CD1E87"/>
    <w:rsid w:val="00CF7989"/>
    <w:rsid w:val="00CF7A1B"/>
    <w:rsid w:val="00D00762"/>
    <w:rsid w:val="00D0290F"/>
    <w:rsid w:val="00D36099"/>
    <w:rsid w:val="00D408ED"/>
    <w:rsid w:val="00D51AFB"/>
    <w:rsid w:val="00D87440"/>
    <w:rsid w:val="00DB5FAA"/>
    <w:rsid w:val="00DD3B1F"/>
    <w:rsid w:val="00DE2A70"/>
    <w:rsid w:val="00DF3BF5"/>
    <w:rsid w:val="00E06432"/>
    <w:rsid w:val="00E514DA"/>
    <w:rsid w:val="00E614DF"/>
    <w:rsid w:val="00EA5C7A"/>
    <w:rsid w:val="00EB206D"/>
    <w:rsid w:val="00EC2343"/>
    <w:rsid w:val="00EC2EF6"/>
    <w:rsid w:val="00EC4DD6"/>
    <w:rsid w:val="00EF3F63"/>
    <w:rsid w:val="00F0280B"/>
    <w:rsid w:val="00F2353A"/>
    <w:rsid w:val="00F7513C"/>
    <w:rsid w:val="00F75845"/>
    <w:rsid w:val="00F8002A"/>
    <w:rsid w:val="00F91D60"/>
    <w:rsid w:val="00FA4694"/>
    <w:rsid w:val="00FA6156"/>
    <w:rsid w:val="00FB6F91"/>
    <w:rsid w:val="00FC3E53"/>
    <w:rsid w:val="00FE2F76"/>
    <w:rsid w:val="00FE4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CFFA0"/>
  <w15:chartTrackingRefBased/>
  <w15:docId w15:val="{D0127A8C-920E-44C2-B072-1A890797D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770"/>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3967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3967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67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3967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67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677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677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677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677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7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67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67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67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67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67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67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67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6770"/>
    <w:rPr>
      <w:rFonts w:eastAsiaTheme="majorEastAsia" w:cstheme="majorBidi"/>
      <w:color w:val="272727" w:themeColor="text1" w:themeTint="D8"/>
    </w:rPr>
  </w:style>
  <w:style w:type="paragraph" w:styleId="Title">
    <w:name w:val="Title"/>
    <w:basedOn w:val="Normal"/>
    <w:next w:val="Normal"/>
    <w:link w:val="TitleChar"/>
    <w:uiPriority w:val="10"/>
    <w:qFormat/>
    <w:rsid w:val="0039677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67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67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67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6770"/>
    <w:pPr>
      <w:spacing w:before="160"/>
      <w:jc w:val="center"/>
    </w:pPr>
    <w:rPr>
      <w:i/>
      <w:iCs/>
      <w:color w:val="404040" w:themeColor="text1" w:themeTint="BF"/>
    </w:rPr>
  </w:style>
  <w:style w:type="character" w:customStyle="1" w:styleId="QuoteChar">
    <w:name w:val="Quote Char"/>
    <w:basedOn w:val="DefaultParagraphFont"/>
    <w:link w:val="Quote"/>
    <w:uiPriority w:val="29"/>
    <w:rsid w:val="00396770"/>
    <w:rPr>
      <w:i/>
      <w:iCs/>
      <w:color w:val="404040" w:themeColor="text1" w:themeTint="BF"/>
    </w:rPr>
  </w:style>
  <w:style w:type="paragraph" w:styleId="ListParagraph">
    <w:name w:val="List Paragraph"/>
    <w:basedOn w:val="Normal"/>
    <w:uiPriority w:val="34"/>
    <w:qFormat/>
    <w:rsid w:val="00396770"/>
    <w:pPr>
      <w:ind w:left="720"/>
      <w:contextualSpacing/>
    </w:pPr>
  </w:style>
  <w:style w:type="character" w:styleId="IntenseEmphasis">
    <w:name w:val="Intense Emphasis"/>
    <w:basedOn w:val="DefaultParagraphFont"/>
    <w:uiPriority w:val="21"/>
    <w:qFormat/>
    <w:rsid w:val="00396770"/>
    <w:rPr>
      <w:i/>
      <w:iCs/>
      <w:color w:val="0F4761" w:themeColor="accent1" w:themeShade="BF"/>
    </w:rPr>
  </w:style>
  <w:style w:type="paragraph" w:styleId="IntenseQuote">
    <w:name w:val="Intense Quote"/>
    <w:basedOn w:val="Normal"/>
    <w:next w:val="Normal"/>
    <w:link w:val="IntenseQuoteChar"/>
    <w:uiPriority w:val="30"/>
    <w:qFormat/>
    <w:rsid w:val="003967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6770"/>
    <w:rPr>
      <w:i/>
      <w:iCs/>
      <w:color w:val="0F4761" w:themeColor="accent1" w:themeShade="BF"/>
    </w:rPr>
  </w:style>
  <w:style w:type="character" w:styleId="IntenseReference">
    <w:name w:val="Intense Reference"/>
    <w:basedOn w:val="DefaultParagraphFont"/>
    <w:uiPriority w:val="32"/>
    <w:qFormat/>
    <w:rsid w:val="00396770"/>
    <w:rPr>
      <w:b/>
      <w:bCs/>
      <w:smallCaps/>
      <w:color w:val="0F4761" w:themeColor="accent1" w:themeShade="BF"/>
      <w:spacing w:val="5"/>
    </w:rPr>
  </w:style>
  <w:style w:type="paragraph" w:styleId="Header">
    <w:name w:val="header"/>
    <w:basedOn w:val="Normal"/>
    <w:link w:val="HeaderChar"/>
    <w:rsid w:val="00396770"/>
    <w:pPr>
      <w:tabs>
        <w:tab w:val="center" w:pos="4153"/>
        <w:tab w:val="right" w:pos="8306"/>
      </w:tabs>
    </w:pPr>
  </w:style>
  <w:style w:type="character" w:customStyle="1" w:styleId="HeaderChar">
    <w:name w:val="Header Char"/>
    <w:basedOn w:val="DefaultParagraphFont"/>
    <w:link w:val="Header"/>
    <w:rsid w:val="00396770"/>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396770"/>
    <w:pPr>
      <w:spacing w:before="240" w:after="0" w:line="259" w:lineRule="auto"/>
      <w:outlineLvl w:val="9"/>
    </w:pPr>
    <w:rPr>
      <w:sz w:val="32"/>
      <w:szCs w:val="32"/>
    </w:rPr>
  </w:style>
  <w:style w:type="paragraph" w:styleId="TOC2">
    <w:name w:val="toc 2"/>
    <w:basedOn w:val="Normal"/>
    <w:next w:val="Normal"/>
    <w:autoRedefine/>
    <w:uiPriority w:val="39"/>
    <w:unhideWhenUsed/>
    <w:rsid w:val="00396770"/>
    <w:pPr>
      <w:spacing w:after="100"/>
      <w:ind w:left="200"/>
    </w:pPr>
  </w:style>
  <w:style w:type="character" w:styleId="Hyperlink">
    <w:name w:val="Hyperlink"/>
    <w:basedOn w:val="DefaultParagraphFont"/>
    <w:uiPriority w:val="99"/>
    <w:unhideWhenUsed/>
    <w:rsid w:val="00396770"/>
    <w:rPr>
      <w:color w:val="467886" w:themeColor="hyperlink"/>
      <w:u w:val="single"/>
    </w:rPr>
  </w:style>
  <w:style w:type="table" w:styleId="TableGrid">
    <w:name w:val="Table Grid"/>
    <w:basedOn w:val="TableNormal"/>
    <w:uiPriority w:val="39"/>
    <w:rsid w:val="003967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F3BF5"/>
    <w:rPr>
      <w:color w:val="96607D" w:themeColor="followedHyperlink"/>
      <w:u w:val="single"/>
    </w:rPr>
  </w:style>
  <w:style w:type="paragraph" w:styleId="NormalWeb">
    <w:name w:val="Normal (Web)"/>
    <w:basedOn w:val="Normal"/>
    <w:uiPriority w:val="99"/>
    <w:semiHidden/>
    <w:unhideWhenUsed/>
    <w:rsid w:val="00114A9B"/>
    <w:rPr>
      <w:sz w:val="24"/>
      <w:szCs w:val="24"/>
    </w:rPr>
  </w:style>
  <w:style w:type="character" w:styleId="UnresolvedMention">
    <w:name w:val="Unresolved Mention"/>
    <w:basedOn w:val="DefaultParagraphFont"/>
    <w:uiPriority w:val="99"/>
    <w:semiHidden/>
    <w:unhideWhenUsed/>
    <w:rsid w:val="006870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2811">
      <w:bodyDiv w:val="1"/>
      <w:marLeft w:val="0"/>
      <w:marRight w:val="0"/>
      <w:marTop w:val="0"/>
      <w:marBottom w:val="0"/>
      <w:divBdr>
        <w:top w:val="none" w:sz="0" w:space="0" w:color="auto"/>
        <w:left w:val="none" w:sz="0" w:space="0" w:color="auto"/>
        <w:bottom w:val="none" w:sz="0" w:space="0" w:color="auto"/>
        <w:right w:val="none" w:sz="0" w:space="0" w:color="auto"/>
      </w:divBdr>
    </w:div>
    <w:div w:id="13505521">
      <w:bodyDiv w:val="1"/>
      <w:marLeft w:val="0"/>
      <w:marRight w:val="0"/>
      <w:marTop w:val="0"/>
      <w:marBottom w:val="0"/>
      <w:divBdr>
        <w:top w:val="none" w:sz="0" w:space="0" w:color="auto"/>
        <w:left w:val="none" w:sz="0" w:space="0" w:color="auto"/>
        <w:bottom w:val="none" w:sz="0" w:space="0" w:color="auto"/>
        <w:right w:val="none" w:sz="0" w:space="0" w:color="auto"/>
      </w:divBdr>
    </w:div>
    <w:div w:id="51202709">
      <w:bodyDiv w:val="1"/>
      <w:marLeft w:val="0"/>
      <w:marRight w:val="0"/>
      <w:marTop w:val="0"/>
      <w:marBottom w:val="0"/>
      <w:divBdr>
        <w:top w:val="none" w:sz="0" w:space="0" w:color="auto"/>
        <w:left w:val="none" w:sz="0" w:space="0" w:color="auto"/>
        <w:bottom w:val="none" w:sz="0" w:space="0" w:color="auto"/>
        <w:right w:val="none" w:sz="0" w:space="0" w:color="auto"/>
      </w:divBdr>
    </w:div>
    <w:div w:id="119030935">
      <w:bodyDiv w:val="1"/>
      <w:marLeft w:val="0"/>
      <w:marRight w:val="0"/>
      <w:marTop w:val="0"/>
      <w:marBottom w:val="0"/>
      <w:divBdr>
        <w:top w:val="none" w:sz="0" w:space="0" w:color="auto"/>
        <w:left w:val="none" w:sz="0" w:space="0" w:color="auto"/>
        <w:bottom w:val="none" w:sz="0" w:space="0" w:color="auto"/>
        <w:right w:val="none" w:sz="0" w:space="0" w:color="auto"/>
      </w:divBdr>
    </w:div>
    <w:div w:id="156968508">
      <w:bodyDiv w:val="1"/>
      <w:marLeft w:val="0"/>
      <w:marRight w:val="0"/>
      <w:marTop w:val="0"/>
      <w:marBottom w:val="0"/>
      <w:divBdr>
        <w:top w:val="none" w:sz="0" w:space="0" w:color="auto"/>
        <w:left w:val="none" w:sz="0" w:space="0" w:color="auto"/>
        <w:bottom w:val="none" w:sz="0" w:space="0" w:color="auto"/>
        <w:right w:val="none" w:sz="0" w:space="0" w:color="auto"/>
      </w:divBdr>
    </w:div>
    <w:div w:id="184759077">
      <w:bodyDiv w:val="1"/>
      <w:marLeft w:val="0"/>
      <w:marRight w:val="0"/>
      <w:marTop w:val="0"/>
      <w:marBottom w:val="0"/>
      <w:divBdr>
        <w:top w:val="none" w:sz="0" w:space="0" w:color="auto"/>
        <w:left w:val="none" w:sz="0" w:space="0" w:color="auto"/>
        <w:bottom w:val="none" w:sz="0" w:space="0" w:color="auto"/>
        <w:right w:val="none" w:sz="0" w:space="0" w:color="auto"/>
      </w:divBdr>
    </w:div>
    <w:div w:id="270823697">
      <w:bodyDiv w:val="1"/>
      <w:marLeft w:val="0"/>
      <w:marRight w:val="0"/>
      <w:marTop w:val="0"/>
      <w:marBottom w:val="0"/>
      <w:divBdr>
        <w:top w:val="none" w:sz="0" w:space="0" w:color="auto"/>
        <w:left w:val="none" w:sz="0" w:space="0" w:color="auto"/>
        <w:bottom w:val="none" w:sz="0" w:space="0" w:color="auto"/>
        <w:right w:val="none" w:sz="0" w:space="0" w:color="auto"/>
      </w:divBdr>
    </w:div>
    <w:div w:id="344216314">
      <w:bodyDiv w:val="1"/>
      <w:marLeft w:val="0"/>
      <w:marRight w:val="0"/>
      <w:marTop w:val="0"/>
      <w:marBottom w:val="0"/>
      <w:divBdr>
        <w:top w:val="none" w:sz="0" w:space="0" w:color="auto"/>
        <w:left w:val="none" w:sz="0" w:space="0" w:color="auto"/>
        <w:bottom w:val="none" w:sz="0" w:space="0" w:color="auto"/>
        <w:right w:val="none" w:sz="0" w:space="0" w:color="auto"/>
      </w:divBdr>
    </w:div>
    <w:div w:id="353458871">
      <w:bodyDiv w:val="1"/>
      <w:marLeft w:val="0"/>
      <w:marRight w:val="0"/>
      <w:marTop w:val="0"/>
      <w:marBottom w:val="0"/>
      <w:divBdr>
        <w:top w:val="none" w:sz="0" w:space="0" w:color="auto"/>
        <w:left w:val="none" w:sz="0" w:space="0" w:color="auto"/>
        <w:bottom w:val="none" w:sz="0" w:space="0" w:color="auto"/>
        <w:right w:val="none" w:sz="0" w:space="0" w:color="auto"/>
      </w:divBdr>
    </w:div>
    <w:div w:id="373429882">
      <w:bodyDiv w:val="1"/>
      <w:marLeft w:val="0"/>
      <w:marRight w:val="0"/>
      <w:marTop w:val="0"/>
      <w:marBottom w:val="0"/>
      <w:divBdr>
        <w:top w:val="none" w:sz="0" w:space="0" w:color="auto"/>
        <w:left w:val="none" w:sz="0" w:space="0" w:color="auto"/>
        <w:bottom w:val="none" w:sz="0" w:space="0" w:color="auto"/>
        <w:right w:val="none" w:sz="0" w:space="0" w:color="auto"/>
      </w:divBdr>
    </w:div>
    <w:div w:id="405689488">
      <w:bodyDiv w:val="1"/>
      <w:marLeft w:val="0"/>
      <w:marRight w:val="0"/>
      <w:marTop w:val="0"/>
      <w:marBottom w:val="0"/>
      <w:divBdr>
        <w:top w:val="none" w:sz="0" w:space="0" w:color="auto"/>
        <w:left w:val="none" w:sz="0" w:space="0" w:color="auto"/>
        <w:bottom w:val="none" w:sz="0" w:space="0" w:color="auto"/>
        <w:right w:val="none" w:sz="0" w:space="0" w:color="auto"/>
      </w:divBdr>
    </w:div>
    <w:div w:id="466171001">
      <w:bodyDiv w:val="1"/>
      <w:marLeft w:val="0"/>
      <w:marRight w:val="0"/>
      <w:marTop w:val="0"/>
      <w:marBottom w:val="0"/>
      <w:divBdr>
        <w:top w:val="none" w:sz="0" w:space="0" w:color="auto"/>
        <w:left w:val="none" w:sz="0" w:space="0" w:color="auto"/>
        <w:bottom w:val="none" w:sz="0" w:space="0" w:color="auto"/>
        <w:right w:val="none" w:sz="0" w:space="0" w:color="auto"/>
      </w:divBdr>
    </w:div>
    <w:div w:id="467209852">
      <w:bodyDiv w:val="1"/>
      <w:marLeft w:val="0"/>
      <w:marRight w:val="0"/>
      <w:marTop w:val="0"/>
      <w:marBottom w:val="0"/>
      <w:divBdr>
        <w:top w:val="none" w:sz="0" w:space="0" w:color="auto"/>
        <w:left w:val="none" w:sz="0" w:space="0" w:color="auto"/>
        <w:bottom w:val="none" w:sz="0" w:space="0" w:color="auto"/>
        <w:right w:val="none" w:sz="0" w:space="0" w:color="auto"/>
      </w:divBdr>
    </w:div>
    <w:div w:id="507986935">
      <w:bodyDiv w:val="1"/>
      <w:marLeft w:val="0"/>
      <w:marRight w:val="0"/>
      <w:marTop w:val="0"/>
      <w:marBottom w:val="0"/>
      <w:divBdr>
        <w:top w:val="none" w:sz="0" w:space="0" w:color="auto"/>
        <w:left w:val="none" w:sz="0" w:space="0" w:color="auto"/>
        <w:bottom w:val="none" w:sz="0" w:space="0" w:color="auto"/>
        <w:right w:val="none" w:sz="0" w:space="0" w:color="auto"/>
      </w:divBdr>
    </w:div>
    <w:div w:id="528376548">
      <w:bodyDiv w:val="1"/>
      <w:marLeft w:val="0"/>
      <w:marRight w:val="0"/>
      <w:marTop w:val="0"/>
      <w:marBottom w:val="0"/>
      <w:divBdr>
        <w:top w:val="none" w:sz="0" w:space="0" w:color="auto"/>
        <w:left w:val="none" w:sz="0" w:space="0" w:color="auto"/>
        <w:bottom w:val="none" w:sz="0" w:space="0" w:color="auto"/>
        <w:right w:val="none" w:sz="0" w:space="0" w:color="auto"/>
      </w:divBdr>
    </w:div>
    <w:div w:id="529535657">
      <w:bodyDiv w:val="1"/>
      <w:marLeft w:val="0"/>
      <w:marRight w:val="0"/>
      <w:marTop w:val="0"/>
      <w:marBottom w:val="0"/>
      <w:divBdr>
        <w:top w:val="none" w:sz="0" w:space="0" w:color="auto"/>
        <w:left w:val="none" w:sz="0" w:space="0" w:color="auto"/>
        <w:bottom w:val="none" w:sz="0" w:space="0" w:color="auto"/>
        <w:right w:val="none" w:sz="0" w:space="0" w:color="auto"/>
      </w:divBdr>
    </w:div>
    <w:div w:id="572280780">
      <w:bodyDiv w:val="1"/>
      <w:marLeft w:val="0"/>
      <w:marRight w:val="0"/>
      <w:marTop w:val="0"/>
      <w:marBottom w:val="0"/>
      <w:divBdr>
        <w:top w:val="none" w:sz="0" w:space="0" w:color="auto"/>
        <w:left w:val="none" w:sz="0" w:space="0" w:color="auto"/>
        <w:bottom w:val="none" w:sz="0" w:space="0" w:color="auto"/>
        <w:right w:val="none" w:sz="0" w:space="0" w:color="auto"/>
      </w:divBdr>
    </w:div>
    <w:div w:id="595403619">
      <w:bodyDiv w:val="1"/>
      <w:marLeft w:val="0"/>
      <w:marRight w:val="0"/>
      <w:marTop w:val="0"/>
      <w:marBottom w:val="0"/>
      <w:divBdr>
        <w:top w:val="none" w:sz="0" w:space="0" w:color="auto"/>
        <w:left w:val="none" w:sz="0" w:space="0" w:color="auto"/>
        <w:bottom w:val="none" w:sz="0" w:space="0" w:color="auto"/>
        <w:right w:val="none" w:sz="0" w:space="0" w:color="auto"/>
      </w:divBdr>
    </w:div>
    <w:div w:id="618881599">
      <w:bodyDiv w:val="1"/>
      <w:marLeft w:val="0"/>
      <w:marRight w:val="0"/>
      <w:marTop w:val="0"/>
      <w:marBottom w:val="0"/>
      <w:divBdr>
        <w:top w:val="none" w:sz="0" w:space="0" w:color="auto"/>
        <w:left w:val="none" w:sz="0" w:space="0" w:color="auto"/>
        <w:bottom w:val="none" w:sz="0" w:space="0" w:color="auto"/>
        <w:right w:val="none" w:sz="0" w:space="0" w:color="auto"/>
      </w:divBdr>
    </w:div>
    <w:div w:id="635842849">
      <w:bodyDiv w:val="1"/>
      <w:marLeft w:val="0"/>
      <w:marRight w:val="0"/>
      <w:marTop w:val="0"/>
      <w:marBottom w:val="0"/>
      <w:divBdr>
        <w:top w:val="none" w:sz="0" w:space="0" w:color="auto"/>
        <w:left w:val="none" w:sz="0" w:space="0" w:color="auto"/>
        <w:bottom w:val="none" w:sz="0" w:space="0" w:color="auto"/>
        <w:right w:val="none" w:sz="0" w:space="0" w:color="auto"/>
      </w:divBdr>
    </w:div>
    <w:div w:id="669916696">
      <w:bodyDiv w:val="1"/>
      <w:marLeft w:val="0"/>
      <w:marRight w:val="0"/>
      <w:marTop w:val="0"/>
      <w:marBottom w:val="0"/>
      <w:divBdr>
        <w:top w:val="none" w:sz="0" w:space="0" w:color="auto"/>
        <w:left w:val="none" w:sz="0" w:space="0" w:color="auto"/>
        <w:bottom w:val="none" w:sz="0" w:space="0" w:color="auto"/>
        <w:right w:val="none" w:sz="0" w:space="0" w:color="auto"/>
      </w:divBdr>
    </w:div>
    <w:div w:id="685323861">
      <w:bodyDiv w:val="1"/>
      <w:marLeft w:val="0"/>
      <w:marRight w:val="0"/>
      <w:marTop w:val="0"/>
      <w:marBottom w:val="0"/>
      <w:divBdr>
        <w:top w:val="none" w:sz="0" w:space="0" w:color="auto"/>
        <w:left w:val="none" w:sz="0" w:space="0" w:color="auto"/>
        <w:bottom w:val="none" w:sz="0" w:space="0" w:color="auto"/>
        <w:right w:val="none" w:sz="0" w:space="0" w:color="auto"/>
      </w:divBdr>
    </w:div>
    <w:div w:id="698748024">
      <w:bodyDiv w:val="1"/>
      <w:marLeft w:val="0"/>
      <w:marRight w:val="0"/>
      <w:marTop w:val="0"/>
      <w:marBottom w:val="0"/>
      <w:divBdr>
        <w:top w:val="none" w:sz="0" w:space="0" w:color="auto"/>
        <w:left w:val="none" w:sz="0" w:space="0" w:color="auto"/>
        <w:bottom w:val="none" w:sz="0" w:space="0" w:color="auto"/>
        <w:right w:val="none" w:sz="0" w:space="0" w:color="auto"/>
      </w:divBdr>
    </w:div>
    <w:div w:id="849637099">
      <w:bodyDiv w:val="1"/>
      <w:marLeft w:val="0"/>
      <w:marRight w:val="0"/>
      <w:marTop w:val="0"/>
      <w:marBottom w:val="0"/>
      <w:divBdr>
        <w:top w:val="none" w:sz="0" w:space="0" w:color="auto"/>
        <w:left w:val="none" w:sz="0" w:space="0" w:color="auto"/>
        <w:bottom w:val="none" w:sz="0" w:space="0" w:color="auto"/>
        <w:right w:val="none" w:sz="0" w:space="0" w:color="auto"/>
      </w:divBdr>
    </w:div>
    <w:div w:id="881088537">
      <w:bodyDiv w:val="1"/>
      <w:marLeft w:val="0"/>
      <w:marRight w:val="0"/>
      <w:marTop w:val="0"/>
      <w:marBottom w:val="0"/>
      <w:divBdr>
        <w:top w:val="none" w:sz="0" w:space="0" w:color="auto"/>
        <w:left w:val="none" w:sz="0" w:space="0" w:color="auto"/>
        <w:bottom w:val="none" w:sz="0" w:space="0" w:color="auto"/>
        <w:right w:val="none" w:sz="0" w:space="0" w:color="auto"/>
      </w:divBdr>
    </w:div>
    <w:div w:id="885801109">
      <w:bodyDiv w:val="1"/>
      <w:marLeft w:val="0"/>
      <w:marRight w:val="0"/>
      <w:marTop w:val="0"/>
      <w:marBottom w:val="0"/>
      <w:divBdr>
        <w:top w:val="none" w:sz="0" w:space="0" w:color="auto"/>
        <w:left w:val="none" w:sz="0" w:space="0" w:color="auto"/>
        <w:bottom w:val="none" w:sz="0" w:space="0" w:color="auto"/>
        <w:right w:val="none" w:sz="0" w:space="0" w:color="auto"/>
      </w:divBdr>
    </w:div>
    <w:div w:id="934435658">
      <w:bodyDiv w:val="1"/>
      <w:marLeft w:val="0"/>
      <w:marRight w:val="0"/>
      <w:marTop w:val="0"/>
      <w:marBottom w:val="0"/>
      <w:divBdr>
        <w:top w:val="none" w:sz="0" w:space="0" w:color="auto"/>
        <w:left w:val="none" w:sz="0" w:space="0" w:color="auto"/>
        <w:bottom w:val="none" w:sz="0" w:space="0" w:color="auto"/>
        <w:right w:val="none" w:sz="0" w:space="0" w:color="auto"/>
      </w:divBdr>
    </w:div>
    <w:div w:id="947617551">
      <w:bodyDiv w:val="1"/>
      <w:marLeft w:val="0"/>
      <w:marRight w:val="0"/>
      <w:marTop w:val="0"/>
      <w:marBottom w:val="0"/>
      <w:divBdr>
        <w:top w:val="none" w:sz="0" w:space="0" w:color="auto"/>
        <w:left w:val="none" w:sz="0" w:space="0" w:color="auto"/>
        <w:bottom w:val="none" w:sz="0" w:space="0" w:color="auto"/>
        <w:right w:val="none" w:sz="0" w:space="0" w:color="auto"/>
      </w:divBdr>
    </w:div>
    <w:div w:id="992758615">
      <w:bodyDiv w:val="1"/>
      <w:marLeft w:val="0"/>
      <w:marRight w:val="0"/>
      <w:marTop w:val="0"/>
      <w:marBottom w:val="0"/>
      <w:divBdr>
        <w:top w:val="none" w:sz="0" w:space="0" w:color="auto"/>
        <w:left w:val="none" w:sz="0" w:space="0" w:color="auto"/>
        <w:bottom w:val="none" w:sz="0" w:space="0" w:color="auto"/>
        <w:right w:val="none" w:sz="0" w:space="0" w:color="auto"/>
      </w:divBdr>
    </w:div>
    <w:div w:id="1048184105">
      <w:bodyDiv w:val="1"/>
      <w:marLeft w:val="0"/>
      <w:marRight w:val="0"/>
      <w:marTop w:val="0"/>
      <w:marBottom w:val="0"/>
      <w:divBdr>
        <w:top w:val="none" w:sz="0" w:space="0" w:color="auto"/>
        <w:left w:val="none" w:sz="0" w:space="0" w:color="auto"/>
        <w:bottom w:val="none" w:sz="0" w:space="0" w:color="auto"/>
        <w:right w:val="none" w:sz="0" w:space="0" w:color="auto"/>
      </w:divBdr>
    </w:div>
    <w:div w:id="1063724110">
      <w:bodyDiv w:val="1"/>
      <w:marLeft w:val="0"/>
      <w:marRight w:val="0"/>
      <w:marTop w:val="0"/>
      <w:marBottom w:val="0"/>
      <w:divBdr>
        <w:top w:val="none" w:sz="0" w:space="0" w:color="auto"/>
        <w:left w:val="none" w:sz="0" w:space="0" w:color="auto"/>
        <w:bottom w:val="none" w:sz="0" w:space="0" w:color="auto"/>
        <w:right w:val="none" w:sz="0" w:space="0" w:color="auto"/>
      </w:divBdr>
    </w:div>
    <w:div w:id="1084841283">
      <w:bodyDiv w:val="1"/>
      <w:marLeft w:val="0"/>
      <w:marRight w:val="0"/>
      <w:marTop w:val="0"/>
      <w:marBottom w:val="0"/>
      <w:divBdr>
        <w:top w:val="none" w:sz="0" w:space="0" w:color="auto"/>
        <w:left w:val="none" w:sz="0" w:space="0" w:color="auto"/>
        <w:bottom w:val="none" w:sz="0" w:space="0" w:color="auto"/>
        <w:right w:val="none" w:sz="0" w:space="0" w:color="auto"/>
      </w:divBdr>
    </w:div>
    <w:div w:id="1095245276">
      <w:bodyDiv w:val="1"/>
      <w:marLeft w:val="0"/>
      <w:marRight w:val="0"/>
      <w:marTop w:val="0"/>
      <w:marBottom w:val="0"/>
      <w:divBdr>
        <w:top w:val="none" w:sz="0" w:space="0" w:color="auto"/>
        <w:left w:val="none" w:sz="0" w:space="0" w:color="auto"/>
        <w:bottom w:val="none" w:sz="0" w:space="0" w:color="auto"/>
        <w:right w:val="none" w:sz="0" w:space="0" w:color="auto"/>
      </w:divBdr>
    </w:div>
    <w:div w:id="1161189562">
      <w:bodyDiv w:val="1"/>
      <w:marLeft w:val="0"/>
      <w:marRight w:val="0"/>
      <w:marTop w:val="0"/>
      <w:marBottom w:val="0"/>
      <w:divBdr>
        <w:top w:val="none" w:sz="0" w:space="0" w:color="auto"/>
        <w:left w:val="none" w:sz="0" w:space="0" w:color="auto"/>
        <w:bottom w:val="none" w:sz="0" w:space="0" w:color="auto"/>
        <w:right w:val="none" w:sz="0" w:space="0" w:color="auto"/>
      </w:divBdr>
    </w:div>
    <w:div w:id="1232614240">
      <w:bodyDiv w:val="1"/>
      <w:marLeft w:val="0"/>
      <w:marRight w:val="0"/>
      <w:marTop w:val="0"/>
      <w:marBottom w:val="0"/>
      <w:divBdr>
        <w:top w:val="none" w:sz="0" w:space="0" w:color="auto"/>
        <w:left w:val="none" w:sz="0" w:space="0" w:color="auto"/>
        <w:bottom w:val="none" w:sz="0" w:space="0" w:color="auto"/>
        <w:right w:val="none" w:sz="0" w:space="0" w:color="auto"/>
      </w:divBdr>
    </w:div>
    <w:div w:id="1264071565">
      <w:bodyDiv w:val="1"/>
      <w:marLeft w:val="0"/>
      <w:marRight w:val="0"/>
      <w:marTop w:val="0"/>
      <w:marBottom w:val="0"/>
      <w:divBdr>
        <w:top w:val="none" w:sz="0" w:space="0" w:color="auto"/>
        <w:left w:val="none" w:sz="0" w:space="0" w:color="auto"/>
        <w:bottom w:val="none" w:sz="0" w:space="0" w:color="auto"/>
        <w:right w:val="none" w:sz="0" w:space="0" w:color="auto"/>
      </w:divBdr>
    </w:div>
    <w:div w:id="1279609448">
      <w:bodyDiv w:val="1"/>
      <w:marLeft w:val="0"/>
      <w:marRight w:val="0"/>
      <w:marTop w:val="0"/>
      <w:marBottom w:val="0"/>
      <w:divBdr>
        <w:top w:val="none" w:sz="0" w:space="0" w:color="auto"/>
        <w:left w:val="none" w:sz="0" w:space="0" w:color="auto"/>
        <w:bottom w:val="none" w:sz="0" w:space="0" w:color="auto"/>
        <w:right w:val="none" w:sz="0" w:space="0" w:color="auto"/>
      </w:divBdr>
    </w:div>
    <w:div w:id="1282497002">
      <w:bodyDiv w:val="1"/>
      <w:marLeft w:val="0"/>
      <w:marRight w:val="0"/>
      <w:marTop w:val="0"/>
      <w:marBottom w:val="0"/>
      <w:divBdr>
        <w:top w:val="none" w:sz="0" w:space="0" w:color="auto"/>
        <w:left w:val="none" w:sz="0" w:space="0" w:color="auto"/>
        <w:bottom w:val="none" w:sz="0" w:space="0" w:color="auto"/>
        <w:right w:val="none" w:sz="0" w:space="0" w:color="auto"/>
      </w:divBdr>
    </w:div>
    <w:div w:id="1358003544">
      <w:bodyDiv w:val="1"/>
      <w:marLeft w:val="0"/>
      <w:marRight w:val="0"/>
      <w:marTop w:val="0"/>
      <w:marBottom w:val="0"/>
      <w:divBdr>
        <w:top w:val="none" w:sz="0" w:space="0" w:color="auto"/>
        <w:left w:val="none" w:sz="0" w:space="0" w:color="auto"/>
        <w:bottom w:val="none" w:sz="0" w:space="0" w:color="auto"/>
        <w:right w:val="none" w:sz="0" w:space="0" w:color="auto"/>
      </w:divBdr>
    </w:div>
    <w:div w:id="1370492231">
      <w:bodyDiv w:val="1"/>
      <w:marLeft w:val="0"/>
      <w:marRight w:val="0"/>
      <w:marTop w:val="0"/>
      <w:marBottom w:val="0"/>
      <w:divBdr>
        <w:top w:val="none" w:sz="0" w:space="0" w:color="auto"/>
        <w:left w:val="none" w:sz="0" w:space="0" w:color="auto"/>
        <w:bottom w:val="none" w:sz="0" w:space="0" w:color="auto"/>
        <w:right w:val="none" w:sz="0" w:space="0" w:color="auto"/>
      </w:divBdr>
    </w:div>
    <w:div w:id="1401250687">
      <w:bodyDiv w:val="1"/>
      <w:marLeft w:val="0"/>
      <w:marRight w:val="0"/>
      <w:marTop w:val="0"/>
      <w:marBottom w:val="0"/>
      <w:divBdr>
        <w:top w:val="none" w:sz="0" w:space="0" w:color="auto"/>
        <w:left w:val="none" w:sz="0" w:space="0" w:color="auto"/>
        <w:bottom w:val="none" w:sz="0" w:space="0" w:color="auto"/>
        <w:right w:val="none" w:sz="0" w:space="0" w:color="auto"/>
      </w:divBdr>
    </w:div>
    <w:div w:id="1474443719">
      <w:bodyDiv w:val="1"/>
      <w:marLeft w:val="0"/>
      <w:marRight w:val="0"/>
      <w:marTop w:val="0"/>
      <w:marBottom w:val="0"/>
      <w:divBdr>
        <w:top w:val="none" w:sz="0" w:space="0" w:color="auto"/>
        <w:left w:val="none" w:sz="0" w:space="0" w:color="auto"/>
        <w:bottom w:val="none" w:sz="0" w:space="0" w:color="auto"/>
        <w:right w:val="none" w:sz="0" w:space="0" w:color="auto"/>
      </w:divBdr>
    </w:div>
    <w:div w:id="1484933390">
      <w:bodyDiv w:val="1"/>
      <w:marLeft w:val="0"/>
      <w:marRight w:val="0"/>
      <w:marTop w:val="0"/>
      <w:marBottom w:val="0"/>
      <w:divBdr>
        <w:top w:val="none" w:sz="0" w:space="0" w:color="auto"/>
        <w:left w:val="none" w:sz="0" w:space="0" w:color="auto"/>
        <w:bottom w:val="none" w:sz="0" w:space="0" w:color="auto"/>
        <w:right w:val="none" w:sz="0" w:space="0" w:color="auto"/>
      </w:divBdr>
    </w:div>
    <w:div w:id="1488671336">
      <w:bodyDiv w:val="1"/>
      <w:marLeft w:val="0"/>
      <w:marRight w:val="0"/>
      <w:marTop w:val="0"/>
      <w:marBottom w:val="0"/>
      <w:divBdr>
        <w:top w:val="none" w:sz="0" w:space="0" w:color="auto"/>
        <w:left w:val="none" w:sz="0" w:space="0" w:color="auto"/>
        <w:bottom w:val="none" w:sz="0" w:space="0" w:color="auto"/>
        <w:right w:val="none" w:sz="0" w:space="0" w:color="auto"/>
      </w:divBdr>
    </w:div>
    <w:div w:id="1489982847">
      <w:bodyDiv w:val="1"/>
      <w:marLeft w:val="0"/>
      <w:marRight w:val="0"/>
      <w:marTop w:val="0"/>
      <w:marBottom w:val="0"/>
      <w:divBdr>
        <w:top w:val="none" w:sz="0" w:space="0" w:color="auto"/>
        <w:left w:val="none" w:sz="0" w:space="0" w:color="auto"/>
        <w:bottom w:val="none" w:sz="0" w:space="0" w:color="auto"/>
        <w:right w:val="none" w:sz="0" w:space="0" w:color="auto"/>
      </w:divBdr>
    </w:div>
    <w:div w:id="1490831552">
      <w:bodyDiv w:val="1"/>
      <w:marLeft w:val="0"/>
      <w:marRight w:val="0"/>
      <w:marTop w:val="0"/>
      <w:marBottom w:val="0"/>
      <w:divBdr>
        <w:top w:val="none" w:sz="0" w:space="0" w:color="auto"/>
        <w:left w:val="none" w:sz="0" w:space="0" w:color="auto"/>
        <w:bottom w:val="none" w:sz="0" w:space="0" w:color="auto"/>
        <w:right w:val="none" w:sz="0" w:space="0" w:color="auto"/>
      </w:divBdr>
    </w:div>
    <w:div w:id="1612857892">
      <w:bodyDiv w:val="1"/>
      <w:marLeft w:val="0"/>
      <w:marRight w:val="0"/>
      <w:marTop w:val="0"/>
      <w:marBottom w:val="0"/>
      <w:divBdr>
        <w:top w:val="none" w:sz="0" w:space="0" w:color="auto"/>
        <w:left w:val="none" w:sz="0" w:space="0" w:color="auto"/>
        <w:bottom w:val="none" w:sz="0" w:space="0" w:color="auto"/>
        <w:right w:val="none" w:sz="0" w:space="0" w:color="auto"/>
      </w:divBdr>
    </w:div>
    <w:div w:id="1640963731">
      <w:bodyDiv w:val="1"/>
      <w:marLeft w:val="0"/>
      <w:marRight w:val="0"/>
      <w:marTop w:val="0"/>
      <w:marBottom w:val="0"/>
      <w:divBdr>
        <w:top w:val="none" w:sz="0" w:space="0" w:color="auto"/>
        <w:left w:val="none" w:sz="0" w:space="0" w:color="auto"/>
        <w:bottom w:val="none" w:sz="0" w:space="0" w:color="auto"/>
        <w:right w:val="none" w:sz="0" w:space="0" w:color="auto"/>
      </w:divBdr>
    </w:div>
    <w:div w:id="1645772266">
      <w:bodyDiv w:val="1"/>
      <w:marLeft w:val="0"/>
      <w:marRight w:val="0"/>
      <w:marTop w:val="0"/>
      <w:marBottom w:val="0"/>
      <w:divBdr>
        <w:top w:val="none" w:sz="0" w:space="0" w:color="auto"/>
        <w:left w:val="none" w:sz="0" w:space="0" w:color="auto"/>
        <w:bottom w:val="none" w:sz="0" w:space="0" w:color="auto"/>
        <w:right w:val="none" w:sz="0" w:space="0" w:color="auto"/>
      </w:divBdr>
    </w:div>
    <w:div w:id="1665354374">
      <w:bodyDiv w:val="1"/>
      <w:marLeft w:val="0"/>
      <w:marRight w:val="0"/>
      <w:marTop w:val="0"/>
      <w:marBottom w:val="0"/>
      <w:divBdr>
        <w:top w:val="none" w:sz="0" w:space="0" w:color="auto"/>
        <w:left w:val="none" w:sz="0" w:space="0" w:color="auto"/>
        <w:bottom w:val="none" w:sz="0" w:space="0" w:color="auto"/>
        <w:right w:val="none" w:sz="0" w:space="0" w:color="auto"/>
      </w:divBdr>
    </w:div>
    <w:div w:id="1687290125">
      <w:bodyDiv w:val="1"/>
      <w:marLeft w:val="0"/>
      <w:marRight w:val="0"/>
      <w:marTop w:val="0"/>
      <w:marBottom w:val="0"/>
      <w:divBdr>
        <w:top w:val="none" w:sz="0" w:space="0" w:color="auto"/>
        <w:left w:val="none" w:sz="0" w:space="0" w:color="auto"/>
        <w:bottom w:val="none" w:sz="0" w:space="0" w:color="auto"/>
        <w:right w:val="none" w:sz="0" w:space="0" w:color="auto"/>
      </w:divBdr>
    </w:div>
    <w:div w:id="1696078375">
      <w:bodyDiv w:val="1"/>
      <w:marLeft w:val="0"/>
      <w:marRight w:val="0"/>
      <w:marTop w:val="0"/>
      <w:marBottom w:val="0"/>
      <w:divBdr>
        <w:top w:val="none" w:sz="0" w:space="0" w:color="auto"/>
        <w:left w:val="none" w:sz="0" w:space="0" w:color="auto"/>
        <w:bottom w:val="none" w:sz="0" w:space="0" w:color="auto"/>
        <w:right w:val="none" w:sz="0" w:space="0" w:color="auto"/>
      </w:divBdr>
    </w:div>
    <w:div w:id="1764374646">
      <w:bodyDiv w:val="1"/>
      <w:marLeft w:val="0"/>
      <w:marRight w:val="0"/>
      <w:marTop w:val="0"/>
      <w:marBottom w:val="0"/>
      <w:divBdr>
        <w:top w:val="none" w:sz="0" w:space="0" w:color="auto"/>
        <w:left w:val="none" w:sz="0" w:space="0" w:color="auto"/>
        <w:bottom w:val="none" w:sz="0" w:space="0" w:color="auto"/>
        <w:right w:val="none" w:sz="0" w:space="0" w:color="auto"/>
      </w:divBdr>
    </w:div>
    <w:div w:id="1802069087">
      <w:bodyDiv w:val="1"/>
      <w:marLeft w:val="0"/>
      <w:marRight w:val="0"/>
      <w:marTop w:val="0"/>
      <w:marBottom w:val="0"/>
      <w:divBdr>
        <w:top w:val="none" w:sz="0" w:space="0" w:color="auto"/>
        <w:left w:val="none" w:sz="0" w:space="0" w:color="auto"/>
        <w:bottom w:val="none" w:sz="0" w:space="0" w:color="auto"/>
        <w:right w:val="none" w:sz="0" w:space="0" w:color="auto"/>
      </w:divBdr>
    </w:div>
    <w:div w:id="1815751866">
      <w:bodyDiv w:val="1"/>
      <w:marLeft w:val="0"/>
      <w:marRight w:val="0"/>
      <w:marTop w:val="0"/>
      <w:marBottom w:val="0"/>
      <w:divBdr>
        <w:top w:val="none" w:sz="0" w:space="0" w:color="auto"/>
        <w:left w:val="none" w:sz="0" w:space="0" w:color="auto"/>
        <w:bottom w:val="none" w:sz="0" w:space="0" w:color="auto"/>
        <w:right w:val="none" w:sz="0" w:space="0" w:color="auto"/>
      </w:divBdr>
    </w:div>
    <w:div w:id="1828666895">
      <w:bodyDiv w:val="1"/>
      <w:marLeft w:val="0"/>
      <w:marRight w:val="0"/>
      <w:marTop w:val="0"/>
      <w:marBottom w:val="0"/>
      <w:divBdr>
        <w:top w:val="none" w:sz="0" w:space="0" w:color="auto"/>
        <w:left w:val="none" w:sz="0" w:space="0" w:color="auto"/>
        <w:bottom w:val="none" w:sz="0" w:space="0" w:color="auto"/>
        <w:right w:val="none" w:sz="0" w:space="0" w:color="auto"/>
      </w:divBdr>
    </w:div>
    <w:div w:id="1888103123">
      <w:bodyDiv w:val="1"/>
      <w:marLeft w:val="0"/>
      <w:marRight w:val="0"/>
      <w:marTop w:val="0"/>
      <w:marBottom w:val="0"/>
      <w:divBdr>
        <w:top w:val="none" w:sz="0" w:space="0" w:color="auto"/>
        <w:left w:val="none" w:sz="0" w:space="0" w:color="auto"/>
        <w:bottom w:val="none" w:sz="0" w:space="0" w:color="auto"/>
        <w:right w:val="none" w:sz="0" w:space="0" w:color="auto"/>
      </w:divBdr>
    </w:div>
    <w:div w:id="1902017184">
      <w:bodyDiv w:val="1"/>
      <w:marLeft w:val="0"/>
      <w:marRight w:val="0"/>
      <w:marTop w:val="0"/>
      <w:marBottom w:val="0"/>
      <w:divBdr>
        <w:top w:val="none" w:sz="0" w:space="0" w:color="auto"/>
        <w:left w:val="none" w:sz="0" w:space="0" w:color="auto"/>
        <w:bottom w:val="none" w:sz="0" w:space="0" w:color="auto"/>
        <w:right w:val="none" w:sz="0" w:space="0" w:color="auto"/>
      </w:divBdr>
    </w:div>
    <w:div w:id="1910336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wkgoodman.com/info-hub/50k-awarded-fireworks-victim/" TargetMode="External"/><Relationship Id="rId13" Type="http://schemas.openxmlformats.org/officeDocument/2006/relationships/hyperlink" Target="https://www.gov.uk/fireworks-the-law" TargetMode="External"/><Relationship Id="rId18" Type="http://schemas.openxmlformats.org/officeDocument/2006/relationships/hyperlink" Target="https://www.legislation.gov.uk/ukpga/Eliz2/5-6/31/content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archive.thetab.com/uk/2022/07/11/stampedes-trampling-and-late-headliners-all-the-chaos-that-went-down-at-wireless-261145" TargetMode="External"/><Relationship Id="rId7" Type="http://schemas.openxmlformats.org/officeDocument/2006/relationships/image" Target="cid:image001.png@01D0EA4A.2BD679A0" TargetMode="External"/><Relationship Id="rId12" Type="http://schemas.openxmlformats.org/officeDocument/2006/relationships/hyperlink" Target="https://solicitors.lawsociety.org.uk/" TargetMode="External"/><Relationship Id="rId17" Type="http://schemas.openxmlformats.org/officeDocument/2006/relationships/hyperlink" Target="https://publications.parliament.uk/pa/ld200001/ldjudgmt/jd010503/lister-1.ht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bc.co.uk/news/uk-england-merseyside-47697569" TargetMode="External"/><Relationship Id="rId20" Type="http://schemas.openxmlformats.org/officeDocument/2006/relationships/hyperlink" Target="https://www.justice.gov.uk/courts/procedure-rules/civil/rules/part32"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bc.co.uk/news/articles/c303dr5vzg2o" TargetMode="External"/><Relationship Id="rId24" Type="http://schemas.openxmlformats.org/officeDocument/2006/relationships/hyperlink" Target="https://www.thesun.co.uk/news/9170028/woman-bruises-we-are-fstvl-crush/" TargetMode="External"/><Relationship Id="rId5" Type="http://schemas.openxmlformats.org/officeDocument/2006/relationships/webSettings" Target="webSettings.xml"/><Relationship Id="rId15" Type="http://schemas.openxmlformats.org/officeDocument/2006/relationships/hyperlink" Target="https://www.barstandardsboard.org.uk/for-barristers.html" TargetMode="External"/><Relationship Id="rId23" Type="http://schemas.openxmlformats.org/officeDocument/2006/relationships/hyperlink" Target="https://www.bbc.co.uk/news/articles/cwyx3wv4n75o" TargetMode="External"/><Relationship Id="rId10" Type="http://schemas.openxmlformats.org/officeDocument/2006/relationships/hyperlink" Target="https://www.bbc.co.uk/sport/football/32388297" TargetMode="External"/><Relationship Id="rId19" Type="http://schemas.openxmlformats.org/officeDocument/2006/relationships/hyperlink" Target="https://www.standard.co.uk/news/london/we-are-fstvl-organisers-apologise-after-festivalgoers-are-hurt-in-crush-caused-by-ticketing-glitch-a4152691.html" TargetMode="External"/><Relationship Id="rId4" Type="http://schemas.openxmlformats.org/officeDocument/2006/relationships/settings" Target="settings.xml"/><Relationship Id="rId9" Type="http://schemas.openxmlformats.org/officeDocument/2006/relationships/hyperlink" Target="https://www.bbc.co.uk/news/articles/c07e927g3mvo" TargetMode="External"/><Relationship Id="rId14" Type="http://schemas.openxmlformats.org/officeDocument/2006/relationships/hyperlink" Target="https://www.ukfr.com/firework-laws-regulations" TargetMode="External"/><Relationship Id="rId22" Type="http://schemas.openxmlformats.org/officeDocument/2006/relationships/hyperlink" Target="https://www.legislation.gov.uk/uksi/2004/1836/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50AA25-6F7E-4C0D-90B6-36EB3D7694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6944</Words>
  <Characters>39586</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2</cp:revision>
  <dcterms:created xsi:type="dcterms:W3CDTF">2025-05-01T20:39:00Z</dcterms:created>
  <dcterms:modified xsi:type="dcterms:W3CDTF">2025-05-01T20:39:00Z</dcterms:modified>
</cp:coreProperties>
</file>