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6AFC5" w14:textId="77777777" w:rsidR="005E5FE6" w:rsidRPr="0011639F" w:rsidRDefault="005E5FE6" w:rsidP="005B7D15">
      <w:pPr>
        <w:spacing w:line="360" w:lineRule="auto"/>
        <w:jc w:val="center"/>
        <w:rPr>
          <w:rFonts w:ascii="Arial" w:hAnsi="Arial" w:cs="Arial"/>
          <w:b/>
          <w:bCs/>
          <w:sz w:val="28"/>
          <w:szCs w:val="28"/>
        </w:rPr>
      </w:pPr>
    </w:p>
    <w:p w14:paraId="4E783FC0" w14:textId="61B990F8" w:rsidR="005E5FE6" w:rsidRPr="0011639F" w:rsidRDefault="005E5FE6" w:rsidP="005B7D15">
      <w:pPr>
        <w:spacing w:line="360" w:lineRule="auto"/>
        <w:jc w:val="center"/>
        <w:rPr>
          <w:rFonts w:ascii="Arial" w:hAnsi="Arial" w:cs="Arial"/>
          <w:b/>
          <w:bCs/>
          <w:sz w:val="28"/>
          <w:szCs w:val="28"/>
        </w:rPr>
      </w:pPr>
      <w:r w:rsidRPr="0011639F">
        <w:rPr>
          <w:rFonts w:ascii="Arial" w:hAnsi="Arial" w:cs="Arial"/>
          <w:b/>
          <w:bCs/>
          <w:noProof/>
          <w:sz w:val="28"/>
          <w:szCs w:val="28"/>
        </w:rPr>
        <w:drawing>
          <wp:inline distT="0" distB="0" distL="0" distR="0" wp14:anchorId="26FB54D6" wp14:editId="24BC9B94">
            <wp:extent cx="3493135" cy="1417611"/>
            <wp:effectExtent l="0" t="0" r="0" b="0"/>
            <wp:docPr id="220879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79246" name=""/>
                    <pic:cNvPicPr/>
                  </pic:nvPicPr>
                  <pic:blipFill>
                    <a:blip r:embed="rId8"/>
                    <a:stretch>
                      <a:fillRect/>
                    </a:stretch>
                  </pic:blipFill>
                  <pic:spPr>
                    <a:xfrm>
                      <a:off x="0" y="0"/>
                      <a:ext cx="3506109" cy="1422876"/>
                    </a:xfrm>
                    <a:prstGeom prst="rect">
                      <a:avLst/>
                    </a:prstGeom>
                  </pic:spPr>
                </pic:pic>
              </a:graphicData>
            </a:graphic>
          </wp:inline>
        </w:drawing>
      </w:r>
    </w:p>
    <w:p w14:paraId="0D580F0B" w14:textId="77777777" w:rsidR="005E5FE6" w:rsidRPr="0011639F" w:rsidRDefault="005E5FE6" w:rsidP="005B7D15">
      <w:pPr>
        <w:spacing w:line="360" w:lineRule="auto"/>
        <w:jc w:val="center"/>
        <w:rPr>
          <w:rFonts w:ascii="Arial" w:hAnsi="Arial" w:cs="Arial"/>
          <w:b/>
          <w:bCs/>
          <w:sz w:val="28"/>
          <w:szCs w:val="28"/>
        </w:rPr>
      </w:pPr>
    </w:p>
    <w:p w14:paraId="2C2B52CD" w14:textId="763293AB" w:rsidR="00E85304" w:rsidRPr="0011639F" w:rsidRDefault="00000000" w:rsidP="005B7D15">
      <w:pPr>
        <w:spacing w:line="360" w:lineRule="auto"/>
        <w:jc w:val="center"/>
        <w:rPr>
          <w:rFonts w:ascii="Arial" w:hAnsi="Arial" w:cs="Arial"/>
        </w:rPr>
      </w:pPr>
      <w:r w:rsidRPr="0011639F">
        <w:rPr>
          <w:rFonts w:ascii="Arial" w:hAnsi="Arial" w:cs="Arial"/>
          <w:sz w:val="26"/>
          <w:szCs w:val="26"/>
        </w:rPr>
        <w:t>Master of Business Administration</w:t>
      </w:r>
    </w:p>
    <w:p w14:paraId="15145246" w14:textId="77777777" w:rsidR="00E85304" w:rsidRPr="0011639F" w:rsidRDefault="00000000" w:rsidP="005B7D15">
      <w:pPr>
        <w:spacing w:line="360" w:lineRule="auto"/>
        <w:jc w:val="center"/>
        <w:rPr>
          <w:rFonts w:ascii="Arial" w:hAnsi="Arial" w:cs="Arial"/>
        </w:rPr>
      </w:pPr>
      <w:r w:rsidRPr="0011639F">
        <w:rPr>
          <w:rFonts w:ascii="Arial" w:hAnsi="Arial" w:cs="Arial"/>
          <w:i/>
          <w:iCs/>
        </w:rPr>
        <w:t>LCMB7003 — Strategic Management</w:t>
      </w:r>
    </w:p>
    <w:p w14:paraId="47A50C10" w14:textId="77777777" w:rsidR="00E85304" w:rsidRPr="0011639F" w:rsidRDefault="00000000" w:rsidP="005B7D15">
      <w:pPr>
        <w:spacing w:line="360" w:lineRule="auto"/>
        <w:jc w:val="center"/>
        <w:rPr>
          <w:rFonts w:ascii="Arial" w:hAnsi="Arial" w:cs="Arial"/>
        </w:rPr>
      </w:pPr>
      <w:r w:rsidRPr="0011639F">
        <w:rPr>
          <w:rFonts w:ascii="Arial" w:hAnsi="Arial" w:cs="Arial"/>
          <w:noProof/>
        </w:rPr>
        <w:drawing>
          <wp:inline distT="0" distB="0" distL="0" distR="0" wp14:anchorId="472B0101" wp14:editId="57D24FDD">
            <wp:extent cx="20955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2095500" cy="2095500"/>
                    </a:xfrm>
                    <a:prstGeom prst="rect">
                      <a:avLst/>
                    </a:prstGeom>
                  </pic:spPr>
                </pic:pic>
              </a:graphicData>
            </a:graphic>
          </wp:inline>
        </w:drawing>
      </w:r>
    </w:p>
    <w:p w14:paraId="21CCAA57" w14:textId="77777777" w:rsidR="00E85304" w:rsidRPr="0011639F" w:rsidRDefault="00000000" w:rsidP="005B7D15">
      <w:pPr>
        <w:spacing w:line="360" w:lineRule="auto"/>
        <w:jc w:val="center"/>
        <w:rPr>
          <w:rFonts w:ascii="Arial" w:hAnsi="Arial" w:cs="Arial"/>
        </w:rPr>
      </w:pPr>
      <w:r w:rsidRPr="0011639F">
        <w:rPr>
          <w:rFonts w:ascii="Arial" w:hAnsi="Arial" w:cs="Arial"/>
          <w:b/>
          <w:bCs/>
          <w:sz w:val="30"/>
          <w:szCs w:val="30"/>
        </w:rPr>
        <w:t>A Critical Strategic Analysis of Shell plc</w:t>
      </w:r>
    </w:p>
    <w:p w14:paraId="43AF8DFE" w14:textId="77777777" w:rsidR="00E85304" w:rsidRPr="0011639F" w:rsidRDefault="00000000" w:rsidP="005B7D15">
      <w:pPr>
        <w:spacing w:line="360" w:lineRule="auto"/>
        <w:jc w:val="center"/>
        <w:rPr>
          <w:rFonts w:ascii="Arial" w:hAnsi="Arial" w:cs="Arial"/>
        </w:rPr>
      </w:pPr>
      <w:r w:rsidRPr="0011639F">
        <w:rPr>
          <w:rFonts w:ascii="Arial" w:hAnsi="Arial" w:cs="Arial"/>
          <w:i/>
          <w:iCs/>
          <w:sz w:val="26"/>
          <w:szCs w:val="26"/>
        </w:rPr>
        <w:t>Navigating Competitive Advantage Through the Energy Transition</w:t>
      </w:r>
    </w:p>
    <w:p w14:paraId="40E72091" w14:textId="77777777" w:rsidR="00E85304" w:rsidRPr="0011639F" w:rsidRDefault="00000000" w:rsidP="005B7D15">
      <w:pPr>
        <w:spacing w:line="360" w:lineRule="auto"/>
        <w:jc w:val="center"/>
        <w:rPr>
          <w:rFonts w:ascii="Arial" w:hAnsi="Arial" w:cs="Arial"/>
        </w:rPr>
      </w:pPr>
      <w:r w:rsidRPr="0011639F">
        <w:rPr>
          <w:rFonts w:ascii="Arial" w:hAnsi="Arial" w:cs="Arial"/>
        </w:rPr>
        <w:t>Submitted by: Rezaul Karim</w:t>
      </w:r>
    </w:p>
    <w:p w14:paraId="7DD9259A" w14:textId="689CFF8B" w:rsidR="00E85304" w:rsidRPr="0011639F" w:rsidRDefault="00000000" w:rsidP="005B7D15">
      <w:pPr>
        <w:spacing w:line="360" w:lineRule="auto"/>
        <w:jc w:val="center"/>
        <w:rPr>
          <w:rFonts w:ascii="Arial" w:hAnsi="Arial" w:cs="Arial"/>
        </w:rPr>
      </w:pPr>
      <w:r w:rsidRPr="0011639F">
        <w:rPr>
          <w:rFonts w:ascii="Arial" w:hAnsi="Arial" w:cs="Arial"/>
        </w:rPr>
        <w:t xml:space="preserve">Student ID: </w:t>
      </w:r>
      <w:r w:rsidR="0062024E" w:rsidRPr="0011639F">
        <w:rPr>
          <w:rFonts w:ascii="Arial" w:hAnsi="Arial" w:cs="Arial"/>
        </w:rPr>
        <w:t>2436008</w:t>
      </w:r>
    </w:p>
    <w:p w14:paraId="0E84775D" w14:textId="5D8E361F" w:rsidR="00E85304" w:rsidRPr="0011639F" w:rsidRDefault="00000000" w:rsidP="005B7D15">
      <w:pPr>
        <w:spacing w:line="360" w:lineRule="auto"/>
        <w:jc w:val="center"/>
        <w:rPr>
          <w:rFonts w:ascii="Arial" w:hAnsi="Arial" w:cs="Arial"/>
        </w:rPr>
      </w:pPr>
      <w:r w:rsidRPr="0011639F">
        <w:rPr>
          <w:rFonts w:ascii="Arial" w:hAnsi="Arial" w:cs="Arial"/>
        </w:rPr>
        <w:t xml:space="preserve">Lecturer: </w:t>
      </w:r>
      <w:r w:rsidR="0062024E" w:rsidRPr="0011639F">
        <w:rPr>
          <w:rFonts w:ascii="Arial" w:hAnsi="Arial" w:cs="Arial"/>
        </w:rPr>
        <w:t xml:space="preserve"> Hoang Nguyen</w:t>
      </w:r>
    </w:p>
    <w:p w14:paraId="0AE3EC5A" w14:textId="77777777" w:rsidR="00E85304" w:rsidRPr="0011639F" w:rsidRDefault="00000000" w:rsidP="005B7D15">
      <w:pPr>
        <w:spacing w:line="360" w:lineRule="auto"/>
        <w:jc w:val="center"/>
        <w:rPr>
          <w:rFonts w:ascii="Arial" w:hAnsi="Arial" w:cs="Arial"/>
        </w:rPr>
      </w:pPr>
      <w:r w:rsidRPr="0011639F">
        <w:rPr>
          <w:rFonts w:ascii="Arial" w:hAnsi="Arial" w:cs="Arial"/>
        </w:rPr>
        <w:t>Submission Date: 1st May 2026</w:t>
      </w:r>
    </w:p>
    <w:p w14:paraId="64EEE9B2" w14:textId="04BC7EB5" w:rsidR="00E85304" w:rsidRPr="0011639F" w:rsidRDefault="00000000" w:rsidP="005B7D15">
      <w:pPr>
        <w:spacing w:line="360" w:lineRule="auto"/>
        <w:jc w:val="center"/>
        <w:rPr>
          <w:rFonts w:ascii="Arial" w:hAnsi="Arial" w:cs="Arial"/>
        </w:rPr>
      </w:pPr>
      <w:r w:rsidRPr="0011639F">
        <w:rPr>
          <w:rFonts w:ascii="Arial" w:hAnsi="Arial" w:cs="Arial"/>
        </w:rPr>
        <w:t xml:space="preserve">Word Count: </w:t>
      </w:r>
      <w:r w:rsidR="00EA0205" w:rsidRPr="0011639F">
        <w:rPr>
          <w:rFonts w:ascii="Arial" w:hAnsi="Arial" w:cs="Arial"/>
        </w:rPr>
        <w:t>4</w:t>
      </w:r>
      <w:r w:rsidR="002E5D4D" w:rsidRPr="0011639F">
        <w:rPr>
          <w:rFonts w:ascii="Arial" w:hAnsi="Arial" w:cs="Arial"/>
        </w:rPr>
        <w:t>669</w:t>
      </w:r>
    </w:p>
    <w:p w14:paraId="45ADC4C5" w14:textId="36628C96" w:rsidR="005E5FE6" w:rsidRDefault="00000000" w:rsidP="005B7D15">
      <w:pPr>
        <w:spacing w:line="360" w:lineRule="auto"/>
        <w:rPr>
          <w:rFonts w:ascii="Arial" w:hAnsi="Arial" w:cs="Arial"/>
        </w:rPr>
      </w:pPr>
      <w:r w:rsidRPr="0011639F">
        <w:rPr>
          <w:rFonts w:ascii="Arial" w:hAnsi="Arial" w:cs="Arial"/>
        </w:rPr>
        <w:br w:type="page"/>
      </w:r>
    </w:p>
    <w:p w14:paraId="4FEB9ACC" w14:textId="77777777" w:rsidR="0011639F" w:rsidRDefault="0011639F" w:rsidP="005B7D15">
      <w:pPr>
        <w:spacing w:line="360" w:lineRule="auto"/>
        <w:rPr>
          <w:rFonts w:ascii="Arial" w:hAnsi="Arial" w:cs="Arial"/>
        </w:rPr>
      </w:pPr>
    </w:p>
    <w:p w14:paraId="05A06142" w14:textId="77777777" w:rsidR="0011639F" w:rsidRDefault="0011639F" w:rsidP="005B7D15">
      <w:pPr>
        <w:spacing w:line="360" w:lineRule="auto"/>
        <w:rPr>
          <w:rFonts w:ascii="Arial" w:hAnsi="Arial" w:cs="Arial"/>
        </w:rPr>
      </w:pPr>
    </w:p>
    <w:sdt>
      <w:sdtPr>
        <w:rPr>
          <w:rFonts w:ascii="Arial" w:hAnsi="Arial" w:cs="Arial"/>
          <w:sz w:val="22"/>
          <w:szCs w:val="22"/>
        </w:rPr>
        <w:id w:val="344606600"/>
        <w:docPartObj>
          <w:docPartGallery w:val="Table of Contents"/>
          <w:docPartUnique/>
        </w:docPartObj>
      </w:sdtPr>
      <w:sdtEndPr>
        <w:rPr>
          <w:rFonts w:eastAsia="Times New Roman"/>
          <w:b/>
          <w:bCs/>
          <w:noProof/>
          <w:color w:val="auto"/>
          <w:lang w:val="en-GB" w:eastAsia="en-GB"/>
        </w:rPr>
      </w:sdtEndPr>
      <w:sdtContent>
        <w:p w14:paraId="609F5D6C" w14:textId="299E17D1" w:rsidR="0011639F" w:rsidRPr="0011639F" w:rsidRDefault="0011639F" w:rsidP="0011639F">
          <w:pPr>
            <w:pStyle w:val="TOCHeading"/>
            <w:spacing w:before="0" w:line="360" w:lineRule="auto"/>
            <w:rPr>
              <w:rFonts w:ascii="Arial" w:hAnsi="Arial" w:cs="Arial"/>
              <w:sz w:val="22"/>
              <w:szCs w:val="22"/>
            </w:rPr>
          </w:pPr>
          <w:r w:rsidRPr="0011639F">
            <w:rPr>
              <w:rFonts w:ascii="Arial" w:hAnsi="Arial" w:cs="Arial"/>
              <w:sz w:val="22"/>
              <w:szCs w:val="22"/>
            </w:rPr>
            <w:t>Table of Contents</w:t>
          </w:r>
        </w:p>
        <w:p w14:paraId="2A144BA2" w14:textId="6F796F4F" w:rsidR="0011639F" w:rsidRPr="0011639F" w:rsidRDefault="0011639F" w:rsidP="0011639F">
          <w:pPr>
            <w:pStyle w:val="TOC1"/>
            <w:tabs>
              <w:tab w:val="right" w:leader="dot" w:pos="9016"/>
            </w:tabs>
            <w:spacing w:after="0" w:line="360" w:lineRule="auto"/>
            <w:rPr>
              <w:rFonts w:ascii="Arial" w:hAnsi="Arial" w:cs="Arial"/>
              <w:noProof/>
              <w:sz w:val="22"/>
              <w:szCs w:val="22"/>
            </w:rPr>
          </w:pPr>
          <w:r w:rsidRPr="0011639F">
            <w:rPr>
              <w:rFonts w:ascii="Arial" w:hAnsi="Arial" w:cs="Arial"/>
              <w:sz w:val="22"/>
              <w:szCs w:val="22"/>
            </w:rPr>
            <w:fldChar w:fldCharType="begin"/>
          </w:r>
          <w:r w:rsidRPr="0011639F">
            <w:rPr>
              <w:rFonts w:ascii="Arial" w:hAnsi="Arial" w:cs="Arial"/>
              <w:sz w:val="22"/>
              <w:szCs w:val="22"/>
            </w:rPr>
            <w:instrText xml:space="preserve"> TOC \o "1-3" \h \z \u </w:instrText>
          </w:r>
          <w:r w:rsidRPr="0011639F">
            <w:rPr>
              <w:rFonts w:ascii="Arial" w:hAnsi="Arial" w:cs="Arial"/>
              <w:sz w:val="22"/>
              <w:szCs w:val="22"/>
            </w:rPr>
            <w:fldChar w:fldCharType="separate"/>
          </w:r>
          <w:hyperlink w:anchor="_Toc228527380" w:history="1">
            <w:r w:rsidRPr="0011639F">
              <w:rPr>
                <w:rStyle w:val="Hyperlink"/>
                <w:rFonts w:ascii="Arial" w:hAnsi="Arial" w:cs="Arial"/>
                <w:noProof/>
                <w:sz w:val="22"/>
                <w:szCs w:val="22"/>
              </w:rPr>
              <w:t>Executive Summary</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_Toc228527380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2</w:t>
            </w:r>
            <w:r w:rsidRPr="0011639F">
              <w:rPr>
                <w:rFonts w:ascii="Arial" w:hAnsi="Arial" w:cs="Arial"/>
                <w:noProof/>
                <w:webHidden/>
                <w:sz w:val="22"/>
                <w:szCs w:val="22"/>
              </w:rPr>
              <w:fldChar w:fldCharType="end"/>
            </w:r>
          </w:hyperlink>
        </w:p>
        <w:p w14:paraId="67A63D12" w14:textId="22106B8F"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81" w:history="1">
            <w:r w:rsidRPr="0011639F">
              <w:rPr>
                <w:rStyle w:val="Hyperlink"/>
                <w:rFonts w:ascii="Arial" w:hAnsi="Arial" w:cs="Arial"/>
                <w:noProof/>
                <w:sz w:val="22"/>
                <w:szCs w:val="22"/>
              </w:rPr>
              <w:t>Introduction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_Toc228527381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3</w:t>
            </w:r>
            <w:r w:rsidRPr="0011639F">
              <w:rPr>
                <w:rFonts w:ascii="Arial" w:hAnsi="Arial" w:cs="Arial"/>
                <w:noProof/>
                <w:webHidden/>
                <w:sz w:val="22"/>
                <w:szCs w:val="22"/>
              </w:rPr>
              <w:fldChar w:fldCharType="end"/>
            </w:r>
          </w:hyperlink>
        </w:p>
        <w:p w14:paraId="6F81D6B8" w14:textId="3E76974A"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82" w:history="1">
            <w:r w:rsidRPr="0011639F">
              <w:rPr>
                <w:rStyle w:val="Hyperlink"/>
                <w:rFonts w:ascii="Arial" w:hAnsi="Arial" w:cs="Arial"/>
                <w:noProof/>
                <w:sz w:val="22"/>
                <w:szCs w:val="22"/>
              </w:rPr>
              <w:t>1.1 Organisational Context and Overview</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_Toc228527382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3</w:t>
            </w:r>
            <w:r w:rsidRPr="0011639F">
              <w:rPr>
                <w:rFonts w:ascii="Arial" w:hAnsi="Arial" w:cs="Arial"/>
                <w:noProof/>
                <w:webHidden/>
                <w:sz w:val="22"/>
                <w:szCs w:val="22"/>
              </w:rPr>
              <w:fldChar w:fldCharType="end"/>
            </w:r>
          </w:hyperlink>
        </w:p>
        <w:p w14:paraId="6317425C" w14:textId="42DB80D4"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83" w:history="1">
            <w:r w:rsidRPr="0011639F">
              <w:rPr>
                <w:rStyle w:val="Hyperlink"/>
                <w:rFonts w:ascii="Arial" w:hAnsi="Arial" w:cs="Arial"/>
                <w:noProof/>
                <w:sz w:val="22"/>
                <w:szCs w:val="22"/>
              </w:rPr>
              <w:t>1.2 External and Internal Environment Analysis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_Toc228527383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4</w:t>
            </w:r>
            <w:r w:rsidRPr="0011639F">
              <w:rPr>
                <w:rFonts w:ascii="Arial" w:hAnsi="Arial" w:cs="Arial"/>
                <w:noProof/>
                <w:webHidden/>
                <w:sz w:val="22"/>
                <w:szCs w:val="22"/>
              </w:rPr>
              <w:fldChar w:fldCharType="end"/>
            </w:r>
          </w:hyperlink>
        </w:p>
        <w:p w14:paraId="0E59A475" w14:textId="22A0AC69"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84" w:history="1">
            <w:r w:rsidRPr="0011639F">
              <w:rPr>
                <w:rStyle w:val="Hyperlink"/>
                <w:rFonts w:ascii="Arial" w:hAnsi="Arial" w:cs="Arial"/>
                <w:noProof/>
                <w:sz w:val="22"/>
                <w:szCs w:val="22"/>
              </w:rPr>
              <w:t>1.2.1 PESTEL Analysis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_Toc228527384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4</w:t>
            </w:r>
            <w:r w:rsidRPr="0011639F">
              <w:rPr>
                <w:rFonts w:ascii="Arial" w:hAnsi="Arial" w:cs="Arial"/>
                <w:noProof/>
                <w:webHidden/>
                <w:sz w:val="22"/>
                <w:szCs w:val="22"/>
              </w:rPr>
              <w:fldChar w:fldCharType="end"/>
            </w:r>
          </w:hyperlink>
        </w:p>
        <w:p w14:paraId="2006D899" w14:textId="514C7677"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85" w:history="1">
            <w:r w:rsidRPr="0011639F">
              <w:rPr>
                <w:rStyle w:val="Hyperlink"/>
                <w:rFonts w:ascii="Arial" w:hAnsi="Arial" w:cs="Arial"/>
                <w:noProof/>
                <w:sz w:val="22"/>
                <w:szCs w:val="22"/>
              </w:rPr>
              <w:t>1.2.2 Porter's Five Forces Analysis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_Toc228527385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6</w:t>
            </w:r>
            <w:r w:rsidRPr="0011639F">
              <w:rPr>
                <w:rFonts w:ascii="Arial" w:hAnsi="Arial" w:cs="Arial"/>
                <w:noProof/>
                <w:webHidden/>
                <w:sz w:val="22"/>
                <w:szCs w:val="22"/>
              </w:rPr>
              <w:fldChar w:fldCharType="end"/>
            </w:r>
          </w:hyperlink>
        </w:p>
        <w:p w14:paraId="41B032FC" w14:textId="578EE39A"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86" w:history="1">
            <w:r w:rsidRPr="0011639F">
              <w:rPr>
                <w:rStyle w:val="Hyperlink"/>
                <w:rFonts w:ascii="Arial" w:hAnsi="Arial" w:cs="Arial"/>
                <w:noProof/>
                <w:sz w:val="22"/>
                <w:szCs w:val="22"/>
              </w:rPr>
              <w:t>1.2.3 Internal Analysis — VRIO Framework</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_Toc228527386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7</w:t>
            </w:r>
            <w:r w:rsidRPr="0011639F">
              <w:rPr>
                <w:rFonts w:ascii="Arial" w:hAnsi="Arial" w:cs="Arial"/>
                <w:noProof/>
                <w:webHidden/>
                <w:sz w:val="22"/>
                <w:szCs w:val="22"/>
              </w:rPr>
              <w:fldChar w:fldCharType="end"/>
            </w:r>
          </w:hyperlink>
        </w:p>
        <w:p w14:paraId="1FA0B960" w14:textId="6A4F1519"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87" w:history="1">
            <w:r w:rsidRPr="0011639F">
              <w:rPr>
                <w:rStyle w:val="Hyperlink"/>
                <w:rFonts w:ascii="Arial" w:hAnsi="Arial" w:cs="Arial"/>
                <w:noProof/>
                <w:sz w:val="22"/>
                <w:szCs w:val="22"/>
              </w:rPr>
              <w:t>1.3 CSR and Sustainability Objectives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_Toc228527387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8</w:t>
            </w:r>
            <w:r w:rsidRPr="0011639F">
              <w:rPr>
                <w:rFonts w:ascii="Arial" w:hAnsi="Arial" w:cs="Arial"/>
                <w:noProof/>
                <w:webHidden/>
                <w:sz w:val="22"/>
                <w:szCs w:val="22"/>
              </w:rPr>
              <w:fldChar w:fldCharType="end"/>
            </w:r>
          </w:hyperlink>
        </w:p>
        <w:p w14:paraId="73F46AD1" w14:textId="6F008624"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88" w:history="1">
            <w:r w:rsidRPr="0011639F">
              <w:rPr>
                <w:rStyle w:val="Hyperlink"/>
                <w:rFonts w:ascii="Arial" w:hAnsi="Arial" w:cs="Arial"/>
                <w:noProof/>
                <w:sz w:val="22"/>
                <w:szCs w:val="22"/>
              </w:rPr>
              <w:t>1.4 Balanced Scorecard — Four Perspectives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_Toc228527388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8</w:t>
            </w:r>
            <w:r w:rsidRPr="0011639F">
              <w:rPr>
                <w:rFonts w:ascii="Arial" w:hAnsi="Arial" w:cs="Arial"/>
                <w:noProof/>
                <w:webHidden/>
                <w:sz w:val="22"/>
                <w:szCs w:val="22"/>
              </w:rPr>
              <w:fldChar w:fldCharType="end"/>
            </w:r>
          </w:hyperlink>
        </w:p>
        <w:p w14:paraId="02B2D70E" w14:textId="2F410CBC"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89" w:history="1">
            <w:r w:rsidRPr="0011639F">
              <w:rPr>
                <w:rStyle w:val="Hyperlink"/>
                <w:rFonts w:ascii="Arial" w:hAnsi="Arial" w:cs="Arial"/>
                <w:noProof/>
                <w:sz w:val="22"/>
                <w:szCs w:val="22"/>
              </w:rPr>
              <w:t>1.5 Strategic Choices and Implementation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_Toc228527389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10</w:t>
            </w:r>
            <w:r w:rsidRPr="0011639F">
              <w:rPr>
                <w:rFonts w:ascii="Arial" w:hAnsi="Arial" w:cs="Arial"/>
                <w:noProof/>
                <w:webHidden/>
                <w:sz w:val="22"/>
                <w:szCs w:val="22"/>
              </w:rPr>
              <w:fldChar w:fldCharType="end"/>
            </w:r>
          </w:hyperlink>
        </w:p>
        <w:p w14:paraId="21F0E2C5" w14:textId="1FF78D7E"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90" w:history="1">
            <w:r w:rsidRPr="0011639F">
              <w:rPr>
                <w:rStyle w:val="Hyperlink"/>
                <w:rFonts w:ascii="Arial" w:hAnsi="Arial" w:cs="Arial"/>
                <w:noProof/>
                <w:sz w:val="22"/>
                <w:szCs w:val="22"/>
              </w:rPr>
              <w:t>1.5.1 Business-Level Strategy (Porter's Generic Strategies)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_Toc228527390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10</w:t>
            </w:r>
            <w:r w:rsidRPr="0011639F">
              <w:rPr>
                <w:rFonts w:ascii="Arial" w:hAnsi="Arial" w:cs="Arial"/>
                <w:noProof/>
                <w:webHidden/>
                <w:sz w:val="22"/>
                <w:szCs w:val="22"/>
              </w:rPr>
              <w:fldChar w:fldCharType="end"/>
            </w:r>
          </w:hyperlink>
        </w:p>
        <w:p w14:paraId="31385944" w14:textId="3757A593"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91" w:history="1">
            <w:r w:rsidRPr="0011639F">
              <w:rPr>
                <w:rStyle w:val="Hyperlink"/>
                <w:rFonts w:ascii="Arial" w:hAnsi="Arial" w:cs="Arial"/>
                <w:noProof/>
                <w:sz w:val="22"/>
                <w:szCs w:val="22"/>
              </w:rPr>
              <w:t>1.5.2 Corporate-Level Strategy (Ansoff's Matrix)</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_Toc228527391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11</w:t>
            </w:r>
            <w:r w:rsidRPr="0011639F">
              <w:rPr>
                <w:rFonts w:ascii="Arial" w:hAnsi="Arial" w:cs="Arial"/>
                <w:noProof/>
                <w:webHidden/>
                <w:sz w:val="22"/>
                <w:szCs w:val="22"/>
              </w:rPr>
              <w:fldChar w:fldCharType="end"/>
            </w:r>
          </w:hyperlink>
        </w:p>
        <w:p w14:paraId="59C54AF0" w14:textId="676D6A55"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92" w:history="1">
            <w:r w:rsidRPr="0011639F">
              <w:rPr>
                <w:rStyle w:val="Hyperlink"/>
                <w:rFonts w:ascii="Arial" w:hAnsi="Arial" w:cs="Arial"/>
                <w:noProof/>
                <w:sz w:val="22"/>
                <w:szCs w:val="22"/>
              </w:rPr>
              <w:t>1.5.3 Managing Change and Implementation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_Toc228527392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12</w:t>
            </w:r>
            <w:r w:rsidRPr="0011639F">
              <w:rPr>
                <w:rFonts w:ascii="Arial" w:hAnsi="Arial" w:cs="Arial"/>
                <w:noProof/>
                <w:webHidden/>
                <w:sz w:val="22"/>
                <w:szCs w:val="22"/>
              </w:rPr>
              <w:fldChar w:fldCharType="end"/>
            </w:r>
          </w:hyperlink>
        </w:p>
        <w:p w14:paraId="00D8ACBD" w14:textId="5454C052"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93" w:history="1">
            <w:r w:rsidRPr="0011639F">
              <w:rPr>
                <w:rStyle w:val="Hyperlink"/>
                <w:rFonts w:ascii="Arial" w:hAnsi="Arial" w:cs="Arial"/>
                <w:noProof/>
                <w:sz w:val="22"/>
                <w:szCs w:val="22"/>
              </w:rPr>
              <w:t>1.6 Strategic Evaluation and Recommendations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_Toc228527393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12</w:t>
            </w:r>
            <w:r w:rsidRPr="0011639F">
              <w:rPr>
                <w:rFonts w:ascii="Arial" w:hAnsi="Arial" w:cs="Arial"/>
                <w:noProof/>
                <w:webHidden/>
                <w:sz w:val="22"/>
                <w:szCs w:val="22"/>
              </w:rPr>
              <w:fldChar w:fldCharType="end"/>
            </w:r>
          </w:hyperlink>
        </w:p>
        <w:p w14:paraId="13677015" w14:textId="3A0AC366"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94" w:history="1">
            <w:r w:rsidRPr="0011639F">
              <w:rPr>
                <w:rStyle w:val="Hyperlink"/>
                <w:rFonts w:ascii="Arial" w:hAnsi="Arial" w:cs="Arial"/>
                <w:noProof/>
                <w:sz w:val="22"/>
                <w:szCs w:val="22"/>
              </w:rPr>
              <w:t>1.6.1 SWOT Synthesis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_Toc228527394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12</w:t>
            </w:r>
            <w:r w:rsidRPr="0011639F">
              <w:rPr>
                <w:rFonts w:ascii="Arial" w:hAnsi="Arial" w:cs="Arial"/>
                <w:noProof/>
                <w:webHidden/>
                <w:sz w:val="22"/>
                <w:szCs w:val="22"/>
              </w:rPr>
              <w:fldChar w:fldCharType="end"/>
            </w:r>
          </w:hyperlink>
        </w:p>
        <w:p w14:paraId="0243898F" w14:textId="20AFF0F4"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95" w:history="1">
            <w:r w:rsidRPr="0011639F">
              <w:rPr>
                <w:rStyle w:val="Hyperlink"/>
                <w:rFonts w:ascii="Arial" w:hAnsi="Arial" w:cs="Arial"/>
                <w:noProof/>
                <w:sz w:val="22"/>
                <w:szCs w:val="22"/>
              </w:rPr>
              <w:t>1.6.2 BCG Matrix — Portfolio Positioning</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_Toc228527395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13</w:t>
            </w:r>
            <w:r w:rsidRPr="0011639F">
              <w:rPr>
                <w:rFonts w:ascii="Arial" w:hAnsi="Arial" w:cs="Arial"/>
                <w:noProof/>
                <w:webHidden/>
                <w:sz w:val="22"/>
                <w:szCs w:val="22"/>
              </w:rPr>
              <w:fldChar w:fldCharType="end"/>
            </w:r>
          </w:hyperlink>
        </w:p>
        <w:p w14:paraId="7400ED34" w14:textId="6F253DBC" w:rsidR="0011639F" w:rsidRPr="0011639F" w:rsidRDefault="0011639F" w:rsidP="0011639F">
          <w:pPr>
            <w:pStyle w:val="TOC2"/>
            <w:tabs>
              <w:tab w:val="right" w:leader="dot" w:pos="9016"/>
            </w:tabs>
            <w:spacing w:after="0" w:line="360" w:lineRule="auto"/>
            <w:rPr>
              <w:rFonts w:ascii="Arial" w:hAnsi="Arial" w:cs="Arial"/>
              <w:noProof/>
              <w:sz w:val="22"/>
              <w:szCs w:val="22"/>
            </w:rPr>
          </w:pPr>
          <w:hyperlink w:anchor="_Toc228527396" w:history="1">
            <w:r w:rsidRPr="0011639F">
              <w:rPr>
                <w:rStyle w:val="Hyperlink"/>
                <w:rFonts w:ascii="Arial" w:hAnsi="Arial" w:cs="Arial"/>
                <w:noProof/>
                <w:sz w:val="22"/>
                <w:szCs w:val="22"/>
              </w:rPr>
              <w:t>1.6.3 Recommendations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_Toc228527396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13</w:t>
            </w:r>
            <w:r w:rsidRPr="0011639F">
              <w:rPr>
                <w:rFonts w:ascii="Arial" w:hAnsi="Arial" w:cs="Arial"/>
                <w:noProof/>
                <w:webHidden/>
                <w:sz w:val="22"/>
                <w:szCs w:val="22"/>
              </w:rPr>
              <w:fldChar w:fldCharType="end"/>
            </w:r>
          </w:hyperlink>
        </w:p>
        <w:p w14:paraId="6298D991" w14:textId="57ACC63C"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97" w:history="1">
            <w:r w:rsidRPr="0011639F">
              <w:rPr>
                <w:rStyle w:val="Hyperlink"/>
                <w:rFonts w:ascii="Arial" w:hAnsi="Arial" w:cs="Arial"/>
                <w:noProof/>
                <w:sz w:val="22"/>
                <w:szCs w:val="22"/>
              </w:rPr>
              <w:t>Conclusion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_Toc228527397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14</w:t>
            </w:r>
            <w:r w:rsidRPr="0011639F">
              <w:rPr>
                <w:rFonts w:ascii="Arial" w:hAnsi="Arial" w:cs="Arial"/>
                <w:noProof/>
                <w:webHidden/>
                <w:sz w:val="22"/>
                <w:szCs w:val="22"/>
              </w:rPr>
              <w:fldChar w:fldCharType="end"/>
            </w:r>
          </w:hyperlink>
        </w:p>
        <w:p w14:paraId="1CDF779B" w14:textId="4E35CE01"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398" w:history="1">
            <w:r w:rsidRPr="0011639F">
              <w:rPr>
                <w:rStyle w:val="Hyperlink"/>
                <w:rFonts w:ascii="Arial" w:hAnsi="Arial" w:cs="Arial"/>
                <w:noProof/>
                <w:sz w:val="22"/>
                <w:szCs w:val="22"/>
              </w:rPr>
              <w:t>Section 2: Reflective Account — Gibbs' Reflective Cycle</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_Toc228527398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16</w:t>
            </w:r>
            <w:r w:rsidRPr="0011639F">
              <w:rPr>
                <w:rFonts w:ascii="Arial" w:hAnsi="Arial" w:cs="Arial"/>
                <w:noProof/>
                <w:webHidden/>
                <w:sz w:val="22"/>
                <w:szCs w:val="22"/>
              </w:rPr>
              <w:fldChar w:fldCharType="end"/>
            </w:r>
          </w:hyperlink>
        </w:p>
        <w:p w14:paraId="43FC2650" w14:textId="2E2E3111" w:rsidR="0011639F" w:rsidRPr="0011639F" w:rsidRDefault="0011639F" w:rsidP="0011639F">
          <w:pPr>
            <w:pStyle w:val="TOC3"/>
            <w:tabs>
              <w:tab w:val="right" w:leader="dot" w:pos="9016"/>
            </w:tabs>
            <w:spacing w:after="0" w:line="360" w:lineRule="auto"/>
            <w:rPr>
              <w:rFonts w:ascii="Arial" w:hAnsi="Arial" w:cs="Arial"/>
              <w:noProof/>
              <w:sz w:val="22"/>
              <w:szCs w:val="22"/>
            </w:rPr>
          </w:pPr>
          <w:hyperlink w:anchor="_Toc228527399" w:history="1">
            <w:r w:rsidRPr="0011639F">
              <w:rPr>
                <w:rStyle w:val="Hyperlink"/>
                <w:rFonts w:ascii="Arial" w:hAnsi="Arial" w:cs="Arial"/>
                <w:noProof/>
                <w:sz w:val="22"/>
                <w:szCs w:val="22"/>
              </w:rPr>
              <w:t>Description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_Toc228527399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16</w:t>
            </w:r>
            <w:r w:rsidRPr="0011639F">
              <w:rPr>
                <w:rFonts w:ascii="Arial" w:hAnsi="Arial" w:cs="Arial"/>
                <w:noProof/>
                <w:webHidden/>
                <w:sz w:val="22"/>
                <w:szCs w:val="22"/>
              </w:rPr>
              <w:fldChar w:fldCharType="end"/>
            </w:r>
          </w:hyperlink>
        </w:p>
        <w:p w14:paraId="3B569CF6" w14:textId="226392D7" w:rsidR="0011639F" w:rsidRPr="0011639F" w:rsidRDefault="0011639F" w:rsidP="0011639F">
          <w:pPr>
            <w:pStyle w:val="TOC3"/>
            <w:tabs>
              <w:tab w:val="right" w:leader="dot" w:pos="9016"/>
            </w:tabs>
            <w:spacing w:after="0" w:line="360" w:lineRule="auto"/>
            <w:rPr>
              <w:rFonts w:ascii="Arial" w:hAnsi="Arial" w:cs="Arial"/>
              <w:noProof/>
              <w:sz w:val="22"/>
              <w:szCs w:val="22"/>
            </w:rPr>
          </w:pPr>
          <w:hyperlink w:anchor="_Toc228527400" w:history="1">
            <w:r w:rsidRPr="0011639F">
              <w:rPr>
                <w:rStyle w:val="Hyperlink"/>
                <w:rFonts w:ascii="Arial" w:hAnsi="Arial" w:cs="Arial"/>
                <w:noProof/>
                <w:sz w:val="22"/>
                <w:szCs w:val="22"/>
              </w:rPr>
              <w:t>Feelings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_Toc228527400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16</w:t>
            </w:r>
            <w:r w:rsidRPr="0011639F">
              <w:rPr>
                <w:rFonts w:ascii="Arial" w:hAnsi="Arial" w:cs="Arial"/>
                <w:noProof/>
                <w:webHidden/>
                <w:sz w:val="22"/>
                <w:szCs w:val="22"/>
              </w:rPr>
              <w:fldChar w:fldCharType="end"/>
            </w:r>
          </w:hyperlink>
        </w:p>
        <w:p w14:paraId="04D0514D" w14:textId="163A07B5" w:rsidR="0011639F" w:rsidRPr="0011639F" w:rsidRDefault="0011639F" w:rsidP="0011639F">
          <w:pPr>
            <w:pStyle w:val="TOC3"/>
            <w:tabs>
              <w:tab w:val="right" w:leader="dot" w:pos="9016"/>
            </w:tabs>
            <w:spacing w:after="0" w:line="360" w:lineRule="auto"/>
            <w:rPr>
              <w:rFonts w:ascii="Arial" w:hAnsi="Arial" w:cs="Arial"/>
              <w:noProof/>
              <w:sz w:val="22"/>
              <w:szCs w:val="22"/>
            </w:rPr>
          </w:pPr>
          <w:hyperlink w:anchor="_Toc228527401" w:history="1">
            <w:r w:rsidRPr="0011639F">
              <w:rPr>
                <w:rStyle w:val="Hyperlink"/>
                <w:rFonts w:ascii="Arial" w:hAnsi="Arial" w:cs="Arial"/>
                <w:noProof/>
                <w:sz w:val="22"/>
                <w:szCs w:val="22"/>
              </w:rPr>
              <w:t>Evaluation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_Toc228527401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17</w:t>
            </w:r>
            <w:r w:rsidRPr="0011639F">
              <w:rPr>
                <w:rFonts w:ascii="Arial" w:hAnsi="Arial" w:cs="Arial"/>
                <w:noProof/>
                <w:webHidden/>
                <w:sz w:val="22"/>
                <w:szCs w:val="22"/>
              </w:rPr>
              <w:fldChar w:fldCharType="end"/>
            </w:r>
          </w:hyperlink>
        </w:p>
        <w:p w14:paraId="46CBB8D6" w14:textId="69DB3E17" w:rsidR="0011639F" w:rsidRPr="0011639F" w:rsidRDefault="0011639F" w:rsidP="0011639F">
          <w:pPr>
            <w:pStyle w:val="TOC3"/>
            <w:tabs>
              <w:tab w:val="right" w:leader="dot" w:pos="9016"/>
            </w:tabs>
            <w:spacing w:after="0" w:line="360" w:lineRule="auto"/>
            <w:rPr>
              <w:rFonts w:ascii="Arial" w:hAnsi="Arial" w:cs="Arial"/>
              <w:noProof/>
              <w:sz w:val="22"/>
              <w:szCs w:val="22"/>
            </w:rPr>
          </w:pPr>
          <w:hyperlink w:anchor="_Toc228527402" w:history="1">
            <w:r w:rsidRPr="0011639F">
              <w:rPr>
                <w:rStyle w:val="Hyperlink"/>
                <w:rFonts w:ascii="Arial" w:hAnsi="Arial" w:cs="Arial"/>
                <w:noProof/>
                <w:sz w:val="22"/>
                <w:szCs w:val="22"/>
              </w:rPr>
              <w:t>Analysis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_Toc228527402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17</w:t>
            </w:r>
            <w:r w:rsidRPr="0011639F">
              <w:rPr>
                <w:rFonts w:ascii="Arial" w:hAnsi="Arial" w:cs="Arial"/>
                <w:noProof/>
                <w:webHidden/>
                <w:sz w:val="22"/>
                <w:szCs w:val="22"/>
              </w:rPr>
              <w:fldChar w:fldCharType="end"/>
            </w:r>
          </w:hyperlink>
        </w:p>
        <w:p w14:paraId="107EB69F" w14:textId="18C6E79B" w:rsidR="0011639F" w:rsidRPr="0011639F" w:rsidRDefault="0011639F" w:rsidP="0011639F">
          <w:pPr>
            <w:pStyle w:val="TOC3"/>
            <w:tabs>
              <w:tab w:val="right" w:leader="dot" w:pos="9016"/>
            </w:tabs>
            <w:spacing w:after="0" w:line="360" w:lineRule="auto"/>
            <w:rPr>
              <w:rFonts w:ascii="Arial" w:hAnsi="Arial" w:cs="Arial"/>
              <w:noProof/>
              <w:sz w:val="22"/>
              <w:szCs w:val="22"/>
            </w:rPr>
          </w:pPr>
          <w:hyperlink w:anchor="_Toc228527403" w:history="1">
            <w:r w:rsidRPr="0011639F">
              <w:rPr>
                <w:rStyle w:val="Hyperlink"/>
                <w:rFonts w:ascii="Arial" w:hAnsi="Arial" w:cs="Arial"/>
                <w:noProof/>
                <w:sz w:val="22"/>
                <w:szCs w:val="22"/>
              </w:rPr>
              <w:t>Conclusion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_Toc228527403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18</w:t>
            </w:r>
            <w:r w:rsidRPr="0011639F">
              <w:rPr>
                <w:rFonts w:ascii="Arial" w:hAnsi="Arial" w:cs="Arial"/>
                <w:noProof/>
                <w:webHidden/>
                <w:sz w:val="22"/>
                <w:szCs w:val="22"/>
              </w:rPr>
              <w:fldChar w:fldCharType="end"/>
            </w:r>
          </w:hyperlink>
        </w:p>
        <w:p w14:paraId="6830B32C" w14:textId="7133932A" w:rsidR="0011639F" w:rsidRPr="0011639F" w:rsidRDefault="0011639F" w:rsidP="0011639F">
          <w:pPr>
            <w:pStyle w:val="TOC3"/>
            <w:tabs>
              <w:tab w:val="right" w:leader="dot" w:pos="9016"/>
            </w:tabs>
            <w:spacing w:after="0" w:line="360" w:lineRule="auto"/>
            <w:rPr>
              <w:rFonts w:ascii="Arial" w:hAnsi="Arial" w:cs="Arial"/>
              <w:noProof/>
              <w:sz w:val="22"/>
              <w:szCs w:val="22"/>
            </w:rPr>
          </w:pPr>
          <w:hyperlink w:anchor="_Toc228527404" w:history="1">
            <w:r w:rsidRPr="0011639F">
              <w:rPr>
                <w:rStyle w:val="Hyperlink"/>
                <w:rFonts w:ascii="Arial" w:hAnsi="Arial" w:cs="Arial"/>
                <w:noProof/>
                <w:sz w:val="22"/>
                <w:szCs w:val="22"/>
              </w:rPr>
              <w:t>Action Plan</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_Toc228527404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18</w:t>
            </w:r>
            <w:r w:rsidRPr="0011639F">
              <w:rPr>
                <w:rFonts w:ascii="Arial" w:hAnsi="Arial" w:cs="Arial"/>
                <w:noProof/>
                <w:webHidden/>
                <w:sz w:val="22"/>
                <w:szCs w:val="22"/>
              </w:rPr>
              <w:fldChar w:fldCharType="end"/>
            </w:r>
          </w:hyperlink>
        </w:p>
        <w:p w14:paraId="2F568EC7" w14:textId="6E7F1F19" w:rsidR="0011639F" w:rsidRPr="0011639F" w:rsidRDefault="0011639F" w:rsidP="0011639F">
          <w:pPr>
            <w:pStyle w:val="TOC1"/>
            <w:tabs>
              <w:tab w:val="right" w:leader="dot" w:pos="9016"/>
            </w:tabs>
            <w:spacing w:after="0" w:line="360" w:lineRule="auto"/>
            <w:rPr>
              <w:rFonts w:ascii="Arial" w:hAnsi="Arial" w:cs="Arial"/>
              <w:noProof/>
              <w:sz w:val="22"/>
              <w:szCs w:val="22"/>
            </w:rPr>
          </w:pPr>
          <w:hyperlink w:anchor="_Toc228527405" w:history="1">
            <w:r w:rsidRPr="0011639F">
              <w:rPr>
                <w:rStyle w:val="Hyperlink"/>
                <w:rFonts w:ascii="Arial" w:hAnsi="Arial" w:cs="Arial"/>
                <w:noProof/>
                <w:sz w:val="22"/>
                <w:szCs w:val="22"/>
              </w:rPr>
              <w:t>References</w:t>
            </w:r>
            <w:r w:rsidRPr="0011639F">
              <w:rPr>
                <w:rFonts w:ascii="Arial" w:hAnsi="Arial" w:cs="Arial"/>
                <w:noProof/>
                <w:webHidden/>
                <w:sz w:val="22"/>
                <w:szCs w:val="22"/>
              </w:rPr>
              <w:tab/>
            </w:r>
            <w:r w:rsidRPr="0011639F">
              <w:rPr>
                <w:rFonts w:ascii="Arial" w:hAnsi="Arial" w:cs="Arial"/>
                <w:noProof/>
                <w:webHidden/>
                <w:sz w:val="22"/>
                <w:szCs w:val="22"/>
              </w:rPr>
              <w:fldChar w:fldCharType="begin"/>
            </w:r>
            <w:r w:rsidRPr="0011639F">
              <w:rPr>
                <w:rFonts w:ascii="Arial" w:hAnsi="Arial" w:cs="Arial"/>
                <w:noProof/>
                <w:webHidden/>
                <w:sz w:val="22"/>
                <w:szCs w:val="22"/>
              </w:rPr>
              <w:instrText xml:space="preserve"> PAGEREF _Toc228527405 \h </w:instrText>
            </w:r>
            <w:r w:rsidRPr="0011639F">
              <w:rPr>
                <w:rFonts w:ascii="Arial" w:hAnsi="Arial" w:cs="Arial"/>
                <w:noProof/>
                <w:webHidden/>
                <w:sz w:val="22"/>
                <w:szCs w:val="22"/>
              </w:rPr>
            </w:r>
            <w:r w:rsidRPr="0011639F">
              <w:rPr>
                <w:rFonts w:ascii="Arial" w:hAnsi="Arial" w:cs="Arial"/>
                <w:noProof/>
                <w:webHidden/>
                <w:sz w:val="22"/>
                <w:szCs w:val="22"/>
              </w:rPr>
              <w:fldChar w:fldCharType="separate"/>
            </w:r>
            <w:r w:rsidRPr="0011639F">
              <w:rPr>
                <w:rFonts w:ascii="Arial" w:hAnsi="Arial" w:cs="Arial"/>
                <w:noProof/>
                <w:webHidden/>
                <w:sz w:val="22"/>
                <w:szCs w:val="22"/>
              </w:rPr>
              <w:t>19</w:t>
            </w:r>
            <w:r w:rsidRPr="0011639F">
              <w:rPr>
                <w:rFonts w:ascii="Arial" w:hAnsi="Arial" w:cs="Arial"/>
                <w:noProof/>
                <w:webHidden/>
                <w:sz w:val="22"/>
                <w:szCs w:val="22"/>
              </w:rPr>
              <w:fldChar w:fldCharType="end"/>
            </w:r>
          </w:hyperlink>
        </w:p>
        <w:p w14:paraId="5CCFD718" w14:textId="1DD904E9" w:rsidR="0011639F" w:rsidRPr="0011639F" w:rsidRDefault="0011639F" w:rsidP="0011639F">
          <w:pPr>
            <w:spacing w:line="360" w:lineRule="auto"/>
            <w:rPr>
              <w:rFonts w:ascii="Arial" w:hAnsi="Arial" w:cs="Arial"/>
              <w:sz w:val="22"/>
              <w:szCs w:val="22"/>
            </w:rPr>
          </w:pPr>
          <w:r w:rsidRPr="0011639F">
            <w:rPr>
              <w:rFonts w:ascii="Arial" w:hAnsi="Arial" w:cs="Arial"/>
              <w:b/>
              <w:bCs/>
              <w:noProof/>
              <w:sz w:val="22"/>
              <w:szCs w:val="22"/>
            </w:rPr>
            <w:fldChar w:fldCharType="end"/>
          </w:r>
        </w:p>
      </w:sdtContent>
    </w:sdt>
    <w:p w14:paraId="003A6150" w14:textId="77777777" w:rsidR="0011639F" w:rsidRPr="0011639F" w:rsidRDefault="0011639F" w:rsidP="0011639F">
      <w:pPr>
        <w:spacing w:line="360" w:lineRule="auto"/>
        <w:rPr>
          <w:rFonts w:ascii="Arial" w:hAnsi="Arial" w:cs="Arial"/>
          <w:sz w:val="22"/>
          <w:szCs w:val="22"/>
        </w:rPr>
      </w:pPr>
    </w:p>
    <w:p w14:paraId="0A1F8958" w14:textId="77777777" w:rsidR="0011639F" w:rsidRPr="0011639F" w:rsidRDefault="0011639F" w:rsidP="0011639F">
      <w:pPr>
        <w:spacing w:line="360" w:lineRule="auto"/>
        <w:rPr>
          <w:rFonts w:ascii="Arial" w:hAnsi="Arial" w:cs="Arial"/>
          <w:sz w:val="22"/>
          <w:szCs w:val="22"/>
        </w:rPr>
      </w:pPr>
    </w:p>
    <w:p w14:paraId="3E1BE3B5" w14:textId="77777777" w:rsidR="0011639F" w:rsidRPr="0011639F" w:rsidRDefault="0011639F" w:rsidP="0011639F">
      <w:pPr>
        <w:spacing w:line="360" w:lineRule="auto"/>
        <w:rPr>
          <w:rFonts w:ascii="Arial" w:hAnsi="Arial" w:cs="Arial"/>
          <w:sz w:val="22"/>
          <w:szCs w:val="22"/>
        </w:rPr>
      </w:pPr>
    </w:p>
    <w:p w14:paraId="1C74E76A" w14:textId="77777777" w:rsidR="0011639F" w:rsidRPr="0011639F" w:rsidRDefault="0011639F" w:rsidP="0011639F">
      <w:pPr>
        <w:spacing w:line="360" w:lineRule="auto"/>
        <w:rPr>
          <w:rFonts w:ascii="Arial" w:hAnsi="Arial" w:cs="Arial"/>
          <w:sz w:val="22"/>
          <w:szCs w:val="22"/>
        </w:rPr>
      </w:pPr>
    </w:p>
    <w:p w14:paraId="33FB3EB8" w14:textId="77777777" w:rsidR="0011639F" w:rsidRPr="0011639F" w:rsidRDefault="0011639F" w:rsidP="0011639F">
      <w:pPr>
        <w:spacing w:line="360" w:lineRule="auto"/>
        <w:rPr>
          <w:rFonts w:ascii="Arial" w:hAnsi="Arial" w:cs="Arial"/>
          <w:sz w:val="22"/>
          <w:szCs w:val="22"/>
        </w:rPr>
      </w:pPr>
    </w:p>
    <w:p w14:paraId="1F9E6D7B" w14:textId="77777777" w:rsidR="005E5FE6" w:rsidRPr="0011639F" w:rsidRDefault="005E5FE6" w:rsidP="0011639F">
      <w:pPr>
        <w:spacing w:line="360" w:lineRule="auto"/>
        <w:rPr>
          <w:rFonts w:ascii="Arial" w:hAnsi="Arial" w:cs="Arial"/>
          <w:sz w:val="22"/>
          <w:szCs w:val="22"/>
        </w:rPr>
      </w:pPr>
    </w:p>
    <w:p w14:paraId="2A27836F" w14:textId="77777777" w:rsidR="00E85304" w:rsidRPr="0011639F" w:rsidRDefault="00000000" w:rsidP="0011639F">
      <w:pPr>
        <w:pStyle w:val="Heading1"/>
        <w:spacing w:before="0" w:after="0" w:line="360" w:lineRule="auto"/>
        <w:rPr>
          <w:rFonts w:ascii="Arial" w:hAnsi="Arial" w:cs="Arial"/>
          <w:color w:val="auto"/>
          <w:sz w:val="22"/>
          <w:szCs w:val="22"/>
        </w:rPr>
      </w:pPr>
      <w:bookmarkStart w:id="0" w:name="_Toc228527380"/>
      <w:r w:rsidRPr="0011639F">
        <w:rPr>
          <w:rFonts w:ascii="Arial" w:hAnsi="Arial" w:cs="Arial"/>
          <w:color w:val="auto"/>
          <w:sz w:val="22"/>
          <w:szCs w:val="22"/>
        </w:rPr>
        <w:lastRenderedPageBreak/>
        <w:t>Executive Summary</w:t>
      </w:r>
      <w:bookmarkEnd w:id="0"/>
    </w:p>
    <w:p w14:paraId="48E9F27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This report provides a critical strategic analysis of Shell plc, a London-headquartered global energy supermajor that generated adjusted earnings of around US$23.7 billion in 2024 and cash flow from operating activities of US$54.7 billion (Shell, 2025). The analysis is structured around the frameworks specified in the module: PESTEL, VRIO, Porter's Five Forces, the Balanced Scorecard, Porter's generic strategies, Ansoff's Matrix, the BCG Matrix and SWOT. The central strategic question facing Shell is how to balance its traditional hydrocarbon-based earning engine with the accelerating global energy transition, while generating the cash flows expected by investors.</w:t>
      </w:r>
    </w:p>
    <w:p w14:paraId="5208BC5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findings show that Shell possesses several rare and costly-to-imitate capabilities — most notably its global LNG portfolio, integrated value chain, and proprietary trading platform — that underpin a sustained competitive advantage. However, its substantial fossil-fuel exposure creates reputational, regulatory and transition risks that its European peers BP and TotalEnergies manage differently, and that its US rivals ExxonMobil and Chevron are largely choosing not to manage at all. Under CEO Wael Sawan, Shell has re-prioritised capital discipline, targeting $5–7bn of structural cost reductions by 2028 and capping low-carbon capital at below 10% of total (Shell, 2025; Zacks/Yahoo Finance, 2025). The Balanced Scorecard and SWOT analyses confirm that this is a pragmatic, value-led transition strategy — but one that depends on credibility with increasingly sceptical investors and stakeholders. Recommendations focus on sharpening LNG leadership, accelerating hydrogen and carbon capture, tightening ESG disclosures, and building digital capabilities as a cross-cutting advantage.</w:t>
      </w:r>
    </w:p>
    <w:p w14:paraId="0458E141" w14:textId="60C63F3F" w:rsidR="00EA0205" w:rsidRPr="0011639F" w:rsidRDefault="00000000" w:rsidP="0011639F">
      <w:pPr>
        <w:spacing w:line="360" w:lineRule="auto"/>
        <w:rPr>
          <w:rFonts w:ascii="Arial" w:hAnsi="Arial" w:cs="Arial"/>
          <w:sz w:val="22"/>
          <w:szCs w:val="22"/>
        </w:rPr>
      </w:pPr>
      <w:r w:rsidRPr="0011639F">
        <w:rPr>
          <w:rFonts w:ascii="Arial" w:hAnsi="Arial" w:cs="Arial"/>
          <w:sz w:val="22"/>
          <w:szCs w:val="22"/>
        </w:rPr>
        <w:br w:type="page"/>
      </w:r>
    </w:p>
    <w:p w14:paraId="1C9B70E6" w14:textId="26D58A7B" w:rsidR="00EA0205" w:rsidRPr="0011639F" w:rsidRDefault="00EA0205" w:rsidP="0011639F">
      <w:pPr>
        <w:pStyle w:val="Heading1"/>
        <w:spacing w:before="0" w:after="0" w:line="360" w:lineRule="auto"/>
        <w:jc w:val="both"/>
        <w:rPr>
          <w:rFonts w:ascii="Arial" w:hAnsi="Arial" w:cs="Arial"/>
          <w:color w:val="auto"/>
          <w:sz w:val="22"/>
          <w:szCs w:val="22"/>
        </w:rPr>
      </w:pPr>
      <w:bookmarkStart w:id="1" w:name="_Toc228527381"/>
      <w:r w:rsidRPr="0011639F">
        <w:rPr>
          <w:rFonts w:ascii="Arial" w:hAnsi="Arial" w:cs="Arial"/>
          <w:color w:val="auto"/>
          <w:sz w:val="22"/>
          <w:szCs w:val="22"/>
        </w:rPr>
        <w:lastRenderedPageBreak/>
        <w:t>Introduction</w:t>
      </w:r>
      <w:bookmarkEnd w:id="1"/>
      <w:r w:rsidRPr="0011639F">
        <w:rPr>
          <w:rFonts w:ascii="Arial" w:hAnsi="Arial" w:cs="Arial"/>
          <w:color w:val="auto"/>
          <w:sz w:val="22"/>
          <w:szCs w:val="22"/>
        </w:rPr>
        <w:t xml:space="preserve"> </w:t>
      </w:r>
    </w:p>
    <w:p w14:paraId="3928F58D"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Shell plc is one of the world’s leading integrated energy companies, operating across the full hydrocarbon value chain while gradually expanding into low-carbon energy solutions. This report provides a comprehensive strategic analysis of Shell’s organisational context, competitive positioning, and long-term direction within an energy sector undergoing profound structural transformation. The global energy landscape is increasingly shaped by the dual pressures of sustaining hydrocarbon demand and accelerating decarbonisation in response to climate change, regulatory tightening, and evolving societal expectations. Within this environment, Shell occupies a distinctive position as a “European Transitioner,” attempting to balance shareholder returns with investment in cleaner energy alternatives.</w:t>
      </w:r>
    </w:p>
    <w:p w14:paraId="7360ED99" w14:textId="77777777" w:rsidR="00EA0205" w:rsidRPr="0011639F" w:rsidRDefault="00EA0205" w:rsidP="0011639F">
      <w:pPr>
        <w:spacing w:line="360" w:lineRule="auto"/>
        <w:jc w:val="both"/>
        <w:rPr>
          <w:rFonts w:ascii="Arial" w:hAnsi="Arial" w:cs="Arial"/>
          <w:sz w:val="22"/>
          <w:szCs w:val="22"/>
        </w:rPr>
      </w:pPr>
    </w:p>
    <w:p w14:paraId="6887FC71"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The purpose of this report is to critically evaluate Shell’s internal capabilities and external environment using established strategic frameworks, including PESTEL, Porter’s Five Forces, and VRIO analysis. These tools are applied to assess how macroeconomic volatility, geopolitical risks, technological advancements, and environmental regulations influence Shell’s strategic decision-making. In addition, the report examines Shell’s corporate social responsibility (CSR) commitments and sustainability objectives, particularly its ambition to achieve net-zero emissions by 2050, and evaluates how effectively these align with its commercial priorities.</w:t>
      </w:r>
    </w:p>
    <w:p w14:paraId="43EC709D" w14:textId="77777777" w:rsidR="00EA0205" w:rsidRPr="0011639F" w:rsidRDefault="00EA0205" w:rsidP="0011639F">
      <w:pPr>
        <w:spacing w:line="360" w:lineRule="auto"/>
        <w:jc w:val="both"/>
        <w:rPr>
          <w:rFonts w:ascii="Arial" w:hAnsi="Arial" w:cs="Arial"/>
          <w:sz w:val="22"/>
          <w:szCs w:val="22"/>
        </w:rPr>
      </w:pPr>
    </w:p>
    <w:p w14:paraId="60A910A6"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Furthermore, the analysis incorporates the Balanced Scorecard approach to translate Shell’s strategic objectives into measurable performance indicators across financial, customer, internal process, and learning dimensions. Corporate and business-level strategies are explored through models such as Porter’s Generic Strategies and Ansoff’s Matrix, highlighting Shell’s hybrid approach to maintaining profitability while pursuing selective energy transition opportunities.</w:t>
      </w:r>
    </w:p>
    <w:p w14:paraId="50F0936F" w14:textId="77777777" w:rsidR="00EA0205" w:rsidRPr="0011639F" w:rsidRDefault="00EA0205" w:rsidP="0011639F">
      <w:pPr>
        <w:spacing w:line="360" w:lineRule="auto"/>
        <w:jc w:val="both"/>
        <w:rPr>
          <w:rFonts w:ascii="Arial" w:hAnsi="Arial" w:cs="Arial"/>
          <w:sz w:val="22"/>
          <w:szCs w:val="22"/>
        </w:rPr>
      </w:pPr>
    </w:p>
    <w:p w14:paraId="475DD304" w14:textId="77777777" w:rsidR="00E85304" w:rsidRPr="0011639F" w:rsidRDefault="00000000" w:rsidP="0011639F">
      <w:pPr>
        <w:pStyle w:val="Heading1"/>
        <w:spacing w:before="0" w:after="0" w:line="360" w:lineRule="auto"/>
        <w:jc w:val="both"/>
        <w:rPr>
          <w:rFonts w:ascii="Arial" w:hAnsi="Arial" w:cs="Arial"/>
          <w:color w:val="auto"/>
          <w:sz w:val="22"/>
          <w:szCs w:val="22"/>
        </w:rPr>
      </w:pPr>
      <w:bookmarkStart w:id="2" w:name="_Toc228527382"/>
      <w:r w:rsidRPr="0011639F">
        <w:rPr>
          <w:rFonts w:ascii="Arial" w:hAnsi="Arial" w:cs="Arial"/>
          <w:color w:val="auto"/>
          <w:sz w:val="22"/>
          <w:szCs w:val="22"/>
        </w:rPr>
        <w:t>1.1 Organisational Context and Overview</w:t>
      </w:r>
      <w:bookmarkEnd w:id="2"/>
    </w:p>
    <w:p w14:paraId="75750D1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Shell plc (LSE: SHEL; NYSE: SHEL) is one of the world's largest integrated energy companies, with operations in more than 70 countries and a market capitalisation of approximately US$210.6 billion as of November 2025 (DCFmodeling, 2025). The company was formed in 1907 through the merger of the Royal Dutch Petroleum Company and the "Shell" Transport and Trading Company. In January 2022 it simplified its dual Anglo-Dutch structure, consolidated its share listing, relocated its headquarters from The Hague to London and changed its legal name from Royal Dutch Shell plc to Shell plc (Yelza, 2025).</w:t>
      </w:r>
    </w:p>
    <w:p w14:paraId="268497A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 xml:space="preserve">Shell's purpose — articulated in its 2024 Energy Transition Strategy — is to "power progress together by providing more and cleaner energy solutions" (Shell, 2024). Its stated vision is to </w:t>
      </w:r>
      <w:r w:rsidRPr="0011639F">
        <w:rPr>
          <w:rFonts w:ascii="Arial" w:hAnsi="Arial" w:cs="Arial"/>
          <w:sz w:val="22"/>
          <w:szCs w:val="22"/>
        </w:rPr>
        <w:lastRenderedPageBreak/>
        <w:t>be the most valued company among energy investors while reaching net-zero emissions across operations and energy products sold by 2050. Core values are honesty, integrity and respect for people. The business operates across five principal segments: Integrated Gas (including LNG), Upstream (oil and gas exploration and production), Marketing (including retail mobility and lubricants), Chemicals and Products, and Renewables and Energy Solutions.</w:t>
      </w:r>
    </w:p>
    <w:p w14:paraId="47BBC427"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global energy industry remains dominated by five "supermajors": ExxonMobil (market cap c.US$475bn in Q4 2025), Chevron, Shell, TotalEnergies and BP, alongside state-owned giants Saudi Aramco, PetroChina and Petrobras. The competitive field has increasingly bifurcated into two strategic camps — what Financial Content (2026) labels the "American Aggressives" (ExxonMobil and Chevron, doubling down on oil and gas and commanding price-to-earnings ratios of 15x–20x), and the "European Transitioners" (Shell, BP and TotalEnergies, investing moderately in low-carbon energy and trading at lower multiples of 11x–14x). Shell's 2024–2025 strategic pivot under CEO Wael Sawan explicitly aims to close this "valuation gap" by prioritising shareholder returns and disciplined capital allocation over rapid renewable expansion (Pestel-analysis, 2025; Shell, 2025).</w:t>
      </w:r>
    </w:p>
    <w:p w14:paraId="0960F32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Shell's market position rests on three structural pillars: first, global leadership in liquefied natural gas, where it targets 4–5% annual sales growth through 2030; second, a globally integrated upstream-to-downstream trading platform that captures margin along the whole value chain; and third, an extensive retail mobility network of more than 47,000 service stations under the Shell, V-Power and Recharge brands. This positioning gives the company a distinctive blend of resilience and optionality in an industry undergoing structural reinvention (Shell, 2024).</w:t>
      </w:r>
    </w:p>
    <w:p w14:paraId="675BB5C4" w14:textId="77777777" w:rsidR="00E85304" w:rsidRPr="0011639F" w:rsidRDefault="00000000" w:rsidP="0011639F">
      <w:pPr>
        <w:pStyle w:val="Heading1"/>
        <w:spacing w:before="0" w:after="0" w:line="360" w:lineRule="auto"/>
        <w:jc w:val="both"/>
        <w:rPr>
          <w:rFonts w:ascii="Arial" w:hAnsi="Arial" w:cs="Arial"/>
          <w:color w:val="auto"/>
          <w:sz w:val="22"/>
          <w:szCs w:val="22"/>
        </w:rPr>
      </w:pPr>
      <w:bookmarkStart w:id="3" w:name="_Toc228527383"/>
      <w:r w:rsidRPr="0011639F">
        <w:rPr>
          <w:rFonts w:ascii="Arial" w:hAnsi="Arial" w:cs="Arial"/>
          <w:color w:val="auto"/>
          <w:sz w:val="22"/>
          <w:szCs w:val="22"/>
        </w:rPr>
        <w:t>1.2 External and Internal Environment Analysis</w:t>
      </w:r>
      <w:bookmarkEnd w:id="3"/>
    </w:p>
    <w:p w14:paraId="4459014F"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4" w:name="_Toc228527384"/>
      <w:r w:rsidRPr="0011639F">
        <w:rPr>
          <w:rFonts w:ascii="Arial" w:hAnsi="Arial" w:cs="Arial"/>
          <w:color w:val="auto"/>
          <w:sz w:val="22"/>
          <w:szCs w:val="22"/>
        </w:rPr>
        <w:t>1.2.1 PESTEL Analysis</w:t>
      </w:r>
      <w:bookmarkEnd w:id="4"/>
    </w:p>
    <w:p w14:paraId="25941D2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Applying Johnson, Whittington and Scholes' (2020) PESTEL framework reveals the macroenvironmental forces shaping Shell's strategic decisions.</w:t>
      </w:r>
    </w:p>
    <w:p w14:paraId="3E2E1DE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Table 1: PESTEL Analysis — Shell plc (2026)</w:t>
      </w:r>
    </w:p>
    <w:tbl>
      <w:tblPr>
        <w:tblStyle w:val="TableGrid"/>
        <w:tblW w:w="9360" w:type="dxa"/>
        <w:tblLook w:val="0000" w:firstRow="0" w:lastRow="0" w:firstColumn="0" w:lastColumn="0" w:noHBand="0" w:noVBand="0"/>
      </w:tblPr>
      <w:tblGrid>
        <w:gridCol w:w="1745"/>
        <w:gridCol w:w="7615"/>
      </w:tblGrid>
      <w:tr w:rsidR="0011639F" w:rsidRPr="0011639F" w14:paraId="2894DF1D" w14:textId="77777777" w:rsidTr="00104E25">
        <w:tc>
          <w:tcPr>
            <w:tcW w:w="1560" w:type="dxa"/>
          </w:tcPr>
          <w:p w14:paraId="0A3E197D"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Factor</w:t>
            </w:r>
          </w:p>
        </w:tc>
        <w:tc>
          <w:tcPr>
            <w:tcW w:w="7800" w:type="dxa"/>
          </w:tcPr>
          <w:p w14:paraId="0B647979"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Strategic implications for Shell plc</w:t>
            </w:r>
          </w:p>
        </w:tc>
      </w:tr>
      <w:tr w:rsidR="0011639F" w:rsidRPr="0011639F" w14:paraId="7AFF5FCE" w14:textId="77777777" w:rsidTr="00104E25">
        <w:tc>
          <w:tcPr>
            <w:tcW w:w="1560" w:type="dxa"/>
          </w:tcPr>
          <w:p w14:paraId="7240324D"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Political</w:t>
            </w:r>
          </w:p>
        </w:tc>
        <w:tc>
          <w:tcPr>
            <w:tcW w:w="7800" w:type="dxa"/>
          </w:tcPr>
          <w:p w14:paraId="23D69AD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Geopolitical instability — Russia-Ukraine war, Middle-East tensions, US tariff escalations — has disrupted global energy flows since 2022. Shell's 2022 withdrawal from Russia cost it approximately US$5 billion in impairments. Resource-nationalism and political hostility in the Niger Delta remain long-standing risks (Swotandpestle, 2025).</w:t>
            </w:r>
          </w:p>
        </w:tc>
      </w:tr>
      <w:tr w:rsidR="0011639F" w:rsidRPr="0011639F" w14:paraId="5C2B77EB" w14:textId="77777777" w:rsidTr="00104E25">
        <w:tc>
          <w:tcPr>
            <w:tcW w:w="1560" w:type="dxa"/>
          </w:tcPr>
          <w:p w14:paraId="320B4E09"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Economic</w:t>
            </w:r>
          </w:p>
        </w:tc>
        <w:tc>
          <w:tcPr>
            <w:tcW w:w="7800" w:type="dxa"/>
          </w:tcPr>
          <w:p w14:paraId="76BD6DD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 xml:space="preserve">Brent crude volatility (US$70–90 range through 2024–25), rising interest rates, slowing Chinese industrial demand, and global recessionary fears </w:t>
            </w:r>
            <w:r w:rsidRPr="0011639F">
              <w:rPr>
                <w:rFonts w:ascii="Arial" w:hAnsi="Arial" w:cs="Arial"/>
                <w:sz w:val="22"/>
                <w:szCs w:val="22"/>
              </w:rPr>
              <w:lastRenderedPageBreak/>
              <w:t>create uncertain commodity revenue. Shell's free cash flow yield of ~8.5% is one of the highest in the global energy sector (FinancialContent, 2026).</w:t>
            </w:r>
          </w:p>
        </w:tc>
      </w:tr>
      <w:tr w:rsidR="0011639F" w:rsidRPr="0011639F" w14:paraId="14961C07" w14:textId="77777777" w:rsidTr="00104E25">
        <w:tc>
          <w:tcPr>
            <w:tcW w:w="1560" w:type="dxa"/>
          </w:tcPr>
          <w:p w14:paraId="0AA44FC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lastRenderedPageBreak/>
              <w:t>Social</w:t>
            </w:r>
          </w:p>
        </w:tc>
        <w:tc>
          <w:tcPr>
            <w:tcW w:w="7800" w:type="dxa"/>
          </w:tcPr>
          <w:p w14:paraId="5C967F1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Societal scrutiny of Big Oil has intensified. A 2021 court ruling in the Netherlands (upheld/modified on appeal in 2024) required Shell to accelerate emissions cuts. Divestment movements by pension funds and universities have grown. Rising social acceptance of EVs affects the retail fuel network.</w:t>
            </w:r>
          </w:p>
        </w:tc>
      </w:tr>
      <w:tr w:rsidR="0011639F" w:rsidRPr="0011639F" w14:paraId="754EB681" w14:textId="77777777" w:rsidTr="00104E25">
        <w:tc>
          <w:tcPr>
            <w:tcW w:w="1560" w:type="dxa"/>
          </w:tcPr>
          <w:p w14:paraId="5DBDF26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Technological</w:t>
            </w:r>
          </w:p>
        </w:tc>
        <w:tc>
          <w:tcPr>
            <w:tcW w:w="7800" w:type="dxa"/>
          </w:tcPr>
          <w:p w14:paraId="5B08A27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Shell invests heavily in AI, digital twins, and subsurface modelling. Its Holland Hydrogen I project (Rotterdam) became one of Europe's largest operational electrolysers in 2025, and its participation in Norway's Northern Lights CCS project positions it in emerging "carbon removal as a service" markets (FinancialContent, 2026).</w:t>
            </w:r>
          </w:p>
        </w:tc>
      </w:tr>
      <w:tr w:rsidR="0011639F" w:rsidRPr="0011639F" w14:paraId="59E0388D" w14:textId="77777777" w:rsidTr="00104E25">
        <w:tc>
          <w:tcPr>
            <w:tcW w:w="1560" w:type="dxa"/>
          </w:tcPr>
          <w:p w14:paraId="67BC60E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Environmental</w:t>
            </w:r>
          </w:p>
        </w:tc>
        <w:tc>
          <w:tcPr>
            <w:tcW w:w="7800" w:type="dxa"/>
          </w:tcPr>
          <w:p w14:paraId="40DF843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Net-zero commitments dominate. Shell's Energy Transition Strategy 2024 commits US$10–15bn to low-carbon projects between 2023 and 2025. However, the cap of &lt;10% of capital employed for low-carbon businesses has attracted criticism from NGOs and some institutional investors (Zacks/Yahoo Finance, 2025).</w:t>
            </w:r>
          </w:p>
        </w:tc>
      </w:tr>
      <w:tr w:rsidR="0011639F" w:rsidRPr="0011639F" w14:paraId="67D68FC0" w14:textId="77777777" w:rsidTr="00104E25">
        <w:tc>
          <w:tcPr>
            <w:tcW w:w="1560" w:type="dxa"/>
          </w:tcPr>
          <w:p w14:paraId="09E65BC2"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Legal</w:t>
            </w:r>
          </w:p>
        </w:tc>
        <w:tc>
          <w:tcPr>
            <w:tcW w:w="7800" w:type="dxa"/>
          </w:tcPr>
          <w:p w14:paraId="655ACF7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EU Corporate Sustainability Reporting Directive (CSRD) came into effect in 2024 imposing new disclosure obligations. US SEC climate-risk rules, the UK Transition Plan Taskforce framework, and ongoing climate litigation (including the landmark Milieudefensie v Shell case) impose substantial compliance and reputational risks.</w:t>
            </w:r>
          </w:p>
        </w:tc>
      </w:tr>
    </w:tbl>
    <w:p w14:paraId="2D55B26F" w14:textId="77777777" w:rsidR="00E85304" w:rsidRPr="0011639F" w:rsidRDefault="00E85304" w:rsidP="0011639F">
      <w:pPr>
        <w:spacing w:line="360" w:lineRule="auto"/>
        <w:jc w:val="both"/>
        <w:rPr>
          <w:rFonts w:ascii="Arial" w:hAnsi="Arial" w:cs="Arial"/>
          <w:sz w:val="22"/>
          <w:szCs w:val="22"/>
        </w:rPr>
      </w:pPr>
    </w:p>
    <w:p w14:paraId="4BAB259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critical strategic implication is that Shell operates in a dual-speed environment: its cash-generating traditional business remains structurally supported by continuing hydrocarbon demand (especially LNG), while its regulatory, social and legal environment is tilting rapidly towards decarbonisation. Critical success factors for the next five years are therefore (i) preserving LNG leadership, (ii) credibly delivering on phased emissions targets, and (iii) maintaining social licence-to-operate.</w:t>
      </w:r>
    </w:p>
    <w:p w14:paraId="7FCCEBF6"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5" w:name="_Toc228527385"/>
      <w:r w:rsidRPr="0011639F">
        <w:rPr>
          <w:rFonts w:ascii="Arial" w:hAnsi="Arial" w:cs="Arial"/>
          <w:color w:val="auto"/>
          <w:sz w:val="22"/>
          <w:szCs w:val="22"/>
        </w:rPr>
        <w:t>1.2.2 Porter's Five Forces Analysis</w:t>
      </w:r>
      <w:bookmarkEnd w:id="5"/>
    </w:p>
    <w:p w14:paraId="738536B9"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Porter's (1979) Five Forces framework illustrates the structural economics of the integrated-energy industry and Shell's position within it.</w:t>
      </w:r>
    </w:p>
    <w:p w14:paraId="589148D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Table 2: Porter's Five Forces — Shell plc</w:t>
      </w:r>
    </w:p>
    <w:tbl>
      <w:tblPr>
        <w:tblStyle w:val="TableGrid"/>
        <w:tblW w:w="9360" w:type="dxa"/>
        <w:tblLook w:val="0000" w:firstRow="0" w:lastRow="0" w:firstColumn="0" w:lastColumn="0" w:noHBand="0" w:noVBand="0"/>
      </w:tblPr>
      <w:tblGrid>
        <w:gridCol w:w="2383"/>
        <w:gridCol w:w="1488"/>
        <w:gridCol w:w="5489"/>
      </w:tblGrid>
      <w:tr w:rsidR="0011639F" w:rsidRPr="0011639F" w14:paraId="60310509" w14:textId="77777777" w:rsidTr="00104E25">
        <w:tc>
          <w:tcPr>
            <w:tcW w:w="2400" w:type="dxa"/>
          </w:tcPr>
          <w:p w14:paraId="58A581F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Force</w:t>
            </w:r>
          </w:p>
        </w:tc>
        <w:tc>
          <w:tcPr>
            <w:tcW w:w="1400" w:type="dxa"/>
          </w:tcPr>
          <w:p w14:paraId="6078546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Intensity</w:t>
            </w:r>
          </w:p>
        </w:tc>
        <w:tc>
          <w:tcPr>
            <w:tcW w:w="5560" w:type="dxa"/>
          </w:tcPr>
          <w:p w14:paraId="034A9B3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Rationale</w:t>
            </w:r>
          </w:p>
        </w:tc>
      </w:tr>
      <w:tr w:rsidR="0011639F" w:rsidRPr="0011639F" w14:paraId="70CEDA09" w14:textId="77777777" w:rsidTr="00104E25">
        <w:tc>
          <w:tcPr>
            <w:tcW w:w="2400" w:type="dxa"/>
          </w:tcPr>
          <w:p w14:paraId="539B20B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Competitive Rivalry</w:t>
            </w:r>
          </w:p>
        </w:tc>
        <w:tc>
          <w:tcPr>
            <w:tcW w:w="1400" w:type="dxa"/>
          </w:tcPr>
          <w:p w14:paraId="01439D7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High</w:t>
            </w:r>
          </w:p>
        </w:tc>
        <w:tc>
          <w:tcPr>
            <w:tcW w:w="5560" w:type="dxa"/>
          </w:tcPr>
          <w:p w14:paraId="19FBED6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 xml:space="preserve">Five supermajors plus state-owned Aramco, PetroChina, Petrobras compete globally; </w:t>
            </w:r>
            <w:r w:rsidRPr="0011639F">
              <w:rPr>
                <w:rFonts w:ascii="Arial" w:hAnsi="Arial" w:cs="Arial"/>
                <w:sz w:val="22"/>
                <w:szCs w:val="22"/>
              </w:rPr>
              <w:lastRenderedPageBreak/>
              <w:t>TotalEnergies is a fierce LNG rival; BP's strategic retreat has not reduced rivalry in European retail.</w:t>
            </w:r>
          </w:p>
        </w:tc>
      </w:tr>
      <w:tr w:rsidR="0011639F" w:rsidRPr="0011639F" w14:paraId="2297EBF8" w14:textId="77777777" w:rsidTr="00104E25">
        <w:tc>
          <w:tcPr>
            <w:tcW w:w="2400" w:type="dxa"/>
          </w:tcPr>
          <w:p w14:paraId="4A8F864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lastRenderedPageBreak/>
              <w:t>Threat of New Entrants</w:t>
            </w:r>
          </w:p>
        </w:tc>
        <w:tc>
          <w:tcPr>
            <w:tcW w:w="1400" w:type="dxa"/>
          </w:tcPr>
          <w:p w14:paraId="7F1EABA7"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Low in Oil &amp; Gas, Moderate in Renewables</w:t>
            </w:r>
          </w:p>
        </w:tc>
        <w:tc>
          <w:tcPr>
            <w:tcW w:w="5560" w:type="dxa"/>
          </w:tcPr>
          <w:p w14:paraId="56AC1469"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Capital intensity, reserves access, and regulatory barriers protect incumbents in hydrocarbons. In renewables, tech-native entrants such as Ørsted (offshore wind), Tesla (solar/storage) and dedicated hydrogen startups create credible challenges.</w:t>
            </w:r>
          </w:p>
        </w:tc>
      </w:tr>
      <w:tr w:rsidR="0011639F" w:rsidRPr="0011639F" w14:paraId="0B4B91FF" w14:textId="77777777" w:rsidTr="00104E25">
        <w:tc>
          <w:tcPr>
            <w:tcW w:w="2400" w:type="dxa"/>
          </w:tcPr>
          <w:p w14:paraId="39444B2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Bargaining Power of Suppliers</w:t>
            </w:r>
          </w:p>
        </w:tc>
        <w:tc>
          <w:tcPr>
            <w:tcW w:w="1400" w:type="dxa"/>
          </w:tcPr>
          <w:p w14:paraId="0C05057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Moderate-High</w:t>
            </w:r>
          </w:p>
        </w:tc>
        <w:tc>
          <w:tcPr>
            <w:tcW w:w="5560" w:type="dxa"/>
          </w:tcPr>
          <w:p w14:paraId="37B08E3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OPEC+ cartel coordination, specialised oilfield-services firms (Halliburton, Schlumberger, Baker Hughes), and critical-mineral supply chains for energy transition (lithium, cobalt, rare earths) give suppliers meaningful leverage.</w:t>
            </w:r>
          </w:p>
        </w:tc>
      </w:tr>
      <w:tr w:rsidR="0011639F" w:rsidRPr="0011639F" w14:paraId="732DCB41" w14:textId="77777777" w:rsidTr="00104E25">
        <w:tc>
          <w:tcPr>
            <w:tcW w:w="2400" w:type="dxa"/>
          </w:tcPr>
          <w:p w14:paraId="6D2C8CD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Bargaining Power of Buyers</w:t>
            </w:r>
          </w:p>
        </w:tc>
        <w:tc>
          <w:tcPr>
            <w:tcW w:w="1400" w:type="dxa"/>
          </w:tcPr>
          <w:p w14:paraId="612436E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Moderate</w:t>
            </w:r>
          </w:p>
        </w:tc>
        <w:tc>
          <w:tcPr>
            <w:tcW w:w="5560" w:type="dxa"/>
          </w:tcPr>
          <w:p w14:paraId="455BF0B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Large industrial buyers (utilities, airlines, manufacturers) negotiate long-term contracts; retail consumers have low individual power but high aggregate sensitivity to pump prices.</w:t>
            </w:r>
          </w:p>
        </w:tc>
      </w:tr>
      <w:tr w:rsidR="0011639F" w:rsidRPr="0011639F" w14:paraId="5003A81E" w14:textId="77777777" w:rsidTr="00104E25">
        <w:tc>
          <w:tcPr>
            <w:tcW w:w="2400" w:type="dxa"/>
          </w:tcPr>
          <w:p w14:paraId="3EDB80B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Threat of Substitutes</w:t>
            </w:r>
          </w:p>
        </w:tc>
        <w:tc>
          <w:tcPr>
            <w:tcW w:w="1400" w:type="dxa"/>
          </w:tcPr>
          <w:p w14:paraId="05E5A8F4" w14:textId="74EFAB0E"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 xml:space="preserve">High and </w:t>
            </w:r>
            <w:r w:rsidR="00104E25" w:rsidRPr="0011639F">
              <w:rPr>
                <w:rFonts w:ascii="Arial" w:hAnsi="Arial" w:cs="Arial"/>
                <w:b/>
                <w:bCs/>
                <w:sz w:val="22"/>
                <w:szCs w:val="22"/>
              </w:rPr>
              <w:t>rising</w:t>
            </w:r>
          </w:p>
        </w:tc>
        <w:tc>
          <w:tcPr>
            <w:tcW w:w="5560" w:type="dxa"/>
          </w:tcPr>
          <w:p w14:paraId="568F3C2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Electrification of transport (BEVs), renewable electricity displacing gas-fired power, green hydrogen, and energy-efficiency measures all accelerate substitution. Shell's retail strategy must therefore pivot to Recharge, convenience retail, and biofuels.</w:t>
            </w:r>
          </w:p>
        </w:tc>
      </w:tr>
    </w:tbl>
    <w:p w14:paraId="37555BB8" w14:textId="77777777" w:rsidR="00E85304" w:rsidRPr="0011639F" w:rsidRDefault="00E85304" w:rsidP="0011639F">
      <w:pPr>
        <w:spacing w:line="360" w:lineRule="auto"/>
        <w:jc w:val="both"/>
        <w:rPr>
          <w:rFonts w:ascii="Arial" w:hAnsi="Arial" w:cs="Arial"/>
          <w:sz w:val="22"/>
          <w:szCs w:val="22"/>
        </w:rPr>
      </w:pPr>
    </w:p>
    <w:p w14:paraId="60AC6CF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industry remains structurally attractive for well-capitalised incumbents because of high barriers, but substitute threats are rising faster than in any other major industry. Shell's strategic imperative is therefore to preserve profitability in oil and gas while positioning for a gradual shift in demand composition over 2030–2050.</w:t>
      </w:r>
    </w:p>
    <w:p w14:paraId="51DE5398"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6" w:name="_Toc228527386"/>
      <w:r w:rsidRPr="0011639F">
        <w:rPr>
          <w:rFonts w:ascii="Arial" w:hAnsi="Arial" w:cs="Arial"/>
          <w:color w:val="auto"/>
          <w:sz w:val="22"/>
          <w:szCs w:val="22"/>
        </w:rPr>
        <w:t>1.2.3 Internal Analysis — VRIO Framework</w:t>
      </w:r>
      <w:bookmarkEnd w:id="6"/>
    </w:p>
    <w:p w14:paraId="5939C9B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Barney's (1991) VRIO framework evaluates whether a resource or capability is Valuable, Rare, costly to Imitate, and whether the organisation is configured to exploit it. Table 3 applies VRIO to Shell's principal resources and capabilities.</w:t>
      </w:r>
    </w:p>
    <w:p w14:paraId="18FBF647"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Table 3: VRIO Analysis of Shell plc</w:t>
      </w:r>
    </w:p>
    <w:tbl>
      <w:tblPr>
        <w:tblStyle w:val="TableGrid"/>
        <w:tblW w:w="9360" w:type="dxa"/>
        <w:tblLook w:val="0000" w:firstRow="0" w:lastRow="0" w:firstColumn="0" w:lastColumn="0" w:noHBand="0" w:noVBand="0"/>
      </w:tblPr>
      <w:tblGrid>
        <w:gridCol w:w="2332"/>
        <w:gridCol w:w="788"/>
        <w:gridCol w:w="789"/>
        <w:gridCol w:w="789"/>
        <w:gridCol w:w="799"/>
        <w:gridCol w:w="3863"/>
      </w:tblGrid>
      <w:tr w:rsidR="0011639F" w:rsidRPr="0011639F" w14:paraId="4260FD69" w14:textId="77777777" w:rsidTr="00104E25">
        <w:tc>
          <w:tcPr>
            <w:tcW w:w="2160" w:type="dxa"/>
          </w:tcPr>
          <w:p w14:paraId="1523CD4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Resource/Capability</w:t>
            </w:r>
          </w:p>
        </w:tc>
        <w:tc>
          <w:tcPr>
            <w:tcW w:w="800" w:type="dxa"/>
          </w:tcPr>
          <w:p w14:paraId="1985C05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V</w:t>
            </w:r>
          </w:p>
        </w:tc>
        <w:tc>
          <w:tcPr>
            <w:tcW w:w="800" w:type="dxa"/>
          </w:tcPr>
          <w:p w14:paraId="3B312E1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R</w:t>
            </w:r>
          </w:p>
        </w:tc>
        <w:tc>
          <w:tcPr>
            <w:tcW w:w="800" w:type="dxa"/>
          </w:tcPr>
          <w:p w14:paraId="68C0EED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I</w:t>
            </w:r>
          </w:p>
        </w:tc>
        <w:tc>
          <w:tcPr>
            <w:tcW w:w="800" w:type="dxa"/>
          </w:tcPr>
          <w:p w14:paraId="4C97451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O</w:t>
            </w:r>
          </w:p>
        </w:tc>
        <w:tc>
          <w:tcPr>
            <w:tcW w:w="4000" w:type="dxa"/>
          </w:tcPr>
          <w:p w14:paraId="624313F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Competitive implication</w:t>
            </w:r>
          </w:p>
        </w:tc>
      </w:tr>
      <w:tr w:rsidR="0011639F" w:rsidRPr="0011639F" w14:paraId="49DCEDC6" w14:textId="77777777" w:rsidTr="00104E25">
        <w:tc>
          <w:tcPr>
            <w:tcW w:w="2160" w:type="dxa"/>
          </w:tcPr>
          <w:p w14:paraId="1DE67E7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Global LNG portfolio</w:t>
            </w:r>
          </w:p>
        </w:tc>
        <w:tc>
          <w:tcPr>
            <w:tcW w:w="800" w:type="dxa"/>
          </w:tcPr>
          <w:p w14:paraId="2E8E3C2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21A5678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6180651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15B37AD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4000" w:type="dxa"/>
          </w:tcPr>
          <w:p w14:paraId="217CBFF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Sustained competitive advantage — largest independent LNG trader; Pavilion Energy acquisition (Q1 2025, ~US$2.6bn) reinforces leadership.</w:t>
            </w:r>
          </w:p>
        </w:tc>
      </w:tr>
      <w:tr w:rsidR="0011639F" w:rsidRPr="0011639F" w14:paraId="38E6F323" w14:textId="77777777" w:rsidTr="00104E25">
        <w:tc>
          <w:tcPr>
            <w:tcW w:w="2160" w:type="dxa"/>
          </w:tcPr>
          <w:p w14:paraId="3B9AA19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lastRenderedPageBreak/>
              <w:t>Proprietary trading platform</w:t>
            </w:r>
          </w:p>
        </w:tc>
        <w:tc>
          <w:tcPr>
            <w:tcW w:w="800" w:type="dxa"/>
          </w:tcPr>
          <w:p w14:paraId="3636F85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75E15E6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61EF2527"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2E7128B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4000" w:type="dxa"/>
          </w:tcPr>
          <w:p w14:paraId="46334B92"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Sustained competitive advantage — generates consistent cross-cycle margin; rivals cannot easily replicate the integrated flow.</w:t>
            </w:r>
          </w:p>
        </w:tc>
      </w:tr>
      <w:tr w:rsidR="0011639F" w:rsidRPr="0011639F" w14:paraId="61FC50C8" w14:textId="77777777" w:rsidTr="00104E25">
        <w:tc>
          <w:tcPr>
            <w:tcW w:w="2160" w:type="dxa"/>
          </w:tcPr>
          <w:p w14:paraId="0F0A4A0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Brand (Shell, Pecten)</w:t>
            </w:r>
          </w:p>
        </w:tc>
        <w:tc>
          <w:tcPr>
            <w:tcW w:w="800" w:type="dxa"/>
          </w:tcPr>
          <w:p w14:paraId="18C7A16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3D86B2B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No</w:t>
            </w:r>
          </w:p>
        </w:tc>
        <w:tc>
          <w:tcPr>
            <w:tcW w:w="800" w:type="dxa"/>
          </w:tcPr>
          <w:p w14:paraId="73841F2D"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2EAD00B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4000" w:type="dxa"/>
          </w:tcPr>
          <w:p w14:paraId="3E01B15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Temporary advantage — brand is iconic but not unique; BP, Esso, Total also have globally recognised brands.</w:t>
            </w:r>
          </w:p>
        </w:tc>
      </w:tr>
      <w:tr w:rsidR="0011639F" w:rsidRPr="0011639F" w14:paraId="46E1054B" w14:textId="77777777" w:rsidTr="00104E25">
        <w:tc>
          <w:tcPr>
            <w:tcW w:w="2160" w:type="dxa"/>
          </w:tcPr>
          <w:p w14:paraId="27B3F92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Retail network (47k+ sites)</w:t>
            </w:r>
          </w:p>
        </w:tc>
        <w:tc>
          <w:tcPr>
            <w:tcW w:w="800" w:type="dxa"/>
          </w:tcPr>
          <w:p w14:paraId="3E690CC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5F1B109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2C577D5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336F62D2"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Partly</w:t>
            </w:r>
          </w:p>
        </w:tc>
        <w:tc>
          <w:tcPr>
            <w:tcW w:w="4000" w:type="dxa"/>
          </w:tcPr>
          <w:p w14:paraId="532ED65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Unrealised advantage — network is rare and costly to build; repositioning as EV-charging and convenience hub still in progress.</w:t>
            </w:r>
          </w:p>
        </w:tc>
      </w:tr>
      <w:tr w:rsidR="0011639F" w:rsidRPr="0011639F" w14:paraId="3AA8E616" w14:textId="77777777" w:rsidTr="00104E25">
        <w:tc>
          <w:tcPr>
            <w:tcW w:w="2160" w:type="dxa"/>
          </w:tcPr>
          <w:p w14:paraId="4194F19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R&amp;D and CCS know-how</w:t>
            </w:r>
          </w:p>
        </w:tc>
        <w:tc>
          <w:tcPr>
            <w:tcW w:w="800" w:type="dxa"/>
          </w:tcPr>
          <w:p w14:paraId="0A05753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0E6F8C4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6864BDC7"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No</w:t>
            </w:r>
          </w:p>
        </w:tc>
        <w:tc>
          <w:tcPr>
            <w:tcW w:w="800" w:type="dxa"/>
          </w:tcPr>
          <w:p w14:paraId="7BD17A8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4000" w:type="dxa"/>
          </w:tcPr>
          <w:p w14:paraId="2E562A7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Temporary advantage — first-mover CCS (Quest, Polaris, Northern Lights) but imitable over time as rivals invest.</w:t>
            </w:r>
          </w:p>
        </w:tc>
      </w:tr>
      <w:tr w:rsidR="0011639F" w:rsidRPr="0011639F" w14:paraId="38F72BCD" w14:textId="77777777" w:rsidTr="00104E25">
        <w:tc>
          <w:tcPr>
            <w:tcW w:w="2160" w:type="dxa"/>
          </w:tcPr>
          <w:p w14:paraId="7C8FAA50"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Financial strength</w:t>
            </w:r>
          </w:p>
        </w:tc>
        <w:tc>
          <w:tcPr>
            <w:tcW w:w="800" w:type="dxa"/>
          </w:tcPr>
          <w:p w14:paraId="2E85B47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5A697812"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No</w:t>
            </w:r>
          </w:p>
        </w:tc>
        <w:tc>
          <w:tcPr>
            <w:tcW w:w="800" w:type="dxa"/>
          </w:tcPr>
          <w:p w14:paraId="1B303CE2"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No</w:t>
            </w:r>
          </w:p>
        </w:tc>
        <w:tc>
          <w:tcPr>
            <w:tcW w:w="800" w:type="dxa"/>
          </w:tcPr>
          <w:p w14:paraId="249C649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4000" w:type="dxa"/>
          </w:tcPr>
          <w:p w14:paraId="1ECCFC4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Competitive parity — Shell's balance sheet is strong but ExxonMobil and Aramco also have fortress balance sheets.</w:t>
            </w:r>
          </w:p>
        </w:tc>
      </w:tr>
      <w:tr w:rsidR="0011639F" w:rsidRPr="0011639F" w14:paraId="3FB9D200" w14:textId="77777777" w:rsidTr="00104E25">
        <w:tc>
          <w:tcPr>
            <w:tcW w:w="2160" w:type="dxa"/>
          </w:tcPr>
          <w:p w14:paraId="7D58228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Hydrocarbon reserves</w:t>
            </w:r>
          </w:p>
        </w:tc>
        <w:tc>
          <w:tcPr>
            <w:tcW w:w="800" w:type="dxa"/>
          </w:tcPr>
          <w:p w14:paraId="3932553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5AFBD84D"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No</w:t>
            </w:r>
          </w:p>
        </w:tc>
        <w:tc>
          <w:tcPr>
            <w:tcW w:w="800" w:type="dxa"/>
          </w:tcPr>
          <w:p w14:paraId="0AA5DA1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800" w:type="dxa"/>
          </w:tcPr>
          <w:p w14:paraId="17AC6F3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Yes</w:t>
            </w:r>
          </w:p>
        </w:tc>
        <w:tc>
          <w:tcPr>
            <w:tcW w:w="4000" w:type="dxa"/>
          </w:tcPr>
          <w:p w14:paraId="4D332FB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Competitive parity — access to reserves is shared across supermajors; advantage comes from portfolio quality.</w:t>
            </w:r>
          </w:p>
        </w:tc>
      </w:tr>
    </w:tbl>
    <w:p w14:paraId="56BA1A06" w14:textId="77777777" w:rsidR="00E85304" w:rsidRPr="0011639F" w:rsidRDefault="00E85304" w:rsidP="0011639F">
      <w:pPr>
        <w:spacing w:line="360" w:lineRule="auto"/>
        <w:jc w:val="both"/>
        <w:rPr>
          <w:rFonts w:ascii="Arial" w:hAnsi="Arial" w:cs="Arial"/>
          <w:sz w:val="22"/>
          <w:szCs w:val="22"/>
        </w:rPr>
      </w:pPr>
    </w:p>
    <w:p w14:paraId="3C8531B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two standout sustained advantages are (1) Shell's global LNG portfolio, where it enjoys first-mover scale, long-term contracts and trading expertise, and (2) its proprietary trading platform, which arbitrages across geographies, time and product forms. Together these capabilities produced Q3 2025 adjusted earnings of US$5.4 billion and cash flow from operations of US$12.2 billion (DCFmodeling, 2025). The retail network is an "unrealised" advantage — the resource is rare but Shell has not yet fully reconfigured it for the electric-and-convenience future.</w:t>
      </w:r>
    </w:p>
    <w:p w14:paraId="5CD13C01" w14:textId="77777777" w:rsidR="00E85304" w:rsidRPr="0011639F" w:rsidRDefault="00000000" w:rsidP="0011639F">
      <w:pPr>
        <w:pStyle w:val="Heading1"/>
        <w:spacing w:before="0" w:after="0" w:line="360" w:lineRule="auto"/>
        <w:jc w:val="both"/>
        <w:rPr>
          <w:rFonts w:ascii="Arial" w:hAnsi="Arial" w:cs="Arial"/>
          <w:color w:val="auto"/>
          <w:sz w:val="22"/>
          <w:szCs w:val="22"/>
        </w:rPr>
      </w:pPr>
      <w:bookmarkStart w:id="7" w:name="_Toc228527387"/>
      <w:r w:rsidRPr="0011639F">
        <w:rPr>
          <w:rFonts w:ascii="Arial" w:hAnsi="Arial" w:cs="Arial"/>
          <w:color w:val="auto"/>
          <w:sz w:val="22"/>
          <w:szCs w:val="22"/>
        </w:rPr>
        <w:t>1.3 CSR and Sustainability Objectives</w:t>
      </w:r>
      <w:bookmarkEnd w:id="7"/>
    </w:p>
    <w:p w14:paraId="61F7DC3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 xml:space="preserve">Shell's CSR strategy is framed by Carroll's (1991) pyramid — economic, legal, ethical and philanthropic responsibilities — but is increasingly being judged through a Porter and Kramer (2011) "shared-value" lens that demands CSR be strategically integrated, not peripheral. The company's Energy Transition Strategy 2024 operationalises this by committing to net-zero operational and energy-product emissions by 2050, a 50% reduction in Scope 1 and 2 </w:t>
      </w:r>
      <w:r w:rsidRPr="0011639F">
        <w:rPr>
          <w:rFonts w:ascii="Arial" w:hAnsi="Arial" w:cs="Arial"/>
          <w:sz w:val="22"/>
          <w:szCs w:val="22"/>
        </w:rPr>
        <w:lastRenderedPageBreak/>
        <w:t>emissions by 2030 (vs 2016 baseline), and a 15–20% reduction in Scope 3 net-carbon intensity by 2030 (Shell, 2024).</w:t>
      </w:r>
    </w:p>
    <w:p w14:paraId="7CC8DCE2"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Strategic alignment is evident in three ways. First, CSR is a revenue opportunity: Shell's Sustainable Aviation Fuels business targets approximately 2 million tonnes per year by 2025, serving airlines under decarbonisation mandates (Pestel-analysis, 2025). Second, CSR shapes capital allocation — Shell allocates US$10–15bn to low-carbon solutions between 2023 and 2025, capped at under 10% of total capital employed (Zacks/Yahoo Finance, 2025). Third, CSR manages risk, particularly litigation risk following the Milieudefensie v Shell case and proliferating climate lawsuits.</w:t>
      </w:r>
    </w:p>
    <w:p w14:paraId="40CECA4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However, Shell's CSR faces credibility challenges. In 2024 and 2025 the company softened several targets, including its 2030 oil-production reduction goal, in response to investor pressure. Activist groups argue this represents "greenwashing" relative to the urgency of climate science. The strategic question is whether Shell's pragmatic, returns-first approach can still be perceived as responsible. On balance, the company's CSR is strategically aligned with its commercial objectives, but the pace of transition is below what climate-aligned investors and NGOs demand — a tension that will intensify between 2026 and 2030.</w:t>
      </w:r>
    </w:p>
    <w:p w14:paraId="5833E415" w14:textId="77777777" w:rsidR="00E85304" w:rsidRPr="0011639F" w:rsidRDefault="00000000" w:rsidP="0011639F">
      <w:pPr>
        <w:pStyle w:val="Heading1"/>
        <w:spacing w:before="0" w:after="0" w:line="360" w:lineRule="auto"/>
        <w:jc w:val="both"/>
        <w:rPr>
          <w:rFonts w:ascii="Arial" w:hAnsi="Arial" w:cs="Arial"/>
          <w:color w:val="auto"/>
          <w:sz w:val="22"/>
          <w:szCs w:val="22"/>
        </w:rPr>
      </w:pPr>
      <w:bookmarkStart w:id="8" w:name="_Toc228527388"/>
      <w:r w:rsidRPr="0011639F">
        <w:rPr>
          <w:rFonts w:ascii="Arial" w:hAnsi="Arial" w:cs="Arial"/>
          <w:color w:val="auto"/>
          <w:sz w:val="22"/>
          <w:szCs w:val="22"/>
        </w:rPr>
        <w:t>1.4 Balanced Scorecard — Four Perspectives</w:t>
      </w:r>
      <w:bookmarkEnd w:id="8"/>
    </w:p>
    <w:p w14:paraId="59C1D9F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Kaplan and Norton's (1992, 1996) Balanced Scorecard translates strategic intent into operational measurement across four perspectives: Financial, Customer, Internal Business Processes, and Learning and Growth. Table 4 applies this to Shell.</w:t>
      </w:r>
    </w:p>
    <w:p w14:paraId="7CD4890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Table 4: Shell plc — Balanced Scorecard (2026)</w:t>
      </w:r>
    </w:p>
    <w:tbl>
      <w:tblPr>
        <w:tblStyle w:val="TableGrid"/>
        <w:tblW w:w="9360" w:type="dxa"/>
        <w:tblLook w:val="0000" w:firstRow="0" w:lastRow="0" w:firstColumn="0" w:lastColumn="0" w:noHBand="0" w:noVBand="0"/>
      </w:tblPr>
      <w:tblGrid>
        <w:gridCol w:w="1800"/>
        <w:gridCol w:w="2520"/>
        <w:gridCol w:w="2520"/>
        <w:gridCol w:w="2520"/>
      </w:tblGrid>
      <w:tr w:rsidR="0011639F" w:rsidRPr="0011639F" w14:paraId="3EB0B88D" w14:textId="77777777" w:rsidTr="00104E25">
        <w:tc>
          <w:tcPr>
            <w:tcW w:w="1800" w:type="dxa"/>
          </w:tcPr>
          <w:p w14:paraId="00992A9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Perspective</w:t>
            </w:r>
          </w:p>
        </w:tc>
        <w:tc>
          <w:tcPr>
            <w:tcW w:w="2520" w:type="dxa"/>
          </w:tcPr>
          <w:p w14:paraId="0F035E9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Objectives</w:t>
            </w:r>
          </w:p>
        </w:tc>
        <w:tc>
          <w:tcPr>
            <w:tcW w:w="2520" w:type="dxa"/>
          </w:tcPr>
          <w:p w14:paraId="0F506CC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Key KPIs &amp; Targets</w:t>
            </w:r>
          </w:p>
        </w:tc>
        <w:tc>
          <w:tcPr>
            <w:tcW w:w="2520" w:type="dxa"/>
          </w:tcPr>
          <w:p w14:paraId="1B69A37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Initiatives</w:t>
            </w:r>
          </w:p>
        </w:tc>
      </w:tr>
      <w:tr w:rsidR="0011639F" w:rsidRPr="0011639F" w14:paraId="354F6DFB" w14:textId="77777777" w:rsidTr="00104E25">
        <w:tc>
          <w:tcPr>
            <w:tcW w:w="1800" w:type="dxa"/>
          </w:tcPr>
          <w:p w14:paraId="1CA4D0C7"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Financial</w:t>
            </w:r>
          </w:p>
        </w:tc>
        <w:tc>
          <w:tcPr>
            <w:tcW w:w="2520" w:type="dxa"/>
          </w:tcPr>
          <w:p w14:paraId="79EA3277"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Deliver leading shareholder returns; maintain capital discipline.</w:t>
            </w:r>
          </w:p>
        </w:tc>
        <w:tc>
          <w:tcPr>
            <w:tcW w:w="2520" w:type="dxa"/>
          </w:tcPr>
          <w:p w14:paraId="289EE6B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Free cash flow per share growth &gt;10% p.a. to 2030; shareholder distributions 40–50% of CFFO; structural cost reduction of US$5–7bn by 2028; CAPEX US$20–22bn p.a.</w:t>
            </w:r>
          </w:p>
        </w:tc>
        <w:tc>
          <w:tcPr>
            <w:tcW w:w="2520" w:type="dxa"/>
          </w:tcPr>
          <w:p w14:paraId="730581B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Share buybacks (US$3.5bn Q2 2025 programme); portfolio optimisation; divestment of non-core refining assets.</w:t>
            </w:r>
          </w:p>
        </w:tc>
      </w:tr>
      <w:tr w:rsidR="0011639F" w:rsidRPr="0011639F" w14:paraId="772E3A0A" w14:textId="77777777" w:rsidTr="00104E25">
        <w:tc>
          <w:tcPr>
            <w:tcW w:w="1800" w:type="dxa"/>
          </w:tcPr>
          <w:p w14:paraId="433AF7B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Customer</w:t>
            </w:r>
          </w:p>
        </w:tc>
        <w:tc>
          <w:tcPr>
            <w:tcW w:w="2520" w:type="dxa"/>
          </w:tcPr>
          <w:p w14:paraId="483F31C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Deliver "more and cleaner energy" to industrial and retail customers; build loyalty.</w:t>
            </w:r>
          </w:p>
        </w:tc>
        <w:tc>
          <w:tcPr>
            <w:tcW w:w="2520" w:type="dxa"/>
          </w:tcPr>
          <w:p w14:paraId="3B648B0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Customer NPS across retail mobility; B2B contract renewal rates; EV charging points deployed.</w:t>
            </w:r>
          </w:p>
        </w:tc>
        <w:tc>
          <w:tcPr>
            <w:tcW w:w="2520" w:type="dxa"/>
          </w:tcPr>
          <w:p w14:paraId="1B35BA06"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Shell Recharge EV network expansion; Shell V-Power loyalty programme; premium lubricant offerings; SAF customer agreements.</w:t>
            </w:r>
          </w:p>
        </w:tc>
      </w:tr>
      <w:tr w:rsidR="0011639F" w:rsidRPr="0011639F" w14:paraId="42A48DFA" w14:textId="77777777" w:rsidTr="00104E25">
        <w:tc>
          <w:tcPr>
            <w:tcW w:w="1800" w:type="dxa"/>
          </w:tcPr>
          <w:p w14:paraId="437584D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lastRenderedPageBreak/>
              <w:t>Internal Business Processes</w:t>
            </w:r>
          </w:p>
        </w:tc>
        <w:tc>
          <w:tcPr>
            <w:tcW w:w="2520" w:type="dxa"/>
          </w:tcPr>
          <w:p w14:paraId="0E7746F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Operate safely, reliably and efficiently; decarbonise operations.</w:t>
            </w:r>
          </w:p>
        </w:tc>
        <w:tc>
          <w:tcPr>
            <w:tcW w:w="2520" w:type="dxa"/>
          </w:tcPr>
          <w:p w14:paraId="10E93C8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Total Recordable Case Frequency (safety); process-safety events; Scope 1+2 emissions reduction to 50% by 2030; LNG volume growth 4–5% p.a.</w:t>
            </w:r>
          </w:p>
        </w:tc>
        <w:tc>
          <w:tcPr>
            <w:tcW w:w="2520" w:type="dxa"/>
          </w:tcPr>
          <w:p w14:paraId="5EC4E57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Polaris and Atlas CCS projects; Porthos CCS (Netherlands); digital twin deployment; methane-emission monitoring via satellite.</w:t>
            </w:r>
          </w:p>
        </w:tc>
      </w:tr>
      <w:tr w:rsidR="0011639F" w:rsidRPr="0011639F" w14:paraId="2D031764" w14:textId="77777777" w:rsidTr="00104E25">
        <w:tc>
          <w:tcPr>
            <w:tcW w:w="1800" w:type="dxa"/>
          </w:tcPr>
          <w:p w14:paraId="3DE7980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Learning &amp; Growth</w:t>
            </w:r>
          </w:p>
        </w:tc>
        <w:tc>
          <w:tcPr>
            <w:tcW w:w="2520" w:type="dxa"/>
          </w:tcPr>
          <w:p w14:paraId="78C0D13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Build future capabilities; develop people; embed diversity and innovation.</w:t>
            </w:r>
          </w:p>
        </w:tc>
        <w:tc>
          <w:tcPr>
            <w:tcW w:w="2520" w:type="dxa"/>
          </w:tcPr>
          <w:p w14:paraId="1827D29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 of workforce in low-carbon roles; gender diversity in senior leadership (target 40% by 2030); R&amp;D spend on new energy.</w:t>
            </w:r>
          </w:p>
        </w:tc>
        <w:tc>
          <w:tcPr>
            <w:tcW w:w="2520" w:type="dxa"/>
          </w:tcPr>
          <w:p w14:paraId="4AC61AE8"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Reskilling programmes; graduate recruitment into energy-transition functions; partnerships with Imperial College and MIT on CCS.</w:t>
            </w:r>
          </w:p>
        </w:tc>
      </w:tr>
    </w:tbl>
    <w:p w14:paraId="6AA51A63" w14:textId="77777777" w:rsidR="00E85304" w:rsidRPr="0011639F" w:rsidRDefault="00E85304" w:rsidP="0011639F">
      <w:pPr>
        <w:spacing w:line="360" w:lineRule="auto"/>
        <w:jc w:val="both"/>
        <w:rPr>
          <w:rFonts w:ascii="Arial" w:hAnsi="Arial" w:cs="Arial"/>
          <w:sz w:val="22"/>
          <w:szCs w:val="22"/>
        </w:rPr>
      </w:pPr>
    </w:p>
    <w:p w14:paraId="5AF2379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Balanced Scorecard reveals that Shell's four perspectives are internally coherent but externally contested. Financial and process perspectives are quantitatively rigorous; customer and learning-and-growth perspectives rely more on softer indicators. Kaplan and Norton (1996) warned that organisations with lagging indicators-only scorecards risk becoming backward-looking. Shell's emerging challenge is to strengthen its leading indicators — particularly around energy-transition capability-building — so that the scorecard pulls the business forward rather than merely measuring the past.</w:t>
      </w:r>
    </w:p>
    <w:p w14:paraId="194C27E0" w14:textId="77777777" w:rsidR="00E85304" w:rsidRPr="0011639F" w:rsidRDefault="00000000" w:rsidP="0011639F">
      <w:pPr>
        <w:pStyle w:val="Heading1"/>
        <w:spacing w:before="0" w:after="0" w:line="360" w:lineRule="auto"/>
        <w:jc w:val="both"/>
        <w:rPr>
          <w:rFonts w:ascii="Arial" w:hAnsi="Arial" w:cs="Arial"/>
          <w:color w:val="auto"/>
          <w:sz w:val="22"/>
          <w:szCs w:val="22"/>
        </w:rPr>
      </w:pPr>
      <w:bookmarkStart w:id="9" w:name="_Toc228527389"/>
      <w:r w:rsidRPr="0011639F">
        <w:rPr>
          <w:rFonts w:ascii="Arial" w:hAnsi="Arial" w:cs="Arial"/>
          <w:color w:val="auto"/>
          <w:sz w:val="22"/>
          <w:szCs w:val="22"/>
        </w:rPr>
        <w:t>1.5 Strategic Choices and Implementation</w:t>
      </w:r>
      <w:bookmarkEnd w:id="9"/>
    </w:p>
    <w:p w14:paraId="19A28BCD"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10" w:name="_Toc228527390"/>
      <w:r w:rsidRPr="0011639F">
        <w:rPr>
          <w:rFonts w:ascii="Arial" w:hAnsi="Arial" w:cs="Arial"/>
          <w:color w:val="auto"/>
          <w:sz w:val="22"/>
          <w:szCs w:val="22"/>
        </w:rPr>
        <w:t>1.5.1 Business-Level Strategy (Porter's Generic Strategies)</w:t>
      </w:r>
      <w:bookmarkEnd w:id="10"/>
    </w:p>
    <w:p w14:paraId="0BD9FFA2"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Porter's (1985) three generic strategies — cost leadership, differentiation, and focus — provide a lens for business-level choices. Shell primarily pursues a hybrid differentiation-with-cost-discipline strategy in each of its business segments:</w:t>
      </w:r>
    </w:p>
    <w:p w14:paraId="45309A4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In Integrated Gas and LNG, Shell differentiates through its globally integrated portfolio, flexible cargo routing, and long-term contract book. Its scale (roughly 65 million tonnes per annum of LNG equity production) allows both differentiation and unit-cost leadership, creating what Johnson, Whittington and Scholes (2020) call a "hybrid strategy". In Upstream, Shell has refocused on advantaged, low-carbon-intensity barrels, particularly in the Gulf of Mexico, Brazil and the Middle East. In Downstream/Marketing, cost leadership is pursued through refining-footprint optimisation (recent exits from Energy and Chemicals Parks in Europe) while differentiation is pursued through premium fuels (V-Power) and lubricants (Pennzoil, Quaker State). In Renewables and Energy Solutions, Shell adopts a focus strategy targeting specific high-return niches — commercial EV charging, industrial hydrogen, biofuels, and carbon credits — rather than competing broadly in solar/wind electricity generation.</w:t>
      </w:r>
    </w:p>
    <w:p w14:paraId="7691741E" w14:textId="5E4024F1" w:rsidR="004D7008" w:rsidRPr="0011639F" w:rsidRDefault="004D7008" w:rsidP="0011639F">
      <w:pPr>
        <w:spacing w:line="360" w:lineRule="auto"/>
        <w:jc w:val="both"/>
        <w:rPr>
          <w:rFonts w:ascii="Arial" w:hAnsi="Arial" w:cs="Arial"/>
          <w:sz w:val="22"/>
          <w:szCs w:val="22"/>
        </w:rPr>
      </w:pPr>
      <w:r w:rsidRPr="0011639F">
        <w:rPr>
          <w:rFonts w:ascii="Arial" w:hAnsi="Arial" w:cs="Arial"/>
          <w:noProof/>
          <w:sz w:val="22"/>
          <w:szCs w:val="22"/>
        </w:rPr>
        <w:lastRenderedPageBreak/>
        <w:drawing>
          <wp:inline distT="0" distB="0" distL="0" distR="0" wp14:anchorId="6AF11AC2" wp14:editId="1DD4667F">
            <wp:extent cx="5731510" cy="2904490"/>
            <wp:effectExtent l="0" t="0" r="2540" b="0"/>
            <wp:docPr id="1157987054" name="Picture 2" descr="Shell expects 50% rise in global LNG demand by 2040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ell expects 50% rise in global LNG demand by 2040 | Reu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04490"/>
                    </a:xfrm>
                    <a:prstGeom prst="rect">
                      <a:avLst/>
                    </a:prstGeom>
                    <a:noFill/>
                    <a:ln>
                      <a:noFill/>
                    </a:ln>
                  </pic:spPr>
                </pic:pic>
              </a:graphicData>
            </a:graphic>
          </wp:inline>
        </w:drawing>
      </w:r>
    </w:p>
    <w:p w14:paraId="7D4186EB" w14:textId="4E72331B" w:rsidR="004D7008" w:rsidRPr="0011639F" w:rsidRDefault="004D7008" w:rsidP="0011639F">
      <w:pPr>
        <w:spacing w:line="360" w:lineRule="auto"/>
        <w:jc w:val="both"/>
        <w:rPr>
          <w:rFonts w:ascii="Arial" w:hAnsi="Arial" w:cs="Arial"/>
          <w:sz w:val="22"/>
          <w:szCs w:val="22"/>
        </w:rPr>
      </w:pPr>
      <w:r w:rsidRPr="0011639F">
        <w:rPr>
          <w:rFonts w:ascii="Arial" w:hAnsi="Arial" w:cs="Arial"/>
          <w:sz w:val="22"/>
          <w:szCs w:val="22"/>
        </w:rPr>
        <w:t xml:space="preserve">Figure _1 - Shell expects 50% rise in global LNG demand by 2040 </w:t>
      </w:r>
      <w:r w:rsidR="00DB2785" w:rsidRPr="0011639F">
        <w:rPr>
          <w:rFonts w:ascii="Arial" w:hAnsi="Arial" w:cs="Arial"/>
          <w:sz w:val="22"/>
          <w:szCs w:val="22"/>
        </w:rPr>
        <w:t>(Reuters,2024)</w:t>
      </w:r>
    </w:p>
    <w:p w14:paraId="749A967D"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recommended business-level strategy for Shell is to continue this hybrid approach, because pure cost leadership is infeasible against national oil companies with lower cost bases, and pure differentiation cannot generate the cash yields expected by investors. The valuation gap with ExxonMobil (15x–20x P/E vs Shell's 11x–14x) can only be closed by demonstrating that disciplined cost management coexists with differentiated growth options in LNG, trading and CCS (FinancialContent, 2026).</w:t>
      </w:r>
    </w:p>
    <w:p w14:paraId="698C224F"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11" w:name="_Toc228527391"/>
      <w:r w:rsidRPr="0011639F">
        <w:rPr>
          <w:rFonts w:ascii="Arial" w:hAnsi="Arial" w:cs="Arial"/>
          <w:color w:val="auto"/>
          <w:sz w:val="22"/>
          <w:szCs w:val="22"/>
        </w:rPr>
        <w:t>1.5.2 Corporate-Level Strategy (Ansoff's Matrix)</w:t>
      </w:r>
      <w:bookmarkEnd w:id="11"/>
    </w:p>
    <w:p w14:paraId="400D15ED"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Ansoff's (1957) growth-vector matrix classifies corporate-level options into market penetration, market development, product development, and diversification. Shell's current portfolio-direction simultaneously applies all four:</w:t>
      </w:r>
    </w:p>
    <w:p w14:paraId="510F0E25"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Market penetration dominates the core LNG and mobility businesses — Shell is deepening share of wallet among existing industrial and retail customers through premium products and long-term contracts. Market development is visible in the expansion of Shell Recharge into new geographies and the acquisition of Pavilion Energy in Q1 2025 (approximately US$2.6 billion) which expanded the Singapore LNG platform (Shell, 2025). Product development is most visible in hydrogen, SAF and CCS-as-a-service offerings. Diversification — arguably the most controversial vector — is being deliberately limited under Sawan's strategy, reversing the more aggressive renewable-electricity generation ambitions of prior CEO Ben van Beurden.</w:t>
      </w:r>
    </w:p>
    <w:p w14:paraId="499E949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 xml:space="preserve">The recommended corporate-level emphasis is to lean further into related diversification rather than conglomerate-style moves: the critical question is whether Shell can turn CCS into a profitable standalone "service" business, monetising decades of subsurface-engineering </w:t>
      </w:r>
      <w:r w:rsidRPr="0011639F">
        <w:rPr>
          <w:rFonts w:ascii="Arial" w:hAnsi="Arial" w:cs="Arial"/>
          <w:sz w:val="22"/>
          <w:szCs w:val="22"/>
        </w:rPr>
        <w:lastRenderedPageBreak/>
        <w:t>know-how by selling CO2 storage to third-party industrial emitters. The Northern Lights project in Norway is an early template.</w:t>
      </w:r>
    </w:p>
    <w:p w14:paraId="63B7DF1D"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12" w:name="_Toc228527392"/>
      <w:r w:rsidRPr="0011639F">
        <w:rPr>
          <w:rFonts w:ascii="Arial" w:hAnsi="Arial" w:cs="Arial"/>
          <w:color w:val="auto"/>
          <w:sz w:val="22"/>
          <w:szCs w:val="22"/>
        </w:rPr>
        <w:t>1.5.3 Managing Change and Implementation</w:t>
      </w:r>
      <w:bookmarkEnd w:id="12"/>
    </w:p>
    <w:p w14:paraId="1FF74F7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Kotter's (1996) eight-step model of transformational change provides a useful lens on Shell's implementation capability. The company demonstrates strengths in "creating a sense of urgency" around the energy transition, "communicating vision" (via the Energy Transition Strategy 2024), and "anchoring change in the culture" through revised performance metrics. However, its "empowering broad-based action" step is weaker — reorganisations have been top-down, and there is evidence of change fatigue among mid-level staff after two major re-structures in four years. Shell's 2024 simplification of its LNG business and 2025 rationalisation of its Renewables and Energy Solutions division have delivered headcount and cost reductions but have also been accompanied by high-profile senior executive departures, suggesting implementation-risk is non-trivial.</w:t>
      </w:r>
    </w:p>
    <w:p w14:paraId="6DAFC88A" w14:textId="77777777" w:rsidR="00E85304" w:rsidRPr="0011639F" w:rsidRDefault="00000000" w:rsidP="0011639F">
      <w:pPr>
        <w:pStyle w:val="Heading1"/>
        <w:spacing w:before="0" w:after="0" w:line="360" w:lineRule="auto"/>
        <w:jc w:val="both"/>
        <w:rPr>
          <w:rFonts w:ascii="Arial" w:hAnsi="Arial" w:cs="Arial"/>
          <w:color w:val="auto"/>
          <w:sz w:val="22"/>
          <w:szCs w:val="22"/>
        </w:rPr>
      </w:pPr>
      <w:bookmarkStart w:id="13" w:name="_Toc228527393"/>
      <w:r w:rsidRPr="0011639F">
        <w:rPr>
          <w:rFonts w:ascii="Arial" w:hAnsi="Arial" w:cs="Arial"/>
          <w:color w:val="auto"/>
          <w:sz w:val="22"/>
          <w:szCs w:val="22"/>
        </w:rPr>
        <w:t>1.6 Strategic Evaluation and Recommendations</w:t>
      </w:r>
      <w:bookmarkEnd w:id="13"/>
    </w:p>
    <w:p w14:paraId="0BAD4734"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14" w:name="_Toc228527394"/>
      <w:r w:rsidRPr="0011639F">
        <w:rPr>
          <w:rFonts w:ascii="Arial" w:hAnsi="Arial" w:cs="Arial"/>
          <w:color w:val="auto"/>
          <w:sz w:val="22"/>
          <w:szCs w:val="22"/>
        </w:rPr>
        <w:t>1.6.1 SWOT Synthesis</w:t>
      </w:r>
      <w:bookmarkEnd w:id="14"/>
    </w:p>
    <w:p w14:paraId="11914D1E"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following SWOT summarises the evaluative findings of this report.</w:t>
      </w:r>
    </w:p>
    <w:p w14:paraId="0E48265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b/>
          <w:bCs/>
          <w:sz w:val="22"/>
          <w:szCs w:val="22"/>
        </w:rPr>
        <w:t>Table 5: SWOT Analysis of Shell plc</w:t>
      </w:r>
    </w:p>
    <w:tbl>
      <w:tblPr>
        <w:tblStyle w:val="TableGrid"/>
        <w:tblW w:w="9360" w:type="dxa"/>
        <w:tblLook w:val="0000" w:firstRow="0" w:lastRow="0" w:firstColumn="0" w:lastColumn="0" w:noHBand="0" w:noVBand="0"/>
      </w:tblPr>
      <w:tblGrid>
        <w:gridCol w:w="4680"/>
        <w:gridCol w:w="4680"/>
      </w:tblGrid>
      <w:tr w:rsidR="0011639F" w:rsidRPr="0011639F" w14:paraId="245EAFF7" w14:textId="77777777" w:rsidTr="00104E25">
        <w:tc>
          <w:tcPr>
            <w:tcW w:w="4680" w:type="dxa"/>
          </w:tcPr>
          <w:p w14:paraId="53D03337" w14:textId="502249EC" w:rsidR="00104E25" w:rsidRPr="0011639F" w:rsidRDefault="00104E25" w:rsidP="0011639F">
            <w:pPr>
              <w:spacing w:line="360" w:lineRule="auto"/>
              <w:jc w:val="both"/>
              <w:rPr>
                <w:rFonts w:ascii="Arial" w:hAnsi="Arial" w:cs="Arial"/>
                <w:sz w:val="22"/>
                <w:szCs w:val="22"/>
              </w:rPr>
            </w:pPr>
            <w:r w:rsidRPr="0011639F">
              <w:rPr>
                <w:rFonts w:ascii="Arial" w:hAnsi="Arial" w:cs="Arial"/>
                <w:sz w:val="22"/>
                <w:szCs w:val="22"/>
              </w:rPr>
              <w:t>Strengths</w:t>
            </w:r>
          </w:p>
        </w:tc>
        <w:tc>
          <w:tcPr>
            <w:tcW w:w="4680" w:type="dxa"/>
          </w:tcPr>
          <w:p w14:paraId="5969D97D" w14:textId="77777777" w:rsidR="00104E25" w:rsidRPr="0011639F" w:rsidRDefault="00104E25" w:rsidP="0011639F">
            <w:pPr>
              <w:spacing w:line="360" w:lineRule="auto"/>
              <w:jc w:val="both"/>
              <w:rPr>
                <w:rFonts w:ascii="Arial" w:hAnsi="Arial" w:cs="Arial"/>
                <w:sz w:val="22"/>
                <w:szCs w:val="22"/>
              </w:rPr>
            </w:pPr>
            <w:r w:rsidRPr="0011639F">
              <w:rPr>
                <w:rFonts w:ascii="Arial" w:hAnsi="Arial" w:cs="Arial"/>
                <w:sz w:val="22"/>
                <w:szCs w:val="22"/>
              </w:rPr>
              <w:t>Weaknesses</w:t>
            </w:r>
          </w:p>
          <w:p w14:paraId="75499ED1" w14:textId="77777777" w:rsidR="00104E25" w:rsidRPr="0011639F" w:rsidRDefault="00104E25" w:rsidP="0011639F">
            <w:pPr>
              <w:spacing w:line="360" w:lineRule="auto"/>
              <w:jc w:val="both"/>
              <w:rPr>
                <w:rFonts w:ascii="Arial" w:hAnsi="Arial" w:cs="Arial"/>
                <w:sz w:val="22"/>
                <w:szCs w:val="22"/>
              </w:rPr>
            </w:pPr>
          </w:p>
        </w:tc>
      </w:tr>
      <w:tr w:rsidR="0011639F" w:rsidRPr="0011639F" w14:paraId="127E5785" w14:textId="77777777" w:rsidTr="00104E25">
        <w:tc>
          <w:tcPr>
            <w:tcW w:w="4680" w:type="dxa"/>
          </w:tcPr>
          <w:p w14:paraId="34B6C493" w14:textId="5A6ABF9F"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Global LNG leadership and proprietary trading platform</w:t>
            </w:r>
          </w:p>
          <w:p w14:paraId="62A016E4" w14:textId="605061FB"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Strong balance sheet; free cash flow yield ~8.5%</w:t>
            </w:r>
          </w:p>
          <w:p w14:paraId="329B05DA" w14:textId="096592AE"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Globally recognised Shell/Pecten brand</w:t>
            </w:r>
          </w:p>
          <w:p w14:paraId="003C5643" w14:textId="7A25956E"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Extensive retail mobility network (47,000+ sites)</w:t>
            </w:r>
          </w:p>
          <w:p w14:paraId="25C6088E" w14:textId="620ABF82"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First-mover position in CCS and SAF</w:t>
            </w:r>
          </w:p>
        </w:tc>
        <w:tc>
          <w:tcPr>
            <w:tcW w:w="4680" w:type="dxa"/>
          </w:tcPr>
          <w:p w14:paraId="59E1F0C5" w14:textId="215E585A"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Heavy exposure to fossil-fuel commodity price cycles</w:t>
            </w:r>
          </w:p>
          <w:p w14:paraId="4BDE9852" w14:textId="6353FBB5"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Lower P/E multiple than US peers (valuation gap)</w:t>
            </w:r>
          </w:p>
          <w:p w14:paraId="35866B10" w14:textId="72DBEE0C"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Lingering reputational issues (Niger Delta, Milieudefensie)</w:t>
            </w:r>
          </w:p>
          <w:p w14:paraId="00C62686" w14:textId="31173AFA"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Change-fatigue and executive-turnover risk post-restructuring</w:t>
            </w:r>
          </w:p>
          <w:p w14:paraId="4CC090C3" w14:textId="43EE5B26" w:rsidR="00E85304" w:rsidRPr="0011639F" w:rsidRDefault="00000000" w:rsidP="0011639F">
            <w:pPr>
              <w:pStyle w:val="ListParagraph"/>
              <w:numPr>
                <w:ilvl w:val="0"/>
                <w:numId w:val="8"/>
              </w:numPr>
              <w:spacing w:line="360" w:lineRule="auto"/>
              <w:jc w:val="both"/>
              <w:rPr>
                <w:rFonts w:ascii="Arial" w:hAnsi="Arial" w:cs="Arial"/>
                <w:sz w:val="22"/>
                <w:szCs w:val="22"/>
              </w:rPr>
            </w:pPr>
            <w:r w:rsidRPr="0011639F">
              <w:rPr>
                <w:rFonts w:ascii="Arial" w:hAnsi="Arial" w:cs="Arial"/>
                <w:sz w:val="22"/>
                <w:szCs w:val="22"/>
              </w:rPr>
              <w:t>Under-invested in pure renewable-electricity generation</w:t>
            </w:r>
          </w:p>
        </w:tc>
      </w:tr>
      <w:tr w:rsidR="0011639F" w:rsidRPr="0011639F" w14:paraId="1E1F94A4" w14:textId="77777777" w:rsidTr="00104E25">
        <w:tc>
          <w:tcPr>
            <w:tcW w:w="4680" w:type="dxa"/>
          </w:tcPr>
          <w:p w14:paraId="65271341" w14:textId="77777777" w:rsidR="00104E25" w:rsidRPr="0011639F" w:rsidRDefault="00104E25" w:rsidP="0011639F">
            <w:pPr>
              <w:spacing w:line="360" w:lineRule="auto"/>
              <w:jc w:val="both"/>
              <w:rPr>
                <w:rFonts w:ascii="Arial" w:hAnsi="Arial" w:cs="Arial"/>
                <w:sz w:val="22"/>
                <w:szCs w:val="22"/>
              </w:rPr>
            </w:pPr>
            <w:r w:rsidRPr="0011639F">
              <w:rPr>
                <w:rFonts w:ascii="Arial" w:hAnsi="Arial" w:cs="Arial"/>
                <w:sz w:val="22"/>
                <w:szCs w:val="22"/>
              </w:rPr>
              <w:t>Opportunities</w:t>
            </w:r>
          </w:p>
          <w:p w14:paraId="0D5D3C1F" w14:textId="77777777" w:rsidR="00104E25" w:rsidRPr="0011639F" w:rsidRDefault="00104E25" w:rsidP="0011639F">
            <w:pPr>
              <w:spacing w:line="360" w:lineRule="auto"/>
              <w:jc w:val="both"/>
              <w:rPr>
                <w:rFonts w:ascii="Arial" w:hAnsi="Arial" w:cs="Arial"/>
                <w:sz w:val="22"/>
                <w:szCs w:val="22"/>
              </w:rPr>
            </w:pPr>
          </w:p>
        </w:tc>
        <w:tc>
          <w:tcPr>
            <w:tcW w:w="4680" w:type="dxa"/>
          </w:tcPr>
          <w:p w14:paraId="4026E628" w14:textId="77777777" w:rsidR="00104E25" w:rsidRPr="0011639F" w:rsidRDefault="00104E25" w:rsidP="0011639F">
            <w:pPr>
              <w:spacing w:line="360" w:lineRule="auto"/>
              <w:jc w:val="both"/>
              <w:rPr>
                <w:rFonts w:ascii="Arial" w:hAnsi="Arial" w:cs="Arial"/>
                <w:sz w:val="22"/>
                <w:szCs w:val="22"/>
              </w:rPr>
            </w:pPr>
            <w:r w:rsidRPr="0011639F">
              <w:rPr>
                <w:rFonts w:ascii="Arial" w:hAnsi="Arial" w:cs="Arial"/>
                <w:sz w:val="22"/>
                <w:szCs w:val="22"/>
              </w:rPr>
              <w:t>Threats</w:t>
            </w:r>
          </w:p>
          <w:p w14:paraId="4CD8396B" w14:textId="77777777" w:rsidR="00104E25" w:rsidRPr="0011639F" w:rsidRDefault="00104E25" w:rsidP="0011639F">
            <w:pPr>
              <w:spacing w:line="360" w:lineRule="auto"/>
              <w:jc w:val="both"/>
              <w:rPr>
                <w:rFonts w:ascii="Arial" w:hAnsi="Arial" w:cs="Arial"/>
                <w:sz w:val="22"/>
                <w:szCs w:val="22"/>
              </w:rPr>
            </w:pPr>
          </w:p>
        </w:tc>
      </w:tr>
      <w:tr w:rsidR="0011639F" w:rsidRPr="0011639F" w14:paraId="6D9A2633" w14:textId="77777777" w:rsidTr="00104E25">
        <w:tc>
          <w:tcPr>
            <w:tcW w:w="4680" w:type="dxa"/>
          </w:tcPr>
          <w:p w14:paraId="0278A800" w14:textId="72C6FE86"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t>Growing global LNG demand (4-5% CAGR through 2030)</w:t>
            </w:r>
          </w:p>
          <w:p w14:paraId="69D1B40E" w14:textId="69392A06"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t>Carbon Capture-as-a-Service markets (Northern Lights, Polaris)</w:t>
            </w:r>
          </w:p>
          <w:p w14:paraId="2CF575CD" w14:textId="2372D457"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lastRenderedPageBreak/>
              <w:t>Hydrogen and Sustainable Aviation Fuel mandates in EU/UK</w:t>
            </w:r>
          </w:p>
          <w:p w14:paraId="5FB4F57D" w14:textId="118241FF"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t>EV-charging network build-out via Shell Recharge</w:t>
            </w:r>
          </w:p>
          <w:p w14:paraId="3C3AA935" w14:textId="74B647E2"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t>Possible strategic acquisition of BP's assets</w:t>
            </w:r>
          </w:p>
        </w:tc>
        <w:tc>
          <w:tcPr>
            <w:tcW w:w="4680" w:type="dxa"/>
          </w:tcPr>
          <w:p w14:paraId="5D2EECD9" w14:textId="77777777" w:rsidR="00104E25"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lastRenderedPageBreak/>
              <w:t>Accelerated substitution via electrification</w:t>
            </w:r>
          </w:p>
          <w:p w14:paraId="61DF6E26" w14:textId="09B76F21"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t>Climate litigation and regulation (CSRD, SEC Climate)</w:t>
            </w:r>
          </w:p>
          <w:p w14:paraId="5391914E" w14:textId="1C4C6042"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lastRenderedPageBreak/>
              <w:t>Volatile oil and gas prices from geopolitical shocks</w:t>
            </w:r>
          </w:p>
          <w:p w14:paraId="12802D96" w14:textId="08A86267"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t>Activist investor and NGO pressure on transition pace</w:t>
            </w:r>
          </w:p>
          <w:p w14:paraId="5A619B92" w14:textId="5A254454" w:rsidR="00E85304" w:rsidRPr="0011639F" w:rsidRDefault="00000000" w:rsidP="0011639F">
            <w:pPr>
              <w:pStyle w:val="ListParagraph"/>
              <w:numPr>
                <w:ilvl w:val="0"/>
                <w:numId w:val="9"/>
              </w:numPr>
              <w:spacing w:line="360" w:lineRule="auto"/>
              <w:jc w:val="both"/>
              <w:rPr>
                <w:rFonts w:ascii="Arial" w:hAnsi="Arial" w:cs="Arial"/>
                <w:sz w:val="22"/>
                <w:szCs w:val="22"/>
              </w:rPr>
            </w:pPr>
            <w:r w:rsidRPr="0011639F">
              <w:rPr>
                <w:rFonts w:ascii="Arial" w:hAnsi="Arial" w:cs="Arial"/>
                <w:sz w:val="22"/>
                <w:szCs w:val="22"/>
              </w:rPr>
              <w:t>US peers widening valuation and growth gap</w:t>
            </w:r>
          </w:p>
        </w:tc>
      </w:tr>
    </w:tbl>
    <w:p w14:paraId="4DB85D86" w14:textId="77777777" w:rsidR="00E85304" w:rsidRPr="0011639F" w:rsidRDefault="00E85304" w:rsidP="0011639F">
      <w:pPr>
        <w:spacing w:line="360" w:lineRule="auto"/>
        <w:jc w:val="both"/>
        <w:rPr>
          <w:rFonts w:ascii="Arial" w:hAnsi="Arial" w:cs="Arial"/>
          <w:sz w:val="22"/>
          <w:szCs w:val="22"/>
        </w:rPr>
      </w:pPr>
    </w:p>
    <w:p w14:paraId="34E8C635"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15" w:name="_Toc228527395"/>
      <w:r w:rsidRPr="0011639F">
        <w:rPr>
          <w:rFonts w:ascii="Arial" w:hAnsi="Arial" w:cs="Arial"/>
          <w:color w:val="auto"/>
          <w:sz w:val="22"/>
          <w:szCs w:val="22"/>
        </w:rPr>
        <w:t>1.6.2 BCG Matrix — Portfolio Positioning</w:t>
      </w:r>
      <w:bookmarkEnd w:id="15"/>
    </w:p>
    <w:p w14:paraId="6108A1A4"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Applying the BCG Growth-Share Matrix (Henderson, 1970) to Shell's business units clarifies the portfolio dynamics. Integrated Gas (LNG) is a Star — high market growth (4–5% p.a. through 2030) and high relative market share as the world's largest independent LNG trader. Upstream oil is a Cash Cow — mature market growth but high market share and strong cash generation. Chemicals and Products is also a Cash Cow, though with periodic cyclicality. Marketing (retail mobility) is transitioning from Cash Cow to Question Mark as electrification disrupts liquid-fuel demand. Renewables and Energy Solutions is a Question Mark — high market growth but low relative market share, and still loss-making in aggregate. There are currently no clear Dogs after the 2023–2024 divestment programme.</w:t>
      </w:r>
    </w:p>
    <w:p w14:paraId="232DE7D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The strategic implication from BCG is that Shell should: (i) harvest Cash Cows to fund Stars, (ii) invest selectively in Renewables Question Marks where a defensible position is achievable (hydrogen, CCS, SAF), and (iii) accept divestment of Question Marks where competitive advantage looks unachievable (e.g. earlier exits from solar and residential retail power).</w:t>
      </w:r>
    </w:p>
    <w:p w14:paraId="332520F1" w14:textId="77777777" w:rsidR="00E85304" w:rsidRPr="0011639F" w:rsidRDefault="00000000" w:rsidP="0011639F">
      <w:pPr>
        <w:pStyle w:val="Heading2"/>
        <w:spacing w:before="0" w:after="0" w:line="360" w:lineRule="auto"/>
        <w:jc w:val="both"/>
        <w:rPr>
          <w:rFonts w:ascii="Arial" w:hAnsi="Arial" w:cs="Arial"/>
          <w:color w:val="auto"/>
          <w:sz w:val="22"/>
          <w:szCs w:val="22"/>
        </w:rPr>
      </w:pPr>
      <w:bookmarkStart w:id="16" w:name="_Toc228527396"/>
      <w:r w:rsidRPr="0011639F">
        <w:rPr>
          <w:rFonts w:ascii="Arial" w:hAnsi="Arial" w:cs="Arial"/>
          <w:color w:val="auto"/>
          <w:sz w:val="22"/>
          <w:szCs w:val="22"/>
        </w:rPr>
        <w:t>1.6.3 Recommendations</w:t>
      </w:r>
      <w:bookmarkEnd w:id="16"/>
    </w:p>
    <w:p w14:paraId="326D899B"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Five recommendations follow from the analysis, each justified by the preceding frameworks.</w:t>
      </w:r>
    </w:p>
    <w:p w14:paraId="2F44C0CC" w14:textId="1C7DF3C2"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First, double down on LNG leadership. Shell should pursue additional equity stakes in low-cost liquefaction projects (Qatar's North Field expansion, Papua LNG, Ruwais LNG) to consolidate its first-mover advantage. Target: lift equity LNG production from 65 MTPA to 85 MTPA by 2030. Rationale: LNG is the only Star in the BCG portfolio</w:t>
      </w:r>
      <w:r w:rsidR="005E5FE6" w:rsidRPr="0011639F">
        <w:rPr>
          <w:rFonts w:ascii="Arial" w:hAnsi="Arial" w:cs="Arial"/>
          <w:sz w:val="22"/>
          <w:szCs w:val="22"/>
        </w:rPr>
        <w:t>,</w:t>
      </w:r>
      <w:r w:rsidRPr="0011639F">
        <w:rPr>
          <w:rFonts w:ascii="Arial" w:hAnsi="Arial" w:cs="Arial"/>
          <w:sz w:val="22"/>
          <w:szCs w:val="22"/>
        </w:rPr>
        <w:t xml:space="preserve"> and its economics are supported by structural coal-to-gas switching and Asian industrial demand growth.</w:t>
      </w:r>
    </w:p>
    <w:p w14:paraId="7BA52281"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Second, scale CCS as a standalone service business. The Polaris, Northern Lights and Porthos projects should be combined into a distinct commercial unit — "Shell Carbon Services" — that sells CO2 storage to third-party industrial emitters. Target: contract 10 million tonnes p.a. of external CO2 storage by 2030. Rationale: CCS is currently a cost centre for Shell; turning it into a revenue centre monetises subsurface IP and reinforces a credible transition narrative.</w:t>
      </w:r>
    </w:p>
    <w:p w14:paraId="0929AB3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 xml:space="preserve">Third, close the valuation gap through disciplined capital allocation. Maintain CAPEX at US$20–22bn, deliver the US$5–7bn structural cost programme by 2028, and return 40–50% </w:t>
      </w:r>
      <w:r w:rsidRPr="0011639F">
        <w:rPr>
          <w:rFonts w:ascii="Arial" w:hAnsi="Arial" w:cs="Arial"/>
          <w:sz w:val="22"/>
          <w:szCs w:val="22"/>
        </w:rPr>
        <w:lastRenderedPageBreak/>
        <w:t>of operating cash flow to shareholders. Rationale: ExxonMobil's P/E premium is not explained by better assets but by greater investor confidence in capital discipline.</w:t>
      </w:r>
    </w:p>
    <w:p w14:paraId="1E9B5772" w14:textId="7CB19508"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Fourth, accelerate digital transformation as a cross-cutting capability. Deploy AI, digital twins</w:t>
      </w:r>
      <w:r w:rsidR="005E5FE6" w:rsidRPr="0011639F">
        <w:rPr>
          <w:rFonts w:ascii="Arial" w:hAnsi="Arial" w:cs="Arial"/>
          <w:sz w:val="22"/>
          <w:szCs w:val="22"/>
        </w:rPr>
        <w:t>,</w:t>
      </w:r>
      <w:r w:rsidRPr="0011639F">
        <w:rPr>
          <w:rFonts w:ascii="Arial" w:hAnsi="Arial" w:cs="Arial"/>
          <w:sz w:val="22"/>
          <w:szCs w:val="22"/>
        </w:rPr>
        <w:t xml:space="preserve"> and satellite-based methane detection across upstream assets; expand the Shell GameChanger open-innovation platform. Rationale: VRIO analysis identified technological know-how as currently a Temporary Advantage; digital is where sustained advantage can be rebuilt.</w:t>
      </w:r>
    </w:p>
    <w:p w14:paraId="487675CC"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Fifth, tighten ESG disclosure to regain transition credibility. Adopt TPT (Transition Plan Taskforce) aligned disclosures, publish annual Scope 3 progress with clear milestone accountability, and bring forward the next CSRD-aligned sustainability statement. Rationale: 2024–2025 softening of targets has damaged trust with European institutional investors; regained credibility is essential to the "European Transitioner" identity at the heart of Shell's long-term value proposition.</w:t>
      </w:r>
    </w:p>
    <w:p w14:paraId="35FA0178" w14:textId="430D9C93" w:rsidR="005E5FE6" w:rsidRPr="0011639F" w:rsidRDefault="005E5FE6" w:rsidP="0011639F">
      <w:pPr>
        <w:pStyle w:val="Heading1"/>
        <w:spacing w:before="0" w:after="0" w:line="360" w:lineRule="auto"/>
        <w:jc w:val="both"/>
        <w:rPr>
          <w:rFonts w:ascii="Arial" w:hAnsi="Arial" w:cs="Arial"/>
          <w:color w:val="auto"/>
          <w:sz w:val="22"/>
          <w:szCs w:val="22"/>
        </w:rPr>
      </w:pPr>
      <w:bookmarkStart w:id="17" w:name="_Toc228527397"/>
      <w:r w:rsidRPr="0011639F">
        <w:rPr>
          <w:rFonts w:ascii="Arial" w:hAnsi="Arial" w:cs="Arial"/>
          <w:color w:val="auto"/>
          <w:sz w:val="22"/>
          <w:szCs w:val="22"/>
        </w:rPr>
        <w:t>Conclusion</w:t>
      </w:r>
      <w:bookmarkEnd w:id="17"/>
      <w:r w:rsidRPr="0011639F">
        <w:rPr>
          <w:rFonts w:ascii="Arial" w:hAnsi="Arial" w:cs="Arial"/>
          <w:color w:val="auto"/>
          <w:sz w:val="22"/>
          <w:szCs w:val="22"/>
        </w:rPr>
        <w:t xml:space="preserve">  </w:t>
      </w:r>
    </w:p>
    <w:p w14:paraId="2CDB34C2"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In conclusion, Shell plc operates within a highly complex and rapidly evolving global energy environment, characterised by the coexistence of strong hydrocarbon demand and intensifying pressure for decarbonisation. The analysis demonstrates that Shell’s strategic position is underpinned by significant strengths, particularly its global leadership in liquefied natural gas (LNG) and its sophisticated trading capabilities, both of which provide sustained competitive advantages. These core capabilities enable the company to generate strong cash flows, supporting shareholder returns while funding selective investments in low-carbon initiatives.</w:t>
      </w:r>
    </w:p>
    <w:p w14:paraId="7083B052" w14:textId="77777777" w:rsidR="00EA0205" w:rsidRDefault="00EA0205" w:rsidP="0011639F">
      <w:pPr>
        <w:spacing w:line="360" w:lineRule="auto"/>
        <w:jc w:val="both"/>
        <w:rPr>
          <w:rFonts w:ascii="Arial" w:hAnsi="Arial" w:cs="Arial"/>
          <w:sz w:val="22"/>
          <w:szCs w:val="22"/>
        </w:rPr>
      </w:pPr>
      <w:r w:rsidRPr="0011639F">
        <w:rPr>
          <w:rFonts w:ascii="Arial" w:hAnsi="Arial" w:cs="Arial"/>
          <w:sz w:val="22"/>
          <w:szCs w:val="22"/>
        </w:rPr>
        <w:t>However, the findings also highlight several critical challenges. Shell faces increasing substitution threats from renewable energy and electrification, alongside mounting regulatory, legal, and reputational pressures related to climate change. The company’s cautious and financially disciplined approach to the energy transition, while appealing to investors, has raised concerns regarding the pace and credibility of its sustainability commitments. This tension between short-term financial performance and long-term environmental responsibility remains a defining feature of Shell’s strategic dilemma.</w:t>
      </w:r>
    </w:p>
    <w:p w14:paraId="3E30219A" w14:textId="77777777" w:rsidR="00B775EB" w:rsidRPr="0011639F" w:rsidRDefault="00B775EB" w:rsidP="0011639F">
      <w:pPr>
        <w:spacing w:line="360" w:lineRule="auto"/>
        <w:jc w:val="both"/>
        <w:rPr>
          <w:rFonts w:ascii="Arial" w:hAnsi="Arial" w:cs="Arial"/>
          <w:sz w:val="22"/>
          <w:szCs w:val="22"/>
        </w:rPr>
      </w:pPr>
    </w:p>
    <w:p w14:paraId="07101C53"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The application of strategic frameworks such as PESTEL, Porter’s Five Forces, and VRIO reveals that Shell must carefully navigate a dual-speed environment. Its traditional oil and gas operations remain essential for value creation, yet future competitiveness will depend on its ability to scale emerging opportunities in areas such as carbon capture, hydrogen, and low-carbon fuels. The Balanced Scorecard further indicates the need for stronger forward-looking indicators, particularly in capability development and innovation.</w:t>
      </w:r>
    </w:p>
    <w:p w14:paraId="0391F498" w14:textId="101B4A3D" w:rsidR="00E85304"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lastRenderedPageBreak/>
        <w:t>Ultimately, Shell’s long-term success will depend on maintaining capital discipline while accelerating credible transition pathways. The company’s ability to integrate profitability with sustainability, rebuild stakeholder trust, and adapt its business model to shifting energy demand will determine whether it can sustain its competitive position in the global energy transition era.</w:t>
      </w:r>
      <w:r w:rsidRPr="0011639F">
        <w:rPr>
          <w:rFonts w:ascii="Arial" w:hAnsi="Arial" w:cs="Arial"/>
          <w:sz w:val="22"/>
          <w:szCs w:val="22"/>
        </w:rPr>
        <w:br w:type="page"/>
      </w:r>
    </w:p>
    <w:p w14:paraId="11612AC3" w14:textId="2C64DC67" w:rsidR="00E85304" w:rsidRPr="0011639F" w:rsidRDefault="00000000" w:rsidP="0011639F">
      <w:pPr>
        <w:pStyle w:val="Heading1"/>
        <w:spacing w:before="0" w:after="0" w:line="360" w:lineRule="auto"/>
        <w:jc w:val="both"/>
        <w:rPr>
          <w:rFonts w:ascii="Arial" w:hAnsi="Arial" w:cs="Arial"/>
          <w:color w:val="auto"/>
          <w:sz w:val="22"/>
          <w:szCs w:val="22"/>
        </w:rPr>
      </w:pPr>
      <w:bookmarkStart w:id="18" w:name="_Toc228527398"/>
      <w:r w:rsidRPr="0011639F">
        <w:rPr>
          <w:rFonts w:ascii="Arial" w:hAnsi="Arial" w:cs="Arial"/>
          <w:color w:val="auto"/>
          <w:sz w:val="22"/>
          <w:szCs w:val="22"/>
        </w:rPr>
        <w:lastRenderedPageBreak/>
        <w:t>Section 2: Reflective Account — Gibbs' Reflective Cycle</w:t>
      </w:r>
      <w:bookmarkEnd w:id="18"/>
      <w:r w:rsidRPr="0011639F">
        <w:rPr>
          <w:rFonts w:ascii="Arial" w:hAnsi="Arial" w:cs="Arial"/>
          <w:color w:val="auto"/>
          <w:sz w:val="22"/>
          <w:szCs w:val="22"/>
        </w:rPr>
        <w:t xml:space="preserve"> </w:t>
      </w:r>
    </w:p>
    <w:p w14:paraId="57B22F83"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Gibbs' (1988) reflective cycle — Description, Feelings, Evaluation, Analysis, Conclusion, Action Plan — was used to reflect on my experience preparing this strategic analysis of Shell plc. I selected Gibbs over Kolb because, as Jasper (2013) observes, Gibbs is particularly useful when a researcher is navigating emotionally charged material, and the ethics of Big Oil during a climate crisis is emotionally charged in a way that purely commercial strategy work is not.</w:t>
      </w:r>
    </w:p>
    <w:p w14:paraId="6573BF18" w14:textId="77777777" w:rsidR="00F84ECF" w:rsidRPr="0011639F" w:rsidRDefault="00F84ECF" w:rsidP="0011639F">
      <w:pPr>
        <w:spacing w:line="360" w:lineRule="auto"/>
        <w:jc w:val="both"/>
        <w:rPr>
          <w:rFonts w:ascii="Arial" w:hAnsi="Arial" w:cs="Arial"/>
          <w:sz w:val="22"/>
          <w:szCs w:val="22"/>
        </w:rPr>
      </w:pPr>
    </w:p>
    <w:p w14:paraId="5B2B10E6" w14:textId="67E08516" w:rsidR="00FB3BB8" w:rsidRPr="0011639F" w:rsidRDefault="00FB3BB8" w:rsidP="0011639F">
      <w:pPr>
        <w:spacing w:line="360" w:lineRule="auto"/>
        <w:jc w:val="center"/>
        <w:rPr>
          <w:rFonts w:ascii="Arial" w:hAnsi="Arial" w:cs="Arial"/>
          <w:i/>
          <w:iCs/>
          <w:sz w:val="22"/>
          <w:szCs w:val="22"/>
        </w:rPr>
      </w:pPr>
      <w:r w:rsidRPr="0011639F">
        <w:rPr>
          <w:rFonts w:ascii="Arial" w:hAnsi="Arial" w:cs="Arial"/>
          <w:noProof/>
          <w:sz w:val="22"/>
          <w:szCs w:val="22"/>
        </w:rPr>
        <w:drawing>
          <wp:anchor distT="0" distB="0" distL="114300" distR="114300" simplePos="0" relativeHeight="251658240" behindDoc="0" locked="0" layoutInCell="1" allowOverlap="1" wp14:anchorId="012113B4" wp14:editId="641C2678">
            <wp:simplePos x="0" y="0"/>
            <wp:positionH relativeFrom="column">
              <wp:posOffset>1638300</wp:posOffset>
            </wp:positionH>
            <wp:positionV relativeFrom="paragraph">
              <wp:posOffset>76200</wp:posOffset>
            </wp:positionV>
            <wp:extent cx="2784132" cy="2354580"/>
            <wp:effectExtent l="0" t="0" r="0" b="7620"/>
            <wp:wrapSquare wrapText="bothSides"/>
            <wp:docPr id="32721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84132" cy="2354580"/>
                    </a:xfrm>
                    <a:prstGeom prst="rect">
                      <a:avLst/>
                    </a:prstGeom>
                    <a:noFill/>
                  </pic:spPr>
                </pic:pic>
              </a:graphicData>
            </a:graphic>
          </wp:anchor>
        </w:drawing>
      </w:r>
      <w:r w:rsidR="005B7D15" w:rsidRPr="0011639F">
        <w:rPr>
          <w:rFonts w:ascii="Arial" w:hAnsi="Arial" w:cs="Arial"/>
          <w:i/>
          <w:iCs/>
          <w:sz w:val="22"/>
          <w:szCs w:val="22"/>
        </w:rPr>
        <w:br w:type="textWrapping" w:clear="all"/>
      </w:r>
    </w:p>
    <w:p w14:paraId="37757302" w14:textId="0C159E4C" w:rsidR="00FB3BB8" w:rsidRPr="0011639F" w:rsidRDefault="00FB3BB8" w:rsidP="0011639F">
      <w:pPr>
        <w:spacing w:line="360" w:lineRule="auto"/>
        <w:jc w:val="center"/>
        <w:rPr>
          <w:rFonts w:ascii="Arial" w:hAnsi="Arial" w:cs="Arial"/>
          <w:i/>
          <w:iCs/>
          <w:sz w:val="22"/>
          <w:szCs w:val="22"/>
        </w:rPr>
      </w:pPr>
      <w:r w:rsidRPr="0011639F">
        <w:rPr>
          <w:rFonts w:ascii="Arial" w:hAnsi="Arial" w:cs="Arial"/>
          <w:i/>
          <w:iCs/>
          <w:sz w:val="22"/>
          <w:szCs w:val="22"/>
        </w:rPr>
        <w:t>Figure- 1.1 - Gibbs' (1988) reflective cycle</w:t>
      </w:r>
    </w:p>
    <w:p w14:paraId="50A734BA" w14:textId="77777777" w:rsidR="00FB3BB8" w:rsidRPr="0011639F" w:rsidRDefault="00FB3BB8" w:rsidP="0011639F">
      <w:pPr>
        <w:spacing w:line="360" w:lineRule="auto"/>
        <w:jc w:val="both"/>
        <w:rPr>
          <w:rFonts w:ascii="Arial" w:hAnsi="Arial" w:cs="Arial"/>
          <w:sz w:val="22"/>
          <w:szCs w:val="22"/>
        </w:rPr>
      </w:pPr>
    </w:p>
    <w:p w14:paraId="69D5A907" w14:textId="77777777" w:rsidR="00E85304" w:rsidRPr="0011639F" w:rsidRDefault="00000000" w:rsidP="0011639F">
      <w:pPr>
        <w:pStyle w:val="Heading3"/>
        <w:spacing w:before="0" w:after="0" w:line="360" w:lineRule="auto"/>
        <w:jc w:val="both"/>
        <w:rPr>
          <w:rFonts w:ascii="Arial" w:hAnsi="Arial" w:cs="Arial"/>
          <w:color w:val="auto"/>
          <w:sz w:val="22"/>
          <w:szCs w:val="22"/>
        </w:rPr>
      </w:pPr>
      <w:bookmarkStart w:id="19" w:name="_Toc228527399"/>
      <w:r w:rsidRPr="0011639F">
        <w:rPr>
          <w:rFonts w:ascii="Arial" w:hAnsi="Arial" w:cs="Arial"/>
          <w:color w:val="auto"/>
          <w:sz w:val="22"/>
          <w:szCs w:val="22"/>
        </w:rPr>
        <w:t>Description</w:t>
      </w:r>
      <w:bookmarkEnd w:id="19"/>
    </w:p>
    <w:p w14:paraId="44C255B9" w14:textId="77777777" w:rsidR="00E85304" w:rsidRDefault="00000000" w:rsidP="0011639F">
      <w:pPr>
        <w:spacing w:line="360" w:lineRule="auto"/>
        <w:jc w:val="both"/>
        <w:rPr>
          <w:rFonts w:ascii="Arial" w:hAnsi="Arial" w:cs="Arial"/>
          <w:sz w:val="22"/>
          <w:szCs w:val="22"/>
        </w:rPr>
      </w:pPr>
      <w:r w:rsidRPr="0011639F">
        <w:rPr>
          <w:rFonts w:ascii="Arial" w:hAnsi="Arial" w:cs="Arial"/>
          <w:sz w:val="22"/>
          <w:szCs w:val="22"/>
        </w:rPr>
        <w:t>The task required a 4,000-word strategic analysis of a self-selected organisation, applying PESTEL, VRIO, Porter's Five Forces, the Balanced Scorecard, Ansoff's Matrix, BCG and SWOT, followed by a 1,000-word reflective account. I selected Shell plc because of its size, strategic complexity, and the intense public debate about Big Oil's future. Over approximately six weeks, I reviewed annual reports, ESG disclosures, analyst notes, investor-day transcripts, peer company data and academic strategy literature, then built the analysis section by section.</w:t>
      </w:r>
    </w:p>
    <w:p w14:paraId="0D3875FA" w14:textId="77777777" w:rsidR="00B775EB" w:rsidRPr="0011639F" w:rsidRDefault="00B775EB" w:rsidP="0011639F">
      <w:pPr>
        <w:spacing w:line="360" w:lineRule="auto"/>
        <w:jc w:val="both"/>
        <w:rPr>
          <w:rFonts w:ascii="Arial" w:hAnsi="Arial" w:cs="Arial"/>
          <w:sz w:val="22"/>
          <w:szCs w:val="22"/>
        </w:rPr>
      </w:pPr>
    </w:p>
    <w:p w14:paraId="6E5F6E6D" w14:textId="77777777" w:rsidR="00E85304" w:rsidRPr="0011639F" w:rsidRDefault="00000000" w:rsidP="0011639F">
      <w:pPr>
        <w:pStyle w:val="Heading3"/>
        <w:spacing w:before="0" w:after="0" w:line="360" w:lineRule="auto"/>
        <w:jc w:val="both"/>
        <w:rPr>
          <w:rFonts w:ascii="Arial" w:hAnsi="Arial" w:cs="Arial"/>
          <w:color w:val="auto"/>
          <w:sz w:val="22"/>
          <w:szCs w:val="22"/>
        </w:rPr>
      </w:pPr>
      <w:bookmarkStart w:id="20" w:name="_Toc228527400"/>
      <w:r w:rsidRPr="0011639F">
        <w:rPr>
          <w:rFonts w:ascii="Arial" w:hAnsi="Arial" w:cs="Arial"/>
          <w:color w:val="auto"/>
          <w:sz w:val="22"/>
          <w:szCs w:val="22"/>
        </w:rPr>
        <w:t>Feelings</w:t>
      </w:r>
      <w:bookmarkEnd w:id="20"/>
    </w:p>
    <w:p w14:paraId="5E1C2BBB" w14:textId="77777777" w:rsidR="00E85304" w:rsidRDefault="00000000" w:rsidP="0011639F">
      <w:pPr>
        <w:spacing w:line="360" w:lineRule="auto"/>
        <w:jc w:val="both"/>
        <w:rPr>
          <w:rFonts w:ascii="Arial" w:hAnsi="Arial" w:cs="Arial"/>
          <w:sz w:val="22"/>
          <w:szCs w:val="22"/>
        </w:rPr>
      </w:pPr>
      <w:r w:rsidRPr="0011639F">
        <w:rPr>
          <w:rFonts w:ascii="Arial" w:hAnsi="Arial" w:cs="Arial"/>
          <w:sz w:val="22"/>
          <w:szCs w:val="22"/>
        </w:rPr>
        <w:t>At the outset I felt intellectually energised but morally uncertain. Shell is a company many of my peers view as part of the climate problem rather than part of the solution. Writing objectively therefore felt uncomfortable — I worried that "analysing" Shell's pragmatic strategy might read as endorsing it. Midway through the VRIO and Balanced Scorecard sections I became more absorbed in the technical depth of the work, and the moral discomfort eased. By the end, I felt something closer to professional satisfaction, tempered by the realisation that strategic-</w:t>
      </w:r>
      <w:r w:rsidRPr="0011639F">
        <w:rPr>
          <w:rFonts w:ascii="Arial" w:hAnsi="Arial" w:cs="Arial"/>
          <w:sz w:val="22"/>
          <w:szCs w:val="22"/>
        </w:rPr>
        <w:lastRenderedPageBreak/>
        <w:t>management tools can produce lucid answers to the wrong questions if applied without ethical attention — a point made powerfully by Mintzberg et al. (2009).</w:t>
      </w:r>
    </w:p>
    <w:p w14:paraId="4CBA8C52" w14:textId="77777777" w:rsidR="00B775EB" w:rsidRPr="0011639F" w:rsidRDefault="00B775EB" w:rsidP="0011639F">
      <w:pPr>
        <w:spacing w:line="360" w:lineRule="auto"/>
        <w:jc w:val="both"/>
        <w:rPr>
          <w:rFonts w:ascii="Arial" w:hAnsi="Arial" w:cs="Arial"/>
          <w:sz w:val="22"/>
          <w:szCs w:val="22"/>
        </w:rPr>
      </w:pPr>
    </w:p>
    <w:p w14:paraId="79C68091" w14:textId="77777777" w:rsidR="00E85304" w:rsidRPr="0011639F" w:rsidRDefault="00000000" w:rsidP="0011639F">
      <w:pPr>
        <w:pStyle w:val="Heading3"/>
        <w:spacing w:before="0" w:after="0" w:line="360" w:lineRule="auto"/>
        <w:jc w:val="both"/>
        <w:rPr>
          <w:rFonts w:ascii="Arial" w:hAnsi="Arial" w:cs="Arial"/>
          <w:color w:val="auto"/>
          <w:sz w:val="22"/>
          <w:szCs w:val="22"/>
        </w:rPr>
      </w:pPr>
      <w:bookmarkStart w:id="21" w:name="_Toc228527401"/>
      <w:r w:rsidRPr="0011639F">
        <w:rPr>
          <w:rFonts w:ascii="Arial" w:hAnsi="Arial" w:cs="Arial"/>
          <w:color w:val="auto"/>
          <w:sz w:val="22"/>
          <w:szCs w:val="22"/>
        </w:rPr>
        <w:t>Evaluation</w:t>
      </w:r>
      <w:bookmarkEnd w:id="21"/>
    </w:p>
    <w:p w14:paraId="4F3F407F"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What went well was the integration of multiple frameworks. Rather than treating PESTEL, VRIO, Five Forces and BSC as separate analyses that happen to be in the same document, I tried to make each framework's findings feed the next, so that the PESTEL produced the inputs for the SWOT threats, and the VRIO produced the inputs for the SWOT strengths. This internally coherent structure is what Johnson, Whittington and Scholes (2020) call "strategic synthesis", and I think my report improved noticeably once I noticed the joined-up logic.</w:t>
      </w:r>
    </w:p>
    <w:p w14:paraId="489A31DC" w14:textId="77777777" w:rsidR="00E85304" w:rsidRDefault="00000000" w:rsidP="0011639F">
      <w:pPr>
        <w:spacing w:line="360" w:lineRule="auto"/>
        <w:jc w:val="both"/>
        <w:rPr>
          <w:rFonts w:ascii="Arial" w:hAnsi="Arial" w:cs="Arial"/>
          <w:sz w:val="22"/>
          <w:szCs w:val="22"/>
        </w:rPr>
      </w:pPr>
      <w:r w:rsidRPr="0011639F">
        <w:rPr>
          <w:rFonts w:ascii="Arial" w:hAnsi="Arial" w:cs="Arial"/>
          <w:sz w:val="22"/>
          <w:szCs w:val="22"/>
        </w:rPr>
        <w:t>What went less well was time allocation. I spent disproportionate time on the PESTEL and internal-analysis sections and had to compress the Balanced Scorecard and Recommendations — the very sections where original evaluation is most valued at Level 7. A related weakness was over-reliance on secondary market-research summaries (Mordor Intelligence, Pestel-analysis.com, Swotandpestle.com). While these are useful triangulation sources, they are not primary and can echo each other's framings. I addressed this partially by cross-checking key figures against Shell's own Energy Transition Strategy 2024 and 2024 Annual Report, but the lesson is to prioritise primary disclosures earlier in my research process.</w:t>
      </w:r>
    </w:p>
    <w:p w14:paraId="7882E7AF" w14:textId="77777777" w:rsidR="00B775EB" w:rsidRPr="0011639F" w:rsidRDefault="00B775EB" w:rsidP="0011639F">
      <w:pPr>
        <w:spacing w:line="360" w:lineRule="auto"/>
        <w:jc w:val="both"/>
        <w:rPr>
          <w:rFonts w:ascii="Arial" w:hAnsi="Arial" w:cs="Arial"/>
          <w:sz w:val="22"/>
          <w:szCs w:val="22"/>
        </w:rPr>
      </w:pPr>
    </w:p>
    <w:p w14:paraId="5E77AA13" w14:textId="77777777" w:rsidR="00E85304" w:rsidRPr="0011639F" w:rsidRDefault="00000000" w:rsidP="0011639F">
      <w:pPr>
        <w:pStyle w:val="Heading3"/>
        <w:spacing w:before="0" w:after="0" w:line="360" w:lineRule="auto"/>
        <w:jc w:val="both"/>
        <w:rPr>
          <w:rFonts w:ascii="Arial" w:hAnsi="Arial" w:cs="Arial"/>
          <w:color w:val="auto"/>
          <w:sz w:val="22"/>
          <w:szCs w:val="22"/>
        </w:rPr>
      </w:pPr>
      <w:bookmarkStart w:id="22" w:name="_Toc228527402"/>
      <w:r w:rsidRPr="0011639F">
        <w:rPr>
          <w:rFonts w:ascii="Arial" w:hAnsi="Arial" w:cs="Arial"/>
          <w:color w:val="auto"/>
          <w:sz w:val="22"/>
          <w:szCs w:val="22"/>
        </w:rPr>
        <w:t>Analysis</w:t>
      </w:r>
      <w:bookmarkEnd w:id="22"/>
    </w:p>
    <w:p w14:paraId="1347FC08" w14:textId="52C03937" w:rsidR="00E85304" w:rsidRDefault="00000000" w:rsidP="0011639F">
      <w:pPr>
        <w:spacing w:line="360" w:lineRule="auto"/>
        <w:jc w:val="both"/>
        <w:rPr>
          <w:rFonts w:ascii="Arial" w:hAnsi="Arial" w:cs="Arial"/>
          <w:sz w:val="22"/>
          <w:szCs w:val="22"/>
        </w:rPr>
      </w:pPr>
      <w:r w:rsidRPr="0011639F">
        <w:rPr>
          <w:rFonts w:ascii="Arial" w:hAnsi="Arial" w:cs="Arial"/>
          <w:sz w:val="22"/>
          <w:szCs w:val="22"/>
        </w:rPr>
        <w:t>Two deeper lessons emerged. First, strategic management at the supermajor level is less about choosing "what to do" and more about sequencing — which cash-generating parts of the portfolio fund which new capabilities, and over what timeframe. This resembles Markides' (1999) conception of strategy-as-portfolio, where the unit of analysis is a cluster of bets rather than a single grand plan. Shell's explicit decision to cap low-carbon CAPEX below 10% of the total is a sequencing choice, not a values choice, and viewing it as such helped me write more dispassionately about it.</w:t>
      </w:r>
      <w:r w:rsidR="00B775EB">
        <w:rPr>
          <w:rFonts w:ascii="Arial" w:hAnsi="Arial" w:cs="Arial"/>
          <w:sz w:val="22"/>
          <w:szCs w:val="22"/>
        </w:rPr>
        <w:t xml:space="preserve"> </w:t>
      </w:r>
      <w:r w:rsidRPr="0011639F">
        <w:rPr>
          <w:rFonts w:ascii="Arial" w:hAnsi="Arial" w:cs="Arial"/>
          <w:sz w:val="22"/>
          <w:szCs w:val="22"/>
        </w:rPr>
        <w:t>Second, I learned that frameworks are lenses, not answers. Applying VRIO told me that Shell's LNG portfolio is a sustained competitive advantage — but it said nothing about whether that advantage will still be valuable in a net-zero world by 2050. The framework has no time-horizon unless the analyst imposes one. Prahalad and Ramaswamy's (2004) concept of "co-creating the future" with stakeholders is a more forward-looking complement to VRIO that I will weave into future strategic work.</w:t>
      </w:r>
      <w:r w:rsidR="00B775EB">
        <w:rPr>
          <w:rFonts w:ascii="Arial" w:hAnsi="Arial" w:cs="Arial"/>
          <w:sz w:val="22"/>
          <w:szCs w:val="22"/>
        </w:rPr>
        <w:t xml:space="preserve"> </w:t>
      </w:r>
      <w:r w:rsidRPr="0011639F">
        <w:rPr>
          <w:rFonts w:ascii="Arial" w:hAnsi="Arial" w:cs="Arial"/>
          <w:sz w:val="22"/>
          <w:szCs w:val="22"/>
        </w:rPr>
        <w:t xml:space="preserve">A challenge I had not anticipated was ethical reasoning inside a strategy report. I initially treated the CSR section as a compliance-style summary. After peer discussion in my study group, I rewrote it to engage more critically with the credibility gap between Shell's net-zero commitments and its revised 2024–2025 targets. This was uncomfortable but produced a better analysis and aligns with </w:t>
      </w:r>
      <w:r w:rsidRPr="0011639F">
        <w:rPr>
          <w:rFonts w:ascii="Arial" w:hAnsi="Arial" w:cs="Arial"/>
          <w:sz w:val="22"/>
          <w:szCs w:val="22"/>
        </w:rPr>
        <w:lastRenderedPageBreak/>
        <w:t>Bowen's (2013) call for business ethics to be integral to strategic analysis rather than added at the end.</w:t>
      </w:r>
    </w:p>
    <w:p w14:paraId="7DF67DCF" w14:textId="77777777" w:rsidR="00B775EB" w:rsidRPr="0011639F" w:rsidRDefault="00B775EB" w:rsidP="0011639F">
      <w:pPr>
        <w:spacing w:line="360" w:lineRule="auto"/>
        <w:jc w:val="both"/>
        <w:rPr>
          <w:rFonts w:ascii="Arial" w:hAnsi="Arial" w:cs="Arial"/>
          <w:sz w:val="22"/>
          <w:szCs w:val="22"/>
        </w:rPr>
      </w:pPr>
    </w:p>
    <w:p w14:paraId="4B9C699D" w14:textId="77777777" w:rsidR="00E85304" w:rsidRPr="0011639F" w:rsidRDefault="00000000" w:rsidP="0011639F">
      <w:pPr>
        <w:pStyle w:val="Heading3"/>
        <w:spacing w:before="0" w:after="0" w:line="360" w:lineRule="auto"/>
        <w:jc w:val="both"/>
        <w:rPr>
          <w:rFonts w:ascii="Arial" w:hAnsi="Arial" w:cs="Arial"/>
          <w:color w:val="auto"/>
          <w:sz w:val="22"/>
          <w:szCs w:val="22"/>
        </w:rPr>
      </w:pPr>
      <w:bookmarkStart w:id="23" w:name="_Toc228527403"/>
      <w:r w:rsidRPr="0011639F">
        <w:rPr>
          <w:rFonts w:ascii="Arial" w:hAnsi="Arial" w:cs="Arial"/>
          <w:color w:val="auto"/>
          <w:sz w:val="22"/>
          <w:szCs w:val="22"/>
        </w:rPr>
        <w:t>Conclusion</w:t>
      </w:r>
      <w:bookmarkEnd w:id="23"/>
    </w:p>
    <w:p w14:paraId="4A8C9A67" w14:textId="77777777" w:rsidR="00E85304" w:rsidRDefault="00000000" w:rsidP="0011639F">
      <w:pPr>
        <w:spacing w:line="360" w:lineRule="auto"/>
        <w:jc w:val="both"/>
        <w:rPr>
          <w:rFonts w:ascii="Arial" w:hAnsi="Arial" w:cs="Arial"/>
          <w:sz w:val="22"/>
          <w:szCs w:val="22"/>
        </w:rPr>
      </w:pPr>
      <w:r w:rsidRPr="0011639F">
        <w:rPr>
          <w:rFonts w:ascii="Arial" w:hAnsi="Arial" w:cs="Arial"/>
          <w:sz w:val="22"/>
          <w:szCs w:val="22"/>
        </w:rPr>
        <w:t>I conclude that I can now apply a suite of strategic-management frameworks with reasonable technical competence, but that the harder skill — and the one I need to continue developing — is selective critical judgement: knowing which framework to trust most in a given situation, which inputs to challenge, and when to depart from a framework's default framing altogether. I also concluded that primary sources, peer debate, and deliberate ethical reasoning produce stronger strategic analyses than framework application alone.</w:t>
      </w:r>
    </w:p>
    <w:p w14:paraId="27EE087A" w14:textId="77777777" w:rsidR="00B775EB" w:rsidRPr="0011639F" w:rsidRDefault="00B775EB" w:rsidP="0011639F">
      <w:pPr>
        <w:spacing w:line="360" w:lineRule="auto"/>
        <w:jc w:val="both"/>
        <w:rPr>
          <w:rFonts w:ascii="Arial" w:hAnsi="Arial" w:cs="Arial"/>
          <w:sz w:val="22"/>
          <w:szCs w:val="22"/>
        </w:rPr>
      </w:pPr>
    </w:p>
    <w:p w14:paraId="0F0C509D" w14:textId="77777777" w:rsidR="00E85304" w:rsidRPr="0011639F" w:rsidRDefault="00000000" w:rsidP="0011639F">
      <w:pPr>
        <w:pStyle w:val="Heading3"/>
        <w:spacing w:before="0" w:after="0" w:line="360" w:lineRule="auto"/>
        <w:jc w:val="both"/>
        <w:rPr>
          <w:rFonts w:ascii="Arial" w:hAnsi="Arial" w:cs="Arial"/>
          <w:color w:val="auto"/>
          <w:sz w:val="22"/>
          <w:szCs w:val="22"/>
        </w:rPr>
      </w:pPr>
      <w:bookmarkStart w:id="24" w:name="_Toc228527404"/>
      <w:r w:rsidRPr="0011639F">
        <w:rPr>
          <w:rFonts w:ascii="Arial" w:hAnsi="Arial" w:cs="Arial"/>
          <w:color w:val="auto"/>
          <w:sz w:val="22"/>
          <w:szCs w:val="22"/>
        </w:rPr>
        <w:t>Action Plan</w:t>
      </w:r>
      <w:bookmarkEnd w:id="24"/>
    </w:p>
    <w:p w14:paraId="667D5FCA" w14:textId="77777777" w:rsidR="00E85304" w:rsidRPr="0011639F" w:rsidRDefault="00000000" w:rsidP="0011639F">
      <w:pPr>
        <w:spacing w:line="360" w:lineRule="auto"/>
        <w:jc w:val="both"/>
        <w:rPr>
          <w:rFonts w:ascii="Arial" w:hAnsi="Arial" w:cs="Arial"/>
          <w:sz w:val="22"/>
          <w:szCs w:val="22"/>
        </w:rPr>
      </w:pPr>
      <w:r w:rsidRPr="0011639F">
        <w:rPr>
          <w:rFonts w:ascii="Arial" w:hAnsi="Arial" w:cs="Arial"/>
          <w:sz w:val="22"/>
          <w:szCs w:val="22"/>
        </w:rPr>
        <w:t>For my next strategic assignment I will (a) build an annotated bibliography that tiers sources into primary/secondary/tertiary before starting to write, (b) allocate fixed word budgets to each section to prevent over-investment in early sections, (c) incorporate an explicit ethical stakeholder-map (Freeman, 1984) in every strategy document from the first draft, (d) schedule a peer-critique checkpoint at the 60% draft stage rather than the 90% stage, and (e) keep a running reflective journal throughout the assignment so that insights do not have to be retrospectively reconstructed at the end.</w:t>
      </w:r>
    </w:p>
    <w:p w14:paraId="72D0B088" w14:textId="77777777" w:rsidR="00E85304" w:rsidRPr="0011639F" w:rsidRDefault="00000000" w:rsidP="0011639F">
      <w:pPr>
        <w:spacing w:line="360" w:lineRule="auto"/>
        <w:rPr>
          <w:rFonts w:ascii="Arial" w:hAnsi="Arial" w:cs="Arial"/>
          <w:sz w:val="22"/>
          <w:szCs w:val="22"/>
        </w:rPr>
      </w:pPr>
      <w:r w:rsidRPr="0011639F">
        <w:rPr>
          <w:rFonts w:ascii="Arial" w:hAnsi="Arial" w:cs="Arial"/>
          <w:sz w:val="22"/>
          <w:szCs w:val="22"/>
        </w:rPr>
        <w:br w:type="page"/>
      </w:r>
    </w:p>
    <w:p w14:paraId="4B113DAD" w14:textId="77777777" w:rsidR="00E85304" w:rsidRPr="0011639F" w:rsidRDefault="00000000" w:rsidP="0011639F">
      <w:pPr>
        <w:pStyle w:val="Heading1"/>
        <w:spacing w:before="0" w:after="0" w:line="360" w:lineRule="auto"/>
        <w:rPr>
          <w:rFonts w:ascii="Arial" w:hAnsi="Arial" w:cs="Arial"/>
          <w:color w:val="auto"/>
          <w:sz w:val="22"/>
          <w:szCs w:val="22"/>
        </w:rPr>
      </w:pPr>
      <w:bookmarkStart w:id="25" w:name="_Toc228527405"/>
      <w:r w:rsidRPr="0011639F">
        <w:rPr>
          <w:rFonts w:ascii="Arial" w:hAnsi="Arial" w:cs="Arial"/>
          <w:color w:val="auto"/>
          <w:sz w:val="22"/>
          <w:szCs w:val="22"/>
        </w:rPr>
        <w:lastRenderedPageBreak/>
        <w:t>References</w:t>
      </w:r>
      <w:bookmarkEnd w:id="25"/>
    </w:p>
    <w:p w14:paraId="3D45D35E"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Ansoff, H.I. 1957. </w:t>
      </w:r>
      <w:r w:rsidRPr="0011639F">
        <w:rPr>
          <w:rFonts w:ascii="Arial" w:hAnsi="Arial" w:cs="Arial"/>
          <w:i/>
          <w:iCs/>
          <w:sz w:val="22"/>
          <w:szCs w:val="22"/>
        </w:rPr>
        <w:t>Strategies for Diversification</w:t>
      </w:r>
      <w:r w:rsidRPr="0011639F">
        <w:rPr>
          <w:rFonts w:ascii="Arial" w:hAnsi="Arial" w:cs="Arial"/>
          <w:sz w:val="22"/>
          <w:szCs w:val="22"/>
        </w:rPr>
        <w:t>. Harvard Business Review, 35(5), pp. 113–124.</w:t>
      </w:r>
    </w:p>
    <w:p w14:paraId="3ACA94D1"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Barney, J. 1991. </w:t>
      </w:r>
      <w:r w:rsidRPr="0011639F">
        <w:rPr>
          <w:rFonts w:ascii="Arial" w:hAnsi="Arial" w:cs="Arial"/>
          <w:i/>
          <w:iCs/>
          <w:sz w:val="22"/>
          <w:szCs w:val="22"/>
        </w:rPr>
        <w:t>Firm Resources and Sustained Competitive Advantage</w:t>
      </w:r>
      <w:r w:rsidRPr="0011639F">
        <w:rPr>
          <w:rFonts w:ascii="Arial" w:hAnsi="Arial" w:cs="Arial"/>
          <w:sz w:val="22"/>
          <w:szCs w:val="22"/>
        </w:rPr>
        <w:t>. Journal of Management, 17(1), pp. 99–120.</w:t>
      </w:r>
    </w:p>
    <w:p w14:paraId="08BBF457"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Bowen, S.A. 2013. </w:t>
      </w:r>
      <w:r w:rsidRPr="0011639F">
        <w:rPr>
          <w:rFonts w:ascii="Arial" w:hAnsi="Arial" w:cs="Arial"/>
          <w:i/>
          <w:iCs/>
          <w:sz w:val="22"/>
          <w:szCs w:val="22"/>
        </w:rPr>
        <w:t>Using Classic Social Media Cases to Distil Ethical Guidelines for Digital Engagement</w:t>
      </w:r>
      <w:r w:rsidRPr="0011639F">
        <w:rPr>
          <w:rFonts w:ascii="Arial" w:hAnsi="Arial" w:cs="Arial"/>
          <w:sz w:val="22"/>
          <w:szCs w:val="22"/>
        </w:rPr>
        <w:t>.  Journal of Mass Media Ethics, 28(2), pp. 119–133.</w:t>
      </w:r>
    </w:p>
    <w:p w14:paraId="2D995BFD"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Carroll, A.B. 1991. </w:t>
      </w:r>
      <w:r w:rsidRPr="0011639F">
        <w:rPr>
          <w:rFonts w:ascii="Arial" w:hAnsi="Arial" w:cs="Arial"/>
          <w:i/>
          <w:iCs/>
          <w:sz w:val="22"/>
          <w:szCs w:val="22"/>
        </w:rPr>
        <w:t>The Pyramid of Corporate Social Responsibility</w:t>
      </w:r>
      <w:r w:rsidRPr="0011639F">
        <w:rPr>
          <w:rFonts w:ascii="Arial" w:hAnsi="Arial" w:cs="Arial"/>
          <w:sz w:val="22"/>
          <w:szCs w:val="22"/>
        </w:rPr>
        <w:t>. Business Horizons, 34(4), pp. 39–48.</w:t>
      </w:r>
    </w:p>
    <w:p w14:paraId="6F6ABD18"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DCFmodeling .2025. </w:t>
      </w:r>
      <w:r w:rsidRPr="0011639F">
        <w:rPr>
          <w:rFonts w:ascii="Arial" w:hAnsi="Arial" w:cs="Arial"/>
          <w:i/>
          <w:iCs/>
          <w:sz w:val="22"/>
          <w:szCs w:val="22"/>
        </w:rPr>
        <w:t>Shell plc (SHEL): History, Ownership, Mission, How It Works and Makes Money</w:t>
      </w:r>
      <w:r w:rsidRPr="0011639F">
        <w:rPr>
          <w:rFonts w:ascii="Arial" w:hAnsi="Arial" w:cs="Arial"/>
          <w:sz w:val="22"/>
          <w:szCs w:val="22"/>
        </w:rPr>
        <w:t>. Available at: https://www.dcfmodeling.com/blogs/history/shel-history-mission-ownership (Accessed: 12 April 2026).</w:t>
      </w:r>
    </w:p>
    <w:p w14:paraId="6CE526CB"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Financial Content .2026. </w:t>
      </w:r>
      <w:r w:rsidRPr="0011639F">
        <w:rPr>
          <w:rFonts w:ascii="Arial" w:hAnsi="Arial" w:cs="Arial"/>
          <w:i/>
          <w:iCs/>
          <w:sz w:val="22"/>
          <w:szCs w:val="22"/>
        </w:rPr>
        <w:t>Shell plc (SHEL): The Strategic Pivot of a Global Energy Titan</w:t>
      </w:r>
      <w:r w:rsidRPr="0011639F">
        <w:rPr>
          <w:rFonts w:ascii="Arial" w:hAnsi="Arial" w:cs="Arial"/>
          <w:sz w:val="22"/>
          <w:szCs w:val="22"/>
        </w:rPr>
        <w:t>. Available at: https://markets.financialcontent.com (Accessed: 12 April 2026).</w:t>
      </w:r>
    </w:p>
    <w:p w14:paraId="2E0E3B4C"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Freeman, R.E. 1984. </w:t>
      </w:r>
      <w:r w:rsidRPr="0011639F">
        <w:rPr>
          <w:rFonts w:ascii="Arial" w:hAnsi="Arial" w:cs="Arial"/>
          <w:i/>
          <w:iCs/>
          <w:sz w:val="22"/>
          <w:szCs w:val="22"/>
        </w:rPr>
        <w:t>Strategic Management: A Stakeholder Approach</w:t>
      </w:r>
      <w:r w:rsidRPr="0011639F">
        <w:rPr>
          <w:rFonts w:ascii="Arial" w:hAnsi="Arial" w:cs="Arial"/>
          <w:sz w:val="22"/>
          <w:szCs w:val="22"/>
        </w:rPr>
        <w:t>. Boston: Pitman.</w:t>
      </w:r>
    </w:p>
    <w:p w14:paraId="7305AEB2"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Gibbs, G. 1988. </w:t>
      </w:r>
      <w:r w:rsidRPr="0011639F">
        <w:rPr>
          <w:rFonts w:ascii="Arial" w:hAnsi="Arial" w:cs="Arial"/>
          <w:i/>
          <w:iCs/>
          <w:sz w:val="22"/>
          <w:szCs w:val="22"/>
        </w:rPr>
        <w:t>Learning by Doing: A Guide to Teaching and Learning Methods</w:t>
      </w:r>
      <w:r w:rsidRPr="0011639F">
        <w:rPr>
          <w:rFonts w:ascii="Arial" w:hAnsi="Arial" w:cs="Arial"/>
          <w:sz w:val="22"/>
          <w:szCs w:val="22"/>
        </w:rPr>
        <w:t>. Oxford: Further Education Unit, Oxford Polytechnic.</w:t>
      </w:r>
    </w:p>
    <w:p w14:paraId="3C0BC592"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Henderson, B.D. 1970. </w:t>
      </w:r>
      <w:r w:rsidRPr="0011639F">
        <w:rPr>
          <w:rFonts w:ascii="Arial" w:hAnsi="Arial" w:cs="Arial"/>
          <w:i/>
          <w:iCs/>
          <w:sz w:val="22"/>
          <w:szCs w:val="22"/>
        </w:rPr>
        <w:t>The Product Portfolio</w:t>
      </w:r>
      <w:r w:rsidRPr="0011639F">
        <w:rPr>
          <w:rFonts w:ascii="Arial" w:hAnsi="Arial" w:cs="Arial"/>
          <w:sz w:val="22"/>
          <w:szCs w:val="22"/>
        </w:rPr>
        <w:t>. Boston, MA: The Boston Consulting Group.</w:t>
      </w:r>
    </w:p>
    <w:p w14:paraId="2AA742E3"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Jasper, M. 2013. </w:t>
      </w:r>
      <w:r w:rsidRPr="0011639F">
        <w:rPr>
          <w:rFonts w:ascii="Arial" w:hAnsi="Arial" w:cs="Arial"/>
          <w:i/>
          <w:iCs/>
          <w:sz w:val="22"/>
          <w:szCs w:val="22"/>
        </w:rPr>
        <w:t>Beginning Reflective Practice</w:t>
      </w:r>
      <w:r w:rsidRPr="0011639F">
        <w:rPr>
          <w:rFonts w:ascii="Arial" w:hAnsi="Arial" w:cs="Arial"/>
          <w:sz w:val="22"/>
          <w:szCs w:val="22"/>
        </w:rPr>
        <w:t>. 2nd edn. Andover: Cengage Learning.</w:t>
      </w:r>
    </w:p>
    <w:p w14:paraId="6DBDD7ED"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Johnson, G., Whittington, R. and Scholes, K. 2020. </w:t>
      </w:r>
      <w:r w:rsidRPr="0011639F">
        <w:rPr>
          <w:rFonts w:ascii="Arial" w:hAnsi="Arial" w:cs="Arial"/>
          <w:i/>
          <w:iCs/>
          <w:sz w:val="22"/>
          <w:szCs w:val="22"/>
        </w:rPr>
        <w:t>Exploring Strategy: Text and Cases</w:t>
      </w:r>
      <w:r w:rsidRPr="0011639F">
        <w:rPr>
          <w:rFonts w:ascii="Arial" w:hAnsi="Arial" w:cs="Arial"/>
          <w:sz w:val="22"/>
          <w:szCs w:val="22"/>
        </w:rPr>
        <w:t>. 12th edn. Harlow: Pearson.</w:t>
      </w:r>
    </w:p>
    <w:p w14:paraId="27119AA8"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Kaplan, R.S. and Norton, D.P. 1992. </w:t>
      </w:r>
      <w:r w:rsidRPr="0011639F">
        <w:rPr>
          <w:rFonts w:ascii="Arial" w:hAnsi="Arial" w:cs="Arial"/>
          <w:i/>
          <w:iCs/>
          <w:sz w:val="22"/>
          <w:szCs w:val="22"/>
        </w:rPr>
        <w:t>The Balanced Scorecard — Measures That Drive Performance</w:t>
      </w:r>
      <w:r w:rsidRPr="0011639F">
        <w:rPr>
          <w:rFonts w:ascii="Arial" w:hAnsi="Arial" w:cs="Arial"/>
          <w:sz w:val="22"/>
          <w:szCs w:val="22"/>
        </w:rPr>
        <w:t>. Harvard Business Review, 70(1), pp. 71–79.</w:t>
      </w:r>
    </w:p>
    <w:p w14:paraId="6966E6BC"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Kaplan, R.S. and Norton, D.P. 1996. </w:t>
      </w:r>
      <w:r w:rsidRPr="0011639F">
        <w:rPr>
          <w:rFonts w:ascii="Arial" w:hAnsi="Arial" w:cs="Arial"/>
          <w:i/>
          <w:iCs/>
          <w:sz w:val="22"/>
          <w:szCs w:val="22"/>
        </w:rPr>
        <w:t>The Balanced Scorecard: Translating Strategy into Action</w:t>
      </w:r>
      <w:r w:rsidRPr="0011639F">
        <w:rPr>
          <w:rFonts w:ascii="Arial" w:hAnsi="Arial" w:cs="Arial"/>
          <w:sz w:val="22"/>
          <w:szCs w:val="22"/>
        </w:rPr>
        <w:t>. Boston, MA: Harvard Business School Press.</w:t>
      </w:r>
    </w:p>
    <w:p w14:paraId="2BAEB3FB"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Kotter, J.P. 1996. </w:t>
      </w:r>
      <w:r w:rsidRPr="0011639F">
        <w:rPr>
          <w:rFonts w:ascii="Arial" w:hAnsi="Arial" w:cs="Arial"/>
          <w:i/>
          <w:iCs/>
          <w:sz w:val="22"/>
          <w:szCs w:val="22"/>
        </w:rPr>
        <w:t>Leading Change</w:t>
      </w:r>
      <w:r w:rsidRPr="0011639F">
        <w:rPr>
          <w:rFonts w:ascii="Arial" w:hAnsi="Arial" w:cs="Arial"/>
          <w:sz w:val="22"/>
          <w:szCs w:val="22"/>
        </w:rPr>
        <w:t>. Boston, MA: Harvard Business School Press.</w:t>
      </w:r>
    </w:p>
    <w:p w14:paraId="683B7D6C"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Markides, C.C. 1999.</w:t>
      </w:r>
      <w:r w:rsidRPr="0011639F">
        <w:rPr>
          <w:rFonts w:ascii="Arial" w:hAnsi="Arial" w:cs="Arial"/>
          <w:i/>
          <w:iCs/>
          <w:sz w:val="22"/>
          <w:szCs w:val="22"/>
        </w:rPr>
        <w:t>A Dynamic View of Strategy</w:t>
      </w:r>
      <w:r w:rsidRPr="0011639F">
        <w:rPr>
          <w:rFonts w:ascii="Arial" w:hAnsi="Arial" w:cs="Arial"/>
          <w:sz w:val="22"/>
          <w:szCs w:val="22"/>
        </w:rPr>
        <w:t>. MIT Sloan Management Review, 40(3), pp. 55–63.</w:t>
      </w:r>
    </w:p>
    <w:p w14:paraId="4D477EE3"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Mintzberg, H., Ahlstrand, B. and Lampel, J. 2009. </w:t>
      </w:r>
      <w:r w:rsidRPr="0011639F">
        <w:rPr>
          <w:rFonts w:ascii="Arial" w:hAnsi="Arial" w:cs="Arial"/>
          <w:i/>
          <w:iCs/>
          <w:sz w:val="22"/>
          <w:szCs w:val="22"/>
        </w:rPr>
        <w:t>Strategy Safari: The Complete Guide Through the Wilds of Strategic Management</w:t>
      </w:r>
      <w:r w:rsidRPr="0011639F">
        <w:rPr>
          <w:rFonts w:ascii="Arial" w:hAnsi="Arial" w:cs="Arial"/>
          <w:sz w:val="22"/>
          <w:szCs w:val="22"/>
        </w:rPr>
        <w:t>. 2nd edn. Harlow: Pearson.</w:t>
      </w:r>
    </w:p>
    <w:p w14:paraId="4ADB9E76"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Pestel-analysis 2025. </w:t>
      </w:r>
      <w:r w:rsidRPr="0011639F">
        <w:rPr>
          <w:rFonts w:ascii="Arial" w:hAnsi="Arial" w:cs="Arial"/>
          <w:i/>
          <w:iCs/>
          <w:sz w:val="22"/>
          <w:szCs w:val="22"/>
        </w:rPr>
        <w:t>Growth Strategy and Future Prospects of Shell Plc</w:t>
      </w:r>
      <w:r w:rsidRPr="0011639F">
        <w:rPr>
          <w:rFonts w:ascii="Arial" w:hAnsi="Arial" w:cs="Arial"/>
          <w:sz w:val="22"/>
          <w:szCs w:val="22"/>
        </w:rPr>
        <w:t>. Available at: https://pestel-analysis.com/blogs/growth-strategy/shell (Accessed: 11 April 2026).</w:t>
      </w:r>
    </w:p>
    <w:p w14:paraId="665AE018"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Porter, M.E. 1979.</w:t>
      </w:r>
      <w:r w:rsidRPr="0011639F">
        <w:rPr>
          <w:rFonts w:ascii="Arial" w:hAnsi="Arial" w:cs="Arial"/>
          <w:i/>
          <w:iCs/>
          <w:sz w:val="22"/>
          <w:szCs w:val="22"/>
        </w:rPr>
        <w:t>How Competitive Forces Shape Strategy</w:t>
      </w:r>
      <w:r w:rsidRPr="0011639F">
        <w:rPr>
          <w:rFonts w:ascii="Arial" w:hAnsi="Arial" w:cs="Arial"/>
          <w:sz w:val="22"/>
          <w:szCs w:val="22"/>
        </w:rPr>
        <w:t>. Harvard Business Review, 57(2), pp. 137–145.</w:t>
      </w:r>
    </w:p>
    <w:p w14:paraId="4753E0A5"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Porter, M.E. 1985. </w:t>
      </w:r>
      <w:r w:rsidRPr="0011639F">
        <w:rPr>
          <w:rFonts w:ascii="Arial" w:hAnsi="Arial" w:cs="Arial"/>
          <w:i/>
          <w:iCs/>
          <w:sz w:val="22"/>
          <w:szCs w:val="22"/>
        </w:rPr>
        <w:t>Competitive Advantage: Creating and Sustaining Superior Performance</w:t>
      </w:r>
      <w:r w:rsidRPr="0011639F">
        <w:rPr>
          <w:rFonts w:ascii="Arial" w:hAnsi="Arial" w:cs="Arial"/>
          <w:sz w:val="22"/>
          <w:szCs w:val="22"/>
        </w:rPr>
        <w:t>. New York: Free Press.</w:t>
      </w:r>
    </w:p>
    <w:p w14:paraId="77DDF14E"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lastRenderedPageBreak/>
        <w:t xml:space="preserve">Porter, M.E. and Kramer, M.R. 2011. </w:t>
      </w:r>
      <w:r w:rsidRPr="0011639F">
        <w:rPr>
          <w:rFonts w:ascii="Arial" w:hAnsi="Arial" w:cs="Arial"/>
          <w:i/>
          <w:iCs/>
          <w:sz w:val="22"/>
          <w:szCs w:val="22"/>
        </w:rPr>
        <w:t>Creating Shared Value</w:t>
      </w:r>
      <w:r w:rsidRPr="0011639F">
        <w:rPr>
          <w:rFonts w:ascii="Arial" w:hAnsi="Arial" w:cs="Arial"/>
          <w:sz w:val="22"/>
          <w:szCs w:val="22"/>
        </w:rPr>
        <w:t>. Harvard Business Review, 89(1/2), pp. 62–77.</w:t>
      </w:r>
    </w:p>
    <w:p w14:paraId="187F3599"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Prahalad, C.K. and Ramaswamy, V. 2004. </w:t>
      </w:r>
      <w:r w:rsidRPr="0011639F">
        <w:rPr>
          <w:rFonts w:ascii="Arial" w:hAnsi="Arial" w:cs="Arial"/>
          <w:i/>
          <w:iCs/>
          <w:sz w:val="22"/>
          <w:szCs w:val="22"/>
        </w:rPr>
        <w:t>The Future of Competition: Co-Creating Unique Value with Customers</w:t>
      </w:r>
      <w:r w:rsidRPr="0011639F">
        <w:rPr>
          <w:rFonts w:ascii="Arial" w:hAnsi="Arial" w:cs="Arial"/>
          <w:sz w:val="22"/>
          <w:szCs w:val="22"/>
        </w:rPr>
        <w:t>. Boston, MA: Harvard Business School Press.</w:t>
      </w:r>
    </w:p>
    <w:p w14:paraId="6337F696"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Reuters.2024. </w:t>
      </w:r>
      <w:r w:rsidRPr="0011639F">
        <w:rPr>
          <w:rFonts w:ascii="Arial" w:hAnsi="Arial" w:cs="Arial"/>
          <w:i/>
          <w:iCs/>
          <w:sz w:val="22"/>
          <w:szCs w:val="22"/>
        </w:rPr>
        <w:t>Global LNG demand seen rising more than 50% by 2040</w:t>
      </w:r>
      <w:r w:rsidRPr="0011639F">
        <w:rPr>
          <w:rFonts w:ascii="Arial" w:hAnsi="Arial" w:cs="Arial"/>
          <w:sz w:val="22"/>
          <w:szCs w:val="22"/>
        </w:rPr>
        <w:t xml:space="preserve">. Shell report. Available at: </w:t>
      </w:r>
      <w:hyperlink r:id="rId12" w:history="1">
        <w:r w:rsidRPr="0011639F">
          <w:rPr>
            <w:rStyle w:val="Hyperlink"/>
            <w:rFonts w:ascii="Arial" w:hAnsi="Arial" w:cs="Arial"/>
            <w:color w:val="auto"/>
            <w:sz w:val="22"/>
            <w:szCs w:val="22"/>
          </w:rPr>
          <w:t>https://www.reuters.com/business/energy/global-lng-demand-seen-rising-more-than-50-by-2040-shell-report-2024-02-14/</w:t>
        </w:r>
      </w:hyperlink>
      <w:r w:rsidRPr="0011639F">
        <w:rPr>
          <w:rFonts w:ascii="Arial" w:hAnsi="Arial" w:cs="Arial"/>
          <w:sz w:val="22"/>
          <w:szCs w:val="22"/>
        </w:rPr>
        <w:t xml:space="preserve"> (Accessed: 1 May 2026).</w:t>
      </w:r>
    </w:p>
    <w:p w14:paraId="74FBC7AF"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Shell plc .2024. </w:t>
      </w:r>
      <w:r w:rsidRPr="0011639F">
        <w:rPr>
          <w:rFonts w:ascii="Arial" w:hAnsi="Arial" w:cs="Arial"/>
          <w:i/>
          <w:iCs/>
          <w:sz w:val="22"/>
          <w:szCs w:val="22"/>
        </w:rPr>
        <w:t>Energy Transition Strategy 2024</w:t>
      </w:r>
      <w:r w:rsidRPr="0011639F">
        <w:rPr>
          <w:rFonts w:ascii="Arial" w:hAnsi="Arial" w:cs="Arial"/>
          <w:sz w:val="22"/>
          <w:szCs w:val="22"/>
        </w:rPr>
        <w:t>. Available at: https://www.shell.com/sustainability/our-climate-target/shell-energy-transition-strategy.html (Accessed: 11 April 2026).</w:t>
      </w:r>
    </w:p>
    <w:p w14:paraId="7A2873B1"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Shell plc .2025. </w:t>
      </w:r>
      <w:r w:rsidRPr="0011639F">
        <w:rPr>
          <w:rFonts w:ascii="Arial" w:hAnsi="Arial" w:cs="Arial"/>
          <w:i/>
          <w:iCs/>
          <w:sz w:val="22"/>
          <w:szCs w:val="22"/>
        </w:rPr>
        <w:t>Annual Report and Accounts 2024</w:t>
      </w:r>
      <w:r w:rsidRPr="0011639F">
        <w:rPr>
          <w:rFonts w:ascii="Arial" w:hAnsi="Arial" w:cs="Arial"/>
          <w:sz w:val="22"/>
          <w:szCs w:val="22"/>
        </w:rPr>
        <w:t>. London: Shell plc.</w:t>
      </w:r>
    </w:p>
    <w:p w14:paraId="7CEB3586"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Swotandpestle .2025. </w:t>
      </w:r>
      <w:r w:rsidRPr="0011639F">
        <w:rPr>
          <w:rFonts w:ascii="Arial" w:hAnsi="Arial" w:cs="Arial"/>
          <w:i/>
          <w:iCs/>
          <w:sz w:val="22"/>
          <w:szCs w:val="22"/>
        </w:rPr>
        <w:t>Shell PLC SWOT and PESTLE Analysis 2025</w:t>
      </w:r>
      <w:r w:rsidRPr="0011639F">
        <w:rPr>
          <w:rFonts w:ascii="Arial" w:hAnsi="Arial" w:cs="Arial"/>
          <w:sz w:val="22"/>
          <w:szCs w:val="22"/>
        </w:rPr>
        <w:t>. Available at: https://swotandpestle.com/product/shellplc-oil-gas-company-analysis-reports-swot-pestle (Accessed: 12 April 2026).</w:t>
      </w:r>
    </w:p>
    <w:p w14:paraId="667148FE"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 xml:space="preserve">Yahoo Finance / Zacks .2025. </w:t>
      </w:r>
      <w:r w:rsidRPr="0011639F">
        <w:rPr>
          <w:rFonts w:ascii="Arial" w:hAnsi="Arial" w:cs="Arial"/>
          <w:i/>
          <w:iCs/>
          <w:sz w:val="22"/>
          <w:szCs w:val="22"/>
        </w:rPr>
        <w:t>ExxonMobil Surges Ahead in Low-Carbon Push, BP and Shell Retreat</w:t>
      </w:r>
      <w:r w:rsidRPr="0011639F">
        <w:rPr>
          <w:rFonts w:ascii="Arial" w:hAnsi="Arial" w:cs="Arial"/>
          <w:sz w:val="22"/>
          <w:szCs w:val="22"/>
        </w:rPr>
        <w:t>. 29 April. Available at: https://finance.yahoo.com (Accessed: 11 April 2026).</w:t>
      </w:r>
    </w:p>
    <w:p w14:paraId="230A2718" w14:textId="77777777" w:rsidR="00EA0205" w:rsidRPr="0011639F" w:rsidRDefault="00EA0205" w:rsidP="0011639F">
      <w:pPr>
        <w:spacing w:line="360" w:lineRule="auto"/>
        <w:jc w:val="both"/>
        <w:rPr>
          <w:rFonts w:ascii="Arial" w:hAnsi="Arial" w:cs="Arial"/>
          <w:sz w:val="22"/>
          <w:szCs w:val="22"/>
        </w:rPr>
      </w:pPr>
      <w:r w:rsidRPr="0011639F">
        <w:rPr>
          <w:rFonts w:ascii="Arial" w:hAnsi="Arial" w:cs="Arial"/>
          <w:sz w:val="22"/>
          <w:szCs w:val="22"/>
        </w:rPr>
        <w:t>Yelza 2025.</w:t>
      </w:r>
      <w:r w:rsidRPr="0011639F">
        <w:rPr>
          <w:rFonts w:ascii="Arial" w:hAnsi="Arial" w:cs="Arial"/>
          <w:i/>
          <w:iCs/>
          <w:sz w:val="22"/>
          <w:szCs w:val="22"/>
        </w:rPr>
        <w:t>Shell PLC: History, Key Figures and Stock Performance</w:t>
      </w:r>
      <w:r w:rsidRPr="0011639F">
        <w:rPr>
          <w:rFonts w:ascii="Arial" w:hAnsi="Arial" w:cs="Arial"/>
          <w:sz w:val="22"/>
          <w:szCs w:val="22"/>
        </w:rPr>
        <w:t>. 20 June. Available at: https://yelza.com/research/aex-index/royal-dutch-shell (Accessed: 12 April 2026).</w:t>
      </w:r>
    </w:p>
    <w:sectPr w:rsidR="00EA0205" w:rsidRPr="0011639F">
      <w:headerReference w:type="default" r:id="rId13"/>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4CA1B" w14:textId="77777777" w:rsidR="00D37715" w:rsidRDefault="00D37715">
      <w:r>
        <w:separator/>
      </w:r>
    </w:p>
  </w:endnote>
  <w:endnote w:type="continuationSeparator" w:id="0">
    <w:p w14:paraId="795C54A0" w14:textId="77777777" w:rsidR="00D37715" w:rsidRDefault="00D37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77DCE" w14:textId="77777777" w:rsidR="00E85304"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104E25">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104E25">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73F38" w14:textId="77777777" w:rsidR="00D37715" w:rsidRDefault="00D37715">
      <w:r>
        <w:separator/>
      </w:r>
    </w:p>
  </w:footnote>
  <w:footnote w:type="continuationSeparator" w:id="0">
    <w:p w14:paraId="0D886394" w14:textId="77777777" w:rsidR="00D37715" w:rsidRDefault="00D377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B2D1E" w14:textId="77777777" w:rsidR="00E85304" w:rsidRDefault="00000000">
    <w:pPr>
      <w:jc w:val="right"/>
    </w:pPr>
    <w:r>
      <w:rPr>
        <w:i/>
        <w:iCs/>
        <w:color w:val="808080"/>
        <w:sz w:val="20"/>
        <w:szCs w:val="20"/>
      </w:rPr>
      <w:t>Strategic Analysis of Shell plc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A5453"/>
    <w:multiLevelType w:val="hybridMultilevel"/>
    <w:tmpl w:val="5A5AA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634DF"/>
    <w:multiLevelType w:val="hybridMultilevel"/>
    <w:tmpl w:val="045ECEA6"/>
    <w:lvl w:ilvl="0" w:tplc="3A7C3AE6">
      <w:start w:val="1"/>
      <w:numFmt w:val="bullet"/>
      <w:lvlText w:val="•"/>
      <w:lvlJc w:val="left"/>
      <w:pPr>
        <w:ind w:left="720" w:hanging="360"/>
      </w:pPr>
    </w:lvl>
    <w:lvl w:ilvl="1" w:tplc="E5BE57F8">
      <w:numFmt w:val="decimal"/>
      <w:lvlText w:val=""/>
      <w:lvlJc w:val="left"/>
    </w:lvl>
    <w:lvl w:ilvl="2" w:tplc="4CE08A68">
      <w:numFmt w:val="decimal"/>
      <w:lvlText w:val=""/>
      <w:lvlJc w:val="left"/>
    </w:lvl>
    <w:lvl w:ilvl="3" w:tplc="5D948086">
      <w:numFmt w:val="decimal"/>
      <w:lvlText w:val=""/>
      <w:lvlJc w:val="left"/>
    </w:lvl>
    <w:lvl w:ilvl="4" w:tplc="11D0AFCE">
      <w:numFmt w:val="decimal"/>
      <w:lvlText w:val=""/>
      <w:lvlJc w:val="left"/>
    </w:lvl>
    <w:lvl w:ilvl="5" w:tplc="240E782E">
      <w:numFmt w:val="decimal"/>
      <w:lvlText w:val=""/>
      <w:lvlJc w:val="left"/>
    </w:lvl>
    <w:lvl w:ilvl="6" w:tplc="D96696EC">
      <w:numFmt w:val="decimal"/>
      <w:lvlText w:val=""/>
      <w:lvlJc w:val="left"/>
    </w:lvl>
    <w:lvl w:ilvl="7" w:tplc="7EC4C928">
      <w:numFmt w:val="decimal"/>
      <w:lvlText w:val=""/>
      <w:lvlJc w:val="left"/>
    </w:lvl>
    <w:lvl w:ilvl="8" w:tplc="8D2C3810">
      <w:numFmt w:val="decimal"/>
      <w:lvlText w:val=""/>
      <w:lvlJc w:val="left"/>
    </w:lvl>
  </w:abstractNum>
  <w:abstractNum w:abstractNumId="2" w15:restartNumberingAfterBreak="0">
    <w:nsid w:val="298F1B94"/>
    <w:multiLevelType w:val="hybridMultilevel"/>
    <w:tmpl w:val="69902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64E57"/>
    <w:multiLevelType w:val="hybridMultilevel"/>
    <w:tmpl w:val="93140F34"/>
    <w:lvl w:ilvl="0" w:tplc="0809000F">
      <w:start w:val="1"/>
      <w:numFmt w:val="decimal"/>
      <w:lvlText w:val="%1."/>
      <w:lvlJc w:val="left"/>
      <w:pPr>
        <w:ind w:left="720" w:hanging="360"/>
      </w:pPr>
    </w:lvl>
    <w:lvl w:ilvl="1" w:tplc="C7C8CDCE">
      <w:numFmt w:val="bullet"/>
      <w:lvlText w:val="-"/>
      <w:lvlJc w:val="left"/>
      <w:pPr>
        <w:ind w:left="1440" w:hanging="360"/>
      </w:pPr>
      <w:rPr>
        <w:rFonts w:ascii="Times New Roman" w:eastAsia="Times New Roman" w:hAnsi="Times New Roman" w:cs="Times New Roman" w:hint="default"/>
        <w:b/>
        <w:sz w:val="22"/>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16B67"/>
    <w:multiLevelType w:val="hybridMultilevel"/>
    <w:tmpl w:val="3D2294A0"/>
    <w:lvl w:ilvl="0" w:tplc="1AACA938">
      <w:numFmt w:val="bullet"/>
      <w:lvlText w:val="-"/>
      <w:lvlJc w:val="left"/>
      <w:pPr>
        <w:ind w:left="720" w:hanging="360"/>
      </w:pPr>
      <w:rPr>
        <w:rFonts w:ascii="Times New Roman" w:eastAsia="Times New Roman" w:hAnsi="Times New Roman" w:cs="Times New Roman"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DC310C"/>
    <w:multiLevelType w:val="hybridMultilevel"/>
    <w:tmpl w:val="939C7614"/>
    <w:lvl w:ilvl="0" w:tplc="73A857C4">
      <w:start w:val="1"/>
      <w:numFmt w:val="bullet"/>
      <w:lvlText w:val="●"/>
      <w:lvlJc w:val="left"/>
      <w:pPr>
        <w:ind w:left="720" w:hanging="360"/>
      </w:pPr>
    </w:lvl>
    <w:lvl w:ilvl="1" w:tplc="8250A51E">
      <w:start w:val="1"/>
      <w:numFmt w:val="bullet"/>
      <w:lvlText w:val="○"/>
      <w:lvlJc w:val="left"/>
      <w:pPr>
        <w:ind w:left="1440" w:hanging="360"/>
      </w:pPr>
    </w:lvl>
    <w:lvl w:ilvl="2" w:tplc="DC2E588E">
      <w:start w:val="1"/>
      <w:numFmt w:val="bullet"/>
      <w:lvlText w:val="■"/>
      <w:lvlJc w:val="left"/>
      <w:pPr>
        <w:ind w:left="2160" w:hanging="360"/>
      </w:pPr>
    </w:lvl>
    <w:lvl w:ilvl="3" w:tplc="B88A0A80">
      <w:start w:val="1"/>
      <w:numFmt w:val="bullet"/>
      <w:lvlText w:val="●"/>
      <w:lvlJc w:val="left"/>
      <w:pPr>
        <w:ind w:left="2880" w:hanging="360"/>
      </w:pPr>
    </w:lvl>
    <w:lvl w:ilvl="4" w:tplc="541AEA36">
      <w:start w:val="1"/>
      <w:numFmt w:val="bullet"/>
      <w:lvlText w:val="○"/>
      <w:lvlJc w:val="left"/>
      <w:pPr>
        <w:ind w:left="3600" w:hanging="360"/>
      </w:pPr>
    </w:lvl>
    <w:lvl w:ilvl="5" w:tplc="B4300FDA">
      <w:start w:val="1"/>
      <w:numFmt w:val="bullet"/>
      <w:lvlText w:val="■"/>
      <w:lvlJc w:val="left"/>
      <w:pPr>
        <w:ind w:left="4320" w:hanging="360"/>
      </w:pPr>
    </w:lvl>
    <w:lvl w:ilvl="6" w:tplc="8FE0EDD6">
      <w:start w:val="1"/>
      <w:numFmt w:val="bullet"/>
      <w:lvlText w:val="●"/>
      <w:lvlJc w:val="left"/>
      <w:pPr>
        <w:ind w:left="5040" w:hanging="360"/>
      </w:pPr>
    </w:lvl>
    <w:lvl w:ilvl="7" w:tplc="B87618EC">
      <w:start w:val="1"/>
      <w:numFmt w:val="bullet"/>
      <w:lvlText w:val="●"/>
      <w:lvlJc w:val="left"/>
      <w:pPr>
        <w:ind w:left="5760" w:hanging="360"/>
      </w:pPr>
    </w:lvl>
    <w:lvl w:ilvl="8" w:tplc="6920729A">
      <w:start w:val="1"/>
      <w:numFmt w:val="bullet"/>
      <w:lvlText w:val="●"/>
      <w:lvlJc w:val="left"/>
      <w:pPr>
        <w:ind w:left="6480" w:hanging="360"/>
      </w:pPr>
    </w:lvl>
  </w:abstractNum>
  <w:abstractNum w:abstractNumId="6" w15:restartNumberingAfterBreak="0">
    <w:nsid w:val="58515F7F"/>
    <w:multiLevelType w:val="hybridMultilevel"/>
    <w:tmpl w:val="9D6CCD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F756590"/>
    <w:multiLevelType w:val="hybridMultilevel"/>
    <w:tmpl w:val="FE908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A17632"/>
    <w:multiLevelType w:val="hybridMultilevel"/>
    <w:tmpl w:val="6D98EF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2C5ABB"/>
    <w:multiLevelType w:val="hybridMultilevel"/>
    <w:tmpl w:val="1D8004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995856">
    <w:abstractNumId w:val="5"/>
    <w:lvlOverride w:ilvl="0">
      <w:startOverride w:val="1"/>
    </w:lvlOverride>
  </w:num>
  <w:num w:numId="2" w16cid:durableId="1912763647">
    <w:abstractNumId w:val="3"/>
  </w:num>
  <w:num w:numId="3" w16cid:durableId="812254995">
    <w:abstractNumId w:val="4"/>
  </w:num>
  <w:num w:numId="4" w16cid:durableId="450248233">
    <w:abstractNumId w:val="8"/>
  </w:num>
  <w:num w:numId="5" w16cid:durableId="225799384">
    <w:abstractNumId w:val="9"/>
  </w:num>
  <w:num w:numId="6" w16cid:durableId="646596025">
    <w:abstractNumId w:val="0"/>
  </w:num>
  <w:num w:numId="7" w16cid:durableId="594677934">
    <w:abstractNumId w:val="2"/>
  </w:num>
  <w:num w:numId="8" w16cid:durableId="551884343">
    <w:abstractNumId w:val="7"/>
  </w:num>
  <w:num w:numId="9" w16cid:durableId="783342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304"/>
    <w:rsid w:val="00104E25"/>
    <w:rsid w:val="0011639F"/>
    <w:rsid w:val="002B38E8"/>
    <w:rsid w:val="002E5D4D"/>
    <w:rsid w:val="004C615F"/>
    <w:rsid w:val="004D7008"/>
    <w:rsid w:val="005B7D15"/>
    <w:rsid w:val="005E5FE6"/>
    <w:rsid w:val="0062024E"/>
    <w:rsid w:val="00913C68"/>
    <w:rsid w:val="009E15A8"/>
    <w:rsid w:val="00B155CB"/>
    <w:rsid w:val="00B775EB"/>
    <w:rsid w:val="00CA77C1"/>
    <w:rsid w:val="00D37715"/>
    <w:rsid w:val="00DB2785"/>
    <w:rsid w:val="00E2653A"/>
    <w:rsid w:val="00E85304"/>
    <w:rsid w:val="00EA0205"/>
    <w:rsid w:val="00F84ECF"/>
    <w:rsid w:val="00FB3BB8"/>
    <w:rsid w:val="00FC0E97"/>
    <w:rsid w:val="00FF6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4C3FF"/>
  <w15:docId w15:val="{EA865177-A901-43CF-9422-FF9430247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864"/>
      <w:sz w:val="32"/>
      <w:szCs w:val="32"/>
    </w:rPr>
  </w:style>
  <w:style w:type="paragraph" w:styleId="Heading2">
    <w:name w:val="heading 2"/>
    <w:uiPriority w:val="9"/>
    <w:unhideWhenUsed/>
    <w:qFormat/>
    <w:pPr>
      <w:spacing w:before="300" w:after="160"/>
      <w:outlineLvl w:val="1"/>
    </w:pPr>
    <w:rPr>
      <w:b/>
      <w:bCs/>
      <w:color w:val="2E5090"/>
      <w:sz w:val="28"/>
      <w:szCs w:val="28"/>
    </w:rPr>
  </w:style>
  <w:style w:type="paragraph" w:styleId="Heading3">
    <w:name w:val="heading 3"/>
    <w:uiPriority w:val="9"/>
    <w:unhideWhenUsed/>
    <w:qFormat/>
    <w:pPr>
      <w:spacing w:before="240" w:after="140"/>
      <w:outlineLvl w:val="2"/>
    </w:pPr>
    <w:rPr>
      <w:b/>
      <w:bCs/>
      <w:i/>
      <w:iCs/>
      <w:color w:val="2E5090"/>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104E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B2785"/>
    <w:rPr>
      <w:color w:val="605E5C"/>
      <w:shd w:val="clear" w:color="auto" w:fill="E1DFDD"/>
    </w:rPr>
  </w:style>
  <w:style w:type="paragraph" w:styleId="TOCHeading">
    <w:name w:val="TOC Heading"/>
    <w:basedOn w:val="Heading1"/>
    <w:next w:val="Normal"/>
    <w:uiPriority w:val="39"/>
    <w:unhideWhenUsed/>
    <w:qFormat/>
    <w:rsid w:val="0011639F"/>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11639F"/>
    <w:pPr>
      <w:spacing w:after="100"/>
    </w:pPr>
  </w:style>
  <w:style w:type="paragraph" w:styleId="TOC2">
    <w:name w:val="toc 2"/>
    <w:basedOn w:val="Normal"/>
    <w:next w:val="Normal"/>
    <w:autoRedefine/>
    <w:uiPriority w:val="39"/>
    <w:unhideWhenUsed/>
    <w:rsid w:val="0011639F"/>
    <w:pPr>
      <w:spacing w:after="100"/>
      <w:ind w:left="240"/>
    </w:pPr>
  </w:style>
  <w:style w:type="paragraph" w:styleId="TOC3">
    <w:name w:val="toc 3"/>
    <w:basedOn w:val="Normal"/>
    <w:next w:val="Normal"/>
    <w:autoRedefine/>
    <w:uiPriority w:val="39"/>
    <w:unhideWhenUsed/>
    <w:rsid w:val="0011639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business/energy/global-lng-demand-seen-rising-more-than-50-by-2040-shell-report-2024-02-1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85D59-A881-407F-9265-953904684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6092</Words>
  <Characters>34725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Assignment 2 - Strategic Management of Shell plc</vt:lpstr>
    </vt:vector>
  </TitlesOfParts>
  <Company/>
  <LinksUpToDate>false</LinksUpToDate>
  <CharactersWithSpaces>40736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Strategic Management of Shell plc</dc:title>
  <dc:creator>Rezaul Karim</dc:creator>
  <cp:lastModifiedBy>Naima Islam Naju</cp:lastModifiedBy>
  <cp:revision>12</cp:revision>
  <dcterms:created xsi:type="dcterms:W3CDTF">2026-05-01T08:52:00Z</dcterms:created>
  <dcterms:modified xsi:type="dcterms:W3CDTF">2026-05-01T10:33:00Z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9c5f6fca-77c4-476e-9956-1ae4132291f4</vt:lpwstr>
  </property>
</Properties>
</file>