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jpeg"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598F7A44" w:rsidP="594D4DF4" w:rsidRDefault="598F7A44" w14:paraId="2F46298D" w14:textId="2FBA0C74">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598F7A44">
        <w:drawing>
          <wp:inline wp14:editId="22B0BC17" wp14:anchorId="052BB65B">
            <wp:extent cx="5486400" cy="1847850"/>
            <wp:effectExtent l="0" t="0" r="0" b="0"/>
            <wp:docPr id="704796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047965" name="Picture 7047965"/>
                    <pic:cNvPicPr/>
                  </pic:nvPicPr>
                  <pic:blipFill>
                    <a:blip xmlns:r="http://schemas.openxmlformats.org/officeDocument/2006/relationships" r:embed="rId1758898203">
                      <a:extLst>
                        <a:ext uri="{28A0092B-C50C-407E-A947-70E740481C1C}">
                          <a14:useLocalDpi xmlns:a14="http://schemas.microsoft.com/office/drawing/2010/main"/>
                        </a:ext>
                      </a:extLst>
                    </a:blip>
                    <a:stretch>
                      <a:fillRect/>
                    </a:stretch>
                  </pic:blipFill>
                  <pic:spPr>
                    <a:xfrm>
                      <a:off x="0" y="0"/>
                      <a:ext cx="5486400" cy="1847850"/>
                    </a:xfrm>
                    <a:prstGeom prst="rect">
                      <a:avLst/>
                    </a:prstGeom>
                  </pic:spPr>
                </pic:pic>
              </a:graphicData>
            </a:graphic>
          </wp:inline>
        </w:drawing>
      </w:r>
    </w:p>
    <w:p w:rsidR="594D4DF4" w:rsidP="594D4DF4" w:rsidRDefault="594D4DF4" w14:paraId="3562C8ED" w14:textId="36135EED">
      <w:pPr>
        <w:pStyle w:val="Heading1"/>
        <w:keepNext w:val="1"/>
        <w:keepLines w:val="1"/>
        <w:spacing w:before="0" w:after="0" w:line="360" w:lineRule="auto"/>
        <w:jc w:val="center"/>
        <w:rPr>
          <w:rFonts w:ascii="Times New Roman" w:hAnsi="Times New Roman" w:eastAsia="Times New Roman" w:cs="Times New Roman"/>
          <w:b w:val="0"/>
          <w:bCs w:val="0"/>
          <w:i w:val="0"/>
          <w:iCs w:val="0"/>
          <w:caps w:val="0"/>
          <w:smallCaps w:val="0"/>
          <w:noProof w:val="0"/>
          <w:color w:val="365F91" w:themeColor="accent1" w:themeTint="FF" w:themeShade="BF"/>
          <w:sz w:val="40"/>
          <w:szCs w:val="40"/>
          <w:lang w:val="en-US"/>
        </w:rPr>
      </w:pPr>
    </w:p>
    <w:p w:rsidR="598F7A44" w:rsidP="594D4DF4" w:rsidRDefault="598F7A44" w14:paraId="3CC7A401" w14:textId="4643AA69">
      <w:pPr>
        <w:pStyle w:val="Heading1"/>
        <w:keepNext w:val="1"/>
        <w:keepLines w:val="1"/>
        <w:spacing w:before="0" w:after="0" w:line="360" w:lineRule="auto"/>
        <w:jc w:val="center"/>
        <w:rPr>
          <w:rFonts w:ascii="Times New Roman" w:hAnsi="Times New Roman" w:eastAsia="Times New Roman" w:cs="Times New Roman"/>
          <w:b w:val="1"/>
          <w:bCs w:val="1"/>
          <w:i w:val="0"/>
          <w:iCs w:val="0"/>
          <w:caps w:val="0"/>
          <w:smallCaps w:val="0"/>
          <w:noProof w:val="0"/>
          <w:color w:val="auto"/>
          <w:sz w:val="32"/>
          <w:szCs w:val="32"/>
          <w:lang w:val="en-US"/>
        </w:rPr>
      </w:pPr>
      <w:r w:rsidRPr="594D4DF4" w:rsidR="598F7A44">
        <w:rPr>
          <w:rFonts w:ascii="Times New Roman" w:hAnsi="Times New Roman" w:eastAsia="Times New Roman" w:cs="Times New Roman"/>
          <w:b w:val="1"/>
          <w:bCs w:val="1"/>
          <w:i w:val="0"/>
          <w:iCs w:val="0"/>
          <w:caps w:val="0"/>
          <w:smallCaps w:val="0"/>
          <w:noProof w:val="0"/>
          <w:color w:val="auto"/>
          <w:sz w:val="32"/>
          <w:szCs w:val="32"/>
          <w:lang w:val="en-US"/>
        </w:rPr>
        <w:t>Name:</w:t>
      </w:r>
      <w:r w:rsidRPr="594D4DF4" w:rsidR="598F7A44">
        <w:rPr>
          <w:rFonts w:ascii="Times New Roman" w:hAnsi="Times New Roman" w:eastAsia="Times New Roman" w:cs="Times New Roman"/>
          <w:b w:val="0"/>
          <w:bCs w:val="0"/>
          <w:i w:val="0"/>
          <w:iCs w:val="0"/>
          <w:caps w:val="0"/>
          <w:smallCaps w:val="0"/>
          <w:noProof w:val="0"/>
          <w:color w:val="auto"/>
          <w:sz w:val="32"/>
          <w:szCs w:val="32"/>
          <w:lang w:val="en-US"/>
        </w:rPr>
        <w:t xml:space="preserve"> IVY OWUSU</w:t>
      </w:r>
    </w:p>
    <w:p w:rsidR="598F7A44" w:rsidP="594D4DF4" w:rsidRDefault="598F7A44" w14:paraId="034E9A4F" w14:textId="64F5F450">
      <w:pPr>
        <w:jc w:val="center"/>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pPr>
      <w:r w:rsidRPr="594D4DF4" w:rsidR="598F7A44">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 xml:space="preserve">Student ID: </w:t>
      </w:r>
    </w:p>
    <w:p w:rsidR="598F7A44" w:rsidP="594D4DF4" w:rsidRDefault="598F7A44" w14:paraId="7D0BB1FD" w14:textId="54C49E72">
      <w:pPr>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594D4DF4" w:rsidR="598F7A44">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Module Code:</w:t>
      </w:r>
      <w:r w:rsidRPr="594D4DF4" w:rsidR="598F7A44">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 LCHS400</w:t>
      </w:r>
      <w:r w:rsidRPr="594D4DF4" w:rsidR="602A9CC3">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7</w:t>
      </w:r>
      <w:r w:rsidRPr="594D4DF4" w:rsidR="598F7A44">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-BIRM</w:t>
      </w:r>
    </w:p>
    <w:p w:rsidR="598F7A44" w:rsidP="594D4DF4" w:rsidRDefault="598F7A44" w14:paraId="604A348D" w14:textId="5C1FA48F">
      <w:pPr>
        <w:spacing w:before="120" w:after="120"/>
        <w:jc w:val="center"/>
        <w:rPr>
          <w:rFonts w:ascii="Times New Roman" w:hAnsi="Times New Roman" w:eastAsia="Times New Roman" w:cs="Times New Roman"/>
          <w:noProof w:val="0"/>
          <w:sz w:val="32"/>
          <w:szCs w:val="32"/>
          <w:lang w:val="en-US"/>
        </w:rPr>
      </w:pPr>
      <w:r w:rsidRPr="594D4DF4" w:rsidR="598F7A44">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Module:</w:t>
      </w:r>
      <w:r w:rsidRPr="594D4DF4" w:rsidR="598F7A44">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 </w:t>
      </w:r>
      <w:r w:rsidRPr="594D4DF4" w:rsidR="555E594C">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t>DIGITAL SKILLS AND RESEARCH METHODS</w:t>
      </w:r>
    </w:p>
    <w:p w:rsidR="598F7A44" w:rsidP="447E551E" w:rsidRDefault="598F7A44" w14:paraId="37EF9C4C" w14:textId="7991F3E0">
      <w:pPr>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447E551E" w:rsidR="598F7A44">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Lecturer:</w:t>
      </w:r>
      <w:r w:rsidRPr="447E551E" w:rsidR="598F7A44">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 </w:t>
      </w:r>
      <w:r w:rsidRPr="447E551E" w:rsidR="631A1FF1">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BIANCA DODGEN</w:t>
      </w:r>
    </w:p>
    <w:p w:rsidR="594D4DF4" w:rsidP="594D4DF4" w:rsidRDefault="594D4DF4" w14:paraId="6DB6E0E6" w14:textId="3C5F6AFC">
      <w:pPr>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pPr>
    </w:p>
    <w:p w:rsidR="598F7A44" w:rsidP="594D4DF4" w:rsidRDefault="598F7A44" w14:paraId="03FC1D7C" w14:textId="7C8643ED">
      <w:pPr>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pPr>
      <w:r w:rsidRPr="594D4DF4" w:rsidR="598F7A44">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US"/>
        </w:rPr>
        <w:t>Title:</w:t>
      </w:r>
    </w:p>
    <w:p w:rsidRPr="00021878" w:rsidR="000E7A9F" w:rsidP="00410322" w:rsidRDefault="00C050AE" w14:paraId="34238669" w14:textId="59660923">
      <w:pPr>
        <w:spacing w:after="0"/>
        <w:jc w:val="center"/>
        <w:rPr>
          <w:rFonts w:ascii="Times New Roman" w:hAnsi="Times New Roman" w:cs="Times New Roman"/>
          <w:color w:val="000000" w:themeColor="text1"/>
          <w:sz w:val="32"/>
          <w:szCs w:val="32"/>
        </w:rPr>
      </w:pPr>
      <w:r w:rsidRPr="594D4DF4" w:rsidR="00C050AE">
        <w:rPr>
          <w:rFonts w:ascii="Times New Roman" w:hAnsi="Times New Roman" w:cs="Times New Roman"/>
          <w:b w:val="1"/>
          <w:bCs w:val="1"/>
          <w:color w:val="000000" w:themeColor="text1" w:themeTint="FF" w:themeShade="FF"/>
          <w:sz w:val="32"/>
          <w:szCs w:val="32"/>
        </w:rPr>
        <w:t>RESEARCH LITERACY: LEARNING HOW TO READ A RESEARCH PAPER</w:t>
      </w:r>
      <w:r w:rsidRPr="594D4DF4" w:rsidR="29752252">
        <w:rPr>
          <w:rFonts w:ascii="Times New Roman" w:hAnsi="Times New Roman" w:cs="Times New Roman"/>
          <w:b w:val="1"/>
          <w:bCs w:val="1"/>
          <w:color w:val="000000" w:themeColor="text1" w:themeTint="FF" w:themeShade="FF"/>
          <w:sz w:val="32"/>
          <w:szCs w:val="32"/>
        </w:rPr>
        <w:t>.</w:t>
      </w:r>
    </w:p>
    <w:p w:rsidR="594D4DF4" w:rsidP="594D4DF4" w:rsidRDefault="594D4DF4" w14:paraId="322E005B" w14:textId="0A683847">
      <w:pPr>
        <w:spacing w:after="0"/>
        <w:jc w:val="both"/>
        <w:rPr>
          <w:rFonts w:ascii="Times New Roman" w:hAnsi="Times New Roman" w:cs="Times New Roman"/>
          <w:b w:val="1"/>
          <w:bCs w:val="1"/>
          <w:color w:val="000000" w:themeColor="text1" w:themeTint="FF" w:themeShade="FF"/>
          <w:sz w:val="24"/>
          <w:szCs w:val="24"/>
        </w:rPr>
      </w:pPr>
    </w:p>
    <w:p w:rsidR="594D4DF4" w:rsidP="594D4DF4" w:rsidRDefault="594D4DF4" w14:paraId="2EB80216" w14:textId="63F24394">
      <w:pPr>
        <w:spacing w:after="0"/>
        <w:jc w:val="both"/>
        <w:rPr>
          <w:rFonts w:ascii="Times New Roman" w:hAnsi="Times New Roman" w:cs="Times New Roman"/>
          <w:b w:val="1"/>
          <w:bCs w:val="1"/>
          <w:color w:val="000000" w:themeColor="text1" w:themeTint="FF" w:themeShade="FF"/>
          <w:sz w:val="24"/>
          <w:szCs w:val="24"/>
        </w:rPr>
      </w:pPr>
    </w:p>
    <w:p w:rsidR="594D4DF4" w:rsidP="594D4DF4" w:rsidRDefault="594D4DF4" w14:paraId="3C6963A6" w14:textId="613E257D">
      <w:pPr>
        <w:spacing w:after="0"/>
        <w:jc w:val="both"/>
        <w:rPr>
          <w:rFonts w:ascii="Times New Roman" w:hAnsi="Times New Roman" w:cs="Times New Roman"/>
          <w:b w:val="1"/>
          <w:bCs w:val="1"/>
          <w:color w:val="000000" w:themeColor="text1" w:themeTint="FF" w:themeShade="FF"/>
          <w:sz w:val="24"/>
          <w:szCs w:val="24"/>
        </w:rPr>
      </w:pPr>
    </w:p>
    <w:p w:rsidR="594D4DF4" w:rsidP="594D4DF4" w:rsidRDefault="594D4DF4" w14:paraId="3E5289CF" w14:textId="303E6A5E">
      <w:pPr>
        <w:pStyle w:val="Normal"/>
        <w:spacing w:after="0"/>
        <w:jc w:val="both"/>
        <w:rPr>
          <w:rFonts w:ascii="Times New Roman" w:hAnsi="Times New Roman" w:cs="Times New Roman"/>
          <w:b w:val="1"/>
          <w:bCs w:val="1"/>
          <w:color w:val="000000" w:themeColor="text1" w:themeTint="FF" w:themeShade="FF"/>
          <w:sz w:val="24"/>
          <w:szCs w:val="24"/>
        </w:rPr>
      </w:pPr>
    </w:p>
    <w:p w:rsidR="594D4DF4" w:rsidP="594D4DF4" w:rsidRDefault="594D4DF4" w14:paraId="75B50A8B" w14:textId="5583D9E7">
      <w:pPr>
        <w:pStyle w:val="Normal"/>
        <w:spacing w:after="0"/>
        <w:jc w:val="both"/>
        <w:rPr>
          <w:rFonts w:ascii="Times New Roman" w:hAnsi="Times New Roman" w:cs="Times New Roman"/>
          <w:b w:val="1"/>
          <w:bCs w:val="1"/>
          <w:color w:val="000000" w:themeColor="text1" w:themeTint="FF" w:themeShade="FF"/>
          <w:sz w:val="24"/>
          <w:szCs w:val="24"/>
        </w:rPr>
      </w:pPr>
    </w:p>
    <w:p w:rsidR="594D4DF4" w:rsidP="594D4DF4" w:rsidRDefault="594D4DF4" w14:paraId="71C90705" w14:textId="15E8EE38">
      <w:pPr>
        <w:pStyle w:val="Normal"/>
        <w:spacing w:after="0"/>
        <w:jc w:val="both"/>
        <w:rPr>
          <w:rFonts w:ascii="Times New Roman" w:hAnsi="Times New Roman" w:cs="Times New Roman"/>
          <w:b w:val="1"/>
          <w:bCs w:val="1"/>
          <w:color w:val="000000" w:themeColor="text1" w:themeTint="FF" w:themeShade="FF"/>
          <w:sz w:val="24"/>
          <w:szCs w:val="24"/>
        </w:rPr>
      </w:pPr>
    </w:p>
    <w:p w:rsidR="594D4DF4" w:rsidP="594D4DF4" w:rsidRDefault="594D4DF4" w14:paraId="38773B44" w14:textId="416DE5A1">
      <w:pPr>
        <w:pStyle w:val="Normal"/>
        <w:spacing w:after="0"/>
        <w:jc w:val="both"/>
        <w:rPr>
          <w:rFonts w:ascii="Times New Roman" w:hAnsi="Times New Roman" w:cs="Times New Roman"/>
          <w:b w:val="1"/>
          <w:bCs w:val="1"/>
          <w:color w:val="000000" w:themeColor="text1" w:themeTint="FF" w:themeShade="FF"/>
          <w:sz w:val="24"/>
          <w:szCs w:val="24"/>
        </w:rPr>
      </w:pPr>
    </w:p>
    <w:p w:rsidRPr="00410322" w:rsidR="000E7A9F" w:rsidP="000F5A58" w:rsidRDefault="00C050AE" w14:paraId="72A81C0E" w14:textId="49B2A1A5">
      <w:pPr>
        <w:spacing w:after="0"/>
        <w:jc w:val="both"/>
        <w:rPr>
          <w:rFonts w:ascii="Times New Roman" w:hAnsi="Times New Roman" w:cs="Times New Roman"/>
          <w:color w:val="000000" w:themeColor="text1"/>
          <w:sz w:val="24"/>
          <w:szCs w:val="24"/>
        </w:rPr>
      </w:pPr>
      <w:r w:rsidRPr="594D4DF4" w:rsidR="00C050AE">
        <w:rPr>
          <w:rFonts w:ascii="Times New Roman" w:hAnsi="Times New Roman" w:cs="Times New Roman"/>
          <w:b w:val="1"/>
          <w:bCs w:val="1"/>
          <w:color w:val="000000" w:themeColor="text1" w:themeTint="FF" w:themeShade="FF"/>
          <w:sz w:val="24"/>
          <w:szCs w:val="24"/>
        </w:rPr>
        <w:t>SECTION 1</w:t>
      </w:r>
      <w:r w:rsidRPr="594D4DF4" w:rsidR="00C050AE">
        <w:rPr>
          <w:rFonts w:ascii="Times New Roman" w:hAnsi="Times New Roman" w:cs="Times New Roman"/>
          <w:b w:val="1"/>
          <w:bCs w:val="1"/>
          <w:color w:val="000000" w:themeColor="text1" w:themeTint="FF" w:themeShade="FF"/>
          <w:sz w:val="24"/>
          <w:szCs w:val="24"/>
        </w:rPr>
        <w:t xml:space="preserve">: Introducing the Research Paper and Topic Development </w:t>
      </w:r>
    </w:p>
    <w:p w:rsidRPr="00410322" w:rsidR="000E7A9F" w:rsidP="000F5A58" w:rsidRDefault="00C050AE" w14:paraId="36492F69" w14:textId="77777777">
      <w:pPr>
        <w:spacing w:after="0"/>
        <w:jc w:val="both"/>
        <w:rPr>
          <w:rFonts w:ascii="Times New Roman" w:hAnsi="Times New Roman" w:cs="Times New Roman"/>
          <w:color w:val="000000" w:themeColor="text1"/>
          <w:sz w:val="24"/>
          <w:szCs w:val="24"/>
        </w:rPr>
      </w:pPr>
      <w:r w:rsidRPr="00410322">
        <w:rPr>
          <w:rFonts w:ascii="Times New Roman" w:hAnsi="Times New Roman" w:cs="Times New Roman"/>
          <w:color w:val="000000" w:themeColor="text1"/>
          <w:sz w:val="24"/>
          <w:szCs w:val="24"/>
        </w:rPr>
        <w:t>The selected article is “A cross-sectional study of discipline-based self-perceived digital literacy competencies of nursing students” by Konstantina Martzoukou, Errol Sadullah Luders, Jane Mair, Petros Kostagiolas, Neil Johnson, Fiona Work and Crystal Fulton. Although the article was accepted and made available in 2023, it appeared in volume 80 of the Journal of Advanced Nursing in 2024 (Martzoukou et al., 2024).  Its central concern was whether students possessed the digital competencies needed for univer</w:t>
      </w:r>
      <w:r w:rsidRPr="00410322">
        <w:rPr>
          <w:rFonts w:ascii="Times New Roman" w:hAnsi="Times New Roman" w:cs="Times New Roman"/>
          <w:color w:val="000000" w:themeColor="text1"/>
          <w:sz w:val="24"/>
          <w:szCs w:val="24"/>
        </w:rPr>
        <w:t>sity study and future professional practice.</w:t>
      </w:r>
    </w:p>
    <w:p w:rsidRPr="00410322" w:rsidR="000E7A9F" w:rsidP="000F5A58" w:rsidRDefault="00C050AE" w14:paraId="30AC9F65" w14:textId="77777777">
      <w:pPr>
        <w:spacing w:after="0"/>
        <w:jc w:val="both"/>
        <w:rPr>
          <w:rFonts w:ascii="Times New Roman" w:hAnsi="Times New Roman" w:cs="Times New Roman"/>
          <w:color w:val="000000" w:themeColor="text1"/>
          <w:sz w:val="24"/>
          <w:szCs w:val="24"/>
        </w:rPr>
      </w:pPr>
      <w:r w:rsidRPr="00410322">
        <w:rPr>
          <w:rFonts w:ascii="Times New Roman" w:hAnsi="Times New Roman" w:cs="Times New Roman"/>
          <w:color w:val="000000" w:themeColor="text1"/>
          <w:sz w:val="24"/>
          <w:szCs w:val="24"/>
        </w:rPr>
        <w:t>The topic developed from rapid changes in healthcare, higher education and professional expectations, especially today, primarily. Digital technology is now used in electronic records, online consultations, clinical communication, education, research and service improvement. The Royal College of Nursing argued that every nurse should be able to use data, information and technology effectively rather than treating digital work as a specialist responsibility (Royal College of Nursing, 2018). The COVID-19 pand</w:t>
      </w:r>
      <w:r w:rsidRPr="00410322">
        <w:rPr>
          <w:rFonts w:ascii="Times New Roman" w:hAnsi="Times New Roman" w:cs="Times New Roman"/>
          <w:color w:val="000000" w:themeColor="text1"/>
          <w:sz w:val="24"/>
          <w:szCs w:val="24"/>
        </w:rPr>
        <w:t>emic intensified this need because students and practitioners had to adapt quickly to online learning, remote communication and technology-enabled care. However, familiarity with smartphones or social media does not automatically demonstrate the ability to evaluate clinical evidence, protect confidentiality, use professional databases or communicate safely online.</w:t>
      </w:r>
    </w:p>
    <w:p w:rsidRPr="00410322" w:rsidR="000E7A9F" w:rsidP="000F5A58" w:rsidRDefault="00C050AE" w14:paraId="696BADC5" w14:textId="77777777">
      <w:pPr>
        <w:spacing w:after="0"/>
        <w:jc w:val="both"/>
        <w:rPr>
          <w:rFonts w:ascii="Times New Roman" w:hAnsi="Times New Roman" w:cs="Times New Roman"/>
          <w:color w:val="000000" w:themeColor="text1"/>
          <w:sz w:val="24"/>
          <w:szCs w:val="24"/>
        </w:rPr>
      </w:pPr>
      <w:r w:rsidRPr="00410322">
        <w:rPr>
          <w:rFonts w:ascii="Times New Roman" w:hAnsi="Times New Roman" w:cs="Times New Roman"/>
          <w:color w:val="000000" w:themeColor="text1"/>
          <w:sz w:val="24"/>
          <w:szCs w:val="24"/>
        </w:rPr>
        <w:t>Martzoukou et al. (2024) therefore explored several dimensions of digital literacy, including information and communication technology proficiency, information literacy, digital creation, research, communication, innovation, identity management and wellbeing. The study was particularly concerned with discipline-specific competence rather than general computer use. Participants included students on pre-registration and post-registration programmes, most of whom were studying nursing. This population is impor</w:t>
      </w:r>
      <w:r w:rsidRPr="00410322">
        <w:rPr>
          <w:rFonts w:ascii="Times New Roman" w:hAnsi="Times New Roman" w:cs="Times New Roman"/>
          <w:color w:val="000000" w:themeColor="text1"/>
          <w:sz w:val="24"/>
          <w:szCs w:val="24"/>
        </w:rPr>
        <w:t>tant because students are future members of the health and social care workforce.</w:t>
      </w:r>
    </w:p>
    <w:p w:rsidRPr="00410322" w:rsidR="000E7A9F" w:rsidP="000F5A58" w:rsidRDefault="00C050AE" w14:paraId="62F654BA" w14:textId="77777777">
      <w:pPr>
        <w:spacing w:after="0"/>
        <w:jc w:val="both"/>
        <w:rPr>
          <w:rFonts w:ascii="Times New Roman" w:hAnsi="Times New Roman" w:cs="Times New Roman"/>
          <w:color w:val="000000" w:themeColor="text1"/>
          <w:sz w:val="24"/>
          <w:szCs w:val="24"/>
        </w:rPr>
      </w:pPr>
      <w:r w:rsidRPr="00410322">
        <w:rPr>
          <w:rFonts w:ascii="Times New Roman" w:hAnsi="Times New Roman" w:cs="Times New Roman"/>
          <w:color w:val="000000" w:themeColor="text1"/>
          <w:sz w:val="24"/>
          <w:szCs w:val="24"/>
        </w:rPr>
        <w:t>The topic has direct significance for UK practice. The Nursing and Midwifery Council requires registered nurses to use evidence, communicate appropriately, preserve confidentiality and maintain professional standards across digital environments (NMC, 2018). Weak information or research literacy could limit a nurse’s ability to find reliable evidence, challenge misinformation and make safe decisions. Identifying gaps during education allows universities to provide tailored teaching before students enter incr</w:t>
      </w:r>
      <w:r w:rsidRPr="00410322">
        <w:rPr>
          <w:rFonts w:ascii="Times New Roman" w:hAnsi="Times New Roman" w:cs="Times New Roman"/>
          <w:color w:val="000000" w:themeColor="text1"/>
          <w:sz w:val="24"/>
          <w:szCs w:val="24"/>
        </w:rPr>
        <w:t>easingly digital clinical settings. The paper therefore connects curriculum design with workforce readiness, evidence-based practice, patient safety and the quality of care.</w:t>
      </w:r>
    </w:p>
    <w:p w:rsidRPr="00410322" w:rsidR="000E7A9F" w:rsidP="000F5A58" w:rsidRDefault="00C050AE" w14:paraId="1F1D4E92" w14:textId="6E596B92">
      <w:pPr>
        <w:spacing w:after="0"/>
        <w:jc w:val="both"/>
        <w:rPr>
          <w:rFonts w:ascii="Times New Roman" w:hAnsi="Times New Roman" w:cs="Times New Roman"/>
          <w:color w:val="000000" w:themeColor="text1"/>
          <w:sz w:val="24"/>
          <w:szCs w:val="24"/>
        </w:rPr>
      </w:pPr>
      <w:r w:rsidRPr="594D4DF4" w:rsidR="00C050AE">
        <w:rPr>
          <w:rFonts w:ascii="Times New Roman" w:hAnsi="Times New Roman" w:cs="Times New Roman"/>
          <w:b w:val="1"/>
          <w:bCs w:val="1"/>
          <w:color w:val="000000" w:themeColor="text1" w:themeTint="FF" w:themeShade="FF"/>
          <w:sz w:val="24"/>
          <w:szCs w:val="24"/>
        </w:rPr>
        <w:t>SECTION 2:</w:t>
      </w:r>
      <w:r w:rsidRPr="594D4DF4" w:rsidR="00C050AE">
        <w:rPr>
          <w:rFonts w:ascii="Times New Roman" w:hAnsi="Times New Roman" w:cs="Times New Roman"/>
          <w:b w:val="1"/>
          <w:bCs w:val="1"/>
          <w:color w:val="000000" w:themeColor="text1" w:themeTint="FF" w:themeShade="FF"/>
          <w:sz w:val="24"/>
          <w:szCs w:val="24"/>
        </w:rPr>
        <w:t xml:space="preserve"> Understanding the Purpose and Research Question</w:t>
      </w:r>
      <w:r w:rsidRPr="594D4DF4" w:rsidR="009254E9">
        <w:rPr>
          <w:rFonts w:ascii="Times New Roman" w:hAnsi="Times New Roman" w:cs="Times New Roman"/>
          <w:b w:val="1"/>
          <w:bCs w:val="1"/>
          <w:color w:val="000000" w:themeColor="text1" w:themeTint="FF" w:themeShade="FF"/>
          <w:sz w:val="24"/>
          <w:szCs w:val="24"/>
        </w:rPr>
        <w:t>.</w:t>
      </w:r>
    </w:p>
    <w:p w:rsidRPr="00410322" w:rsidR="000E7A9F" w:rsidP="000F5A58" w:rsidRDefault="00C050AE" w14:paraId="425BF933" w14:textId="77777777">
      <w:pPr>
        <w:spacing w:after="0"/>
        <w:jc w:val="both"/>
        <w:rPr>
          <w:rFonts w:ascii="Times New Roman" w:hAnsi="Times New Roman" w:cs="Times New Roman"/>
          <w:color w:val="000000" w:themeColor="text1"/>
          <w:sz w:val="24"/>
          <w:szCs w:val="24"/>
        </w:rPr>
      </w:pPr>
      <w:r w:rsidRPr="00410322">
        <w:rPr>
          <w:rFonts w:ascii="Times New Roman" w:hAnsi="Times New Roman" w:cs="Times New Roman"/>
          <w:color w:val="000000" w:themeColor="text1"/>
          <w:sz w:val="24"/>
          <w:szCs w:val="24"/>
        </w:rPr>
        <w:t>The study aimed to adapt an existing digital-competence questionnaire for nursing-related disciplines and use it to investigate students’ self-perceived abilities. It sought to identify areas of strength and weakness, examine whether competence differed by age, and compare students on pre-registration and post-registration courses. The authors proposed two hypotheses: perceived digital competence would be associated with generational age group, and it would also be associated with course type. The paper rep</w:t>
      </w:r>
      <w:r w:rsidRPr="00410322">
        <w:rPr>
          <w:rFonts w:ascii="Times New Roman" w:hAnsi="Times New Roman" w:cs="Times New Roman"/>
          <w:color w:val="000000" w:themeColor="text1"/>
          <w:sz w:val="24"/>
          <w:szCs w:val="24"/>
        </w:rPr>
        <w:t>orted mainly the survey-based objectives of a wider institutional project and used the findings to inform discipline-specific education and support (Martzoukou et al., 2024). These objectives directed the selected research design.</w:t>
      </w:r>
    </w:p>
    <w:p w:rsidR="009254E9" w:rsidP="000F5A58" w:rsidRDefault="009254E9" w14:paraId="56367A42" w14:textId="77777777">
      <w:pPr>
        <w:spacing w:after="0"/>
        <w:jc w:val="both"/>
        <w:rPr>
          <w:rFonts w:ascii="Times New Roman" w:hAnsi="Times New Roman" w:cs="Times New Roman"/>
          <w:b/>
          <w:color w:val="000000" w:themeColor="text1"/>
          <w:sz w:val="24"/>
          <w:szCs w:val="24"/>
        </w:rPr>
      </w:pPr>
    </w:p>
    <w:p w:rsidRPr="00410322" w:rsidR="000E7A9F" w:rsidP="000F5A58" w:rsidRDefault="00C050AE" w14:paraId="5D740247" w14:textId="08EF0F9C">
      <w:pPr>
        <w:spacing w:after="0"/>
        <w:jc w:val="both"/>
        <w:rPr>
          <w:rFonts w:ascii="Times New Roman" w:hAnsi="Times New Roman" w:cs="Times New Roman"/>
          <w:color w:val="000000" w:themeColor="text1"/>
          <w:sz w:val="24"/>
          <w:szCs w:val="24"/>
        </w:rPr>
      </w:pPr>
      <w:r w:rsidRPr="594D4DF4" w:rsidR="00C050AE">
        <w:rPr>
          <w:rFonts w:ascii="Times New Roman" w:hAnsi="Times New Roman" w:cs="Times New Roman"/>
          <w:b w:val="1"/>
          <w:bCs w:val="1"/>
          <w:color w:val="000000" w:themeColor="text1" w:themeTint="FF" w:themeShade="FF"/>
          <w:sz w:val="24"/>
          <w:szCs w:val="24"/>
        </w:rPr>
        <w:t>SECTION 3:</w:t>
      </w:r>
      <w:r w:rsidRPr="594D4DF4" w:rsidR="00C050AE">
        <w:rPr>
          <w:rFonts w:ascii="Times New Roman" w:hAnsi="Times New Roman" w:cs="Times New Roman"/>
          <w:b w:val="1"/>
          <w:bCs w:val="1"/>
          <w:color w:val="000000" w:themeColor="text1" w:themeTint="FF" w:themeShade="FF"/>
          <w:sz w:val="24"/>
          <w:szCs w:val="24"/>
        </w:rPr>
        <w:t xml:space="preserve"> Understanding the Research Methods</w:t>
      </w:r>
    </w:p>
    <w:p w:rsidRPr="00410322" w:rsidR="000E7A9F" w:rsidP="000F5A58" w:rsidRDefault="00C050AE" w14:paraId="46883516" w14:textId="77777777">
      <w:pPr>
        <w:spacing w:after="0"/>
        <w:jc w:val="both"/>
        <w:rPr>
          <w:rFonts w:ascii="Times New Roman" w:hAnsi="Times New Roman" w:cs="Times New Roman"/>
          <w:color w:val="000000" w:themeColor="text1"/>
          <w:sz w:val="24"/>
          <w:szCs w:val="24"/>
        </w:rPr>
      </w:pPr>
      <w:r w:rsidRPr="00410322">
        <w:rPr>
          <w:rFonts w:ascii="Times New Roman" w:hAnsi="Times New Roman" w:cs="Times New Roman"/>
          <w:color w:val="000000" w:themeColor="text1"/>
          <w:sz w:val="24"/>
          <w:szCs w:val="24"/>
        </w:rPr>
        <w:t>Quantitative research collects numerical information and uses statistical procedures to describe patterns, compare groups or test relationships. It is useful when researchers need structured measurement and results that can be summarised objectively. Qualitative research, by contrast, examines meanings, experiences and perspectives through words, commonly gathered through interviews, focus groups, observations or open responses. Mixed-methods research deliberately combines quantitative and qualitative evide</w:t>
      </w:r>
      <w:r w:rsidRPr="00410322">
        <w:rPr>
          <w:rFonts w:ascii="Times New Roman" w:hAnsi="Times New Roman" w:cs="Times New Roman"/>
          <w:color w:val="000000" w:themeColor="text1"/>
          <w:sz w:val="24"/>
          <w:szCs w:val="24"/>
        </w:rPr>
        <w:t>nce so that numerical trends can be examined alongside contextual explanation (Creswell &amp; Creswell, 2023). These approaches answer different kinds of questions and should be selected according to the purpose of the study.</w:t>
      </w:r>
    </w:p>
    <w:p w:rsidRPr="00410322" w:rsidR="000E7A9F" w:rsidP="000F5A58" w:rsidRDefault="00C050AE" w14:paraId="726957EB" w14:textId="77777777">
      <w:pPr>
        <w:spacing w:after="0"/>
        <w:jc w:val="both"/>
        <w:rPr>
          <w:rFonts w:ascii="Times New Roman" w:hAnsi="Times New Roman" w:cs="Times New Roman"/>
          <w:color w:val="000000" w:themeColor="text1"/>
          <w:sz w:val="24"/>
          <w:szCs w:val="24"/>
        </w:rPr>
      </w:pPr>
      <w:r w:rsidRPr="00410322">
        <w:rPr>
          <w:rFonts w:ascii="Times New Roman" w:hAnsi="Times New Roman" w:cs="Times New Roman"/>
          <w:color w:val="000000" w:themeColor="text1"/>
          <w:sz w:val="24"/>
          <w:szCs w:val="24"/>
        </w:rPr>
        <w:t>Martzoukou et al. (2024) described their work as a cross-sectional quantitative study. A cross-sectional design collects data from a defined population during a limited period rather than following participants over time. This was appropriate because the researchers wanted a snapshot of perceived competence and group differences during November and December 2021. The design cannot demonstrate how students’ abilities developed over time or establish cause and effect, but it can efficiently describe the exist</w:t>
      </w:r>
      <w:r w:rsidRPr="00410322">
        <w:rPr>
          <w:rFonts w:ascii="Times New Roman" w:hAnsi="Times New Roman" w:cs="Times New Roman"/>
          <w:color w:val="000000" w:themeColor="text1"/>
          <w:sz w:val="24"/>
          <w:szCs w:val="24"/>
        </w:rPr>
        <w:t>ing situation and highlight priorities for further investigation.</w:t>
      </w:r>
    </w:p>
    <w:p w:rsidRPr="00410322" w:rsidR="000E7A9F" w:rsidP="000F5A58" w:rsidRDefault="00C050AE" w14:paraId="4E5EC4C9" w14:textId="77777777">
      <w:pPr>
        <w:spacing w:after="0"/>
        <w:jc w:val="both"/>
        <w:rPr>
          <w:rFonts w:ascii="Times New Roman" w:hAnsi="Times New Roman" w:cs="Times New Roman"/>
          <w:color w:val="000000" w:themeColor="text1"/>
          <w:sz w:val="24"/>
          <w:szCs w:val="24"/>
        </w:rPr>
      </w:pPr>
      <w:r w:rsidRPr="00410322">
        <w:rPr>
          <w:rFonts w:ascii="Times New Roman" w:hAnsi="Times New Roman" w:cs="Times New Roman"/>
          <w:color w:val="000000" w:themeColor="text1"/>
          <w:sz w:val="24"/>
          <w:szCs w:val="24"/>
        </w:rPr>
        <w:t>The project had two phases. First, five academic staff members and one nursing student helped adapt an earlier general digital-literacy survey. Their disciplinary knowledge ensured that the questions included relevant activities, such as searching CINAHL or Medline, using critical-appraisal tools, creating digital materials, following professional guidance and using health-related applications. Second, the revised questionnaire was distributed electronically to students in a School of Nursing, Midwifery and</w:t>
      </w:r>
      <w:r w:rsidRPr="00410322">
        <w:rPr>
          <w:rFonts w:ascii="Times New Roman" w:hAnsi="Times New Roman" w:cs="Times New Roman"/>
          <w:color w:val="000000" w:themeColor="text1"/>
          <w:sz w:val="24"/>
          <w:szCs w:val="24"/>
        </w:rPr>
        <w:t xml:space="preserve"> Paramedic Practice.</w:t>
      </w:r>
    </w:p>
    <w:p w:rsidRPr="00410322" w:rsidR="000E7A9F" w:rsidP="000F5A58" w:rsidRDefault="00C050AE" w14:paraId="24B03AF2" w14:textId="77777777">
      <w:pPr>
        <w:spacing w:after="0"/>
        <w:jc w:val="both"/>
        <w:rPr>
          <w:rFonts w:ascii="Times New Roman" w:hAnsi="Times New Roman" w:cs="Times New Roman"/>
          <w:color w:val="000000" w:themeColor="text1"/>
          <w:sz w:val="24"/>
          <w:szCs w:val="24"/>
        </w:rPr>
      </w:pPr>
      <w:r w:rsidRPr="00410322">
        <w:rPr>
          <w:rFonts w:ascii="Times New Roman" w:hAnsi="Times New Roman" w:cs="Times New Roman"/>
          <w:color w:val="000000" w:themeColor="text1"/>
          <w:sz w:val="24"/>
          <w:szCs w:val="24"/>
        </w:rPr>
        <w:lastRenderedPageBreak/>
        <w:t>Primary data are collected directly for the current research question, whereas secondary data already exist because they were originally produced for another purpose, for example government statistics, clinical records or published datasets (Polit &amp; Beck, 2021). This study used primary data because students completed a questionnaire designed specifically for the project. Published frameworks and earlier studies informed the instrument, but these sources supported its development rather than replacing direct</w:t>
      </w:r>
      <w:r w:rsidRPr="00410322">
        <w:rPr>
          <w:rFonts w:ascii="Times New Roman" w:hAnsi="Times New Roman" w:cs="Times New Roman"/>
          <w:color w:val="000000" w:themeColor="text1"/>
          <w:sz w:val="24"/>
          <w:szCs w:val="24"/>
        </w:rPr>
        <w:t xml:space="preserve"> participant data.</w:t>
      </w:r>
    </w:p>
    <w:p w:rsidRPr="00410322" w:rsidR="000E7A9F" w:rsidP="000F5A58" w:rsidRDefault="00C050AE" w14:paraId="17D22D49" w14:textId="77777777">
      <w:pPr>
        <w:spacing w:after="0"/>
        <w:jc w:val="both"/>
        <w:rPr>
          <w:rFonts w:ascii="Times New Roman" w:hAnsi="Times New Roman" w:cs="Times New Roman"/>
          <w:color w:val="000000" w:themeColor="text1"/>
          <w:sz w:val="24"/>
          <w:szCs w:val="24"/>
        </w:rPr>
      </w:pPr>
      <w:r w:rsidRPr="00410322">
        <w:rPr>
          <w:rFonts w:ascii="Times New Roman" w:hAnsi="Times New Roman" w:cs="Times New Roman"/>
          <w:color w:val="000000" w:themeColor="text1"/>
          <w:sz w:val="24"/>
          <w:szCs w:val="24"/>
        </w:rPr>
        <w:t>The researchers used total-population sampling by inviting approximately 1,200 eligible students through university email. Participation was voluntary, and 182 students responded, producing a response rate of about 15%. Most respondents were female, undergraduate, first-year and enrolled on pre-registration nursing programmes. Total-population invitations increased the opportunity for participation; however, voluntary self-selection may have attracted students who were more interested in technology. The low</w:t>
      </w:r>
      <w:r w:rsidRPr="00410322">
        <w:rPr>
          <w:rFonts w:ascii="Times New Roman" w:hAnsi="Times New Roman" w:cs="Times New Roman"/>
          <w:color w:val="000000" w:themeColor="text1"/>
          <w:sz w:val="24"/>
          <w:szCs w:val="24"/>
        </w:rPr>
        <w:t xml:space="preserve"> response rate and single-institution setting reduce confidence that the findings represent all UK nursing students. Midwifery and paramedic students were also underrepresented.</w:t>
      </w:r>
    </w:p>
    <w:p w:rsidRPr="00410322" w:rsidR="000E7A9F" w:rsidP="000F5A58" w:rsidRDefault="00C050AE" w14:paraId="751FF50D" w14:textId="77777777">
      <w:pPr>
        <w:spacing w:after="0"/>
        <w:jc w:val="both"/>
        <w:rPr>
          <w:rFonts w:ascii="Times New Roman" w:hAnsi="Times New Roman" w:cs="Times New Roman"/>
          <w:color w:val="000000" w:themeColor="text1"/>
          <w:sz w:val="24"/>
          <w:szCs w:val="24"/>
        </w:rPr>
      </w:pPr>
      <w:r w:rsidRPr="00410322">
        <w:rPr>
          <w:rFonts w:ascii="Times New Roman" w:hAnsi="Times New Roman" w:cs="Times New Roman"/>
          <w:color w:val="000000" w:themeColor="text1"/>
          <w:sz w:val="24"/>
          <w:szCs w:val="24"/>
        </w:rPr>
        <w:t>The questionnaire contained demographic questions and multiple digital-competence dimensions. Responses were recorded on a five-point Likert scale from novice to expert. Likert data provided an organised method of comparing perceived ability, although self-assessment is not the same as an objective demonstration of skill. Some participants may underestimate themselves, while others may report greater competence than they could show in practice. Future research could strengthen the evidence by combining self</w:t>
      </w:r>
      <w:r w:rsidRPr="00410322">
        <w:rPr>
          <w:rFonts w:ascii="Times New Roman" w:hAnsi="Times New Roman" w:cs="Times New Roman"/>
          <w:color w:val="000000" w:themeColor="text1"/>
          <w:sz w:val="24"/>
          <w:szCs w:val="24"/>
        </w:rPr>
        <w:t>-ratings with observed tasks or practical assessments.</w:t>
      </w:r>
    </w:p>
    <w:p w:rsidRPr="00410322" w:rsidR="000E7A9F" w:rsidP="000F5A58" w:rsidRDefault="00C050AE" w14:paraId="6608E204" w14:textId="77777777">
      <w:pPr>
        <w:spacing w:after="0"/>
        <w:jc w:val="both"/>
        <w:rPr>
          <w:rFonts w:ascii="Times New Roman" w:hAnsi="Times New Roman" w:cs="Times New Roman"/>
          <w:color w:val="000000" w:themeColor="text1"/>
          <w:sz w:val="24"/>
          <w:szCs w:val="24"/>
        </w:rPr>
      </w:pPr>
      <w:r w:rsidRPr="00410322">
        <w:rPr>
          <w:rFonts w:ascii="Times New Roman" w:hAnsi="Times New Roman" w:cs="Times New Roman"/>
          <w:color w:val="000000" w:themeColor="text1"/>
          <w:sz w:val="24"/>
          <w:szCs w:val="24"/>
        </w:rPr>
        <w:t xml:space="preserve">Quantitative data were analysed using IBM SPSS Statistics version 28. Descriptive statistics, including frequencies, percentages, means, medians and modes, summarised participant characteristics and competence ratings. Cronbach’s alpha assessed the internal consistency of the questionnaire dimensions. Reported alpha values were generally high, supporting the reliability of the adapted scale. Normality tests indicated that the data were not normally distributed. The researchers therefore used Mann–Whitney U </w:t>
      </w:r>
      <w:r w:rsidRPr="00410322">
        <w:rPr>
          <w:rFonts w:ascii="Times New Roman" w:hAnsi="Times New Roman" w:cs="Times New Roman"/>
          <w:color w:val="000000" w:themeColor="text1"/>
          <w:sz w:val="24"/>
          <w:szCs w:val="24"/>
        </w:rPr>
        <w:t>tests for comparisons between two groups and Kruskal–Wallis tests for comparisons across age groups. These non-parametric tests were suitable for ordinal Likert data and did not require a normal distribution. A probability value below .05 was treated as statistically significant.</w:t>
      </w:r>
    </w:p>
    <w:p w:rsidRPr="00410322" w:rsidR="000E7A9F" w:rsidP="000F5A58" w:rsidRDefault="00C050AE" w14:paraId="7DD39BAD" w14:textId="77777777">
      <w:pPr>
        <w:spacing w:after="0"/>
        <w:jc w:val="both"/>
        <w:rPr>
          <w:rFonts w:ascii="Times New Roman" w:hAnsi="Times New Roman" w:cs="Times New Roman"/>
          <w:color w:val="000000" w:themeColor="text1"/>
          <w:sz w:val="24"/>
          <w:szCs w:val="24"/>
        </w:rPr>
      </w:pPr>
      <w:r w:rsidRPr="00410322">
        <w:rPr>
          <w:rFonts w:ascii="Times New Roman" w:hAnsi="Times New Roman" w:cs="Times New Roman"/>
          <w:color w:val="000000" w:themeColor="text1"/>
          <w:sz w:val="24"/>
          <w:szCs w:val="24"/>
        </w:rPr>
        <w:t xml:space="preserve">Although the dominant design was quantitative, the questionnaire included open-ended questions about how students learned digital skills, kept them updated and used them to overcome </w:t>
      </w:r>
      <w:r w:rsidRPr="00410322">
        <w:rPr>
          <w:rFonts w:ascii="Times New Roman" w:hAnsi="Times New Roman" w:cs="Times New Roman"/>
          <w:color w:val="000000" w:themeColor="text1"/>
          <w:sz w:val="24"/>
          <w:szCs w:val="24"/>
        </w:rPr>
        <w:lastRenderedPageBreak/>
        <w:t>academic challenges. These comments were coded manually using thematic analysis. They showed that many students relied on trial and error, repeated use, online tutorials, relatives, peers and workplace experience. This qualitative element provided context for the scores, but it did not constitute a fully integrated mixed-methods design because the quantitative strand remained dominant and the open responses were limited.</w:t>
      </w:r>
    </w:p>
    <w:p w:rsidRPr="00410322" w:rsidR="000E7A9F" w:rsidP="000F5A58" w:rsidRDefault="00C050AE" w14:paraId="3A082F17" w14:textId="77777777">
      <w:pPr>
        <w:spacing w:after="0"/>
        <w:jc w:val="both"/>
        <w:rPr>
          <w:rFonts w:ascii="Times New Roman" w:hAnsi="Times New Roman" w:cs="Times New Roman"/>
          <w:color w:val="000000" w:themeColor="text1"/>
          <w:sz w:val="24"/>
          <w:szCs w:val="24"/>
        </w:rPr>
      </w:pPr>
      <w:r w:rsidRPr="00410322">
        <w:rPr>
          <w:rFonts w:ascii="Times New Roman" w:hAnsi="Times New Roman" w:cs="Times New Roman"/>
          <w:color w:val="000000" w:themeColor="text1"/>
          <w:sz w:val="24"/>
          <w:szCs w:val="24"/>
        </w:rPr>
        <w:t>Ethical practice was clearly addressed. Institutional approval was obtained, the survey was anonymous, informed consent was provided online, and participants were told about confidentiality, withdrawal and data handling. A GDPR-approved survey platform was used. Because the project involved students rather than NHS patients or staff, external NHS approval was not required.</w:t>
      </w:r>
    </w:p>
    <w:p w:rsidRPr="00410322" w:rsidR="000E7A9F" w:rsidP="000F5A58" w:rsidRDefault="00C050AE" w14:paraId="670346C4" w14:textId="77777777">
      <w:pPr>
        <w:spacing w:after="0"/>
        <w:jc w:val="both"/>
        <w:rPr>
          <w:rFonts w:ascii="Times New Roman" w:hAnsi="Times New Roman" w:cs="Times New Roman"/>
          <w:color w:val="000000" w:themeColor="text1"/>
          <w:sz w:val="24"/>
          <w:szCs w:val="24"/>
        </w:rPr>
      </w:pPr>
      <w:r w:rsidRPr="00410322">
        <w:rPr>
          <w:rFonts w:ascii="Times New Roman" w:hAnsi="Times New Roman" w:cs="Times New Roman"/>
          <w:color w:val="000000" w:themeColor="text1"/>
          <w:sz w:val="24"/>
          <w:szCs w:val="24"/>
        </w:rPr>
        <w:t>The results identified comparatively stronger confidence in everyday digital participation, ICT proficiency, communication, creation and wellbeing. Lower ratings appeared in information literacy, digital research and innovation, including critical appraisal and survey tools. Younger and pre-registration students often rated themselves more highly than comparison groups. The method therefore answered the objectives effectively, but conclusions should remain cautious because the study measured perception at o</w:t>
      </w:r>
      <w:r w:rsidRPr="00410322">
        <w:rPr>
          <w:rFonts w:ascii="Times New Roman" w:hAnsi="Times New Roman" w:cs="Times New Roman"/>
          <w:color w:val="000000" w:themeColor="text1"/>
          <w:sz w:val="24"/>
          <w:szCs w:val="24"/>
        </w:rPr>
        <w:t>ne point in time, not verified clinical performance. Its principal value lies in identifying educational needs and supporting more targeted curriculum development. The analytical process was transparent.</w:t>
      </w:r>
    </w:p>
    <w:p w:rsidR="009254E9" w:rsidP="000F5A58" w:rsidRDefault="009254E9" w14:paraId="44769284" w14:textId="77777777">
      <w:pPr>
        <w:spacing w:after="0"/>
        <w:jc w:val="both"/>
        <w:rPr>
          <w:rFonts w:ascii="Times New Roman" w:hAnsi="Times New Roman" w:cs="Times New Roman"/>
          <w:b/>
          <w:color w:val="000000" w:themeColor="text1"/>
          <w:sz w:val="24"/>
          <w:szCs w:val="24"/>
        </w:rPr>
      </w:pPr>
    </w:p>
    <w:p w:rsidRPr="00410322" w:rsidR="000E7A9F" w:rsidP="000F5A58" w:rsidRDefault="00C050AE" w14:paraId="03BEBD00" w14:textId="3A7146AA">
      <w:pPr>
        <w:spacing w:after="0"/>
        <w:jc w:val="both"/>
        <w:rPr>
          <w:rFonts w:ascii="Times New Roman" w:hAnsi="Times New Roman" w:cs="Times New Roman"/>
          <w:color w:val="000000" w:themeColor="text1"/>
          <w:sz w:val="24"/>
          <w:szCs w:val="24"/>
        </w:rPr>
      </w:pPr>
      <w:r w:rsidRPr="594D4DF4" w:rsidR="00C050AE">
        <w:rPr>
          <w:rFonts w:ascii="Times New Roman" w:hAnsi="Times New Roman" w:cs="Times New Roman"/>
          <w:b w:val="1"/>
          <w:bCs w:val="1"/>
          <w:color w:val="000000" w:themeColor="text1" w:themeTint="FF" w:themeShade="FF"/>
          <w:sz w:val="24"/>
          <w:szCs w:val="24"/>
        </w:rPr>
        <w:t>SECTION 4:</w:t>
      </w:r>
      <w:r w:rsidRPr="594D4DF4" w:rsidR="00C050AE">
        <w:rPr>
          <w:rFonts w:ascii="Times New Roman" w:hAnsi="Times New Roman" w:cs="Times New Roman"/>
          <w:b w:val="1"/>
          <w:bCs w:val="1"/>
          <w:color w:val="000000" w:themeColor="text1" w:themeTint="FF" w:themeShade="FF"/>
          <w:sz w:val="24"/>
          <w:szCs w:val="24"/>
        </w:rPr>
        <w:t xml:space="preserve"> Conclusion</w:t>
      </w:r>
    </w:p>
    <w:p w:rsidRPr="00410322" w:rsidR="000E7A9F" w:rsidP="000F5A58" w:rsidRDefault="00C050AE" w14:paraId="47655CC6" w14:textId="77777777">
      <w:pPr>
        <w:spacing w:after="0"/>
        <w:jc w:val="both"/>
        <w:rPr>
          <w:rFonts w:ascii="Times New Roman" w:hAnsi="Times New Roman" w:cs="Times New Roman"/>
          <w:color w:val="000000" w:themeColor="text1"/>
          <w:sz w:val="24"/>
          <w:szCs w:val="24"/>
        </w:rPr>
      </w:pPr>
      <w:r w:rsidRPr="00410322">
        <w:rPr>
          <w:rFonts w:ascii="Times New Roman" w:hAnsi="Times New Roman" w:cs="Times New Roman"/>
          <w:color w:val="000000" w:themeColor="text1"/>
          <w:sz w:val="24"/>
          <w:szCs w:val="24"/>
        </w:rPr>
        <w:t>This report examined Martzoukou et al.’s (2024) investigation of self-perceived digital literacy among students in nursing and related disciplines. The paper developed from concerns that everyday technology use does not necessarily prepare students for evidence-based, ethical and professionally accountable digital practice. Its purpose was to adapt a discipline-specific survey, identify competence gaps and examine differences associated with age and course type. A cross-sectional questionnaire provided prim</w:t>
      </w:r>
      <w:r w:rsidRPr="00410322">
        <w:rPr>
          <w:rFonts w:ascii="Times New Roman" w:hAnsi="Times New Roman" w:cs="Times New Roman"/>
          <w:color w:val="000000" w:themeColor="text1"/>
          <w:sz w:val="24"/>
          <w:szCs w:val="24"/>
        </w:rPr>
        <w:t>ary numerical data from 182 students, while open responses offered limited qualitative context. The study found stronger confidence in general ICT and communication than in information literacy, digital research and innovation.</w:t>
      </w:r>
    </w:p>
    <w:p w:rsidRPr="00410322" w:rsidR="000E7A9F" w:rsidP="000F5A58" w:rsidRDefault="00C050AE" w14:paraId="16A5057A" w14:textId="77777777">
      <w:pPr>
        <w:spacing w:after="0"/>
        <w:jc w:val="both"/>
        <w:rPr>
          <w:rFonts w:ascii="Times New Roman" w:hAnsi="Times New Roman" w:cs="Times New Roman"/>
          <w:color w:val="000000" w:themeColor="text1"/>
          <w:sz w:val="24"/>
          <w:szCs w:val="24"/>
        </w:rPr>
      </w:pPr>
      <w:r w:rsidRPr="00410322">
        <w:rPr>
          <w:rFonts w:ascii="Times New Roman" w:hAnsi="Times New Roman" w:cs="Times New Roman"/>
          <w:color w:val="000000" w:themeColor="text1"/>
          <w:sz w:val="24"/>
          <w:szCs w:val="24"/>
        </w:rPr>
        <w:t>Reading the paper has improved my understanding of how a research question influences design, sampling, data collection and analysis. I learned that quantitative research can compare structured measurements, whereas qualitative evidence explains experiences and meaning. I also learned that a study may contain qualitative material without becoming a fully integrated mixed-</w:t>
      </w:r>
      <w:r w:rsidRPr="00410322">
        <w:rPr>
          <w:rFonts w:ascii="Times New Roman" w:hAnsi="Times New Roman" w:cs="Times New Roman"/>
          <w:color w:val="000000" w:themeColor="text1"/>
          <w:sz w:val="24"/>
          <w:szCs w:val="24"/>
        </w:rPr>
        <w:lastRenderedPageBreak/>
        <w:t>methods project. Examining the sampling process showed why response rate, self-selection and setting affect generalisability. Reviewing Cronbach’s alpha, Likert scales and non-parametric tests helped me understand how researchers establish reliability and select analysis according to the nature and distribution of their data.</w:t>
      </w:r>
    </w:p>
    <w:p w:rsidRPr="00410322" w:rsidR="000E7A9F" w:rsidP="000F5A58" w:rsidRDefault="00C050AE" w14:paraId="53CFE23A" w14:textId="77777777">
      <w:pPr>
        <w:spacing w:after="0"/>
        <w:jc w:val="both"/>
        <w:rPr>
          <w:rFonts w:ascii="Times New Roman" w:hAnsi="Times New Roman" w:cs="Times New Roman"/>
          <w:color w:val="000000" w:themeColor="text1"/>
          <w:sz w:val="24"/>
          <w:szCs w:val="24"/>
        </w:rPr>
      </w:pPr>
      <w:r w:rsidRPr="00410322">
        <w:rPr>
          <w:rFonts w:ascii="Times New Roman" w:hAnsi="Times New Roman" w:cs="Times New Roman"/>
          <w:color w:val="000000" w:themeColor="text1"/>
          <w:sz w:val="24"/>
          <w:szCs w:val="24"/>
        </w:rPr>
        <w:t>These skills will support my future studies by helping me judge whether evidence is trustworthy, relevant and applicable rather than accepting published conclusions uncritically. In professional practice, research literacy will help me search for reliable information, appraise evidence, recognise methodological limitations and contribute to safe decision-making. Together, research literacy and digital competence strongly support confidentiality, service improvement and safe patient-centred care.</w:t>
      </w:r>
    </w:p>
    <w:p w:rsidR="006532F7" w:rsidP="000F5A58" w:rsidRDefault="006532F7" w14:paraId="2A66A77F" w14:textId="77777777">
      <w:pPr>
        <w:spacing w:after="0"/>
        <w:jc w:val="both"/>
        <w:rPr>
          <w:rFonts w:ascii="Times New Roman" w:hAnsi="Times New Roman" w:cs="Times New Roman"/>
          <w:b/>
          <w:color w:val="000000" w:themeColor="text1"/>
          <w:sz w:val="24"/>
          <w:szCs w:val="24"/>
        </w:rPr>
      </w:pPr>
    </w:p>
    <w:p w:rsidRPr="00410322" w:rsidR="000E7A9F" w:rsidP="000F5A58" w:rsidRDefault="006532F7" w14:paraId="69269ACB" w14:textId="5F103A9A">
      <w:pPr>
        <w:spacing w:after="0"/>
        <w:jc w:val="both"/>
        <w:rPr>
          <w:rFonts w:ascii="Times New Roman" w:hAnsi="Times New Roman" w:cs="Times New Roman"/>
          <w:color w:val="000000" w:themeColor="text1"/>
          <w:sz w:val="24"/>
          <w:szCs w:val="24"/>
        </w:rPr>
      </w:pPr>
      <w:r w:rsidRPr="594D4DF4" w:rsidR="006532F7">
        <w:rPr>
          <w:rFonts w:ascii="Times New Roman" w:hAnsi="Times New Roman" w:cs="Times New Roman"/>
          <w:b w:val="1"/>
          <w:bCs w:val="1"/>
          <w:color w:val="000000" w:themeColor="text1" w:themeTint="FF" w:themeShade="FF"/>
          <w:sz w:val="24"/>
          <w:szCs w:val="24"/>
        </w:rPr>
        <w:t xml:space="preserve">5.0 </w:t>
      </w:r>
      <w:r w:rsidRPr="594D4DF4" w:rsidR="00C050AE">
        <w:rPr>
          <w:rFonts w:ascii="Times New Roman" w:hAnsi="Times New Roman" w:cs="Times New Roman"/>
          <w:b w:val="1"/>
          <w:bCs w:val="1"/>
          <w:color w:val="000000" w:themeColor="text1" w:themeTint="FF" w:themeShade="FF"/>
          <w:sz w:val="24"/>
          <w:szCs w:val="24"/>
        </w:rPr>
        <w:t>REFERENCES</w:t>
      </w:r>
    </w:p>
    <w:p w:rsidRPr="00410322" w:rsidR="000E7A9F" w:rsidP="000F5A58" w:rsidRDefault="00C050AE" w14:paraId="090D41C7" w14:textId="77777777">
      <w:pPr>
        <w:spacing w:after="0"/>
        <w:ind w:left="720" w:hanging="720"/>
        <w:jc w:val="both"/>
        <w:rPr>
          <w:rFonts w:ascii="Times New Roman" w:hAnsi="Times New Roman" w:cs="Times New Roman"/>
          <w:color w:val="000000" w:themeColor="text1"/>
          <w:sz w:val="24"/>
          <w:szCs w:val="24"/>
        </w:rPr>
      </w:pPr>
      <w:r w:rsidRPr="00410322">
        <w:rPr>
          <w:rFonts w:ascii="Times New Roman" w:hAnsi="Times New Roman" w:cs="Times New Roman"/>
          <w:color w:val="000000" w:themeColor="text1"/>
          <w:sz w:val="24"/>
          <w:szCs w:val="24"/>
        </w:rPr>
        <w:t>Creswell, J. W., &amp; Creswell, J. D. (2023). Research design: Qualitative, quantitative, and mixed methods approaches (6th ed.). Sage.</w:t>
      </w:r>
    </w:p>
    <w:p w:rsidRPr="00410322" w:rsidR="000E7A9F" w:rsidP="000F5A58" w:rsidRDefault="00C050AE" w14:paraId="5CA13593" w14:textId="77777777">
      <w:pPr>
        <w:spacing w:after="0"/>
        <w:ind w:left="720" w:hanging="720"/>
        <w:jc w:val="both"/>
        <w:rPr>
          <w:rFonts w:ascii="Times New Roman" w:hAnsi="Times New Roman" w:cs="Times New Roman"/>
          <w:color w:val="000000" w:themeColor="text1"/>
          <w:sz w:val="24"/>
          <w:szCs w:val="24"/>
        </w:rPr>
      </w:pPr>
      <w:r w:rsidRPr="00410322">
        <w:rPr>
          <w:rFonts w:ascii="Times New Roman" w:hAnsi="Times New Roman" w:cs="Times New Roman"/>
          <w:color w:val="000000" w:themeColor="text1"/>
          <w:sz w:val="24"/>
          <w:szCs w:val="24"/>
        </w:rPr>
        <w:t>Martzoukou, K., Luders, E. S., Mair, J., Kostagiolas, P., Johnson, N., Work, F., &amp; Fulton, C. (2024). A cross-sectional study of discipline-based self-perceived digital literacy competencies of nursing students. Journal of Advanced Nursing, 80(2), 656–672. https://doi.org/10.1111/jan.15801</w:t>
      </w:r>
    </w:p>
    <w:p w:rsidRPr="00410322" w:rsidR="000E7A9F" w:rsidP="000F5A58" w:rsidRDefault="00C050AE" w14:paraId="2F9130C7" w14:textId="77777777">
      <w:pPr>
        <w:spacing w:after="0"/>
        <w:ind w:left="720" w:hanging="720"/>
        <w:jc w:val="both"/>
        <w:rPr>
          <w:rFonts w:ascii="Times New Roman" w:hAnsi="Times New Roman" w:cs="Times New Roman"/>
          <w:color w:val="000000" w:themeColor="text1"/>
          <w:sz w:val="24"/>
          <w:szCs w:val="24"/>
        </w:rPr>
      </w:pPr>
      <w:r w:rsidRPr="00410322">
        <w:rPr>
          <w:rFonts w:ascii="Times New Roman" w:hAnsi="Times New Roman" w:cs="Times New Roman"/>
          <w:color w:val="000000" w:themeColor="text1"/>
          <w:sz w:val="24"/>
          <w:szCs w:val="24"/>
        </w:rPr>
        <w:t>Nursing and Midwifery Council. (2018). Future nurse: Standards of proficiency for registered nurses. NMC.</w:t>
      </w:r>
    </w:p>
    <w:p w:rsidRPr="00410322" w:rsidR="000E7A9F" w:rsidP="000F5A58" w:rsidRDefault="00C050AE" w14:paraId="70091D1A" w14:textId="77777777">
      <w:pPr>
        <w:spacing w:after="0"/>
        <w:ind w:left="720" w:hanging="720"/>
        <w:jc w:val="both"/>
        <w:rPr>
          <w:rFonts w:ascii="Times New Roman" w:hAnsi="Times New Roman" w:cs="Times New Roman"/>
          <w:color w:val="000000" w:themeColor="text1"/>
          <w:sz w:val="24"/>
          <w:szCs w:val="24"/>
        </w:rPr>
      </w:pPr>
      <w:r w:rsidRPr="00410322">
        <w:rPr>
          <w:rFonts w:ascii="Times New Roman" w:hAnsi="Times New Roman" w:cs="Times New Roman"/>
          <w:color w:val="000000" w:themeColor="text1"/>
          <w:sz w:val="24"/>
          <w:szCs w:val="24"/>
        </w:rPr>
        <w:t>Polit, D. F., &amp; Beck, C. T. (2021). Nursing research: Generating and assessing evidence for nursing practice (11th ed.). Wolters Kluwer.</w:t>
      </w:r>
    </w:p>
    <w:p w:rsidRPr="00410322" w:rsidR="000E7A9F" w:rsidP="000F5A58" w:rsidRDefault="00C050AE" w14:paraId="28AE7458" w14:textId="77777777">
      <w:pPr>
        <w:spacing w:after="0"/>
        <w:ind w:left="720" w:hanging="720"/>
        <w:jc w:val="both"/>
        <w:rPr>
          <w:rFonts w:ascii="Times New Roman" w:hAnsi="Times New Roman" w:cs="Times New Roman"/>
          <w:color w:val="000000" w:themeColor="text1"/>
          <w:sz w:val="24"/>
          <w:szCs w:val="24"/>
        </w:rPr>
      </w:pPr>
      <w:r w:rsidRPr="00410322">
        <w:rPr>
          <w:rFonts w:ascii="Times New Roman" w:hAnsi="Times New Roman" w:cs="Times New Roman"/>
          <w:color w:val="000000" w:themeColor="text1"/>
          <w:sz w:val="24"/>
          <w:szCs w:val="24"/>
        </w:rPr>
        <w:t>Royal College of Nursing. (2018). Every nurse an e-nurse: Insights from a consultation on the digital future of nursing. RCN.</w:t>
      </w:r>
    </w:p>
    <w:sectPr w:rsidRPr="00410322" w:rsidR="000E7A9F" w:rsidSect="00034616">
      <w:footerReference w:type="default" r:id="rId8"/>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050AE" w:rsidRDefault="00C050AE" w14:paraId="75900519" w14:textId="77777777">
      <w:pPr>
        <w:spacing w:after="0" w:line="240" w:lineRule="auto"/>
      </w:pPr>
      <w:r>
        <w:separator/>
      </w:r>
    </w:p>
  </w:endnote>
  <w:endnote w:type="continuationSeparator" w:id="0">
    <w:p w:rsidR="00C050AE" w:rsidRDefault="00C050AE" w14:paraId="4974507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0E7A9F" w:rsidRDefault="00C050AE" w14:paraId="3126E1C2" w14:textId="39F534C6">
    <w:pPr>
      <w:pStyle w:val="Footer"/>
      <w:jc w:val="center"/>
    </w:pPr>
    <w:r>
      <w:fldChar w:fldCharType="begin"/>
    </w:r>
    <w:r>
      <w:instrText>PAGE</w:instrText>
    </w:r>
    <w:r w:rsidR="000F5A58">
      <w:fldChar w:fldCharType="separate"/>
    </w:r>
    <w:r w:rsidR="000F5A58">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050AE" w:rsidRDefault="00C050AE" w14:paraId="173E4AC6" w14:textId="77777777">
      <w:pPr>
        <w:spacing w:after="0" w:line="240" w:lineRule="auto"/>
      </w:pPr>
      <w:r>
        <w:separator/>
      </w:r>
    </w:p>
  </w:footnote>
  <w:footnote w:type="continuationSeparator" w:id="0">
    <w:p w:rsidR="00C050AE" w:rsidRDefault="00C050AE" w14:paraId="380DAE78"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num w:numId="1" w16cid:durableId="1476944975">
    <w:abstractNumId w:val="8"/>
  </w:num>
  <w:num w:numId="2" w16cid:durableId="747927567">
    <w:abstractNumId w:val="6"/>
  </w:num>
  <w:num w:numId="3" w16cid:durableId="1955742695">
    <w:abstractNumId w:val="5"/>
  </w:num>
  <w:num w:numId="4" w16cid:durableId="467283822">
    <w:abstractNumId w:val="4"/>
  </w:num>
  <w:num w:numId="5" w16cid:durableId="922371369">
    <w:abstractNumId w:val="7"/>
  </w:num>
  <w:num w:numId="6" w16cid:durableId="284121646">
    <w:abstractNumId w:val="3"/>
  </w:num>
  <w:num w:numId="7" w16cid:durableId="157353521">
    <w:abstractNumId w:val="2"/>
  </w:num>
  <w:num w:numId="8" w16cid:durableId="1566838843">
    <w:abstractNumId w:val="1"/>
  </w:num>
  <w:num w:numId="9" w16cid:durableId="17312672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6"/>
  <w:trackRevisions w:val="false"/>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21878"/>
    <w:rsid w:val="00034616"/>
    <w:rsid w:val="0006063C"/>
    <w:rsid w:val="000E7A9F"/>
    <w:rsid w:val="000F5A58"/>
    <w:rsid w:val="0015074B"/>
    <w:rsid w:val="0029639D"/>
    <w:rsid w:val="00326F90"/>
    <w:rsid w:val="00410322"/>
    <w:rsid w:val="006532F7"/>
    <w:rsid w:val="007072EA"/>
    <w:rsid w:val="009254E9"/>
    <w:rsid w:val="00AA1D8D"/>
    <w:rsid w:val="00B47730"/>
    <w:rsid w:val="00C050AE"/>
    <w:rsid w:val="00C35602"/>
    <w:rsid w:val="00CB0664"/>
    <w:rsid w:val="00FC693F"/>
    <w:rsid w:val="28F6A1E2"/>
    <w:rsid w:val="29752252"/>
    <w:rsid w:val="319170E5"/>
    <w:rsid w:val="3384EE66"/>
    <w:rsid w:val="447E551E"/>
    <w:rsid w:val="45F887E5"/>
    <w:rsid w:val="48F68C37"/>
    <w:rsid w:val="5074FBE2"/>
    <w:rsid w:val="50AD644D"/>
    <w:rsid w:val="555E594C"/>
    <w:rsid w:val="594D4DF4"/>
    <w:rsid w:val="598F7A44"/>
    <w:rsid w:val="5A8E46B2"/>
    <w:rsid w:val="5BE5BBCF"/>
    <w:rsid w:val="5CDBDAAC"/>
    <w:rsid w:val="602A9CC3"/>
    <w:rsid w:val="631A1FF1"/>
    <w:rsid w:val="6915ADAE"/>
    <w:rsid w:val="7588AF16"/>
    <w:rsid w:val="760C3AF2"/>
    <w:rsid w:val="7D841EC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992BF79"/>
  <w14:defaultImageDpi w14:val="300"/>
  <w15:docId w15:val="{64E873D9-62D1-B643-A54A-9C2F06A4D2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C693F"/>
    <w:pPr>
      <w:spacing w:after="120" w:line="360" w:lineRule="auto"/>
    </w:pPr>
    <w:rPr>
      <w:rFonts w:ascii="Arial" w:hAnsi="Arial" w:eastAsia="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color="9BBB59" w:themeColor="accent3" w:sz="8" w:space="0"/>
        <w:bottom w:val="single" w:color="9BBB59" w:themeColor="accent3" w:sz="8" w:space="0"/>
      </w:tblBorders>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color="F79646" w:themeColor="accent6" w:sz="8" w:space="0"/>
        <w:bottom w:val="single" w:color="F79646" w:themeColor="accent6" w:sz="8" w:space="0"/>
      </w:tblBorders>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color="4F81BD" w:themeColor="accent1" w:sz="8" w:space="0"/>
        <w:bottom w:val="single" w:color="4F81BD" w:themeColor="accent1" w:sz="8" w:space="0"/>
      </w:tblBorders>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color="C0504D" w:themeColor="accent2" w:sz="8" w:space="0"/>
        <w:bottom w:val="single" w:color="C0504D" w:themeColor="accent2" w:sz="8" w:space="0"/>
      </w:tblBorders>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color="9BBB59" w:themeColor="accent3" w:sz="8" w:space="0"/>
        <w:bottom w:val="single" w:color="9BBB59" w:themeColor="accent3" w:sz="8" w:space="0"/>
      </w:tblBorders>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color="8064A2" w:themeColor="accent4" w:sz="8" w:space="0"/>
        <w:bottom w:val="single" w:color="8064A2" w:themeColor="accent4" w:sz="8" w:space="0"/>
      </w:tblBorders>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color="F79646" w:themeColor="accent6" w:sz="8" w:space="0"/>
        <w:bottom w:val="single" w:color="F79646" w:themeColor="accent6" w:sz="8" w:space="0"/>
      </w:tblBorders>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image" Target="/media/image.png" Id="rId175889820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Inusah Ibrahim</lastModifiedBy>
  <revision>4</revision>
  <dcterms:created xsi:type="dcterms:W3CDTF">2026-07-13T22:56:00.0000000Z</dcterms:created>
  <dcterms:modified xsi:type="dcterms:W3CDTF">2026-07-13T23:25:43.4879403Z</dcterms:modified>
  <category/>
</coreProperties>
</file>