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787AD" w14:textId="3AFA2054" w:rsidR="00144B01" w:rsidRDefault="0053159F" w:rsidP="0053159F">
      <w:pPr>
        <w:spacing w:line="360" w:lineRule="auto"/>
        <w:jc w:val="center"/>
        <w:rPr>
          <w:rFonts w:ascii="Times New Roman" w:hAnsi="Times New Roman" w:cs="Times New Roman"/>
          <w:color w:val="000000" w:themeColor="text1"/>
          <w:sz w:val="24"/>
          <w:szCs w:val="24"/>
        </w:rPr>
      </w:pPr>
      <w:r>
        <w:rPr>
          <w:noProof/>
        </w:rPr>
        <w:drawing>
          <wp:inline distT="0" distB="0" distL="0" distR="0" wp14:anchorId="28B715AD" wp14:editId="694C294C">
            <wp:extent cx="3429000" cy="1715770"/>
            <wp:effectExtent l="0" t="0" r="0" b="0"/>
            <wp:docPr id="125730605" name="Picture 3"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0605" name="Picture 3" descr="University of Wales Hub: description, news and contact info"/>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000" cy="1715770"/>
                    </a:xfrm>
                    <a:prstGeom prst="ellipse">
                      <a:avLst/>
                    </a:prstGeom>
                    <a:ln>
                      <a:noFill/>
                    </a:ln>
                    <a:effectLst>
                      <a:softEdge rad="112500"/>
                    </a:effectLst>
                  </pic:spPr>
                </pic:pic>
              </a:graphicData>
            </a:graphic>
          </wp:inline>
        </w:drawing>
      </w:r>
    </w:p>
    <w:p w14:paraId="0D31C647" w14:textId="77777777" w:rsidR="0053159F" w:rsidRDefault="0053159F" w:rsidP="00676B5E">
      <w:pPr>
        <w:spacing w:line="360" w:lineRule="auto"/>
        <w:jc w:val="both"/>
        <w:rPr>
          <w:rFonts w:ascii="Times New Roman" w:hAnsi="Times New Roman" w:cs="Times New Roman"/>
          <w:color w:val="000000" w:themeColor="text1"/>
          <w:sz w:val="24"/>
          <w:szCs w:val="24"/>
        </w:rPr>
      </w:pPr>
    </w:p>
    <w:p w14:paraId="2EC1EFD7" w14:textId="77777777" w:rsidR="0053159F" w:rsidRPr="0053159F" w:rsidRDefault="0053159F" w:rsidP="0053159F">
      <w:pPr>
        <w:spacing w:line="360" w:lineRule="auto"/>
        <w:jc w:val="center"/>
        <w:rPr>
          <w:rFonts w:ascii="Times New Roman" w:hAnsi="Times New Roman" w:cs="Times New Roman"/>
          <w:color w:val="000000" w:themeColor="text1"/>
          <w:sz w:val="24"/>
          <w:szCs w:val="24"/>
          <w:lang w:val="bg-BG"/>
        </w:rPr>
      </w:pPr>
      <w:r w:rsidRPr="0053159F">
        <w:rPr>
          <w:rFonts w:ascii="Times New Roman" w:hAnsi="Times New Roman" w:cs="Times New Roman"/>
          <w:color w:val="000000" w:themeColor="text1"/>
          <w:sz w:val="24"/>
          <w:szCs w:val="24"/>
          <w:lang w:val="bg-BG"/>
        </w:rPr>
        <w:t>BA (Hons) Business Management</w:t>
      </w:r>
    </w:p>
    <w:p w14:paraId="611ACB18" w14:textId="2DF85BB5" w:rsidR="0053159F" w:rsidRPr="0053159F" w:rsidRDefault="0053159F" w:rsidP="0053159F">
      <w:pPr>
        <w:spacing w:line="360" w:lineRule="auto"/>
        <w:jc w:val="center"/>
        <w:rPr>
          <w:rFonts w:ascii="Times New Roman" w:hAnsi="Times New Roman" w:cs="Times New Roman"/>
          <w:color w:val="000000" w:themeColor="text1"/>
          <w:sz w:val="24"/>
          <w:szCs w:val="24"/>
          <w:lang w:val="bg-BG"/>
        </w:rPr>
      </w:pPr>
      <w:r w:rsidRPr="0053159F">
        <w:rPr>
          <w:rFonts w:ascii="Times New Roman" w:hAnsi="Times New Roman" w:cs="Times New Roman"/>
          <w:color w:val="000000" w:themeColor="text1"/>
          <w:sz w:val="24"/>
          <w:szCs w:val="24"/>
          <w:lang w:val="bg-BG"/>
        </w:rPr>
        <w:t>Module Title:</w:t>
      </w:r>
      <w:r w:rsidRPr="0053159F">
        <w:rPr>
          <w:rFonts w:ascii="Times New Roman" w:hAnsi="Times New Roman" w:cs="Times New Roman"/>
          <w:color w:val="000000" w:themeColor="text1"/>
          <w:sz w:val="24"/>
          <w:szCs w:val="24"/>
        </w:rPr>
        <w:t xml:space="preserve"> </w:t>
      </w:r>
      <w:r w:rsidR="00906CDF" w:rsidRPr="00906CDF">
        <w:rPr>
          <w:rFonts w:ascii="Times New Roman" w:hAnsi="Times New Roman" w:cs="Times New Roman"/>
          <w:color w:val="000000" w:themeColor="text1"/>
          <w:sz w:val="24"/>
          <w:szCs w:val="24"/>
        </w:rPr>
        <w:t>Management Accounting for Managers</w:t>
      </w:r>
    </w:p>
    <w:p w14:paraId="5BEE3634" w14:textId="3DA599B9" w:rsidR="0053159F" w:rsidRPr="00906CDF" w:rsidRDefault="0053159F" w:rsidP="0053159F">
      <w:pPr>
        <w:spacing w:line="360" w:lineRule="auto"/>
        <w:jc w:val="center"/>
        <w:rPr>
          <w:rFonts w:ascii="Times New Roman" w:hAnsi="Times New Roman" w:cs="Times New Roman"/>
          <w:color w:val="000000" w:themeColor="text1"/>
          <w:sz w:val="24"/>
          <w:szCs w:val="24"/>
          <w:lang w:val="en-GB"/>
        </w:rPr>
      </w:pPr>
      <w:r w:rsidRPr="0053159F">
        <w:rPr>
          <w:rFonts w:ascii="Times New Roman" w:hAnsi="Times New Roman" w:cs="Times New Roman"/>
          <w:color w:val="000000" w:themeColor="text1"/>
          <w:sz w:val="24"/>
          <w:szCs w:val="24"/>
          <w:lang w:val="bg-BG"/>
        </w:rPr>
        <w:t>Module Code:</w:t>
      </w:r>
      <w:r w:rsidRPr="0053159F">
        <w:rPr>
          <w:rFonts w:ascii="Times New Roman" w:hAnsi="Times New Roman" w:cs="Times New Roman"/>
          <w:color w:val="000000" w:themeColor="text1"/>
          <w:sz w:val="24"/>
          <w:szCs w:val="24"/>
        </w:rPr>
        <w:t xml:space="preserve"> </w:t>
      </w:r>
      <w:r w:rsidRPr="0053159F">
        <w:rPr>
          <w:rFonts w:ascii="Times New Roman" w:hAnsi="Times New Roman" w:cs="Times New Roman"/>
          <w:color w:val="000000" w:themeColor="text1"/>
          <w:sz w:val="24"/>
          <w:szCs w:val="24"/>
          <w:lang w:val="bg-BG"/>
        </w:rPr>
        <w:t>LCBB501</w:t>
      </w:r>
      <w:r w:rsidR="00906CDF">
        <w:rPr>
          <w:rFonts w:ascii="Times New Roman" w:hAnsi="Times New Roman" w:cs="Times New Roman"/>
          <w:color w:val="000000" w:themeColor="text1"/>
          <w:sz w:val="24"/>
          <w:szCs w:val="24"/>
          <w:lang w:val="en-GB"/>
        </w:rPr>
        <w:t>0</w:t>
      </w:r>
    </w:p>
    <w:p w14:paraId="1752CE64" w14:textId="0FB2C8E1" w:rsidR="0053159F" w:rsidRPr="0053159F" w:rsidRDefault="0053159F" w:rsidP="000C6663">
      <w:pPr>
        <w:spacing w:line="360" w:lineRule="auto"/>
        <w:jc w:val="center"/>
        <w:rPr>
          <w:rFonts w:ascii="Times New Roman" w:hAnsi="Times New Roman" w:cs="Times New Roman"/>
          <w:color w:val="000000" w:themeColor="text1"/>
          <w:sz w:val="24"/>
          <w:szCs w:val="24"/>
          <w:lang w:val="en-GB"/>
        </w:rPr>
      </w:pPr>
      <w:r w:rsidRPr="0053159F">
        <w:rPr>
          <w:rFonts w:ascii="Times New Roman" w:hAnsi="Times New Roman" w:cs="Times New Roman"/>
          <w:color w:val="000000" w:themeColor="text1"/>
          <w:sz w:val="24"/>
          <w:szCs w:val="24"/>
          <w:lang w:val="en-GB"/>
        </w:rPr>
        <w:t xml:space="preserve">Lecturer:  </w:t>
      </w:r>
      <w:r w:rsidR="000C6663" w:rsidRPr="000C6663">
        <w:rPr>
          <w:rFonts w:ascii="Times New Roman" w:hAnsi="Times New Roman" w:cs="Times New Roman"/>
          <w:color w:val="000000" w:themeColor="text1"/>
          <w:sz w:val="24"/>
          <w:szCs w:val="24"/>
          <w:lang w:val="en-GB"/>
        </w:rPr>
        <w:t>Dr Rita Ukachi-Lois</w:t>
      </w:r>
      <w:r w:rsidR="000C6663">
        <w:rPr>
          <w:rFonts w:ascii="Times New Roman" w:hAnsi="Times New Roman" w:cs="Times New Roman"/>
          <w:color w:val="000000" w:themeColor="text1"/>
          <w:sz w:val="24"/>
          <w:szCs w:val="24"/>
          <w:lang w:val="en-GB"/>
        </w:rPr>
        <w:t xml:space="preserve">, </w:t>
      </w:r>
      <w:r w:rsidR="000C6663" w:rsidRPr="000C6663">
        <w:rPr>
          <w:rFonts w:ascii="Times New Roman" w:hAnsi="Times New Roman" w:cs="Times New Roman"/>
          <w:color w:val="000000" w:themeColor="text1"/>
          <w:sz w:val="24"/>
          <w:szCs w:val="24"/>
          <w:lang w:val="en-GB"/>
        </w:rPr>
        <w:t>Zainab Atta</w:t>
      </w:r>
    </w:p>
    <w:p w14:paraId="11E457F8" w14:textId="3D844B8A" w:rsidR="0053159F" w:rsidRPr="0053159F" w:rsidRDefault="0053159F" w:rsidP="0053159F">
      <w:pPr>
        <w:spacing w:line="360" w:lineRule="auto"/>
        <w:jc w:val="center"/>
        <w:rPr>
          <w:rFonts w:ascii="Times New Roman" w:hAnsi="Times New Roman" w:cs="Times New Roman"/>
          <w:color w:val="000000" w:themeColor="text1"/>
          <w:sz w:val="24"/>
          <w:szCs w:val="24"/>
          <w:lang w:val="en-GB"/>
        </w:rPr>
      </w:pPr>
      <w:r w:rsidRPr="0053159F">
        <w:rPr>
          <w:rFonts w:ascii="Times New Roman" w:hAnsi="Times New Roman" w:cs="Times New Roman"/>
          <w:color w:val="000000" w:themeColor="text1"/>
          <w:sz w:val="24"/>
          <w:szCs w:val="24"/>
          <w:lang w:val="bg-BG"/>
        </w:rPr>
        <w:t>Assignment</w:t>
      </w:r>
      <w:r w:rsidRPr="0053159F">
        <w:rPr>
          <w:rFonts w:ascii="Times New Roman" w:hAnsi="Times New Roman" w:cs="Times New Roman"/>
          <w:color w:val="000000" w:themeColor="text1"/>
          <w:sz w:val="24"/>
          <w:szCs w:val="24"/>
          <w:lang w:val="en-GB"/>
        </w:rPr>
        <w:t xml:space="preserve"> : Individual Report</w:t>
      </w:r>
    </w:p>
    <w:p w14:paraId="000F7653" w14:textId="77777777" w:rsidR="0053159F" w:rsidRPr="0053159F" w:rsidRDefault="0053159F" w:rsidP="0053159F">
      <w:pPr>
        <w:spacing w:line="360" w:lineRule="auto"/>
        <w:jc w:val="center"/>
        <w:rPr>
          <w:rFonts w:ascii="Times New Roman" w:hAnsi="Times New Roman" w:cs="Times New Roman"/>
          <w:color w:val="000000" w:themeColor="text1"/>
          <w:sz w:val="24"/>
          <w:szCs w:val="24"/>
          <w:lang w:val="bg-BG"/>
        </w:rPr>
      </w:pPr>
      <w:r w:rsidRPr="0053159F">
        <w:rPr>
          <w:rFonts w:ascii="Times New Roman" w:hAnsi="Times New Roman" w:cs="Times New Roman"/>
          <w:color w:val="000000" w:themeColor="text1"/>
          <w:sz w:val="24"/>
          <w:szCs w:val="24"/>
          <w:lang w:val="bg-BG"/>
        </w:rPr>
        <w:t>Student Name:</w:t>
      </w:r>
      <w:r w:rsidRPr="0053159F">
        <w:rPr>
          <w:rFonts w:ascii="Times New Roman" w:hAnsi="Times New Roman" w:cs="Times New Roman"/>
          <w:color w:val="000000" w:themeColor="text1"/>
          <w:sz w:val="24"/>
          <w:szCs w:val="24"/>
        </w:rPr>
        <w:t xml:space="preserve"> </w:t>
      </w:r>
      <w:r w:rsidRPr="0053159F">
        <w:rPr>
          <w:rFonts w:ascii="Times New Roman" w:hAnsi="Times New Roman" w:cs="Times New Roman"/>
          <w:color w:val="000000" w:themeColor="text1"/>
          <w:sz w:val="24"/>
          <w:szCs w:val="24"/>
          <w:lang w:val="bg-BG"/>
        </w:rPr>
        <w:t>Svetlin Kondakov</w:t>
      </w:r>
    </w:p>
    <w:p w14:paraId="6C3B0E97" w14:textId="77777777" w:rsidR="0053159F" w:rsidRPr="0053159F" w:rsidRDefault="0053159F" w:rsidP="0053159F">
      <w:pPr>
        <w:spacing w:line="360" w:lineRule="auto"/>
        <w:jc w:val="center"/>
        <w:rPr>
          <w:rFonts w:ascii="Times New Roman" w:hAnsi="Times New Roman" w:cs="Times New Roman"/>
          <w:color w:val="000000" w:themeColor="text1"/>
          <w:sz w:val="24"/>
          <w:szCs w:val="24"/>
          <w:lang w:val="bg-BG"/>
        </w:rPr>
      </w:pPr>
      <w:r w:rsidRPr="0053159F">
        <w:rPr>
          <w:rFonts w:ascii="Times New Roman" w:hAnsi="Times New Roman" w:cs="Times New Roman"/>
          <w:color w:val="000000" w:themeColor="text1"/>
          <w:sz w:val="24"/>
          <w:szCs w:val="24"/>
          <w:lang w:val="bg-BG"/>
        </w:rPr>
        <w:t>Student ID Number:</w:t>
      </w:r>
      <w:r w:rsidRPr="0053159F">
        <w:rPr>
          <w:rFonts w:ascii="Times New Roman" w:hAnsi="Times New Roman" w:cs="Times New Roman"/>
          <w:color w:val="000000" w:themeColor="text1"/>
          <w:sz w:val="24"/>
          <w:szCs w:val="24"/>
        </w:rPr>
        <w:t xml:space="preserve"> </w:t>
      </w:r>
      <w:r w:rsidRPr="0053159F">
        <w:rPr>
          <w:rFonts w:ascii="Times New Roman" w:hAnsi="Times New Roman" w:cs="Times New Roman"/>
          <w:color w:val="000000" w:themeColor="text1"/>
          <w:sz w:val="24"/>
          <w:szCs w:val="24"/>
          <w:lang w:val="bg-BG"/>
        </w:rPr>
        <w:t>2326084</w:t>
      </w:r>
    </w:p>
    <w:p w14:paraId="30AB98CA" w14:textId="2E555D0B" w:rsidR="0053159F" w:rsidRPr="0053159F" w:rsidRDefault="0053159F" w:rsidP="0053159F">
      <w:pPr>
        <w:spacing w:line="360" w:lineRule="auto"/>
        <w:jc w:val="center"/>
        <w:rPr>
          <w:rFonts w:ascii="Times New Roman" w:hAnsi="Times New Roman" w:cs="Times New Roman"/>
          <w:color w:val="000000" w:themeColor="text1"/>
          <w:sz w:val="24"/>
          <w:szCs w:val="24"/>
          <w:lang w:val="bg-BG"/>
        </w:rPr>
      </w:pPr>
      <w:r w:rsidRPr="0053159F">
        <w:rPr>
          <w:rFonts w:ascii="Times New Roman" w:hAnsi="Times New Roman" w:cs="Times New Roman"/>
          <w:color w:val="000000" w:themeColor="text1"/>
          <w:sz w:val="24"/>
          <w:szCs w:val="24"/>
          <w:lang w:val="bg-BG"/>
        </w:rPr>
        <w:t>Word Count:</w:t>
      </w:r>
      <w:r w:rsidRPr="0053159F">
        <w:rPr>
          <w:rFonts w:ascii="Times New Roman" w:hAnsi="Times New Roman" w:cs="Times New Roman"/>
          <w:color w:val="000000" w:themeColor="text1"/>
          <w:sz w:val="24"/>
          <w:szCs w:val="24"/>
        </w:rPr>
        <w:t xml:space="preserve"> </w:t>
      </w:r>
      <w:r w:rsidRPr="0053159F">
        <w:rPr>
          <w:rFonts w:ascii="Times New Roman" w:hAnsi="Times New Roman" w:cs="Times New Roman"/>
          <w:color w:val="000000" w:themeColor="text1"/>
          <w:sz w:val="24"/>
          <w:szCs w:val="24"/>
          <w:lang w:val="en-GB"/>
        </w:rPr>
        <w:t>2</w:t>
      </w:r>
      <w:r w:rsidRPr="0053159F">
        <w:rPr>
          <w:rFonts w:ascii="Times New Roman" w:hAnsi="Times New Roman" w:cs="Times New Roman"/>
          <w:color w:val="000000" w:themeColor="text1"/>
          <w:sz w:val="24"/>
          <w:szCs w:val="24"/>
          <w:lang w:val="bg-BG"/>
        </w:rPr>
        <w:t>,000 words (± 10%)</w:t>
      </w:r>
    </w:p>
    <w:p w14:paraId="4228126C" w14:textId="77777777" w:rsidR="0053159F" w:rsidRDefault="0053159F" w:rsidP="00676B5E">
      <w:pPr>
        <w:spacing w:line="360" w:lineRule="auto"/>
        <w:jc w:val="both"/>
        <w:rPr>
          <w:rFonts w:ascii="Times New Roman" w:hAnsi="Times New Roman" w:cs="Times New Roman"/>
          <w:color w:val="000000" w:themeColor="text1"/>
          <w:sz w:val="24"/>
          <w:szCs w:val="24"/>
        </w:rPr>
      </w:pPr>
    </w:p>
    <w:p w14:paraId="3A9ABB97" w14:textId="77777777" w:rsidR="0053159F" w:rsidRDefault="0053159F" w:rsidP="00676B5E">
      <w:pPr>
        <w:spacing w:line="360" w:lineRule="auto"/>
        <w:jc w:val="both"/>
        <w:rPr>
          <w:rFonts w:ascii="Times New Roman" w:hAnsi="Times New Roman" w:cs="Times New Roman"/>
          <w:color w:val="000000" w:themeColor="text1"/>
          <w:sz w:val="24"/>
          <w:szCs w:val="24"/>
        </w:rPr>
      </w:pPr>
    </w:p>
    <w:p w14:paraId="7E203570" w14:textId="77777777" w:rsidR="0053159F" w:rsidRDefault="0053159F" w:rsidP="00676B5E">
      <w:pPr>
        <w:spacing w:line="360" w:lineRule="auto"/>
        <w:jc w:val="both"/>
        <w:rPr>
          <w:rFonts w:ascii="Times New Roman" w:hAnsi="Times New Roman" w:cs="Times New Roman"/>
          <w:color w:val="000000" w:themeColor="text1"/>
          <w:sz w:val="24"/>
          <w:szCs w:val="24"/>
        </w:rPr>
      </w:pPr>
    </w:p>
    <w:p w14:paraId="3A437FC4" w14:textId="77777777" w:rsidR="0053159F" w:rsidRDefault="0053159F" w:rsidP="00676B5E">
      <w:pPr>
        <w:spacing w:line="360" w:lineRule="auto"/>
        <w:jc w:val="both"/>
        <w:rPr>
          <w:rFonts w:ascii="Times New Roman" w:hAnsi="Times New Roman" w:cs="Times New Roman"/>
          <w:color w:val="000000" w:themeColor="text1"/>
          <w:sz w:val="24"/>
          <w:szCs w:val="24"/>
        </w:rPr>
      </w:pPr>
    </w:p>
    <w:p w14:paraId="10B159C9" w14:textId="77777777" w:rsidR="0053159F" w:rsidRDefault="0053159F" w:rsidP="00676B5E">
      <w:pPr>
        <w:spacing w:line="360" w:lineRule="auto"/>
        <w:jc w:val="both"/>
        <w:rPr>
          <w:rFonts w:ascii="Times New Roman" w:hAnsi="Times New Roman" w:cs="Times New Roman"/>
          <w:color w:val="000000" w:themeColor="text1"/>
          <w:sz w:val="24"/>
          <w:szCs w:val="24"/>
        </w:rPr>
      </w:pPr>
    </w:p>
    <w:p w14:paraId="618FDB3F" w14:textId="27820EC9" w:rsidR="00144B01" w:rsidRDefault="00144B01" w:rsidP="00676B5E">
      <w:pPr>
        <w:spacing w:line="360" w:lineRule="auto"/>
        <w:jc w:val="both"/>
        <w:rPr>
          <w:rFonts w:ascii="Times New Roman" w:hAnsi="Times New Roman" w:cs="Times New Roman"/>
          <w:b/>
          <w:color w:val="000000" w:themeColor="text1"/>
          <w:sz w:val="24"/>
          <w:szCs w:val="24"/>
        </w:rPr>
      </w:pPr>
    </w:p>
    <w:sdt>
      <w:sdtPr>
        <w:rPr>
          <w:rFonts w:ascii="Calibri" w:eastAsiaTheme="minorEastAsia" w:hAnsi="Calibri" w:cstheme="minorBidi"/>
          <w:b w:val="0"/>
          <w:bCs w:val="0"/>
          <w:color w:val="auto"/>
          <w:sz w:val="22"/>
          <w:szCs w:val="22"/>
        </w:rPr>
        <w:id w:val="1741053610"/>
        <w:docPartObj>
          <w:docPartGallery w:val="Table of Contents"/>
          <w:docPartUnique/>
        </w:docPartObj>
      </w:sdtPr>
      <w:sdtEndPr>
        <w:rPr>
          <w:noProof/>
        </w:rPr>
      </w:sdtEndPr>
      <w:sdtContent>
        <w:p w14:paraId="22CDFCFF" w14:textId="6302D4A5" w:rsidR="0053159F" w:rsidRPr="00EF0181" w:rsidRDefault="0053159F">
          <w:pPr>
            <w:pStyle w:val="TOCHeading"/>
            <w:rPr>
              <w:rFonts w:ascii="Times New Roman" w:hAnsi="Times New Roman" w:cs="Times New Roman"/>
              <w:color w:val="000000" w:themeColor="text1"/>
              <w:sz w:val="32"/>
              <w:szCs w:val="32"/>
            </w:rPr>
          </w:pPr>
          <w:r w:rsidRPr="00EF0181">
            <w:rPr>
              <w:rFonts w:ascii="Times New Roman" w:hAnsi="Times New Roman" w:cs="Times New Roman"/>
              <w:color w:val="000000" w:themeColor="text1"/>
              <w:sz w:val="32"/>
              <w:szCs w:val="32"/>
            </w:rPr>
            <w:t>Table of Contents</w:t>
          </w:r>
        </w:p>
        <w:p w14:paraId="1142A309" w14:textId="40C11842" w:rsidR="0053159F" w:rsidRPr="00EF0181" w:rsidRDefault="0053159F">
          <w:pPr>
            <w:pStyle w:val="TOC1"/>
            <w:tabs>
              <w:tab w:val="left" w:pos="480"/>
              <w:tab w:val="right" w:leader="dot" w:pos="8630"/>
            </w:tabs>
            <w:rPr>
              <w:rFonts w:ascii="Times New Roman" w:hAnsi="Times New Roman" w:cs="Times New Roman"/>
              <w:noProof/>
              <w:sz w:val="28"/>
              <w:szCs w:val="28"/>
            </w:rPr>
          </w:pPr>
          <w:r w:rsidRPr="00EF0181">
            <w:rPr>
              <w:sz w:val="24"/>
              <w:szCs w:val="24"/>
            </w:rPr>
            <w:fldChar w:fldCharType="begin"/>
          </w:r>
          <w:r w:rsidRPr="00EF0181">
            <w:rPr>
              <w:sz w:val="24"/>
              <w:szCs w:val="24"/>
            </w:rPr>
            <w:instrText xml:space="preserve"> TOC \o "1-3" \h \z \u </w:instrText>
          </w:r>
          <w:r w:rsidRPr="00EF0181">
            <w:rPr>
              <w:sz w:val="24"/>
              <w:szCs w:val="24"/>
            </w:rPr>
            <w:fldChar w:fldCharType="separate"/>
          </w:r>
          <w:hyperlink w:anchor="_Toc213785862" w:history="1">
            <w:r w:rsidRPr="00EF0181">
              <w:rPr>
                <w:rStyle w:val="Hyperlink"/>
                <w:rFonts w:ascii="Times New Roman" w:hAnsi="Times New Roman" w:cs="Times New Roman"/>
                <w:noProof/>
                <w:sz w:val="28"/>
                <w:szCs w:val="28"/>
              </w:rPr>
              <w:t>1.</w:t>
            </w:r>
            <w:r w:rsidRPr="00EF0181">
              <w:rPr>
                <w:rFonts w:ascii="Times New Roman" w:hAnsi="Times New Roman" w:cs="Times New Roman"/>
                <w:noProof/>
                <w:sz w:val="28"/>
                <w:szCs w:val="28"/>
              </w:rPr>
              <w:tab/>
            </w:r>
            <w:r w:rsidRPr="00EF0181">
              <w:rPr>
                <w:rStyle w:val="Hyperlink"/>
                <w:rFonts w:ascii="Times New Roman" w:hAnsi="Times New Roman" w:cs="Times New Roman"/>
                <w:noProof/>
                <w:sz w:val="28"/>
                <w:szCs w:val="28"/>
              </w:rPr>
              <w:t>Introduction</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_Toc213785862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2</w:t>
            </w:r>
            <w:r w:rsidRPr="00EF0181">
              <w:rPr>
                <w:rFonts w:ascii="Times New Roman" w:hAnsi="Times New Roman" w:cs="Times New Roman"/>
                <w:noProof/>
                <w:webHidden/>
                <w:sz w:val="28"/>
                <w:szCs w:val="28"/>
              </w:rPr>
              <w:fldChar w:fldCharType="end"/>
            </w:r>
          </w:hyperlink>
        </w:p>
        <w:p w14:paraId="62DFBA9B" w14:textId="36BB3294" w:rsidR="0053159F" w:rsidRPr="00EF0181" w:rsidRDefault="0053159F">
          <w:pPr>
            <w:pStyle w:val="TOC1"/>
            <w:tabs>
              <w:tab w:val="right" w:leader="dot" w:pos="8630"/>
            </w:tabs>
            <w:rPr>
              <w:rFonts w:ascii="Times New Roman" w:hAnsi="Times New Roman" w:cs="Times New Roman"/>
              <w:noProof/>
              <w:sz w:val="28"/>
              <w:szCs w:val="28"/>
            </w:rPr>
          </w:pPr>
          <w:hyperlink w:anchor="_Toc213785864" w:history="1">
            <w:r w:rsidRPr="00EF0181">
              <w:rPr>
                <w:rStyle w:val="Hyperlink"/>
                <w:rFonts w:ascii="Times New Roman" w:hAnsi="Times New Roman" w:cs="Times New Roman"/>
                <w:noProof/>
                <w:sz w:val="28"/>
                <w:szCs w:val="28"/>
              </w:rPr>
              <w:t>2. Cost Analysis and Business Model</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_Toc213785864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2</w:t>
            </w:r>
            <w:r w:rsidRPr="00EF0181">
              <w:rPr>
                <w:rFonts w:ascii="Times New Roman" w:hAnsi="Times New Roman" w:cs="Times New Roman"/>
                <w:noProof/>
                <w:webHidden/>
                <w:sz w:val="28"/>
                <w:szCs w:val="28"/>
              </w:rPr>
              <w:fldChar w:fldCharType="end"/>
            </w:r>
          </w:hyperlink>
        </w:p>
        <w:p w14:paraId="3C06C578" w14:textId="56AB161C" w:rsidR="0053159F" w:rsidRPr="00EF0181" w:rsidRDefault="0053159F">
          <w:pPr>
            <w:pStyle w:val="TOC1"/>
            <w:tabs>
              <w:tab w:val="right" w:leader="dot" w:pos="8630"/>
            </w:tabs>
            <w:rPr>
              <w:rFonts w:ascii="Times New Roman" w:hAnsi="Times New Roman" w:cs="Times New Roman"/>
              <w:noProof/>
              <w:sz w:val="28"/>
              <w:szCs w:val="28"/>
            </w:rPr>
          </w:pPr>
          <w:hyperlink w:anchor="_Toc213785865" w:history="1">
            <w:r w:rsidRPr="00EF0181">
              <w:rPr>
                <w:rStyle w:val="Hyperlink"/>
                <w:rFonts w:ascii="Times New Roman" w:hAnsi="Times New Roman" w:cs="Times New Roman"/>
                <w:noProof/>
                <w:sz w:val="28"/>
                <w:szCs w:val="28"/>
              </w:rPr>
              <w:t>3. Budgeting and Financial Planning</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_Toc213785865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4</w:t>
            </w:r>
            <w:r w:rsidRPr="00EF0181">
              <w:rPr>
                <w:rFonts w:ascii="Times New Roman" w:hAnsi="Times New Roman" w:cs="Times New Roman"/>
                <w:noProof/>
                <w:webHidden/>
                <w:sz w:val="28"/>
                <w:szCs w:val="28"/>
              </w:rPr>
              <w:fldChar w:fldCharType="end"/>
            </w:r>
          </w:hyperlink>
        </w:p>
        <w:p w14:paraId="6AD25B6B" w14:textId="652B80E8" w:rsidR="0053159F" w:rsidRPr="00EF0181" w:rsidRDefault="0053159F">
          <w:pPr>
            <w:pStyle w:val="TOC1"/>
            <w:tabs>
              <w:tab w:val="right" w:leader="dot" w:pos="8630"/>
            </w:tabs>
            <w:rPr>
              <w:rFonts w:ascii="Times New Roman" w:hAnsi="Times New Roman" w:cs="Times New Roman"/>
              <w:noProof/>
              <w:sz w:val="28"/>
              <w:szCs w:val="28"/>
            </w:rPr>
          </w:pPr>
          <w:hyperlink w:anchor="_Toc213785866" w:history="1">
            <w:r w:rsidRPr="00EF0181">
              <w:rPr>
                <w:rStyle w:val="Hyperlink"/>
                <w:rFonts w:ascii="Times New Roman" w:hAnsi="Times New Roman" w:cs="Times New Roman"/>
                <w:noProof/>
                <w:sz w:val="28"/>
                <w:szCs w:val="28"/>
              </w:rPr>
              <w:t>4. Performance Measurement and Decision‑Making</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_Toc213785866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5</w:t>
            </w:r>
            <w:r w:rsidRPr="00EF0181">
              <w:rPr>
                <w:rFonts w:ascii="Times New Roman" w:hAnsi="Times New Roman" w:cs="Times New Roman"/>
                <w:noProof/>
                <w:webHidden/>
                <w:sz w:val="28"/>
                <w:szCs w:val="28"/>
              </w:rPr>
              <w:fldChar w:fldCharType="end"/>
            </w:r>
          </w:hyperlink>
        </w:p>
        <w:p w14:paraId="2309F502" w14:textId="5922640F" w:rsidR="0053159F" w:rsidRPr="00EF0181" w:rsidRDefault="0053159F">
          <w:pPr>
            <w:pStyle w:val="TOC1"/>
            <w:tabs>
              <w:tab w:val="right" w:leader="dot" w:pos="8630"/>
            </w:tabs>
            <w:rPr>
              <w:rFonts w:ascii="Times New Roman" w:hAnsi="Times New Roman" w:cs="Times New Roman"/>
              <w:noProof/>
              <w:sz w:val="28"/>
              <w:szCs w:val="28"/>
            </w:rPr>
          </w:pPr>
          <w:hyperlink w:anchor="_Toc213785867" w:history="1">
            <w:r w:rsidRPr="00EF0181">
              <w:rPr>
                <w:rStyle w:val="Hyperlink"/>
                <w:rFonts w:ascii="Times New Roman" w:hAnsi="Times New Roman" w:cs="Times New Roman"/>
                <w:noProof/>
                <w:sz w:val="28"/>
                <w:szCs w:val="28"/>
              </w:rPr>
              <w:t>5. Sustainability and Ethical Considerations</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_Toc213785867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6</w:t>
            </w:r>
            <w:r w:rsidRPr="00EF0181">
              <w:rPr>
                <w:rFonts w:ascii="Times New Roman" w:hAnsi="Times New Roman" w:cs="Times New Roman"/>
                <w:noProof/>
                <w:webHidden/>
                <w:sz w:val="28"/>
                <w:szCs w:val="28"/>
              </w:rPr>
              <w:fldChar w:fldCharType="end"/>
            </w:r>
          </w:hyperlink>
        </w:p>
        <w:p w14:paraId="50091F2C" w14:textId="786C4613" w:rsidR="0053159F" w:rsidRPr="00EF0181" w:rsidRDefault="0053159F">
          <w:pPr>
            <w:pStyle w:val="TOC1"/>
            <w:tabs>
              <w:tab w:val="right" w:leader="dot" w:pos="8630"/>
            </w:tabs>
            <w:rPr>
              <w:rFonts w:ascii="Times New Roman" w:hAnsi="Times New Roman" w:cs="Times New Roman"/>
              <w:noProof/>
              <w:sz w:val="28"/>
              <w:szCs w:val="28"/>
            </w:rPr>
          </w:pPr>
          <w:hyperlink w:anchor="_Toc213785868" w:history="1">
            <w:r w:rsidRPr="00EF0181">
              <w:rPr>
                <w:rStyle w:val="Hyperlink"/>
                <w:rFonts w:ascii="Times New Roman" w:hAnsi="Times New Roman" w:cs="Times New Roman"/>
                <w:noProof/>
                <w:sz w:val="28"/>
                <w:szCs w:val="28"/>
              </w:rPr>
              <w:t>6. Conclusion and Recommendations</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_Toc213785868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8</w:t>
            </w:r>
            <w:r w:rsidRPr="00EF0181">
              <w:rPr>
                <w:rFonts w:ascii="Times New Roman" w:hAnsi="Times New Roman" w:cs="Times New Roman"/>
                <w:noProof/>
                <w:webHidden/>
                <w:sz w:val="28"/>
                <w:szCs w:val="28"/>
              </w:rPr>
              <w:fldChar w:fldCharType="end"/>
            </w:r>
          </w:hyperlink>
        </w:p>
        <w:p w14:paraId="08FDC5D6" w14:textId="0D89CB4E" w:rsidR="0053159F" w:rsidRPr="00EF0181" w:rsidRDefault="0053159F">
          <w:pPr>
            <w:pStyle w:val="TOC1"/>
            <w:tabs>
              <w:tab w:val="right" w:leader="dot" w:pos="8630"/>
            </w:tabs>
            <w:rPr>
              <w:rFonts w:ascii="Times New Roman" w:hAnsi="Times New Roman" w:cs="Times New Roman"/>
              <w:noProof/>
              <w:sz w:val="24"/>
              <w:szCs w:val="24"/>
            </w:rPr>
          </w:pPr>
          <w:hyperlink w:anchor="_Toc213785869" w:history="1">
            <w:r w:rsidRPr="00EF0181">
              <w:rPr>
                <w:rStyle w:val="Hyperlink"/>
                <w:rFonts w:ascii="Times New Roman" w:hAnsi="Times New Roman" w:cs="Times New Roman"/>
                <w:noProof/>
                <w:sz w:val="28"/>
                <w:szCs w:val="28"/>
              </w:rPr>
              <w:t>References</w:t>
            </w:r>
            <w:r w:rsidRPr="00EF0181">
              <w:rPr>
                <w:rFonts w:ascii="Times New Roman" w:hAnsi="Times New Roman" w:cs="Times New Roman"/>
                <w:noProof/>
                <w:webHidden/>
                <w:sz w:val="28"/>
                <w:szCs w:val="28"/>
              </w:rPr>
              <w:tab/>
            </w:r>
            <w:r w:rsidRPr="00EF0181">
              <w:rPr>
                <w:rFonts w:ascii="Times New Roman" w:hAnsi="Times New Roman" w:cs="Times New Roman"/>
                <w:noProof/>
                <w:webHidden/>
                <w:sz w:val="28"/>
                <w:szCs w:val="28"/>
              </w:rPr>
              <w:fldChar w:fldCharType="begin"/>
            </w:r>
            <w:r w:rsidRPr="00EF0181">
              <w:rPr>
                <w:rFonts w:ascii="Times New Roman" w:hAnsi="Times New Roman" w:cs="Times New Roman"/>
                <w:noProof/>
                <w:webHidden/>
                <w:sz w:val="28"/>
                <w:szCs w:val="28"/>
              </w:rPr>
              <w:instrText xml:space="preserve"> PAGEREF _Toc213785869 \h </w:instrText>
            </w:r>
            <w:r w:rsidRPr="00EF0181">
              <w:rPr>
                <w:rFonts w:ascii="Times New Roman" w:hAnsi="Times New Roman" w:cs="Times New Roman"/>
                <w:noProof/>
                <w:webHidden/>
                <w:sz w:val="28"/>
                <w:szCs w:val="28"/>
              </w:rPr>
            </w:r>
            <w:r w:rsidRPr="00EF0181">
              <w:rPr>
                <w:rFonts w:ascii="Times New Roman" w:hAnsi="Times New Roman" w:cs="Times New Roman"/>
                <w:noProof/>
                <w:webHidden/>
                <w:sz w:val="28"/>
                <w:szCs w:val="28"/>
              </w:rPr>
              <w:fldChar w:fldCharType="separate"/>
            </w:r>
            <w:r w:rsidRPr="00EF0181">
              <w:rPr>
                <w:rFonts w:ascii="Times New Roman" w:hAnsi="Times New Roman" w:cs="Times New Roman"/>
                <w:noProof/>
                <w:webHidden/>
                <w:sz w:val="28"/>
                <w:szCs w:val="28"/>
              </w:rPr>
              <w:t>9</w:t>
            </w:r>
            <w:r w:rsidRPr="00EF0181">
              <w:rPr>
                <w:rFonts w:ascii="Times New Roman" w:hAnsi="Times New Roman" w:cs="Times New Roman"/>
                <w:noProof/>
                <w:webHidden/>
                <w:sz w:val="28"/>
                <w:szCs w:val="28"/>
              </w:rPr>
              <w:fldChar w:fldCharType="end"/>
            </w:r>
          </w:hyperlink>
        </w:p>
        <w:p w14:paraId="536F7C68" w14:textId="7A49244F" w:rsidR="0053159F" w:rsidRDefault="0053159F">
          <w:r w:rsidRPr="00EF0181">
            <w:rPr>
              <w:b/>
              <w:bCs/>
              <w:noProof/>
              <w:sz w:val="24"/>
              <w:szCs w:val="24"/>
            </w:rPr>
            <w:fldChar w:fldCharType="end"/>
          </w:r>
        </w:p>
      </w:sdtContent>
    </w:sdt>
    <w:p w14:paraId="5FBFD7C6" w14:textId="77777777" w:rsidR="0053159F" w:rsidRDefault="0053159F" w:rsidP="00676B5E">
      <w:pPr>
        <w:spacing w:line="360" w:lineRule="auto"/>
        <w:jc w:val="both"/>
        <w:rPr>
          <w:rFonts w:ascii="Times New Roman" w:hAnsi="Times New Roman" w:cs="Times New Roman"/>
          <w:b/>
          <w:color w:val="000000" w:themeColor="text1"/>
          <w:sz w:val="24"/>
          <w:szCs w:val="24"/>
        </w:rPr>
      </w:pPr>
    </w:p>
    <w:p w14:paraId="0647629B" w14:textId="77777777" w:rsidR="0053159F" w:rsidRDefault="0053159F" w:rsidP="00676B5E">
      <w:pPr>
        <w:spacing w:line="360" w:lineRule="auto"/>
        <w:jc w:val="both"/>
        <w:rPr>
          <w:rFonts w:ascii="Times New Roman" w:hAnsi="Times New Roman" w:cs="Times New Roman"/>
          <w:b/>
          <w:color w:val="000000" w:themeColor="text1"/>
          <w:sz w:val="24"/>
          <w:szCs w:val="24"/>
        </w:rPr>
      </w:pPr>
    </w:p>
    <w:p w14:paraId="0D55C9FA" w14:textId="77777777" w:rsidR="0053159F" w:rsidRDefault="0053159F" w:rsidP="00676B5E">
      <w:pPr>
        <w:spacing w:line="360" w:lineRule="auto"/>
        <w:jc w:val="both"/>
        <w:rPr>
          <w:rFonts w:ascii="Times New Roman" w:hAnsi="Times New Roman" w:cs="Times New Roman"/>
          <w:b/>
          <w:color w:val="000000" w:themeColor="text1"/>
          <w:sz w:val="24"/>
          <w:szCs w:val="24"/>
        </w:rPr>
      </w:pPr>
    </w:p>
    <w:p w14:paraId="51B191C5"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32E9D73A"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2683DEFB"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301B334A"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66D04DA3"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78074E0B"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712BF8F6"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396CF93D"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03AA60A3"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4514ABF2" w14:textId="77777777" w:rsidR="00EF4E85" w:rsidRDefault="00EF4E85" w:rsidP="00676B5E">
      <w:pPr>
        <w:spacing w:line="360" w:lineRule="auto"/>
        <w:jc w:val="both"/>
        <w:rPr>
          <w:rFonts w:ascii="Times New Roman" w:hAnsi="Times New Roman" w:cs="Times New Roman"/>
          <w:b/>
          <w:color w:val="000000" w:themeColor="text1"/>
          <w:sz w:val="24"/>
          <w:szCs w:val="24"/>
        </w:rPr>
      </w:pPr>
    </w:p>
    <w:p w14:paraId="3B5C71FB" w14:textId="77777777" w:rsidR="0053159F" w:rsidRPr="00676B5E" w:rsidRDefault="0053159F" w:rsidP="00676B5E">
      <w:pPr>
        <w:spacing w:line="360" w:lineRule="auto"/>
        <w:jc w:val="both"/>
        <w:rPr>
          <w:rFonts w:ascii="Times New Roman" w:hAnsi="Times New Roman" w:cs="Times New Roman"/>
          <w:color w:val="000000" w:themeColor="text1"/>
          <w:sz w:val="24"/>
          <w:szCs w:val="24"/>
        </w:rPr>
      </w:pPr>
    </w:p>
    <w:p w14:paraId="0CD5DBA8" w14:textId="3E6E571B" w:rsidR="00676B5E" w:rsidRPr="00EF4E85" w:rsidRDefault="00AC4B71" w:rsidP="00676B5E">
      <w:pPr>
        <w:pStyle w:val="Heading1"/>
        <w:numPr>
          <w:ilvl w:val="0"/>
          <w:numId w:val="10"/>
        </w:numPr>
        <w:spacing w:line="360" w:lineRule="auto"/>
        <w:jc w:val="both"/>
        <w:rPr>
          <w:rFonts w:ascii="Times New Roman" w:hAnsi="Times New Roman" w:cs="Times New Roman"/>
          <w:color w:val="000000" w:themeColor="text1"/>
        </w:rPr>
      </w:pPr>
      <w:bookmarkStart w:id="0" w:name="_Toc213785862"/>
      <w:r w:rsidRPr="00676B5E">
        <w:rPr>
          <w:rFonts w:ascii="Times New Roman" w:hAnsi="Times New Roman" w:cs="Times New Roman"/>
          <w:color w:val="000000" w:themeColor="text1"/>
        </w:rPr>
        <w:lastRenderedPageBreak/>
        <w:t>Introduction</w:t>
      </w:r>
      <w:bookmarkEnd w:id="0"/>
    </w:p>
    <w:p w14:paraId="02D0CA45" w14:textId="33A473AE" w:rsidR="00676B5E" w:rsidRDefault="00676B5E" w:rsidP="00EF0181">
      <w:pPr>
        <w:pStyle w:val="Heading2"/>
        <w:spacing w:line="360" w:lineRule="auto"/>
        <w:jc w:val="both"/>
        <w:rPr>
          <w:rFonts w:ascii="Times New Roman" w:eastAsiaTheme="minorEastAsia" w:hAnsi="Times New Roman" w:cs="Times New Roman"/>
          <w:b w:val="0"/>
          <w:bCs w:val="0"/>
          <w:color w:val="000000" w:themeColor="text1"/>
          <w:sz w:val="24"/>
          <w:szCs w:val="24"/>
        </w:rPr>
      </w:pPr>
      <w:bookmarkStart w:id="1" w:name="_Toc213785863"/>
      <w:r w:rsidRPr="00676B5E">
        <w:rPr>
          <w:rFonts w:ascii="Times New Roman" w:eastAsiaTheme="minorEastAsia" w:hAnsi="Times New Roman" w:cs="Times New Roman"/>
          <w:b w:val="0"/>
          <w:bCs w:val="0"/>
          <w:color w:val="000000" w:themeColor="text1"/>
          <w:sz w:val="24"/>
          <w:szCs w:val="24"/>
        </w:rPr>
        <w:t>Wise plc (LSE: WISE), formerly known as TransferWise, is a London-listed fintech that provides cross-border money transfers and multi-currency accounts for customers. In FY2025 (year to 31 March 2025), the company served 15.6 million active customers and handled £145.2 billion of cross-border payments, highlighting its scale and importance in global payments (Wise plc, 2025). Contemporary management accounting supplies the analytical backbone that allows digital firms to plan, steer and decide confidently amid rapid change and abundant data. Techniques including cost–volume–profit (CVP) analysis, activity-based costing (ABC), budgeting with rolling forecasts, variance analysis, and performance frameworks such as the Balanced Scorecard inform resource allocation, pricing, and strategic direction and priorities (Horngren, Datar &amp; Rajan, 2015; Kaplan &amp; Norton, 1992; Hope &amp; Fraser, 2003). This report examines how these management accounting practices operate within Wise, emphasising its cost structure and business model, budgeting and financial planning, performance metrics, and sustainability and ethics, and concludes with evidence-based recommendations</w:t>
      </w:r>
      <w:bookmarkEnd w:id="1"/>
    </w:p>
    <w:p w14:paraId="0085F27C" w14:textId="77777777" w:rsidR="00EF0181" w:rsidRPr="00EF0181" w:rsidRDefault="00EF0181" w:rsidP="00EF0181"/>
    <w:p w14:paraId="2E96E97E" w14:textId="6C145384" w:rsidR="00676B5E" w:rsidRPr="00676B5E" w:rsidRDefault="00AC4B71" w:rsidP="00EF4E85">
      <w:pPr>
        <w:pStyle w:val="Heading1"/>
        <w:spacing w:line="360" w:lineRule="auto"/>
        <w:rPr>
          <w:rFonts w:ascii="Times New Roman" w:hAnsi="Times New Roman" w:cs="Times New Roman"/>
          <w:color w:val="000000" w:themeColor="text1"/>
        </w:rPr>
      </w:pPr>
      <w:bookmarkStart w:id="2" w:name="_Toc213785864"/>
      <w:r w:rsidRPr="00676B5E">
        <w:rPr>
          <w:rFonts w:ascii="Times New Roman" w:hAnsi="Times New Roman" w:cs="Times New Roman"/>
          <w:color w:val="000000" w:themeColor="text1"/>
        </w:rPr>
        <w:t>2. Cost Analysis and Business Model</w:t>
      </w:r>
      <w:bookmarkEnd w:id="2"/>
      <w:r w:rsidRPr="00676B5E">
        <w:rPr>
          <w:rFonts w:ascii="Times New Roman" w:hAnsi="Times New Roman" w:cs="Times New Roman"/>
          <w:color w:val="000000" w:themeColor="text1"/>
        </w:rPr>
        <w:t xml:space="preserve"> </w:t>
      </w:r>
    </w:p>
    <w:p w14:paraId="0524D04B" w14:textId="7CD81038" w:rsidR="00FE1EED" w:rsidRDefault="00AC4B71" w:rsidP="00FE1EED">
      <w:pPr>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Revenue model. Wise generates income from three primary sources: cross‑border fees on money transfers and currency conversions; card revenue (predominantly interchange fees from debit card usage); and ‘other’ revenue streams such as business account set‑up fees, card replacement fees and fees on its Wise Assets investment features. In FY2025, revenue reached £1,211.9m, comprising £840.4m from cross‑border, £219.8m from card, and £151.7m from other revenue (Wise plc, 2025). Wise also earns interest income on</w:t>
      </w:r>
      <w:r w:rsidRPr="00676B5E">
        <w:rPr>
          <w:rFonts w:ascii="Times New Roman" w:hAnsi="Times New Roman" w:cs="Times New Roman"/>
          <w:color w:val="000000" w:themeColor="text1"/>
          <w:sz w:val="24"/>
          <w:szCs w:val="24"/>
        </w:rPr>
        <w:t xml:space="preserve"> customer balances; under its policy, it treats only the first 1% gross yield as ‘underlying interest income’ for management performance tracking (Wise plc, 2025). Importantly, Wise has continued to reduce prices to customers, with the cross‑border ‘take rate’ declining to c.58 bps for FY2025 and to ~53 bps by Q4 FY2025 as efficiency gains were passed on (Wise plc, 2025). In FY2024, the average cross‑border price was 0.67% and 62% of transfers were instant, reflecting operational efficiencies that underpin </w:t>
      </w:r>
      <w:r w:rsidRPr="00676B5E">
        <w:rPr>
          <w:rFonts w:ascii="Times New Roman" w:hAnsi="Times New Roman" w:cs="Times New Roman"/>
          <w:color w:val="000000" w:themeColor="text1"/>
          <w:sz w:val="24"/>
          <w:szCs w:val="24"/>
        </w:rPr>
        <w:t xml:space="preserve">the pricing model (Wise plc, </w:t>
      </w:r>
      <w:r w:rsidRPr="00676B5E">
        <w:rPr>
          <w:rFonts w:ascii="Times New Roman" w:hAnsi="Times New Roman" w:cs="Times New Roman"/>
          <w:color w:val="000000" w:themeColor="text1"/>
          <w:sz w:val="24"/>
          <w:szCs w:val="24"/>
        </w:rPr>
        <w:lastRenderedPageBreak/>
        <w:t xml:space="preserve">2024).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Cost structure. Wise’s cost base comprises (a) cost of sales (network, liquidity and payment processing costs), (b) administrative expenses (people costs, technology, outsourced services and marketing), and (c) finance costs. In FY2025, cost of sales and credit losses totalled £337.2m (+5% YoY), while administrative expenses rose to £768.6m (+25% YoY), driven by a 9% increase in employee benefit expenses to £412.7m, higher outsourced service costs (+42% YoY to £128.1m),</w:t>
      </w:r>
      <w:r w:rsidRPr="00676B5E">
        <w:rPr>
          <w:rFonts w:ascii="Times New Roman" w:hAnsi="Times New Roman" w:cs="Times New Roman"/>
          <w:color w:val="000000" w:themeColor="text1"/>
          <w:sz w:val="24"/>
          <w:szCs w:val="24"/>
        </w:rPr>
        <w:t xml:space="preserve"> technology expenses (+23% YoY to £65.9m), and a deliberate 47% rise in marketing spend to £53.8m to support growth (Wise plc, 2025). These cost dynamics illustrate a mixed cost structure: • Fixed and step‑fixed costs: engineering talent, compliance teams, core platform and connectivity, and long‑term licensing and infrastructure commitments (e.g., direct connections to domestic payment systems in Australia, the Philippines and Japan) create a substantial fixed and step‑fixed cost base that supports scaling</w:t>
      </w:r>
      <w:r w:rsidRPr="00676B5E">
        <w:rPr>
          <w:rFonts w:ascii="Times New Roman" w:hAnsi="Times New Roman" w:cs="Times New Roman"/>
          <w:color w:val="000000" w:themeColor="text1"/>
          <w:sz w:val="24"/>
          <w:szCs w:val="24"/>
        </w:rPr>
        <w:t xml:space="preserve"> (Wise plc, 2024; 2025). • Variable and semi‑variable costs: processing fees, card scheme fees, fraud‑loss provisions and customer support scale with volume and activity. Marketing spend is partly discretionary but is often treated as variable with growth targets.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Implications for management accounting. With high operating leverage in technology and network capacity but variable costs tied to transaction throughput, CVP analysis and contribution margin tracking are central to Wise’s pricing and product de</w:t>
      </w:r>
      <w:r w:rsidRPr="00676B5E">
        <w:rPr>
          <w:rFonts w:ascii="Times New Roman" w:hAnsi="Times New Roman" w:cs="Times New Roman"/>
          <w:color w:val="000000" w:themeColor="text1"/>
          <w:sz w:val="24"/>
          <w:szCs w:val="24"/>
        </w:rPr>
        <w:t>cisions (Horngren, Datar &amp; Rajan, 2015). ABC can improve visibility of cost drivers across cross‑border corridors, card usage patterns, and compliance workloads, informing route‑level pricing and discounting. Moreover, monitoring cost‑to‑income ratios at product and region level helps assess scale efficiency, while scenario analysis evaluates the margin impact of fee reductions versus expected elasticity of demand (Kaplan &amp; Atkinson, 2015).</w:t>
      </w:r>
      <w:bookmarkStart w:id="3" w:name="_Toc213785865"/>
    </w:p>
    <w:p w14:paraId="15E66B32" w14:textId="77777777" w:rsidR="00FE1EED" w:rsidRPr="00FE1EED" w:rsidRDefault="00FE1EED" w:rsidP="00FE1EED">
      <w:pPr>
        <w:spacing w:line="360" w:lineRule="auto"/>
        <w:jc w:val="both"/>
        <w:rPr>
          <w:rFonts w:ascii="Times New Roman" w:hAnsi="Times New Roman" w:cs="Times New Roman"/>
          <w:color w:val="000000" w:themeColor="text1"/>
          <w:sz w:val="24"/>
          <w:szCs w:val="24"/>
        </w:rPr>
      </w:pPr>
    </w:p>
    <w:p w14:paraId="649C0FBC" w14:textId="35FB4F7A" w:rsidR="00676B5E" w:rsidRPr="00676B5E" w:rsidRDefault="00AC4B71" w:rsidP="00EF4E85">
      <w:pPr>
        <w:pStyle w:val="Heading1"/>
        <w:spacing w:line="360" w:lineRule="auto"/>
        <w:rPr>
          <w:rFonts w:ascii="Times New Roman" w:hAnsi="Times New Roman" w:cs="Times New Roman"/>
          <w:color w:val="000000" w:themeColor="text1"/>
        </w:rPr>
      </w:pPr>
      <w:r w:rsidRPr="00676B5E">
        <w:rPr>
          <w:rFonts w:ascii="Times New Roman" w:hAnsi="Times New Roman" w:cs="Times New Roman"/>
          <w:color w:val="000000" w:themeColor="text1"/>
        </w:rPr>
        <w:lastRenderedPageBreak/>
        <w:t>3. Budgeting and Financial Planning</w:t>
      </w:r>
      <w:bookmarkEnd w:id="3"/>
      <w:r w:rsidRPr="00676B5E">
        <w:rPr>
          <w:rFonts w:ascii="Times New Roman" w:hAnsi="Times New Roman" w:cs="Times New Roman"/>
          <w:color w:val="000000" w:themeColor="text1"/>
        </w:rPr>
        <w:t xml:space="preserve"> </w:t>
      </w:r>
    </w:p>
    <w:p w14:paraId="6E6BC31E" w14:textId="06E88877" w:rsidR="00676B5E" w:rsidRPr="00676B5E" w:rsidRDefault="00AC4B71" w:rsidP="00676B5E">
      <w:pPr>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Role of budgeting. For a fast‑growing, regulated fintech, budgeting serves multiple purposes: (1) setting revenue, volume and cost targets aligned to strategic objectives (e.g., growth in active customers and cross‑border volume); (2) resourcing technology, regulatory and risk‑management investments; and (3) providing baselines for variance analysis and rolling re‑forecasts in response to market conditions (CIMA, 2009; Hope &amp; Fraser, 2003). Wise discloses medium‑term guidance of 15–20% CAGR for underlying i</w:t>
      </w:r>
      <w:r w:rsidRPr="00676B5E">
        <w:rPr>
          <w:rFonts w:ascii="Times New Roman" w:hAnsi="Times New Roman" w:cs="Times New Roman"/>
          <w:color w:val="000000" w:themeColor="text1"/>
          <w:sz w:val="24"/>
          <w:szCs w:val="24"/>
        </w:rPr>
        <w:t xml:space="preserve">ncome and a sustainable underlying PBT margin of 13–16%, while operating above this range at 21% in FY2025 as it reinvested efficiency gains into lower prices and infrastructure (Wise plc, 2025). Such guidance anchors financial planning and capital allocation (including a planned ~£2bn investment over two years in infrastructure, marketing and products), while still permitting agility via dynamic re‑pricing and corridor economics reviews (Wise plc, 2025).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 xml:space="preserve">Current year‑on‑year change in operating expenses </w:t>
      </w:r>
      <w:r w:rsidRPr="00676B5E">
        <w:rPr>
          <w:rFonts w:ascii="Times New Roman" w:hAnsi="Times New Roman" w:cs="Times New Roman"/>
          <w:color w:val="000000" w:themeColor="text1"/>
          <w:sz w:val="24"/>
          <w:szCs w:val="24"/>
        </w:rPr>
        <w:t>and drivers. Google Finance shows Wise’s operating expense for Fiscal Q2 FY2026 (quarter ended 30 September 2025) at c. £232.95m, up 26.29% YoY (Google Finance, 2025). Management disclosures attribute FY2025 administrative cost growth (+25% YoY) to continued hiring to support scale (headcount exceeded 6,500), higher outsourced servicing to flex capacity, stepped‑up marketing (+47%) to acquire and engage customers, and increased technology spend (+23%) to enhance payments infrastructure (Wise plc, 2025). The</w:t>
      </w:r>
      <w:r w:rsidRPr="00676B5E">
        <w:rPr>
          <w:rFonts w:ascii="Times New Roman" w:hAnsi="Times New Roman" w:cs="Times New Roman"/>
          <w:color w:val="000000" w:themeColor="text1"/>
          <w:sz w:val="24"/>
          <w:szCs w:val="24"/>
        </w:rPr>
        <w:t xml:space="preserve">se are largely internal, strategic choices to build capacity and accelerate growth. Externally, macro‑drivers also intersect with the budget: (i) elevated global interest rates increased interest income on customer balances, enabling price reductions that, in turn, required volume‑led budgeting to sustain margins (Wise plc, 2024; WSJ, 2024); (ii) regulatory expansion and licensing in markets such as Japan and India add compliance and implementation costs (Wise plc, 2024; 2025).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Planning implications. In t</w:t>
      </w:r>
      <w:r w:rsidRPr="00676B5E">
        <w:rPr>
          <w:rFonts w:ascii="Times New Roman" w:hAnsi="Times New Roman" w:cs="Times New Roman"/>
          <w:color w:val="000000" w:themeColor="text1"/>
          <w:sz w:val="24"/>
          <w:szCs w:val="24"/>
        </w:rPr>
        <w:t xml:space="preserve">his context, rolling forecasts and driver‑based models are appropriate: volumes by corridor, take‑rate trajectories, marketing efficiency (CAC/LTV), fraud‑loss rates, and unit processing costs should be embedded in forecast algorithms. </w:t>
      </w:r>
      <w:r w:rsidRPr="00676B5E">
        <w:rPr>
          <w:rFonts w:ascii="Times New Roman" w:hAnsi="Times New Roman" w:cs="Times New Roman"/>
          <w:color w:val="000000" w:themeColor="text1"/>
          <w:sz w:val="24"/>
          <w:szCs w:val="24"/>
        </w:rPr>
        <w:lastRenderedPageBreak/>
        <w:t xml:space="preserve">Sensitivity and scenario analysis—e.g., a 5–10 bps reduction in take rate vs. elasticity‑driven volume uplift; or a 10–20% change in card interchange yields—help management judge whether price cuts remain value‑accretive and consistent with the mid‑term margin target (Kaplan </w:t>
      </w:r>
      <w:r w:rsidRPr="00676B5E">
        <w:rPr>
          <w:rFonts w:ascii="Times New Roman" w:hAnsi="Times New Roman" w:cs="Times New Roman"/>
          <w:color w:val="000000" w:themeColor="text1"/>
          <w:sz w:val="24"/>
          <w:szCs w:val="24"/>
        </w:rPr>
        <w:t>&amp; Atkinson, 2015; CIMA, 2009)</w:t>
      </w:r>
    </w:p>
    <w:p w14:paraId="173CDC28" w14:textId="45153CAE" w:rsidR="00676B5E" w:rsidRPr="00676B5E" w:rsidRDefault="00AC4B71" w:rsidP="00EF4E85">
      <w:pPr>
        <w:pStyle w:val="Heading1"/>
        <w:spacing w:line="360" w:lineRule="auto"/>
        <w:rPr>
          <w:rFonts w:ascii="Times New Roman" w:hAnsi="Times New Roman" w:cs="Times New Roman"/>
          <w:color w:val="000000" w:themeColor="text1"/>
        </w:rPr>
      </w:pPr>
      <w:bookmarkStart w:id="4" w:name="_Toc213785866"/>
      <w:r w:rsidRPr="00676B5E">
        <w:rPr>
          <w:rFonts w:ascii="Times New Roman" w:hAnsi="Times New Roman" w:cs="Times New Roman"/>
          <w:color w:val="000000" w:themeColor="text1"/>
        </w:rPr>
        <w:t>4. Performance Measurement and Decision‑Making</w:t>
      </w:r>
      <w:bookmarkEnd w:id="4"/>
      <w:r w:rsidRPr="00676B5E">
        <w:rPr>
          <w:rFonts w:ascii="Times New Roman" w:hAnsi="Times New Roman" w:cs="Times New Roman"/>
          <w:color w:val="000000" w:themeColor="text1"/>
        </w:rPr>
        <w:t xml:space="preserve"> </w:t>
      </w:r>
    </w:p>
    <w:p w14:paraId="52D4D358" w14:textId="77777777" w:rsidR="00144B01" w:rsidRPr="00676B5E" w:rsidRDefault="00AC4B71" w:rsidP="00676B5E">
      <w:pPr>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Management accounting underpins Wise’s data‑driven decision‑making. A robust performance framework combines financial and non‑financial KPIs, aligned with the company’s mission of “money without borders” and a low‑cost, high‑speed value proposition (Kaplan &amp; Norton, 1992; Wise, Mission page). Key indicators, drawn from investor disclosures and common fintech practice, include:</w:t>
      </w:r>
    </w:p>
    <w:p w14:paraId="49BCA92A" w14:textId="77777777" w:rsidR="00144B01" w:rsidRPr="00676B5E" w:rsidRDefault="00AC4B71" w:rsidP="00676B5E">
      <w:pPr>
        <w:pStyle w:val="ListBullet"/>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Active customers (million): 15.6m in FY2025 (+21% YoY). Indicates market penetration and network effects; supports capacity planning and marketing ROI calibration. (Wise plc, 2025).</w:t>
      </w:r>
    </w:p>
    <w:p w14:paraId="65B2940F" w14:textId="77777777" w:rsidR="00144B01" w:rsidRPr="00676B5E" w:rsidRDefault="00AC4B71" w:rsidP="00676B5E">
      <w:pPr>
        <w:pStyle w:val="ListBullet"/>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Cross‑border volume (£bn): £145.2bn in FY2025 (+23% YoY). A principal activity driver for revenue and cost; central to CVP, corridor profitability and liquidity management. (Wise plc, 2025).</w:t>
      </w:r>
    </w:p>
    <w:p w14:paraId="0EE7018F" w14:textId="77777777" w:rsidR="00144B01" w:rsidRPr="00676B5E" w:rsidRDefault="00AC4B71" w:rsidP="00676B5E">
      <w:pPr>
        <w:pStyle w:val="ListBullet"/>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Take rate (cross‑border revenue/volume, bps): ~58 bps in FY2025; ~53 bps by Q4 FY2025. Guides pricing decisions and tests price‑elasticity hypotheses while balancing margin. (Wise plc, 2025; The Times, 2025).</w:t>
      </w:r>
    </w:p>
    <w:p w14:paraId="4F3372F6" w14:textId="77777777" w:rsidR="00144B01" w:rsidRPr="00676B5E" w:rsidRDefault="00AC4B71" w:rsidP="00676B5E">
      <w:pPr>
        <w:pStyle w:val="ListBullet"/>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Cost‑to‑income / administrative expense growth: Admin expenses +25% YoY in FY2025; Opex +26.3% YoY in Q2 FY26. Tracks operating leverage and overhead absorption vs. scaling. (Wise plc, 2025; Google Finance, 2025).</w:t>
      </w:r>
    </w:p>
    <w:p w14:paraId="03CE210F" w14:textId="77777777" w:rsidR="00144B01" w:rsidRPr="00676B5E" w:rsidRDefault="00AC4B71" w:rsidP="00676B5E">
      <w:pPr>
        <w:pStyle w:val="ListBullet"/>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Service performance and customer outcomes: instant payments share (≈65% in FY2025) and average price (0.67% in FY2024). Non‑financial KPIs inform customer value, NPS, churn, and acquisition via referrals. (Wise plc, 2024; 2025).</w:t>
      </w:r>
    </w:p>
    <w:p w14:paraId="15D70030" w14:textId="77777777" w:rsidR="00144B01" w:rsidRPr="00676B5E" w:rsidRDefault="00AC4B71" w:rsidP="00676B5E">
      <w:pPr>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br/>
        <w:t xml:space="preserve">Strategic choices based on data. Wise’s decision to reduce cross‑border fees—bringing the take rate down by c.14 bps from Q4 FY2024 to Q4 FY2025—illustrates how management uses unit economics and cohort‑level data to trade current‑period revenue for higher volume, retention and network growth (Wise plc, 2025). In FY2025, card revenue grew 31% to £219.8m, and other revenue rose 71% to £151.7m, evidencing diversification beyond transfers and validating prior product investment and pricing signals (Wise plc, </w:t>
      </w:r>
      <w:r w:rsidRPr="00676B5E">
        <w:rPr>
          <w:rFonts w:ascii="Times New Roman" w:hAnsi="Times New Roman" w:cs="Times New Roman"/>
          <w:color w:val="000000" w:themeColor="text1"/>
          <w:sz w:val="24"/>
          <w:szCs w:val="24"/>
        </w:rPr>
        <w:t xml:space="preserve">2025). Meanwhile, the company’s policy to return ~80% of ‘interest income above the first 1% yield’ on customer balances to customers (with 45% actually paid in FY2025 due to regulatory and market constraints) shows how management accounting measures shape ethical pricing and customer value propositions while protecting mid‑term profitability (Wise plc, 2025).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Decision‑support techniques. Wise’s environment favours Balanced Scorecard logic—financial (underlying PBT margin, UFCF), customer (NPS, adoption o</w:t>
      </w:r>
      <w:r w:rsidRPr="00676B5E">
        <w:rPr>
          <w:rFonts w:ascii="Times New Roman" w:hAnsi="Times New Roman" w:cs="Times New Roman"/>
          <w:color w:val="000000" w:themeColor="text1"/>
          <w:sz w:val="24"/>
          <w:szCs w:val="24"/>
        </w:rPr>
        <w:t>f multi‑feature accounts), internal process (instant payout rate, failed‑payment ratio, fraud‑loss rate), and learning &amp; growth (product release cadence, engineering productivity)—to translate strategy into operational metrics and incentives (Kaplan &amp; Norton, 1996). Route‑level profitability analysis using ABC and contribution margins helps prioritise corridor build‑outs and re‑pricing. Real‑time dashboards and exception‑based variance monitoring enable swift corrective actions in marketing spend, operation</w:t>
      </w:r>
      <w:r w:rsidRPr="00676B5E">
        <w:rPr>
          <w:rFonts w:ascii="Times New Roman" w:hAnsi="Times New Roman" w:cs="Times New Roman"/>
          <w:color w:val="000000" w:themeColor="text1"/>
          <w:sz w:val="24"/>
          <w:szCs w:val="24"/>
        </w:rPr>
        <w:t>al staffing, and fraud controls (IMA, 2017).</w:t>
      </w:r>
    </w:p>
    <w:p w14:paraId="08EB392C" w14:textId="77777777" w:rsidR="00676B5E" w:rsidRPr="00676B5E" w:rsidRDefault="00676B5E" w:rsidP="00676B5E">
      <w:pPr>
        <w:spacing w:line="360" w:lineRule="auto"/>
        <w:jc w:val="both"/>
        <w:rPr>
          <w:rFonts w:ascii="Times New Roman" w:hAnsi="Times New Roman" w:cs="Times New Roman"/>
          <w:color w:val="000000" w:themeColor="text1"/>
          <w:sz w:val="24"/>
          <w:szCs w:val="24"/>
        </w:rPr>
      </w:pPr>
    </w:p>
    <w:p w14:paraId="5FE33AEF" w14:textId="2A108A3D" w:rsidR="00676B5E" w:rsidRPr="00676B5E" w:rsidRDefault="00AC4B71" w:rsidP="00EF4E85">
      <w:pPr>
        <w:pStyle w:val="Heading1"/>
        <w:spacing w:line="360" w:lineRule="auto"/>
        <w:rPr>
          <w:rFonts w:ascii="Times New Roman" w:hAnsi="Times New Roman" w:cs="Times New Roman"/>
          <w:color w:val="000000" w:themeColor="text1"/>
        </w:rPr>
      </w:pPr>
      <w:bookmarkStart w:id="5" w:name="_Toc213785867"/>
      <w:r w:rsidRPr="00676B5E">
        <w:rPr>
          <w:rFonts w:ascii="Times New Roman" w:hAnsi="Times New Roman" w:cs="Times New Roman"/>
          <w:color w:val="000000" w:themeColor="text1"/>
        </w:rPr>
        <w:t>5. Sustainability and Ethical Considerations</w:t>
      </w:r>
      <w:bookmarkEnd w:id="5"/>
      <w:r w:rsidRPr="00676B5E">
        <w:rPr>
          <w:rFonts w:ascii="Times New Roman" w:hAnsi="Times New Roman" w:cs="Times New Roman"/>
          <w:color w:val="000000" w:themeColor="text1"/>
        </w:rPr>
        <w:t xml:space="preserve"> </w:t>
      </w:r>
    </w:p>
    <w:p w14:paraId="473BA93B" w14:textId="77777777" w:rsidR="00144B01" w:rsidRPr="00676B5E" w:rsidRDefault="00AC4B71" w:rsidP="00676B5E">
      <w:pPr>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Sustainability integration. Wise has progressed climate‑related financial disclosures (aligned with TCFD) since FY2023, establishing a Sustainability team to oversee climate risks and opportunities within its governance framework (Wise plc, 2023). In FY2025, the company notes strengthening ESG oversight, including board‑level governance structures (e.g., committee remit) and continued transparency on customer interest income sharing (Wise plc, 2025). As a digital‑first payments platform, Wise’s direct envir</w:t>
      </w:r>
      <w:r w:rsidRPr="00676B5E">
        <w:rPr>
          <w:rFonts w:ascii="Times New Roman" w:hAnsi="Times New Roman" w:cs="Times New Roman"/>
          <w:color w:val="000000" w:themeColor="text1"/>
          <w:sz w:val="24"/>
          <w:szCs w:val="24"/>
        </w:rPr>
        <w:t xml:space="preserve">onmental footprint is relatively modest compared to heavy industry; nonetheless, data‑centre efficiency, renewable energy sourcing, and vendor standards remain pertinent to its Scope 2 and upstream Scope 3 emissions. Incorporating carbon‑aware procurement criteria and cloud efficiency metrics into budgeting and supplier scorecards are management accounting levers to embed sustainability into financial decisions (CIMA, 2019).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Ethical considerations in cost management and pricing. Wise’s model emphasises tr</w:t>
      </w:r>
      <w:r w:rsidRPr="00676B5E">
        <w:rPr>
          <w:rFonts w:ascii="Times New Roman" w:hAnsi="Times New Roman" w:cs="Times New Roman"/>
          <w:color w:val="000000" w:themeColor="text1"/>
          <w:sz w:val="24"/>
          <w:szCs w:val="24"/>
        </w:rPr>
        <w:t>ansparent, upfront fees with no hidden FX mark‑ups (Wise, Pricing page). The stated policy to share the majority of excess interest income on customer balances and to reduce fees as efficiency improves aligns with principles of fairness and stakeholder value, but it also requires rigorous cost‑traceability to avoid cross‑subsidies that could undermine sustainability of service quality (Wise plc, 2025). Strong financial‑crime controls (including machine‑learning‑enabled monitoring) are essential to protect c</w:t>
      </w:r>
      <w:r w:rsidRPr="00676B5E">
        <w:rPr>
          <w:rFonts w:ascii="Times New Roman" w:hAnsi="Times New Roman" w:cs="Times New Roman"/>
          <w:color w:val="000000" w:themeColor="text1"/>
          <w:sz w:val="24"/>
          <w:szCs w:val="24"/>
        </w:rPr>
        <w:t>ustomers and the financial system; budgeting must recognise the cost of compliance and fraud prevention as value‑preserving investments (Wise plc, 2024). In line with the IMA’s Statement of Ethical Professional Practice, management accountants at Wise should continue to champion competence, confidentiality, integrity and credibility in reporting, especially when making pricing and investment trade‑offs (IMA, 2017). Wise’s Modern Slavery &amp; Human Trafficking Statement (2025) further evidences commitments to e</w:t>
      </w:r>
      <w:r w:rsidRPr="00676B5E">
        <w:rPr>
          <w:rFonts w:ascii="Times New Roman" w:hAnsi="Times New Roman" w:cs="Times New Roman"/>
          <w:color w:val="000000" w:themeColor="text1"/>
          <w:sz w:val="24"/>
          <w:szCs w:val="24"/>
        </w:rPr>
        <w:t>thical supply chains and labour practices across jurisdictions—an area where supplier due diligence and spend analytics are integral to governance and assurance (Wise plc, 2025b).</w:t>
      </w:r>
    </w:p>
    <w:p w14:paraId="2F320DC1" w14:textId="5794216C" w:rsidR="00676B5E" w:rsidRPr="00676B5E" w:rsidRDefault="00AC4B71" w:rsidP="00EF4E85">
      <w:pPr>
        <w:pStyle w:val="Heading1"/>
        <w:spacing w:line="360" w:lineRule="auto"/>
        <w:rPr>
          <w:rFonts w:ascii="Times New Roman" w:hAnsi="Times New Roman" w:cs="Times New Roman"/>
          <w:color w:val="000000" w:themeColor="text1"/>
        </w:rPr>
      </w:pPr>
      <w:bookmarkStart w:id="6" w:name="_Toc213785868"/>
      <w:r w:rsidRPr="00676B5E">
        <w:rPr>
          <w:rFonts w:ascii="Times New Roman" w:hAnsi="Times New Roman" w:cs="Times New Roman"/>
          <w:color w:val="000000" w:themeColor="text1"/>
        </w:rPr>
        <w:t>6. Conclusion and Recommendations</w:t>
      </w:r>
      <w:bookmarkEnd w:id="6"/>
      <w:r w:rsidRPr="00676B5E">
        <w:rPr>
          <w:rFonts w:ascii="Times New Roman" w:hAnsi="Times New Roman" w:cs="Times New Roman"/>
          <w:color w:val="000000" w:themeColor="text1"/>
        </w:rPr>
        <w:t xml:space="preserve"> </w:t>
      </w:r>
    </w:p>
    <w:p w14:paraId="03FB88CD" w14:textId="1AB6B7F7" w:rsidR="00EF4E85" w:rsidRPr="00676B5E" w:rsidRDefault="00AC4B71" w:rsidP="00676B5E">
      <w:pPr>
        <w:spacing w:line="360" w:lineRule="auto"/>
        <w:jc w:val="both"/>
        <w:rPr>
          <w:rFonts w:ascii="Times New Roman" w:hAnsi="Times New Roman" w:cs="Times New Roman"/>
          <w:color w:val="000000" w:themeColor="text1"/>
          <w:sz w:val="24"/>
          <w:szCs w:val="24"/>
        </w:rPr>
      </w:pPr>
      <w:r w:rsidRPr="00676B5E">
        <w:rPr>
          <w:rFonts w:ascii="Times New Roman" w:hAnsi="Times New Roman" w:cs="Times New Roman"/>
          <w:color w:val="000000" w:themeColor="text1"/>
          <w:sz w:val="24"/>
          <w:szCs w:val="24"/>
        </w:rPr>
        <w:t>Wise’s management accounting practices are central to sustaining growth while preserving a low‑cost, high‑speed proposition. The company’s revenue mix (cross‑border, card, other) and interest income framework, alongside a cost structure with significant fixed and step‑fixed elements, create operating leverage that can be harnessed through disciplined budgeting, CVP analysis, and corridor‑level ABC. A balanced KPI set—active customers, cross‑border volume, take rate, cost‑to‑income/opex growth, and service p</w:t>
      </w:r>
      <w:r w:rsidRPr="00676B5E">
        <w:rPr>
          <w:rFonts w:ascii="Times New Roman" w:hAnsi="Times New Roman" w:cs="Times New Roman"/>
          <w:color w:val="000000" w:themeColor="text1"/>
          <w:sz w:val="24"/>
          <w:szCs w:val="24"/>
        </w:rPr>
        <w:t xml:space="preserve">erformance—supports data‑driven decisions on pricing, capacity and market expansion. </w:t>
      </w:r>
      <w:r w:rsidRPr="00676B5E">
        <w:rPr>
          <w:rFonts w:ascii="Times New Roman" w:hAnsi="Times New Roman" w:cs="Times New Roman"/>
          <w:color w:val="000000" w:themeColor="text1"/>
          <w:sz w:val="24"/>
          <w:szCs w:val="24"/>
        </w:rPr>
        <w:br/>
      </w:r>
      <w:r w:rsidRPr="00676B5E">
        <w:rPr>
          <w:rFonts w:ascii="Times New Roman" w:hAnsi="Times New Roman" w:cs="Times New Roman"/>
          <w:color w:val="000000" w:themeColor="text1"/>
          <w:sz w:val="24"/>
          <w:szCs w:val="24"/>
        </w:rPr>
        <w:br/>
        <w:t xml:space="preserve">Recommendations. (1) Deepen driver‑based, rolling forecasts that link price changes (bps) to volume elasticity and unit cost trajectories; incorporate guardrails to preserve the 13–16% mid‑term PBT‑margin target. (2) Expand ABC to include compliance and fraud‑management activities, improving transparency of corridor‑level risk‑adjusted margins and informing selective price cuts. (3) Integrate climate and ethical‑sourcing </w:t>
      </w:r>
      <w:r w:rsidRPr="00676B5E">
        <w:rPr>
          <w:rFonts w:ascii="Times New Roman" w:hAnsi="Times New Roman" w:cs="Times New Roman"/>
          <w:color w:val="000000" w:themeColor="text1"/>
          <w:sz w:val="24"/>
          <w:szCs w:val="24"/>
        </w:rPr>
        <w:t>KPIs (e.g., supplier ESG scores, cloud energy intensity) into management dashboards, aligning internal budgets and supplier contracts with Wise’s TCFD and modern‑slavery commitments. Collectively, these steps will strengthen decision quality and sustainable value creation.</w:t>
      </w:r>
    </w:p>
    <w:p w14:paraId="68DBA9E4" w14:textId="2DEAFDB7" w:rsidR="00144B01" w:rsidRPr="00676B5E" w:rsidRDefault="00AC4B71" w:rsidP="00676B5E">
      <w:pPr>
        <w:pStyle w:val="Heading1"/>
        <w:spacing w:line="360" w:lineRule="auto"/>
        <w:rPr>
          <w:rFonts w:ascii="Times New Roman" w:hAnsi="Times New Roman" w:cs="Times New Roman"/>
          <w:color w:val="000000" w:themeColor="text1"/>
        </w:rPr>
      </w:pPr>
      <w:bookmarkStart w:id="7" w:name="_Toc213785869"/>
      <w:r w:rsidRPr="00676B5E">
        <w:rPr>
          <w:rFonts w:ascii="Times New Roman" w:hAnsi="Times New Roman" w:cs="Times New Roman"/>
          <w:color w:val="000000" w:themeColor="text1"/>
        </w:rPr>
        <w:t>References</w:t>
      </w:r>
      <w:bookmarkEnd w:id="7"/>
      <w:r w:rsidRPr="00676B5E">
        <w:rPr>
          <w:rFonts w:ascii="Times New Roman" w:hAnsi="Times New Roman" w:cs="Times New Roman"/>
          <w:color w:val="000000" w:themeColor="text1"/>
        </w:rPr>
        <w:t xml:space="preserve"> </w:t>
      </w:r>
    </w:p>
    <w:p w14:paraId="51078394" w14:textId="77777777" w:rsidR="00676B5E" w:rsidRPr="00676B5E" w:rsidRDefault="00676B5E" w:rsidP="00676B5E">
      <w:pPr>
        <w:spacing w:line="360" w:lineRule="auto"/>
        <w:rPr>
          <w:rFonts w:ascii="Times New Roman" w:hAnsi="Times New Roman" w:cs="Times New Roman"/>
          <w:color w:val="000000" w:themeColor="text1"/>
        </w:rPr>
      </w:pPr>
    </w:p>
    <w:p w14:paraId="72516088"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CIMA (2009) </w:t>
      </w:r>
      <w:r w:rsidRPr="00676B5E">
        <w:rPr>
          <w:rFonts w:ascii="Times New Roman" w:hAnsi="Times New Roman" w:cs="Times New Roman"/>
          <w:i/>
          <w:iCs/>
          <w:color w:val="000000" w:themeColor="text1"/>
          <w:sz w:val="24"/>
          <w:szCs w:val="24"/>
          <w:lang w:val="bg-BG"/>
        </w:rPr>
        <w:t>Management Accounting Official Terminology</w:t>
      </w:r>
      <w:r w:rsidRPr="00676B5E">
        <w:rPr>
          <w:rFonts w:ascii="Times New Roman" w:hAnsi="Times New Roman" w:cs="Times New Roman"/>
          <w:color w:val="000000" w:themeColor="text1"/>
          <w:sz w:val="24"/>
          <w:szCs w:val="24"/>
          <w:lang w:val="bg-BG"/>
        </w:rPr>
        <w:t>. London: Chartered Institute of Management Accountants.</w:t>
      </w:r>
    </w:p>
    <w:p w14:paraId="36F1286F"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CIMA (2019) </w:t>
      </w:r>
      <w:r w:rsidRPr="00676B5E">
        <w:rPr>
          <w:rFonts w:ascii="Times New Roman" w:hAnsi="Times New Roman" w:cs="Times New Roman"/>
          <w:i/>
          <w:iCs/>
          <w:color w:val="000000" w:themeColor="text1"/>
          <w:sz w:val="24"/>
          <w:szCs w:val="24"/>
          <w:lang w:val="bg-BG"/>
        </w:rPr>
        <w:t>Climate-related disclosures and decision-making</w:t>
      </w:r>
      <w:r w:rsidRPr="00676B5E">
        <w:rPr>
          <w:rFonts w:ascii="Times New Roman" w:hAnsi="Times New Roman" w:cs="Times New Roman"/>
          <w:color w:val="000000" w:themeColor="text1"/>
          <w:sz w:val="24"/>
          <w:szCs w:val="24"/>
          <w:lang w:val="bg-BG"/>
        </w:rPr>
        <w:t>. London: Chartered Institute of Management Accountants.</w:t>
      </w:r>
    </w:p>
    <w:p w14:paraId="5CA8FADF"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Horngren, C.T., Datar, S.M. and Rajan, M.V. (2015) </w:t>
      </w:r>
      <w:r w:rsidRPr="00676B5E">
        <w:rPr>
          <w:rFonts w:ascii="Times New Roman" w:hAnsi="Times New Roman" w:cs="Times New Roman"/>
          <w:i/>
          <w:iCs/>
          <w:color w:val="000000" w:themeColor="text1"/>
          <w:sz w:val="24"/>
          <w:szCs w:val="24"/>
          <w:lang w:val="bg-BG"/>
        </w:rPr>
        <w:t>Cost Accounting: A Managerial Emphasis</w:t>
      </w:r>
      <w:r w:rsidRPr="00676B5E">
        <w:rPr>
          <w:rFonts w:ascii="Times New Roman" w:hAnsi="Times New Roman" w:cs="Times New Roman"/>
          <w:color w:val="000000" w:themeColor="text1"/>
          <w:sz w:val="24"/>
          <w:szCs w:val="24"/>
          <w:lang w:val="bg-BG"/>
        </w:rPr>
        <w:t>. 15th edn. Harlow: Pearson.</w:t>
      </w:r>
    </w:p>
    <w:p w14:paraId="59AD20F7"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Hope, J. and Fraser, R. (2003) </w:t>
      </w:r>
      <w:r w:rsidRPr="00676B5E">
        <w:rPr>
          <w:rFonts w:ascii="Times New Roman" w:hAnsi="Times New Roman" w:cs="Times New Roman"/>
          <w:i/>
          <w:iCs/>
          <w:color w:val="000000" w:themeColor="text1"/>
          <w:sz w:val="24"/>
          <w:szCs w:val="24"/>
          <w:lang w:val="bg-BG"/>
        </w:rPr>
        <w:t>Beyond Budgeting: How Managers Can Break Free from the Annual Performance Trap</w:t>
      </w:r>
      <w:r w:rsidRPr="00676B5E">
        <w:rPr>
          <w:rFonts w:ascii="Times New Roman" w:hAnsi="Times New Roman" w:cs="Times New Roman"/>
          <w:color w:val="000000" w:themeColor="text1"/>
          <w:sz w:val="24"/>
          <w:szCs w:val="24"/>
          <w:lang w:val="bg-BG"/>
        </w:rPr>
        <w:t>. Boston, MA: Harvard Business School Press.</w:t>
      </w:r>
    </w:p>
    <w:p w14:paraId="61D68968"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IMA (2017) </w:t>
      </w:r>
      <w:r w:rsidRPr="00676B5E">
        <w:rPr>
          <w:rFonts w:ascii="Times New Roman" w:hAnsi="Times New Roman" w:cs="Times New Roman"/>
          <w:i/>
          <w:iCs/>
          <w:color w:val="000000" w:themeColor="text1"/>
          <w:sz w:val="24"/>
          <w:szCs w:val="24"/>
          <w:lang w:val="bg-BG"/>
        </w:rPr>
        <w:t>Statement of Ethical Professional Practice</w:t>
      </w:r>
      <w:r w:rsidRPr="00676B5E">
        <w:rPr>
          <w:rFonts w:ascii="Times New Roman" w:hAnsi="Times New Roman" w:cs="Times New Roman"/>
          <w:color w:val="000000" w:themeColor="text1"/>
          <w:sz w:val="24"/>
          <w:szCs w:val="24"/>
          <w:lang w:val="bg-BG"/>
        </w:rPr>
        <w:t>. Montvale, NJ: Institute of Management Accountants.</w:t>
      </w:r>
    </w:p>
    <w:p w14:paraId="7E624746"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Kaplan, R.S. and Atkinson, A.A. (2015) </w:t>
      </w:r>
      <w:r w:rsidRPr="00676B5E">
        <w:rPr>
          <w:rFonts w:ascii="Times New Roman" w:hAnsi="Times New Roman" w:cs="Times New Roman"/>
          <w:i/>
          <w:iCs/>
          <w:color w:val="000000" w:themeColor="text1"/>
          <w:sz w:val="24"/>
          <w:szCs w:val="24"/>
          <w:lang w:val="bg-BG"/>
        </w:rPr>
        <w:t>Advanced Management Accounting</w:t>
      </w:r>
      <w:r w:rsidRPr="00676B5E">
        <w:rPr>
          <w:rFonts w:ascii="Times New Roman" w:hAnsi="Times New Roman" w:cs="Times New Roman"/>
          <w:color w:val="000000" w:themeColor="text1"/>
          <w:sz w:val="24"/>
          <w:szCs w:val="24"/>
          <w:lang w:val="bg-BG"/>
        </w:rPr>
        <w:t>. 3rd edn. Harlow: Pearson.</w:t>
      </w:r>
    </w:p>
    <w:p w14:paraId="1B55493C"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Kaplan, R.S. and Norton, D.P. (1992) ‘The Balanced Scorecard—Measures that Drive Performance’, </w:t>
      </w:r>
      <w:r w:rsidRPr="00676B5E">
        <w:rPr>
          <w:rFonts w:ascii="Times New Roman" w:hAnsi="Times New Roman" w:cs="Times New Roman"/>
          <w:i/>
          <w:iCs/>
          <w:color w:val="000000" w:themeColor="text1"/>
          <w:sz w:val="24"/>
          <w:szCs w:val="24"/>
          <w:lang w:val="bg-BG"/>
        </w:rPr>
        <w:t>Harvard Business Review</w:t>
      </w:r>
      <w:r w:rsidRPr="00676B5E">
        <w:rPr>
          <w:rFonts w:ascii="Times New Roman" w:hAnsi="Times New Roman" w:cs="Times New Roman"/>
          <w:color w:val="000000" w:themeColor="text1"/>
          <w:sz w:val="24"/>
          <w:szCs w:val="24"/>
          <w:lang w:val="bg-BG"/>
        </w:rPr>
        <w:t>, 70(1), pp. 71–79.</w:t>
      </w:r>
    </w:p>
    <w:p w14:paraId="31E73F91"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Kaplan, R.S. and Norton, D.P. (1996) </w:t>
      </w:r>
      <w:r w:rsidRPr="00676B5E">
        <w:rPr>
          <w:rFonts w:ascii="Times New Roman" w:hAnsi="Times New Roman" w:cs="Times New Roman"/>
          <w:i/>
          <w:iCs/>
          <w:color w:val="000000" w:themeColor="text1"/>
          <w:sz w:val="24"/>
          <w:szCs w:val="24"/>
          <w:lang w:val="bg-BG"/>
        </w:rPr>
        <w:t>The Balanced Scorecard: Translating Strategy into Action</w:t>
      </w:r>
      <w:r w:rsidRPr="00676B5E">
        <w:rPr>
          <w:rFonts w:ascii="Times New Roman" w:hAnsi="Times New Roman" w:cs="Times New Roman"/>
          <w:color w:val="000000" w:themeColor="text1"/>
          <w:sz w:val="24"/>
          <w:szCs w:val="24"/>
          <w:lang w:val="bg-BG"/>
        </w:rPr>
        <w:t>. Boston, MA: Harvard Business School Press.</w:t>
      </w:r>
    </w:p>
    <w:p w14:paraId="0F7E5D12" w14:textId="77777777" w:rsidR="00676B5E" w:rsidRPr="00676B5E" w:rsidRDefault="00676B5E" w:rsidP="00676B5E">
      <w:pPr>
        <w:spacing w:after="40" w:line="360" w:lineRule="auto"/>
        <w:jc w:val="both"/>
        <w:rPr>
          <w:rFonts w:ascii="Times New Roman" w:hAnsi="Times New Roman" w:cs="Times New Roman"/>
          <w:color w:val="000000" w:themeColor="text1"/>
          <w:sz w:val="24"/>
          <w:szCs w:val="24"/>
          <w:lang w:val="bg-BG"/>
        </w:rPr>
      </w:pPr>
      <w:r w:rsidRPr="00676B5E">
        <w:rPr>
          <w:rFonts w:ascii="Times New Roman" w:hAnsi="Times New Roman" w:cs="Times New Roman"/>
          <w:color w:val="000000" w:themeColor="text1"/>
          <w:sz w:val="24"/>
          <w:szCs w:val="24"/>
          <w:lang w:val="bg-BG"/>
        </w:rPr>
        <w:t xml:space="preserve">Wise plc (2023) </w:t>
      </w:r>
      <w:r w:rsidRPr="00676B5E">
        <w:rPr>
          <w:rFonts w:ascii="Times New Roman" w:hAnsi="Times New Roman" w:cs="Times New Roman"/>
          <w:i/>
          <w:iCs/>
          <w:color w:val="000000" w:themeColor="text1"/>
          <w:sz w:val="24"/>
          <w:szCs w:val="24"/>
          <w:lang w:val="bg-BG"/>
        </w:rPr>
        <w:t>Annual Report and Accounts FY2023</w:t>
      </w:r>
      <w:r w:rsidRPr="00676B5E">
        <w:rPr>
          <w:rFonts w:ascii="Times New Roman" w:hAnsi="Times New Roman" w:cs="Times New Roman"/>
          <w:color w:val="000000" w:themeColor="text1"/>
          <w:sz w:val="24"/>
          <w:szCs w:val="24"/>
          <w:lang w:val="bg-BG"/>
        </w:rPr>
        <w:t xml:space="preserve"> (TCFD section). London: Wise plc.</w:t>
      </w:r>
    </w:p>
    <w:p w14:paraId="64CD8622" w14:textId="6F817F75" w:rsidR="00144B01" w:rsidRPr="005C76DD" w:rsidRDefault="00676B5E" w:rsidP="00676B5E">
      <w:pPr>
        <w:spacing w:after="40" w:line="360" w:lineRule="auto"/>
        <w:jc w:val="both"/>
        <w:rPr>
          <w:rFonts w:ascii="Times New Roman" w:hAnsi="Times New Roman" w:cs="Times New Roman"/>
          <w:color w:val="000000" w:themeColor="text1"/>
          <w:sz w:val="24"/>
          <w:szCs w:val="24"/>
          <w:lang w:val="en-GB"/>
        </w:rPr>
      </w:pPr>
      <w:r w:rsidRPr="00676B5E">
        <w:rPr>
          <w:rFonts w:ascii="Times New Roman" w:hAnsi="Times New Roman" w:cs="Times New Roman"/>
          <w:color w:val="000000" w:themeColor="text1"/>
          <w:sz w:val="24"/>
          <w:szCs w:val="24"/>
          <w:lang w:val="bg-BG"/>
        </w:rPr>
        <w:t xml:space="preserve">Wise plc (2024) </w:t>
      </w:r>
      <w:r w:rsidRPr="00676B5E">
        <w:rPr>
          <w:rFonts w:ascii="Times New Roman" w:hAnsi="Times New Roman" w:cs="Times New Roman"/>
          <w:i/>
          <w:iCs/>
          <w:color w:val="000000" w:themeColor="text1"/>
          <w:sz w:val="24"/>
          <w:szCs w:val="24"/>
          <w:lang w:val="bg-BG"/>
        </w:rPr>
        <w:t>Preliminary results for the financial year ended 31 March 2024</w:t>
      </w:r>
      <w:r w:rsidRPr="00676B5E">
        <w:rPr>
          <w:rFonts w:ascii="Times New Roman" w:hAnsi="Times New Roman" w:cs="Times New Roman"/>
          <w:color w:val="000000" w:themeColor="text1"/>
          <w:sz w:val="24"/>
          <w:szCs w:val="24"/>
          <w:lang w:val="bg-BG"/>
        </w:rPr>
        <w:t>. London:Wiseplc.Availableat:</w:t>
      </w:r>
      <w:hyperlink r:id="rId9" w:history="1">
        <w:r w:rsidRPr="00676B5E">
          <w:rPr>
            <w:rStyle w:val="Hyperlink"/>
            <w:rFonts w:ascii="Times New Roman" w:hAnsi="Times New Roman" w:cs="Times New Roman"/>
            <w:color w:val="000000" w:themeColor="text1"/>
            <w:sz w:val="24"/>
            <w:szCs w:val="24"/>
            <w:lang w:val="bg-BG"/>
          </w:rPr>
          <w:t>https://wise.com/imaginary-v2/images/d1442409bf85ed7ad4b66b6050fc8036-Wise-plc-FY24.pdf</w:t>
        </w:r>
      </w:hyperlink>
    </w:p>
    <w:sectPr w:rsidR="00144B01" w:rsidRPr="005C76DD" w:rsidSect="00034616">
      <w:headerReference w:type="default" r:id="rId10"/>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9587C" w14:textId="77777777" w:rsidR="00662525" w:rsidRDefault="00662525" w:rsidP="0053159F">
      <w:pPr>
        <w:spacing w:after="0" w:line="240" w:lineRule="auto"/>
      </w:pPr>
      <w:r>
        <w:separator/>
      </w:r>
    </w:p>
  </w:endnote>
  <w:endnote w:type="continuationSeparator" w:id="0">
    <w:p w14:paraId="1D99B876" w14:textId="77777777" w:rsidR="00662525" w:rsidRDefault="00662525" w:rsidP="00531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0668416"/>
      <w:docPartObj>
        <w:docPartGallery w:val="Page Numbers (Bottom of Page)"/>
        <w:docPartUnique/>
      </w:docPartObj>
    </w:sdtPr>
    <w:sdtEndPr/>
    <w:sdtContent>
      <w:p w14:paraId="39578754" w14:textId="421E2A05" w:rsidR="0053159F" w:rsidRDefault="0053159F">
        <w:pPr>
          <w:pStyle w:val="Footer"/>
        </w:pPr>
        <w:r>
          <w:rPr>
            <w:noProof/>
          </w:rPr>
          <mc:AlternateContent>
            <mc:Choice Requires="wps">
              <w:drawing>
                <wp:anchor distT="0" distB="0" distL="114300" distR="114300" simplePos="0" relativeHeight="251660288" behindDoc="0" locked="0" layoutInCell="1" allowOverlap="1" wp14:anchorId="717DD371" wp14:editId="14A8B020">
                  <wp:simplePos x="0" y="0"/>
                  <wp:positionH relativeFrom="margin">
                    <wp:align>center</wp:align>
                  </wp:positionH>
                  <wp:positionV relativeFrom="bottomMargin">
                    <wp:align>center</wp:align>
                  </wp:positionV>
                  <wp:extent cx="551815" cy="238760"/>
                  <wp:effectExtent l="19050" t="19050" r="19685" b="18415"/>
                  <wp:wrapNone/>
                  <wp:docPr id="46057552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1FCA4A3" w14:textId="77777777" w:rsidR="0053159F" w:rsidRDefault="0053159F">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17DD37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51FCA4A3" w14:textId="77777777" w:rsidR="0053159F" w:rsidRDefault="0053159F">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032588C5" wp14:editId="65D50003">
                  <wp:simplePos x="0" y="0"/>
                  <wp:positionH relativeFrom="margin">
                    <wp:align>center</wp:align>
                  </wp:positionH>
                  <wp:positionV relativeFrom="bottomMargin">
                    <wp:align>center</wp:align>
                  </wp:positionV>
                  <wp:extent cx="5518150" cy="0"/>
                  <wp:effectExtent l="9525" t="9525" r="6350" b="9525"/>
                  <wp:wrapNone/>
                  <wp:docPr id="81600632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F0D959C"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C826A" w14:textId="77777777" w:rsidR="00662525" w:rsidRDefault="00662525" w:rsidP="0053159F">
      <w:pPr>
        <w:spacing w:after="0" w:line="240" w:lineRule="auto"/>
      </w:pPr>
      <w:r>
        <w:separator/>
      </w:r>
    </w:p>
  </w:footnote>
  <w:footnote w:type="continuationSeparator" w:id="0">
    <w:p w14:paraId="1C9E7B9B" w14:textId="77777777" w:rsidR="00662525" w:rsidRDefault="00662525" w:rsidP="005315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BD350" w14:textId="520C106E" w:rsidR="0053159F" w:rsidRDefault="00EF4E85">
    <w:pPr>
      <w:pStyle w:val="Header"/>
    </w:pPr>
    <w:r>
      <w:rPr>
        <w:noProof/>
      </w:rPr>
      <w:drawing>
        <wp:anchor distT="0" distB="0" distL="114300" distR="114300" simplePos="0" relativeHeight="251661312" behindDoc="0" locked="0" layoutInCell="1" allowOverlap="1" wp14:anchorId="624E6383" wp14:editId="46DD0127">
          <wp:simplePos x="0" y="0"/>
          <wp:positionH relativeFrom="column">
            <wp:posOffset>-807720</wp:posOffset>
          </wp:positionH>
          <wp:positionV relativeFrom="page">
            <wp:posOffset>266700</wp:posOffset>
          </wp:positionV>
          <wp:extent cx="815975" cy="525780"/>
          <wp:effectExtent l="0" t="171450" r="0" b="160020"/>
          <wp:wrapSquare wrapText="bothSides"/>
          <wp:docPr id="587202283" name="Picture 4" descr="Doctor of Business Administration (D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tor of Business Administration (DBA) - University of Wales Trinity Saint  David - The Hong Kong Management Associa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525780"/>
                  </a:xfrm>
                  <a:prstGeom prst="rect">
                    <a:avLst/>
                  </a:prstGeom>
                  <a:ln>
                    <a:noFill/>
                  </a:ln>
                  <a:effectLst>
                    <a:outerShdw blurRad="190500" algn="tl" rotWithShape="0">
                      <a:srgbClr val="000000">
                        <a:alpha val="70000"/>
                      </a:srgbClr>
                    </a:outerShdw>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20D5134"/>
    <w:multiLevelType w:val="hybridMultilevel"/>
    <w:tmpl w:val="DA9AE73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315300527">
    <w:abstractNumId w:val="8"/>
  </w:num>
  <w:num w:numId="2" w16cid:durableId="36205541">
    <w:abstractNumId w:val="6"/>
  </w:num>
  <w:num w:numId="3" w16cid:durableId="1416588802">
    <w:abstractNumId w:val="5"/>
  </w:num>
  <w:num w:numId="4" w16cid:durableId="632905917">
    <w:abstractNumId w:val="4"/>
  </w:num>
  <w:num w:numId="5" w16cid:durableId="1588880831">
    <w:abstractNumId w:val="7"/>
  </w:num>
  <w:num w:numId="6" w16cid:durableId="1717464488">
    <w:abstractNumId w:val="3"/>
  </w:num>
  <w:num w:numId="7" w16cid:durableId="1597444782">
    <w:abstractNumId w:val="2"/>
  </w:num>
  <w:num w:numId="8" w16cid:durableId="1966698534">
    <w:abstractNumId w:val="1"/>
  </w:num>
  <w:num w:numId="9" w16cid:durableId="310719807">
    <w:abstractNumId w:val="0"/>
  </w:num>
  <w:num w:numId="10" w16cid:durableId="4444297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2966"/>
    <w:rsid w:val="000C6663"/>
    <w:rsid w:val="00144B01"/>
    <w:rsid w:val="0015074B"/>
    <w:rsid w:val="0029639D"/>
    <w:rsid w:val="002E1034"/>
    <w:rsid w:val="00326F90"/>
    <w:rsid w:val="0053159F"/>
    <w:rsid w:val="005C76DD"/>
    <w:rsid w:val="00662525"/>
    <w:rsid w:val="00676B5E"/>
    <w:rsid w:val="007E71AB"/>
    <w:rsid w:val="008B2D23"/>
    <w:rsid w:val="00903D7B"/>
    <w:rsid w:val="00906CDF"/>
    <w:rsid w:val="00AA1D8D"/>
    <w:rsid w:val="00B47730"/>
    <w:rsid w:val="00BA552D"/>
    <w:rsid w:val="00CB0664"/>
    <w:rsid w:val="00CC0FA9"/>
    <w:rsid w:val="00E21B07"/>
    <w:rsid w:val="00EF0181"/>
    <w:rsid w:val="00EF4E85"/>
    <w:rsid w:val="00F0126C"/>
    <w:rsid w:val="00F02BEF"/>
    <w:rsid w:val="00FC693F"/>
    <w:rsid w:val="00FE1E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47D2DF"/>
  <w14:defaultImageDpi w14:val="330"/>
  <w15:docId w15:val="{6CB376A1-6930-4D41-B4D5-50EBDC128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76B5E"/>
    <w:rPr>
      <w:color w:val="0000FF" w:themeColor="hyperlink"/>
      <w:u w:val="single"/>
    </w:rPr>
  </w:style>
  <w:style w:type="character" w:styleId="UnresolvedMention">
    <w:name w:val="Unresolved Mention"/>
    <w:basedOn w:val="DefaultParagraphFont"/>
    <w:uiPriority w:val="99"/>
    <w:semiHidden/>
    <w:unhideWhenUsed/>
    <w:rsid w:val="00676B5E"/>
    <w:rPr>
      <w:color w:val="605E5C"/>
      <w:shd w:val="clear" w:color="auto" w:fill="E1DFDD"/>
    </w:rPr>
  </w:style>
  <w:style w:type="paragraph" w:styleId="TOC1">
    <w:name w:val="toc 1"/>
    <w:basedOn w:val="Normal"/>
    <w:next w:val="Normal"/>
    <w:autoRedefine/>
    <w:uiPriority w:val="39"/>
    <w:unhideWhenUsed/>
    <w:rsid w:val="0053159F"/>
    <w:pPr>
      <w:spacing w:after="100"/>
    </w:pPr>
  </w:style>
  <w:style w:type="paragraph" w:styleId="TOC2">
    <w:name w:val="toc 2"/>
    <w:basedOn w:val="Normal"/>
    <w:next w:val="Normal"/>
    <w:autoRedefine/>
    <w:uiPriority w:val="39"/>
    <w:unhideWhenUsed/>
    <w:rsid w:val="0053159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096105">
      <w:bodyDiv w:val="1"/>
      <w:marLeft w:val="0"/>
      <w:marRight w:val="0"/>
      <w:marTop w:val="0"/>
      <w:marBottom w:val="0"/>
      <w:divBdr>
        <w:top w:val="none" w:sz="0" w:space="0" w:color="auto"/>
        <w:left w:val="none" w:sz="0" w:space="0" w:color="auto"/>
        <w:bottom w:val="none" w:sz="0" w:space="0" w:color="auto"/>
        <w:right w:val="none" w:sz="0" w:space="0" w:color="auto"/>
      </w:divBdr>
    </w:div>
    <w:div w:id="394208982">
      <w:bodyDiv w:val="1"/>
      <w:marLeft w:val="0"/>
      <w:marRight w:val="0"/>
      <w:marTop w:val="0"/>
      <w:marBottom w:val="0"/>
      <w:divBdr>
        <w:top w:val="none" w:sz="0" w:space="0" w:color="auto"/>
        <w:left w:val="none" w:sz="0" w:space="0" w:color="auto"/>
        <w:bottom w:val="none" w:sz="0" w:space="0" w:color="auto"/>
        <w:right w:val="none" w:sz="0" w:space="0" w:color="auto"/>
      </w:divBdr>
    </w:div>
    <w:div w:id="1267930887">
      <w:bodyDiv w:val="1"/>
      <w:marLeft w:val="0"/>
      <w:marRight w:val="0"/>
      <w:marTop w:val="0"/>
      <w:marBottom w:val="0"/>
      <w:divBdr>
        <w:top w:val="none" w:sz="0" w:space="0" w:color="auto"/>
        <w:left w:val="none" w:sz="0" w:space="0" w:color="auto"/>
        <w:bottom w:val="none" w:sz="0" w:space="0" w:color="auto"/>
        <w:right w:val="none" w:sz="0" w:space="0" w:color="auto"/>
      </w:divBdr>
    </w:div>
    <w:div w:id="17740866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ise.com/imaginary-v2/images/d1442409bf85ed7ad4b66b6050fc8036-Wise-plc-FY2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2369</Words>
  <Characters>13508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15846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petar mitev</cp:lastModifiedBy>
  <cp:revision>2</cp:revision>
  <dcterms:created xsi:type="dcterms:W3CDTF">2026-03-15T16:54:00Z</dcterms:created>
  <dcterms:modified xsi:type="dcterms:W3CDTF">2026-03-15T16:54:00Z</dcterms:modified>
  <cp:category/>
</cp:coreProperties>
</file>