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294258" w14:textId="77777777" w:rsidR="008200C8" w:rsidRDefault="008200C8">
      <w:pPr>
        <w:rPr>
          <w:rFonts w:ascii="Times New Roman" w:hAnsi="Times New Roman" w:cs="Times New Roman"/>
          <w:sz w:val="24"/>
          <w:szCs w:val="24"/>
          <w:lang w:val="en-US"/>
        </w:rPr>
      </w:pPr>
    </w:p>
    <w:p w14:paraId="4125CC7E" w14:textId="77777777" w:rsidR="001335F7" w:rsidRDefault="001335F7">
      <w:pPr>
        <w:rPr>
          <w:rFonts w:ascii="Times New Roman" w:hAnsi="Times New Roman" w:cs="Times New Roman"/>
          <w:sz w:val="24"/>
          <w:szCs w:val="24"/>
          <w:lang w:val="en-US"/>
        </w:rPr>
      </w:pPr>
    </w:p>
    <w:p w14:paraId="6CD91DAA" w14:textId="77777777" w:rsidR="001335F7" w:rsidRDefault="001335F7">
      <w:pPr>
        <w:rPr>
          <w:rFonts w:ascii="Times New Roman" w:hAnsi="Times New Roman" w:cs="Times New Roman"/>
          <w:sz w:val="24"/>
          <w:szCs w:val="24"/>
          <w:lang w:val="en-US"/>
        </w:rPr>
      </w:pPr>
    </w:p>
    <w:p w14:paraId="0DC0FA0F" w14:textId="77777777" w:rsidR="001335F7" w:rsidRDefault="001335F7">
      <w:pPr>
        <w:rPr>
          <w:rFonts w:ascii="Times New Roman" w:hAnsi="Times New Roman" w:cs="Times New Roman"/>
          <w:sz w:val="24"/>
          <w:szCs w:val="24"/>
          <w:lang w:val="en-US"/>
        </w:rPr>
      </w:pPr>
    </w:p>
    <w:p w14:paraId="70E8BD8E" w14:textId="77777777" w:rsidR="001335F7" w:rsidRDefault="001335F7">
      <w:pPr>
        <w:rPr>
          <w:rFonts w:ascii="Times New Roman" w:hAnsi="Times New Roman" w:cs="Times New Roman"/>
          <w:sz w:val="24"/>
          <w:szCs w:val="24"/>
          <w:lang w:val="en-US"/>
        </w:rPr>
      </w:pPr>
    </w:p>
    <w:p w14:paraId="071E4D36" w14:textId="77777777" w:rsidR="001335F7" w:rsidRDefault="001335F7">
      <w:pPr>
        <w:rPr>
          <w:rFonts w:ascii="Times New Roman" w:hAnsi="Times New Roman" w:cs="Times New Roman"/>
          <w:sz w:val="24"/>
          <w:szCs w:val="24"/>
          <w:lang w:val="en-US"/>
        </w:rPr>
      </w:pPr>
    </w:p>
    <w:p w14:paraId="6E8953BA" w14:textId="77777777" w:rsidR="001335F7" w:rsidRDefault="001335F7">
      <w:pPr>
        <w:rPr>
          <w:rFonts w:ascii="Times New Roman" w:hAnsi="Times New Roman" w:cs="Times New Roman"/>
          <w:sz w:val="24"/>
          <w:szCs w:val="24"/>
          <w:lang w:val="en-US"/>
        </w:rPr>
      </w:pPr>
    </w:p>
    <w:p w14:paraId="21901E9D" w14:textId="77777777" w:rsidR="001335F7" w:rsidRDefault="001335F7">
      <w:pPr>
        <w:rPr>
          <w:rFonts w:ascii="Times New Roman" w:hAnsi="Times New Roman" w:cs="Times New Roman"/>
          <w:sz w:val="24"/>
          <w:szCs w:val="24"/>
          <w:lang w:val="en-US"/>
        </w:rPr>
      </w:pPr>
    </w:p>
    <w:p w14:paraId="7EADFFA8" w14:textId="77777777" w:rsidR="001335F7" w:rsidRDefault="001335F7">
      <w:pPr>
        <w:rPr>
          <w:rFonts w:ascii="Times New Roman" w:hAnsi="Times New Roman" w:cs="Times New Roman"/>
          <w:sz w:val="24"/>
          <w:szCs w:val="24"/>
          <w:lang w:val="en-US"/>
        </w:rPr>
      </w:pPr>
    </w:p>
    <w:p w14:paraId="503D3710" w14:textId="77777777" w:rsidR="001335F7" w:rsidRDefault="001335F7">
      <w:pPr>
        <w:rPr>
          <w:rFonts w:ascii="Times New Roman" w:hAnsi="Times New Roman" w:cs="Times New Roman"/>
          <w:sz w:val="24"/>
          <w:szCs w:val="24"/>
          <w:lang w:val="en-US"/>
        </w:rPr>
      </w:pPr>
    </w:p>
    <w:p w14:paraId="6DC069D2" w14:textId="314F4A1A" w:rsidR="001335F7" w:rsidRDefault="00A42FED">
      <w:pPr>
        <w:rPr>
          <w:rFonts w:ascii="Times New Roman" w:hAnsi="Times New Roman" w:cs="Times New Roman"/>
          <w:sz w:val="24"/>
          <w:szCs w:val="24"/>
          <w:lang w:val="en-US"/>
        </w:rPr>
      </w:pPr>
      <w:r>
        <w:rPr>
          <w:rFonts w:ascii="Times New Roman" w:hAnsi="Times New Roman" w:cs="Times New Roman"/>
          <w:sz w:val="24"/>
          <w:szCs w:val="24"/>
        </w:rPr>
        <w:t xml:space="preserve">                                    </w:t>
      </w:r>
      <w:r w:rsidRPr="00A42FED">
        <w:rPr>
          <w:rFonts w:ascii="Times New Roman" w:hAnsi="Times New Roman" w:cs="Times New Roman"/>
          <w:sz w:val="24"/>
          <w:szCs w:val="24"/>
        </w:rPr>
        <w:t xml:space="preserve">Leading and Implementing Change LCLM6003 </w:t>
      </w:r>
    </w:p>
    <w:p w14:paraId="222519C0" w14:textId="77777777" w:rsidR="001335F7" w:rsidRDefault="001335F7">
      <w:pPr>
        <w:rPr>
          <w:rFonts w:ascii="Times New Roman" w:hAnsi="Times New Roman" w:cs="Times New Roman"/>
          <w:sz w:val="24"/>
          <w:szCs w:val="24"/>
          <w:lang w:val="en-US"/>
        </w:rPr>
      </w:pPr>
    </w:p>
    <w:p w14:paraId="7D445B20" w14:textId="77777777" w:rsidR="001335F7" w:rsidRPr="001335F7" w:rsidRDefault="001335F7" w:rsidP="001335F7">
      <w:pPr>
        <w:jc w:val="center"/>
        <w:rPr>
          <w:rFonts w:ascii="Times New Roman" w:hAnsi="Times New Roman" w:cs="Times New Roman"/>
          <w:b/>
          <w:bCs/>
          <w:sz w:val="36"/>
          <w:szCs w:val="36"/>
          <w:lang w:val="en-US"/>
        </w:rPr>
      </w:pPr>
    </w:p>
    <w:p w14:paraId="481C1151" w14:textId="10D351B7" w:rsidR="001335F7" w:rsidRPr="001335F7" w:rsidRDefault="001335F7" w:rsidP="001335F7">
      <w:pPr>
        <w:jc w:val="center"/>
        <w:rPr>
          <w:rFonts w:ascii="Times New Roman" w:hAnsi="Times New Roman" w:cs="Times New Roman"/>
          <w:b/>
          <w:bCs/>
          <w:sz w:val="36"/>
          <w:szCs w:val="36"/>
        </w:rPr>
      </w:pPr>
      <w:r w:rsidRPr="001335F7">
        <w:rPr>
          <w:rFonts w:ascii="Times New Roman" w:hAnsi="Times New Roman" w:cs="Times New Roman"/>
          <w:b/>
          <w:bCs/>
          <w:sz w:val="36"/>
          <w:szCs w:val="36"/>
        </w:rPr>
        <w:t>Strategic Change Plan for Nissan Sunderland Plant: Transitioning to an AI-Enabled Electric Vehicle Ecosystem</w:t>
      </w:r>
    </w:p>
    <w:p w14:paraId="3C6E551D" w14:textId="77777777" w:rsidR="001335F7" w:rsidRDefault="001335F7">
      <w:pPr>
        <w:rPr>
          <w:rFonts w:ascii="Times New Roman" w:hAnsi="Times New Roman" w:cs="Times New Roman"/>
          <w:sz w:val="24"/>
          <w:szCs w:val="24"/>
        </w:rPr>
      </w:pPr>
    </w:p>
    <w:p w14:paraId="4CA743E5" w14:textId="77777777" w:rsidR="001335F7" w:rsidRDefault="001335F7">
      <w:pPr>
        <w:rPr>
          <w:rFonts w:ascii="Times New Roman" w:hAnsi="Times New Roman" w:cs="Times New Roman"/>
          <w:sz w:val="24"/>
          <w:szCs w:val="24"/>
        </w:rPr>
      </w:pPr>
    </w:p>
    <w:p w14:paraId="27489CF5" w14:textId="48666973" w:rsidR="001335F7" w:rsidRDefault="001335F7">
      <w:pPr>
        <w:rPr>
          <w:rFonts w:ascii="Times New Roman" w:hAnsi="Times New Roman" w:cs="Times New Roman"/>
          <w:sz w:val="24"/>
          <w:szCs w:val="24"/>
        </w:rPr>
      </w:pPr>
    </w:p>
    <w:p w14:paraId="74A36F19" w14:textId="66AFB66B" w:rsidR="00A42FED" w:rsidRDefault="00A42FED" w:rsidP="00A42FED">
      <w:pPr>
        <w:rPr>
          <w:rFonts w:ascii="Times New Roman" w:hAnsi="Times New Roman" w:cs="Times New Roman"/>
          <w:color w:val="7030A0"/>
          <w:sz w:val="24"/>
          <w:szCs w:val="24"/>
        </w:rPr>
      </w:pPr>
      <w:r>
        <w:rPr>
          <w:rFonts w:ascii="Times New Roman" w:hAnsi="Times New Roman" w:cs="Times New Roman"/>
          <w:color w:val="7030A0"/>
          <w:sz w:val="24"/>
          <w:szCs w:val="24"/>
        </w:rPr>
        <w:t xml:space="preserve">                                                        </w:t>
      </w:r>
      <w:r w:rsidRPr="00555053">
        <w:rPr>
          <w:rFonts w:ascii="Times New Roman" w:hAnsi="Times New Roman" w:cs="Times New Roman"/>
          <w:color w:val="7030A0"/>
          <w:sz w:val="24"/>
          <w:szCs w:val="24"/>
        </w:rPr>
        <w:t xml:space="preserve">Veronica Lisman </w:t>
      </w:r>
    </w:p>
    <w:p w14:paraId="3CEA034D" w14:textId="77777777" w:rsidR="00A42FED" w:rsidRDefault="00A42FED" w:rsidP="00A42FED">
      <w:pPr>
        <w:rPr>
          <w:rFonts w:ascii="Times New Roman" w:hAnsi="Times New Roman" w:cs="Times New Roman"/>
          <w:sz w:val="24"/>
          <w:szCs w:val="24"/>
        </w:rPr>
      </w:pPr>
      <w:r>
        <w:rPr>
          <w:rFonts w:ascii="Times New Roman" w:hAnsi="Times New Roman" w:cs="Times New Roman"/>
          <w:color w:val="7030A0"/>
          <w:sz w:val="24"/>
          <w:szCs w:val="24"/>
        </w:rPr>
        <w:t xml:space="preserve">                                                         </w:t>
      </w:r>
      <w:r w:rsidRPr="00555053">
        <w:rPr>
          <w:rFonts w:ascii="Times New Roman" w:hAnsi="Times New Roman" w:cs="Times New Roman"/>
          <w:color w:val="7030A0"/>
          <w:sz w:val="24"/>
          <w:szCs w:val="24"/>
        </w:rPr>
        <w:t xml:space="preserve">Student ID – 2322352 </w:t>
      </w:r>
    </w:p>
    <w:p w14:paraId="03EB3AA0" w14:textId="77777777" w:rsidR="001335F7" w:rsidRDefault="001335F7">
      <w:pPr>
        <w:rPr>
          <w:rFonts w:ascii="Times New Roman" w:hAnsi="Times New Roman" w:cs="Times New Roman"/>
          <w:sz w:val="24"/>
          <w:szCs w:val="24"/>
        </w:rPr>
      </w:pPr>
    </w:p>
    <w:p w14:paraId="6E819347" w14:textId="77777777" w:rsidR="001335F7" w:rsidRDefault="001335F7">
      <w:pPr>
        <w:rPr>
          <w:rFonts w:ascii="Times New Roman" w:hAnsi="Times New Roman" w:cs="Times New Roman"/>
          <w:sz w:val="24"/>
          <w:szCs w:val="24"/>
        </w:rPr>
      </w:pPr>
    </w:p>
    <w:p w14:paraId="0B05DB03" w14:textId="77777777" w:rsidR="001335F7" w:rsidRDefault="001335F7">
      <w:pPr>
        <w:rPr>
          <w:rFonts w:ascii="Times New Roman" w:hAnsi="Times New Roman" w:cs="Times New Roman"/>
          <w:sz w:val="24"/>
          <w:szCs w:val="24"/>
        </w:rPr>
      </w:pPr>
    </w:p>
    <w:p w14:paraId="4511281A" w14:textId="77777777" w:rsidR="001335F7" w:rsidRDefault="001335F7">
      <w:pPr>
        <w:rPr>
          <w:rFonts w:ascii="Times New Roman" w:hAnsi="Times New Roman" w:cs="Times New Roman"/>
          <w:sz w:val="24"/>
          <w:szCs w:val="24"/>
        </w:rPr>
      </w:pPr>
    </w:p>
    <w:p w14:paraId="29D80992" w14:textId="77777777" w:rsidR="001335F7" w:rsidRDefault="001335F7">
      <w:pPr>
        <w:rPr>
          <w:rFonts w:ascii="Times New Roman" w:hAnsi="Times New Roman" w:cs="Times New Roman"/>
          <w:sz w:val="24"/>
          <w:szCs w:val="24"/>
        </w:rPr>
      </w:pPr>
    </w:p>
    <w:p w14:paraId="2E8F6DB4" w14:textId="77777777" w:rsidR="001335F7" w:rsidRDefault="001335F7">
      <w:pPr>
        <w:rPr>
          <w:rFonts w:ascii="Times New Roman" w:hAnsi="Times New Roman" w:cs="Times New Roman"/>
          <w:sz w:val="24"/>
          <w:szCs w:val="24"/>
        </w:rPr>
      </w:pPr>
    </w:p>
    <w:p w14:paraId="2750E0F8" w14:textId="77777777" w:rsidR="001335F7" w:rsidRDefault="001335F7">
      <w:pPr>
        <w:rPr>
          <w:rFonts w:ascii="Times New Roman" w:hAnsi="Times New Roman" w:cs="Times New Roman"/>
          <w:sz w:val="24"/>
          <w:szCs w:val="24"/>
        </w:rPr>
      </w:pPr>
    </w:p>
    <w:p w14:paraId="1A18773E" w14:textId="77777777" w:rsidR="001335F7" w:rsidRDefault="001335F7">
      <w:pPr>
        <w:rPr>
          <w:rFonts w:ascii="Times New Roman" w:hAnsi="Times New Roman" w:cs="Times New Roman"/>
          <w:sz w:val="24"/>
          <w:szCs w:val="24"/>
        </w:rPr>
      </w:pPr>
    </w:p>
    <w:p w14:paraId="0FCDD8A3" w14:textId="77777777" w:rsidR="001335F7" w:rsidRDefault="001335F7">
      <w:pPr>
        <w:rPr>
          <w:rFonts w:ascii="Times New Roman" w:hAnsi="Times New Roman" w:cs="Times New Roman"/>
          <w:sz w:val="24"/>
          <w:szCs w:val="24"/>
        </w:rPr>
      </w:pPr>
    </w:p>
    <w:p w14:paraId="6F5A8268" w14:textId="77777777" w:rsidR="001335F7" w:rsidRDefault="001335F7">
      <w:pPr>
        <w:rPr>
          <w:rFonts w:ascii="Times New Roman" w:hAnsi="Times New Roman" w:cs="Times New Roman"/>
          <w:sz w:val="24"/>
          <w:szCs w:val="24"/>
        </w:rPr>
      </w:pPr>
    </w:p>
    <w:p w14:paraId="6C6CF9F4" w14:textId="6D13F401" w:rsidR="001335F7" w:rsidRPr="00C8064B" w:rsidRDefault="001335F7" w:rsidP="00C8064B">
      <w:pPr>
        <w:pStyle w:val="Heading1"/>
        <w:rPr>
          <w:rFonts w:ascii="Times New Roman" w:hAnsi="Times New Roman" w:cs="Times New Roman"/>
          <w:b/>
          <w:bCs/>
          <w:color w:val="auto"/>
          <w:sz w:val="28"/>
          <w:szCs w:val="28"/>
        </w:rPr>
      </w:pPr>
      <w:bookmarkStart w:id="0" w:name="_Toc234054490"/>
      <w:r w:rsidRPr="00C8064B">
        <w:rPr>
          <w:rFonts w:ascii="Times New Roman" w:hAnsi="Times New Roman" w:cs="Times New Roman"/>
          <w:b/>
          <w:bCs/>
          <w:color w:val="auto"/>
          <w:sz w:val="28"/>
          <w:szCs w:val="28"/>
        </w:rPr>
        <w:lastRenderedPageBreak/>
        <w:t>Executive Summary</w:t>
      </w:r>
      <w:bookmarkEnd w:id="0"/>
    </w:p>
    <w:p w14:paraId="5C82B574" w14:textId="4B784155" w:rsidR="0087651A" w:rsidRPr="0087651A" w:rsidRDefault="0087651A" w:rsidP="0087651A">
      <w:pPr>
        <w:rPr>
          <w:rFonts w:ascii="Times New Roman" w:hAnsi="Times New Roman" w:cs="Times New Roman"/>
          <w:sz w:val="24"/>
          <w:szCs w:val="24"/>
        </w:rPr>
      </w:pPr>
      <w:r w:rsidRPr="0087651A">
        <w:rPr>
          <w:rFonts w:ascii="Times New Roman" w:hAnsi="Times New Roman" w:cs="Times New Roman"/>
          <w:sz w:val="24"/>
          <w:szCs w:val="24"/>
        </w:rPr>
        <w:t>This report creates a strategic change plan aimed at helping the Nissan Sunderland Plant transition more rapidly to Artificial Intelligence (AI) based Electric Vehicle (EV) manufacturing. The global automotive market is undergoing disruptive changes with rapidly increasing electrification, digital transformation, technologies at Industry 4.0 and 5.0 levels, new and more stringent environmental regulations, global market disruptions, and changing customer demand for more connected and sustainable mobility. These changes are forcing manufacturers to create new production systems that incorporate AI, digital twins, predictive analytics, intelligent automation, and data to enhance operational effectiveness, and that positively impact the quality and sustainability of the manufacturing business and its competitive edge for the long term (</w:t>
      </w:r>
      <w:r w:rsidRPr="00A42FED">
        <w:rPr>
          <w:rFonts w:ascii="Times New Roman" w:hAnsi="Times New Roman" w:cs="Times New Roman"/>
          <w:i/>
          <w:iCs/>
          <w:sz w:val="24"/>
          <w:szCs w:val="24"/>
        </w:rPr>
        <w:t>International Energy Agency, 2025; Society of Motor Manufacturers and Traders, 2025; Deloitte, 2025).</w:t>
      </w:r>
      <w:r w:rsidRPr="0087651A">
        <w:rPr>
          <w:rFonts w:ascii="Times New Roman" w:hAnsi="Times New Roman" w:cs="Times New Roman"/>
          <w:sz w:val="24"/>
          <w:szCs w:val="24"/>
        </w:rPr>
        <w:t xml:space="preserve"> Sunderland, as the largest automotive manufacturing plant in the United Kingdom and Nissan's largest plant in Europe, has the manufacturing and technological resources to spearhead this transformation to manufacturing with the integration of Artificial Intelligence through the EV36Zero and Intelligent Manufacturing initiatives (</w:t>
      </w:r>
      <w:r w:rsidRPr="00A42FED">
        <w:rPr>
          <w:rFonts w:ascii="Times New Roman" w:hAnsi="Times New Roman" w:cs="Times New Roman"/>
          <w:i/>
          <w:iCs/>
          <w:sz w:val="24"/>
          <w:szCs w:val="24"/>
        </w:rPr>
        <w:t>Nissan Motor Corporation, 2025).</w:t>
      </w:r>
    </w:p>
    <w:p w14:paraId="70F62798" w14:textId="77777777" w:rsidR="004850D6" w:rsidRDefault="004850D6">
      <w:pPr>
        <w:rPr>
          <w:rFonts w:ascii="Times New Roman" w:hAnsi="Times New Roman" w:cs="Times New Roman"/>
          <w:sz w:val="24"/>
          <w:szCs w:val="24"/>
        </w:rPr>
      </w:pPr>
    </w:p>
    <w:p w14:paraId="1AB0ED81" w14:textId="2CBD3064" w:rsidR="0087651A" w:rsidRDefault="0087651A">
      <w:pPr>
        <w:rPr>
          <w:rFonts w:ascii="Times New Roman" w:hAnsi="Times New Roman" w:cs="Times New Roman"/>
          <w:sz w:val="24"/>
          <w:szCs w:val="24"/>
        </w:rPr>
      </w:pPr>
      <w:r w:rsidRPr="0092148E">
        <w:rPr>
          <w:noProof/>
        </w:rPr>
        <w:drawing>
          <wp:inline distT="0" distB="0" distL="0" distR="0" wp14:anchorId="60F66007" wp14:editId="2604904C">
            <wp:extent cx="5731510" cy="3458210"/>
            <wp:effectExtent l="0" t="0" r="2540" b="8890"/>
            <wp:docPr id="143320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201774" name=""/>
                    <pic:cNvPicPr/>
                  </pic:nvPicPr>
                  <pic:blipFill>
                    <a:blip r:embed="rId8"/>
                    <a:stretch>
                      <a:fillRect/>
                    </a:stretch>
                  </pic:blipFill>
                  <pic:spPr>
                    <a:xfrm>
                      <a:off x="0" y="0"/>
                      <a:ext cx="5731510" cy="3458210"/>
                    </a:xfrm>
                    <a:prstGeom prst="rect">
                      <a:avLst/>
                    </a:prstGeom>
                  </pic:spPr>
                </pic:pic>
              </a:graphicData>
            </a:graphic>
          </wp:inline>
        </w:drawing>
      </w:r>
    </w:p>
    <w:p w14:paraId="1021E409" w14:textId="77777777" w:rsidR="0087651A" w:rsidRDefault="0087651A">
      <w:pPr>
        <w:rPr>
          <w:rFonts w:ascii="Times New Roman" w:hAnsi="Times New Roman" w:cs="Times New Roman"/>
          <w:sz w:val="24"/>
          <w:szCs w:val="24"/>
        </w:rPr>
      </w:pPr>
    </w:p>
    <w:p w14:paraId="49DBA03F" w14:textId="77777777" w:rsidR="004850D6" w:rsidRDefault="004850D6">
      <w:pPr>
        <w:rPr>
          <w:rFonts w:ascii="Times New Roman" w:hAnsi="Times New Roman" w:cs="Times New Roman"/>
          <w:sz w:val="24"/>
          <w:szCs w:val="24"/>
        </w:rPr>
      </w:pPr>
    </w:p>
    <w:p w14:paraId="4227A641" w14:textId="77777777" w:rsidR="004850D6" w:rsidRDefault="004850D6">
      <w:pPr>
        <w:rPr>
          <w:rFonts w:ascii="Times New Roman" w:hAnsi="Times New Roman" w:cs="Times New Roman"/>
          <w:sz w:val="24"/>
          <w:szCs w:val="24"/>
        </w:rPr>
      </w:pPr>
    </w:p>
    <w:p w14:paraId="5C27936D" w14:textId="77777777" w:rsidR="004850D6" w:rsidRDefault="004850D6">
      <w:pPr>
        <w:rPr>
          <w:rFonts w:ascii="Times New Roman" w:hAnsi="Times New Roman" w:cs="Times New Roman"/>
          <w:sz w:val="24"/>
          <w:szCs w:val="24"/>
        </w:rPr>
      </w:pPr>
    </w:p>
    <w:p w14:paraId="0A05EFF5" w14:textId="77777777" w:rsidR="004850D6" w:rsidRDefault="004850D6">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IN"/>
          <w14:ligatures w14:val="standardContextual"/>
        </w:rPr>
        <w:id w:val="83883342"/>
        <w:docPartObj>
          <w:docPartGallery w:val="Table of Contents"/>
          <w:docPartUnique/>
        </w:docPartObj>
      </w:sdtPr>
      <w:sdtEndPr>
        <w:rPr>
          <w:b/>
          <w:bCs/>
          <w:noProof/>
        </w:rPr>
      </w:sdtEndPr>
      <w:sdtContent>
        <w:p w14:paraId="6509736F" w14:textId="21BA4898" w:rsidR="00C8064B" w:rsidRPr="00A42FED" w:rsidRDefault="00C8064B" w:rsidP="00C8064B">
          <w:pPr>
            <w:pStyle w:val="TOCHeading"/>
            <w:jc w:val="center"/>
            <w:rPr>
              <w:b/>
              <w:bCs/>
              <w:color w:val="7030A0"/>
              <w:sz w:val="36"/>
              <w:szCs w:val="36"/>
            </w:rPr>
          </w:pPr>
          <w:r w:rsidRPr="00A42FED">
            <w:rPr>
              <w:b/>
              <w:bCs/>
              <w:color w:val="7030A0"/>
              <w:sz w:val="36"/>
              <w:szCs w:val="36"/>
            </w:rPr>
            <w:t>Table of Contents</w:t>
          </w:r>
        </w:p>
        <w:p w14:paraId="17B1BA46" w14:textId="77777777" w:rsidR="00C8064B" w:rsidRPr="00C8064B" w:rsidRDefault="00C8064B" w:rsidP="00C8064B">
          <w:pPr>
            <w:rPr>
              <w:lang w:val="en-US"/>
            </w:rPr>
          </w:pPr>
        </w:p>
        <w:p w14:paraId="39A1A5BC" w14:textId="6C259522" w:rsidR="00C8064B" w:rsidRDefault="00C8064B">
          <w:pPr>
            <w:pStyle w:val="TOC1"/>
            <w:tabs>
              <w:tab w:val="right" w:leader="dot" w:pos="9016"/>
            </w:tabs>
            <w:rPr>
              <w:noProof/>
            </w:rPr>
          </w:pPr>
          <w:r>
            <w:fldChar w:fldCharType="begin"/>
          </w:r>
          <w:r>
            <w:instrText xml:space="preserve"> TOC \o "1-3" \h \z \u </w:instrText>
          </w:r>
          <w:r>
            <w:fldChar w:fldCharType="separate"/>
          </w:r>
          <w:hyperlink w:anchor="_Toc234054490" w:history="1">
            <w:r w:rsidRPr="003E01E4">
              <w:rPr>
                <w:rStyle w:val="Hyperlink"/>
                <w:rFonts w:ascii="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_Toc234054490 \h </w:instrText>
            </w:r>
            <w:r>
              <w:rPr>
                <w:noProof/>
                <w:webHidden/>
              </w:rPr>
            </w:r>
            <w:r>
              <w:rPr>
                <w:noProof/>
                <w:webHidden/>
              </w:rPr>
              <w:fldChar w:fldCharType="separate"/>
            </w:r>
            <w:r>
              <w:rPr>
                <w:noProof/>
                <w:webHidden/>
              </w:rPr>
              <w:t>2</w:t>
            </w:r>
            <w:r>
              <w:rPr>
                <w:noProof/>
                <w:webHidden/>
              </w:rPr>
              <w:fldChar w:fldCharType="end"/>
            </w:r>
          </w:hyperlink>
        </w:p>
        <w:p w14:paraId="095FFCD6" w14:textId="1835B53C" w:rsidR="00C8064B" w:rsidRDefault="00C8064B">
          <w:pPr>
            <w:pStyle w:val="TOC1"/>
            <w:tabs>
              <w:tab w:val="left" w:pos="480"/>
              <w:tab w:val="right" w:leader="dot" w:pos="9016"/>
            </w:tabs>
            <w:rPr>
              <w:noProof/>
            </w:rPr>
          </w:pPr>
          <w:hyperlink w:anchor="_Toc234054491" w:history="1">
            <w:r w:rsidRPr="003E01E4">
              <w:rPr>
                <w:rStyle w:val="Hyperlink"/>
                <w:rFonts w:ascii="Times New Roman" w:hAnsi="Times New Roman" w:cs="Times New Roman"/>
                <w:b/>
                <w:bCs/>
                <w:noProof/>
              </w:rPr>
              <w:t>1.</w:t>
            </w:r>
            <w:r>
              <w:rPr>
                <w:noProof/>
              </w:rPr>
              <w:tab/>
            </w:r>
            <w:r w:rsidRPr="003E01E4">
              <w:rPr>
                <w:rStyle w:val="Hyperlink"/>
                <w:rFonts w:ascii="Times New Roman" w:hAnsi="Times New Roman" w:cs="Times New Roman"/>
                <w:b/>
                <w:bCs/>
                <w:noProof/>
              </w:rPr>
              <w:t>Introduction</w:t>
            </w:r>
            <w:r>
              <w:rPr>
                <w:noProof/>
                <w:webHidden/>
              </w:rPr>
              <w:tab/>
            </w:r>
            <w:r w:rsidR="008074C0">
              <w:rPr>
                <w:noProof/>
                <w:webHidden/>
              </w:rPr>
              <w:t>4</w:t>
            </w:r>
          </w:hyperlink>
        </w:p>
        <w:p w14:paraId="4273418F" w14:textId="5E2A57AD" w:rsidR="00C8064B" w:rsidRDefault="00C8064B">
          <w:pPr>
            <w:pStyle w:val="TOC1"/>
            <w:tabs>
              <w:tab w:val="left" w:pos="480"/>
              <w:tab w:val="right" w:leader="dot" w:pos="9016"/>
            </w:tabs>
            <w:rPr>
              <w:noProof/>
            </w:rPr>
          </w:pPr>
          <w:hyperlink w:anchor="_Toc234054492" w:history="1">
            <w:r w:rsidRPr="003E01E4">
              <w:rPr>
                <w:rStyle w:val="Hyperlink"/>
                <w:b/>
                <w:bCs/>
                <w:noProof/>
              </w:rPr>
              <w:t>2.</w:t>
            </w:r>
            <w:r>
              <w:rPr>
                <w:noProof/>
              </w:rPr>
              <w:tab/>
            </w:r>
            <w:r w:rsidRPr="003E01E4">
              <w:rPr>
                <w:rStyle w:val="Hyperlink"/>
                <w:b/>
                <w:bCs/>
                <w:noProof/>
              </w:rPr>
              <w:t>Organisational Analysis &amp; Need for Change</w:t>
            </w:r>
            <w:r>
              <w:rPr>
                <w:noProof/>
                <w:webHidden/>
              </w:rPr>
              <w:tab/>
            </w:r>
            <w:r w:rsidR="008074C0">
              <w:rPr>
                <w:noProof/>
                <w:webHidden/>
              </w:rPr>
              <w:t>5</w:t>
            </w:r>
          </w:hyperlink>
        </w:p>
        <w:p w14:paraId="5AA6DE0B" w14:textId="7CAB04E7" w:rsidR="00C8064B" w:rsidRDefault="00C8064B">
          <w:pPr>
            <w:pStyle w:val="TOC1"/>
            <w:tabs>
              <w:tab w:val="left" w:pos="480"/>
              <w:tab w:val="right" w:leader="dot" w:pos="9016"/>
            </w:tabs>
            <w:rPr>
              <w:noProof/>
            </w:rPr>
          </w:pPr>
          <w:hyperlink w:anchor="_Toc234054493" w:history="1">
            <w:r w:rsidRPr="003E01E4">
              <w:rPr>
                <w:rStyle w:val="Hyperlink"/>
                <w:b/>
                <w:bCs/>
                <w:noProof/>
              </w:rPr>
              <w:t>3.</w:t>
            </w:r>
            <w:r>
              <w:rPr>
                <w:noProof/>
              </w:rPr>
              <w:tab/>
            </w:r>
            <w:r w:rsidRPr="003E01E4">
              <w:rPr>
                <w:rStyle w:val="Hyperlink"/>
                <w:b/>
                <w:bCs/>
                <w:noProof/>
              </w:rPr>
              <w:t>Change Management Models</w:t>
            </w:r>
            <w:r>
              <w:rPr>
                <w:noProof/>
                <w:webHidden/>
              </w:rPr>
              <w:tab/>
            </w:r>
            <w:r w:rsidR="008074C0">
              <w:rPr>
                <w:noProof/>
                <w:webHidden/>
              </w:rPr>
              <w:t>10</w:t>
            </w:r>
          </w:hyperlink>
        </w:p>
        <w:p w14:paraId="4EA136B2" w14:textId="4E9A752C" w:rsidR="00C8064B" w:rsidRDefault="00C8064B">
          <w:pPr>
            <w:pStyle w:val="TOC1"/>
            <w:tabs>
              <w:tab w:val="left" w:pos="480"/>
              <w:tab w:val="right" w:leader="dot" w:pos="9016"/>
            </w:tabs>
            <w:rPr>
              <w:noProof/>
            </w:rPr>
          </w:pPr>
          <w:hyperlink w:anchor="_Toc234054494" w:history="1">
            <w:r w:rsidRPr="003E01E4">
              <w:rPr>
                <w:rStyle w:val="Hyperlink"/>
                <w:b/>
                <w:bCs/>
                <w:noProof/>
              </w:rPr>
              <w:t>4.</w:t>
            </w:r>
            <w:r>
              <w:rPr>
                <w:noProof/>
              </w:rPr>
              <w:tab/>
            </w:r>
            <w:r w:rsidRPr="003E01E4">
              <w:rPr>
                <w:rStyle w:val="Hyperlink"/>
                <w:b/>
                <w:bCs/>
                <w:noProof/>
              </w:rPr>
              <w:t>Leadership &amp; Organisational Culture</w:t>
            </w:r>
            <w:r>
              <w:rPr>
                <w:noProof/>
                <w:webHidden/>
              </w:rPr>
              <w:tab/>
            </w:r>
            <w:r w:rsidR="008074C0">
              <w:rPr>
                <w:noProof/>
                <w:webHidden/>
              </w:rPr>
              <w:t>15</w:t>
            </w:r>
          </w:hyperlink>
        </w:p>
        <w:p w14:paraId="19BC1752" w14:textId="0C1645FD" w:rsidR="00C8064B" w:rsidRDefault="00C8064B">
          <w:pPr>
            <w:pStyle w:val="TOC1"/>
            <w:tabs>
              <w:tab w:val="left" w:pos="480"/>
              <w:tab w:val="right" w:leader="dot" w:pos="9016"/>
            </w:tabs>
            <w:rPr>
              <w:noProof/>
            </w:rPr>
          </w:pPr>
          <w:hyperlink w:anchor="_Toc234054495" w:history="1">
            <w:r w:rsidRPr="003E01E4">
              <w:rPr>
                <w:rStyle w:val="Hyperlink"/>
                <w:b/>
                <w:bCs/>
                <w:noProof/>
              </w:rPr>
              <w:t>5.</w:t>
            </w:r>
            <w:r>
              <w:rPr>
                <w:noProof/>
              </w:rPr>
              <w:tab/>
            </w:r>
            <w:r w:rsidRPr="003E01E4">
              <w:rPr>
                <w:rStyle w:val="Hyperlink"/>
                <w:b/>
                <w:bCs/>
                <w:noProof/>
              </w:rPr>
              <w:t>Strategic Change Plan</w:t>
            </w:r>
            <w:r>
              <w:rPr>
                <w:noProof/>
                <w:webHidden/>
              </w:rPr>
              <w:tab/>
            </w:r>
            <w:r w:rsidR="008074C0">
              <w:rPr>
                <w:noProof/>
                <w:webHidden/>
              </w:rPr>
              <w:t>19</w:t>
            </w:r>
          </w:hyperlink>
        </w:p>
        <w:p w14:paraId="5FD7514B" w14:textId="2D0B1EBF" w:rsidR="00C8064B" w:rsidRDefault="00C8064B">
          <w:pPr>
            <w:pStyle w:val="TOC1"/>
            <w:tabs>
              <w:tab w:val="left" w:pos="480"/>
              <w:tab w:val="right" w:leader="dot" w:pos="9016"/>
            </w:tabs>
            <w:rPr>
              <w:noProof/>
            </w:rPr>
          </w:pPr>
          <w:hyperlink w:anchor="_Toc234054496" w:history="1">
            <w:r w:rsidRPr="003E01E4">
              <w:rPr>
                <w:rStyle w:val="Hyperlink"/>
                <w:b/>
                <w:bCs/>
                <w:noProof/>
              </w:rPr>
              <w:t>6.</w:t>
            </w:r>
            <w:r>
              <w:rPr>
                <w:noProof/>
              </w:rPr>
              <w:tab/>
            </w:r>
            <w:r w:rsidRPr="003E01E4">
              <w:rPr>
                <w:rStyle w:val="Hyperlink"/>
                <w:b/>
                <w:bCs/>
                <w:noProof/>
              </w:rPr>
              <w:t>Conclusion</w:t>
            </w:r>
            <w:r>
              <w:rPr>
                <w:noProof/>
                <w:webHidden/>
              </w:rPr>
              <w:tab/>
            </w:r>
            <w:r w:rsidR="008074C0">
              <w:rPr>
                <w:noProof/>
                <w:webHidden/>
              </w:rPr>
              <w:t>22</w:t>
            </w:r>
          </w:hyperlink>
        </w:p>
        <w:p w14:paraId="6256A667" w14:textId="278CD20E" w:rsidR="00C8064B" w:rsidRDefault="00C8064B">
          <w:pPr>
            <w:pStyle w:val="TOC1"/>
            <w:tabs>
              <w:tab w:val="left" w:pos="480"/>
              <w:tab w:val="right" w:leader="dot" w:pos="9016"/>
            </w:tabs>
            <w:rPr>
              <w:noProof/>
            </w:rPr>
          </w:pPr>
          <w:hyperlink w:anchor="_Toc234054497" w:history="1">
            <w:r w:rsidRPr="003E01E4">
              <w:rPr>
                <w:rStyle w:val="Hyperlink"/>
                <w:b/>
                <w:bCs/>
                <w:noProof/>
              </w:rPr>
              <w:t>7.</w:t>
            </w:r>
            <w:r>
              <w:rPr>
                <w:noProof/>
              </w:rPr>
              <w:tab/>
            </w:r>
            <w:r w:rsidRPr="003E01E4">
              <w:rPr>
                <w:rStyle w:val="Hyperlink"/>
                <w:b/>
                <w:bCs/>
                <w:noProof/>
              </w:rPr>
              <w:t>References</w:t>
            </w:r>
            <w:r>
              <w:rPr>
                <w:noProof/>
                <w:webHidden/>
              </w:rPr>
              <w:tab/>
            </w:r>
            <w:r w:rsidR="008074C0">
              <w:rPr>
                <w:noProof/>
                <w:webHidden/>
              </w:rPr>
              <w:t>23</w:t>
            </w:r>
          </w:hyperlink>
        </w:p>
        <w:p w14:paraId="313A966F" w14:textId="4FDFC830" w:rsidR="00C8064B" w:rsidRDefault="00C8064B">
          <w:pPr>
            <w:pStyle w:val="TOC1"/>
            <w:tabs>
              <w:tab w:val="left" w:pos="480"/>
              <w:tab w:val="right" w:leader="dot" w:pos="9016"/>
            </w:tabs>
            <w:rPr>
              <w:noProof/>
            </w:rPr>
          </w:pPr>
          <w:hyperlink w:anchor="_Toc234054498" w:history="1">
            <w:r w:rsidRPr="003E01E4">
              <w:rPr>
                <w:rStyle w:val="Hyperlink"/>
                <w:b/>
                <w:bCs/>
                <w:noProof/>
              </w:rPr>
              <w:t>8.</w:t>
            </w:r>
            <w:r>
              <w:rPr>
                <w:noProof/>
              </w:rPr>
              <w:tab/>
            </w:r>
            <w:r w:rsidRPr="003E01E4">
              <w:rPr>
                <w:rStyle w:val="Hyperlink"/>
                <w:b/>
                <w:bCs/>
                <w:noProof/>
              </w:rPr>
              <w:t>Appendix</w:t>
            </w:r>
            <w:r>
              <w:rPr>
                <w:noProof/>
                <w:webHidden/>
              </w:rPr>
              <w:tab/>
            </w:r>
            <w:r w:rsidR="008074C0">
              <w:rPr>
                <w:noProof/>
                <w:webHidden/>
              </w:rPr>
              <w:t>25</w:t>
            </w:r>
          </w:hyperlink>
        </w:p>
        <w:p w14:paraId="369E6675" w14:textId="6569AA61" w:rsidR="00C8064B" w:rsidRDefault="00C8064B">
          <w:r>
            <w:rPr>
              <w:b/>
              <w:bCs/>
              <w:noProof/>
            </w:rPr>
            <w:fldChar w:fldCharType="end"/>
          </w:r>
        </w:p>
      </w:sdtContent>
    </w:sdt>
    <w:p w14:paraId="2B8E05B2" w14:textId="77777777" w:rsidR="001335F7" w:rsidRDefault="001335F7">
      <w:pPr>
        <w:rPr>
          <w:rFonts w:ascii="Times New Roman" w:hAnsi="Times New Roman" w:cs="Times New Roman"/>
          <w:sz w:val="24"/>
          <w:szCs w:val="24"/>
        </w:rPr>
      </w:pPr>
    </w:p>
    <w:p w14:paraId="1DACA060" w14:textId="77777777" w:rsidR="001335F7" w:rsidRDefault="001335F7">
      <w:pPr>
        <w:rPr>
          <w:rFonts w:ascii="Times New Roman" w:hAnsi="Times New Roman" w:cs="Times New Roman"/>
          <w:sz w:val="24"/>
          <w:szCs w:val="24"/>
        </w:rPr>
      </w:pPr>
    </w:p>
    <w:p w14:paraId="17FEA1F3" w14:textId="77777777" w:rsidR="001335F7" w:rsidRDefault="001335F7">
      <w:pPr>
        <w:rPr>
          <w:rFonts w:ascii="Times New Roman" w:hAnsi="Times New Roman" w:cs="Times New Roman"/>
          <w:sz w:val="24"/>
          <w:szCs w:val="24"/>
        </w:rPr>
      </w:pPr>
    </w:p>
    <w:p w14:paraId="3C602107" w14:textId="77777777" w:rsidR="001335F7" w:rsidRDefault="001335F7">
      <w:pPr>
        <w:rPr>
          <w:rFonts w:ascii="Times New Roman" w:hAnsi="Times New Roman" w:cs="Times New Roman"/>
          <w:sz w:val="24"/>
          <w:szCs w:val="24"/>
        </w:rPr>
      </w:pPr>
    </w:p>
    <w:p w14:paraId="7A998102" w14:textId="77777777" w:rsidR="001335F7" w:rsidRDefault="001335F7">
      <w:pPr>
        <w:rPr>
          <w:rFonts w:ascii="Times New Roman" w:hAnsi="Times New Roman" w:cs="Times New Roman"/>
          <w:sz w:val="24"/>
          <w:szCs w:val="24"/>
        </w:rPr>
      </w:pPr>
    </w:p>
    <w:p w14:paraId="3D108CCB" w14:textId="77777777" w:rsidR="001335F7" w:rsidRDefault="001335F7">
      <w:pPr>
        <w:rPr>
          <w:rFonts w:ascii="Times New Roman" w:hAnsi="Times New Roman" w:cs="Times New Roman"/>
          <w:sz w:val="24"/>
          <w:szCs w:val="24"/>
        </w:rPr>
      </w:pPr>
    </w:p>
    <w:p w14:paraId="02F4CEDC" w14:textId="77777777" w:rsidR="001335F7" w:rsidRDefault="001335F7">
      <w:pPr>
        <w:rPr>
          <w:rFonts w:ascii="Times New Roman" w:hAnsi="Times New Roman" w:cs="Times New Roman"/>
          <w:sz w:val="24"/>
          <w:szCs w:val="24"/>
        </w:rPr>
      </w:pPr>
    </w:p>
    <w:p w14:paraId="00BD4A9D" w14:textId="77777777" w:rsidR="001335F7" w:rsidRDefault="001335F7">
      <w:pPr>
        <w:rPr>
          <w:rFonts w:ascii="Times New Roman" w:hAnsi="Times New Roman" w:cs="Times New Roman"/>
          <w:sz w:val="24"/>
          <w:szCs w:val="24"/>
        </w:rPr>
      </w:pPr>
    </w:p>
    <w:p w14:paraId="63B5D14D" w14:textId="77777777" w:rsidR="001335F7" w:rsidRDefault="001335F7">
      <w:pPr>
        <w:rPr>
          <w:rFonts w:ascii="Times New Roman" w:hAnsi="Times New Roman" w:cs="Times New Roman"/>
          <w:sz w:val="24"/>
          <w:szCs w:val="24"/>
        </w:rPr>
      </w:pPr>
    </w:p>
    <w:p w14:paraId="08A22C64" w14:textId="77777777" w:rsidR="001335F7" w:rsidRDefault="001335F7">
      <w:pPr>
        <w:rPr>
          <w:rFonts w:ascii="Times New Roman" w:hAnsi="Times New Roman" w:cs="Times New Roman"/>
          <w:sz w:val="24"/>
          <w:szCs w:val="24"/>
        </w:rPr>
      </w:pPr>
    </w:p>
    <w:p w14:paraId="644FE32A" w14:textId="77777777" w:rsidR="001335F7" w:rsidRDefault="001335F7">
      <w:pPr>
        <w:rPr>
          <w:rFonts w:ascii="Times New Roman" w:hAnsi="Times New Roman" w:cs="Times New Roman"/>
          <w:sz w:val="24"/>
          <w:szCs w:val="24"/>
        </w:rPr>
      </w:pPr>
    </w:p>
    <w:p w14:paraId="64A4E7CD" w14:textId="77777777" w:rsidR="001335F7" w:rsidRDefault="001335F7">
      <w:pPr>
        <w:rPr>
          <w:rFonts w:ascii="Times New Roman" w:hAnsi="Times New Roman" w:cs="Times New Roman"/>
          <w:sz w:val="24"/>
          <w:szCs w:val="24"/>
        </w:rPr>
      </w:pPr>
    </w:p>
    <w:p w14:paraId="11FB90F1" w14:textId="77777777" w:rsidR="001335F7" w:rsidRDefault="001335F7">
      <w:pPr>
        <w:rPr>
          <w:rFonts w:ascii="Times New Roman" w:hAnsi="Times New Roman" w:cs="Times New Roman"/>
          <w:sz w:val="24"/>
          <w:szCs w:val="24"/>
        </w:rPr>
      </w:pPr>
    </w:p>
    <w:p w14:paraId="01452AFF" w14:textId="77777777" w:rsidR="001335F7" w:rsidRDefault="001335F7">
      <w:pPr>
        <w:rPr>
          <w:rFonts w:ascii="Times New Roman" w:hAnsi="Times New Roman" w:cs="Times New Roman"/>
          <w:sz w:val="24"/>
          <w:szCs w:val="24"/>
        </w:rPr>
      </w:pPr>
    </w:p>
    <w:p w14:paraId="71261FFF" w14:textId="77777777" w:rsidR="001335F7" w:rsidRDefault="001335F7">
      <w:pPr>
        <w:rPr>
          <w:rFonts w:ascii="Times New Roman" w:hAnsi="Times New Roman" w:cs="Times New Roman"/>
          <w:sz w:val="24"/>
          <w:szCs w:val="24"/>
        </w:rPr>
      </w:pPr>
    </w:p>
    <w:p w14:paraId="345D9643" w14:textId="77777777" w:rsidR="001335F7" w:rsidRDefault="001335F7">
      <w:pPr>
        <w:rPr>
          <w:rFonts w:ascii="Times New Roman" w:hAnsi="Times New Roman" w:cs="Times New Roman"/>
          <w:sz w:val="24"/>
          <w:szCs w:val="24"/>
        </w:rPr>
      </w:pPr>
    </w:p>
    <w:p w14:paraId="7858662A" w14:textId="77777777" w:rsidR="001335F7" w:rsidRDefault="001335F7">
      <w:pPr>
        <w:rPr>
          <w:rFonts w:ascii="Times New Roman" w:hAnsi="Times New Roman" w:cs="Times New Roman"/>
          <w:sz w:val="24"/>
          <w:szCs w:val="24"/>
        </w:rPr>
      </w:pPr>
    </w:p>
    <w:p w14:paraId="261BD685" w14:textId="77777777" w:rsidR="001335F7" w:rsidRDefault="001335F7">
      <w:pPr>
        <w:rPr>
          <w:rFonts w:ascii="Times New Roman" w:hAnsi="Times New Roman" w:cs="Times New Roman"/>
          <w:sz w:val="24"/>
          <w:szCs w:val="24"/>
        </w:rPr>
      </w:pPr>
    </w:p>
    <w:p w14:paraId="45B8D203" w14:textId="6226A59C" w:rsidR="001335F7" w:rsidRDefault="001335F7">
      <w:pPr>
        <w:rPr>
          <w:rFonts w:ascii="Times New Roman" w:hAnsi="Times New Roman" w:cs="Times New Roman"/>
          <w:sz w:val="24"/>
          <w:szCs w:val="24"/>
        </w:rPr>
      </w:pPr>
    </w:p>
    <w:p w14:paraId="79DE385B" w14:textId="77777777" w:rsidR="00C8064B" w:rsidRDefault="00C8064B">
      <w:pPr>
        <w:rPr>
          <w:rFonts w:ascii="Times New Roman" w:hAnsi="Times New Roman" w:cs="Times New Roman"/>
          <w:sz w:val="24"/>
          <w:szCs w:val="24"/>
        </w:rPr>
      </w:pPr>
    </w:p>
    <w:p w14:paraId="0C8F40EF" w14:textId="319CBE69" w:rsidR="001335F7" w:rsidRPr="00A42FED" w:rsidRDefault="001335F7" w:rsidP="00C8064B">
      <w:pPr>
        <w:pStyle w:val="ListParagraph"/>
        <w:numPr>
          <w:ilvl w:val="0"/>
          <w:numId w:val="1"/>
        </w:numPr>
        <w:outlineLvl w:val="0"/>
        <w:rPr>
          <w:rFonts w:ascii="Times New Roman" w:hAnsi="Times New Roman" w:cs="Times New Roman"/>
          <w:b/>
          <w:bCs/>
          <w:color w:val="7030A0"/>
          <w:sz w:val="28"/>
          <w:szCs w:val="28"/>
        </w:rPr>
      </w:pPr>
      <w:bookmarkStart w:id="1" w:name="_Toc234054491"/>
      <w:r w:rsidRPr="00A42FED">
        <w:rPr>
          <w:rFonts w:ascii="Times New Roman" w:hAnsi="Times New Roman" w:cs="Times New Roman"/>
          <w:b/>
          <w:bCs/>
          <w:color w:val="7030A0"/>
          <w:sz w:val="28"/>
          <w:szCs w:val="28"/>
        </w:rPr>
        <w:t>Introduction</w:t>
      </w:r>
      <w:bookmarkEnd w:id="1"/>
    </w:p>
    <w:p w14:paraId="5C2C990D" w14:textId="4AE975C3" w:rsidR="0092148E" w:rsidRDefault="0087651A" w:rsidP="0087651A">
      <w:pPr>
        <w:pStyle w:val="NormalWeb"/>
        <w:ind w:left="360"/>
      </w:pPr>
      <w:r w:rsidRPr="0087651A">
        <w:t>The global automotive industry is undergoing important changes. Mass production changed how the market functioned. Now, more advanced technologies such as automation, AI, and data analytics, are integration Cloud Manufacturing and Digital Twins, disrupting the market in a similar manner. On top of that, customers want more sustainable products and more connected products. Governments are beginning to implement more strict Regulations around carbon emissions and are starting to require the automotive industry to produce more electric vehicles. With all of these changes in the market, in order for automotive companies to be competitive, resilient, and sustain their operations in the long run, they will need to undergo Digitally Led Transformation. This is no different for the members of the automotive industry. It is a competitive market, therefore transformation is important, especially in this decade (</w:t>
      </w:r>
      <w:r w:rsidRPr="00A42FED">
        <w:rPr>
          <w:i/>
          <w:iCs/>
        </w:rPr>
        <w:t>International Energy Agency, 2025; World Economic Forum, 2025; Society of Motor Manufacturers and Traders (SMMT), 2025).</w:t>
      </w:r>
    </w:p>
    <w:p w14:paraId="056F6F3E" w14:textId="1109BBE4" w:rsidR="001335F7" w:rsidRDefault="0087651A" w:rsidP="0092148E">
      <w:pPr>
        <w:pStyle w:val="NormalWeb"/>
        <w:ind w:left="360"/>
      </w:pPr>
      <w:r>
        <w:rPr>
          <w:noProof/>
        </w:rPr>
        <w:drawing>
          <wp:inline distT="0" distB="0" distL="0" distR="0" wp14:anchorId="1C7AC65C" wp14:editId="3E292126">
            <wp:extent cx="5731510" cy="3216275"/>
            <wp:effectExtent l="0" t="0" r="2540" b="3175"/>
            <wp:docPr id="1037476099" name="Picture 1" descr="日産、英国サンダーランド工場が累計生産1100万台突破…37年で達成 3枚目の写真・画像 | レスポンス（Response.j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日産、英国サンダーランド工場が累計生産1100万台突破…37年で達成 3枚目の写真・画像 | レスポンス（Response.j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16275"/>
                    </a:xfrm>
                    <a:prstGeom prst="rect">
                      <a:avLst/>
                    </a:prstGeom>
                    <a:noFill/>
                    <a:ln>
                      <a:noFill/>
                    </a:ln>
                  </pic:spPr>
                </pic:pic>
              </a:graphicData>
            </a:graphic>
          </wp:inline>
        </w:drawing>
      </w:r>
    </w:p>
    <w:p w14:paraId="2FDD6AFB" w14:textId="2460502C" w:rsidR="0087651A" w:rsidRDefault="0087651A" w:rsidP="0087651A">
      <w:pPr>
        <w:pStyle w:val="NormalWeb"/>
        <w:ind w:left="360"/>
        <w:jc w:val="center"/>
      </w:pPr>
      <w:r w:rsidRPr="0087651A">
        <w:t xml:space="preserve">Figure </w:t>
      </w:r>
      <w:r>
        <w:t>2</w:t>
      </w:r>
      <w:r w:rsidRPr="0087651A">
        <w:t>. Nissan Sunderland Plant and EV36Zero Manufacturing Ecosystem</w:t>
      </w:r>
    </w:p>
    <w:p w14:paraId="69DCFEF5" w14:textId="77777777" w:rsidR="00E3404E" w:rsidRDefault="00E3404E" w:rsidP="0087651A">
      <w:pPr>
        <w:pStyle w:val="NormalWeb"/>
        <w:ind w:left="360"/>
        <w:jc w:val="center"/>
      </w:pPr>
    </w:p>
    <w:p w14:paraId="6980DEE6" w14:textId="77777777" w:rsidR="00A42FED" w:rsidRDefault="00A42FED" w:rsidP="0087651A">
      <w:pPr>
        <w:pStyle w:val="NormalWeb"/>
        <w:ind w:left="360"/>
        <w:jc w:val="center"/>
      </w:pPr>
    </w:p>
    <w:p w14:paraId="2246373D" w14:textId="77777777" w:rsidR="00A42FED" w:rsidRDefault="00A42FED" w:rsidP="0087651A">
      <w:pPr>
        <w:pStyle w:val="NormalWeb"/>
        <w:ind w:left="360"/>
        <w:jc w:val="center"/>
      </w:pPr>
    </w:p>
    <w:p w14:paraId="6FFE89D8" w14:textId="77777777" w:rsidR="00A42FED" w:rsidRDefault="00A42FED" w:rsidP="0087651A">
      <w:pPr>
        <w:pStyle w:val="NormalWeb"/>
        <w:ind w:left="360"/>
        <w:jc w:val="center"/>
      </w:pPr>
    </w:p>
    <w:p w14:paraId="261BEC7D" w14:textId="77777777" w:rsidR="00A42FED" w:rsidRDefault="00A42FED" w:rsidP="0087651A">
      <w:pPr>
        <w:pStyle w:val="NormalWeb"/>
        <w:ind w:left="360"/>
        <w:jc w:val="center"/>
      </w:pPr>
    </w:p>
    <w:p w14:paraId="36C5669A" w14:textId="77777777" w:rsidR="00A42FED" w:rsidRDefault="00A42FED" w:rsidP="0087651A">
      <w:pPr>
        <w:pStyle w:val="NormalWeb"/>
        <w:ind w:left="360"/>
        <w:jc w:val="center"/>
      </w:pPr>
    </w:p>
    <w:p w14:paraId="16766FC3" w14:textId="220B1EFC" w:rsidR="001335F7" w:rsidRPr="00A42FED" w:rsidRDefault="001335F7" w:rsidP="00C8064B">
      <w:pPr>
        <w:pStyle w:val="NormalWeb"/>
        <w:numPr>
          <w:ilvl w:val="0"/>
          <w:numId w:val="1"/>
        </w:numPr>
        <w:outlineLvl w:val="0"/>
        <w:rPr>
          <w:b/>
          <w:bCs/>
          <w:color w:val="7030A0"/>
          <w:sz w:val="28"/>
          <w:szCs w:val="28"/>
        </w:rPr>
      </w:pPr>
      <w:bookmarkStart w:id="2" w:name="_Toc234054492"/>
      <w:r w:rsidRPr="00A42FED">
        <w:rPr>
          <w:b/>
          <w:bCs/>
          <w:color w:val="7030A0"/>
          <w:sz w:val="28"/>
          <w:szCs w:val="28"/>
        </w:rPr>
        <w:t>Organisational Analysis &amp; Need for Change</w:t>
      </w:r>
      <w:bookmarkEnd w:id="2"/>
    </w:p>
    <w:p w14:paraId="27B2B870" w14:textId="77777777" w:rsidR="0087651A" w:rsidRDefault="0087651A" w:rsidP="0087651A">
      <w:pPr>
        <w:pStyle w:val="NormalWeb"/>
        <w:ind w:left="360"/>
      </w:pPr>
      <w:r>
        <w:t xml:space="preserve">Nissan Sunderland Plant is the UK's largest advanced manufacturing facility and serves as the key component of Nissan Motor Corporation's European production strategy. The plant, which started production in 1986, is already internationally recognised for operational excellence, lean manufacturing and product quality and productivity. It has built over 12 million vehicles, including the Nissan Qashqai, Juke and LEAF, and is a significant contributor to the UK economy through exports, jobs and technology. Nevertheless, AI, electrification, Industry 4.0 technologies and digital manufacturing push the global automotive industry into an unprecedented transformational phase; as well as tighter environmental legislation and changing customer expectations. To remain operationally competitive and protect its future as one of the world leaders in intelligent electric vehicle (EV) manufacturing, Nissan Sunderland must therefore accelerate its digital transformation </w:t>
      </w:r>
      <w:r w:rsidRPr="00A42FED">
        <w:rPr>
          <w:i/>
          <w:iCs/>
        </w:rPr>
        <w:t>(Nissan Motor Corporation, 2025; SMMT, 2025).</w:t>
      </w:r>
    </w:p>
    <w:p w14:paraId="1574C542" w14:textId="4970B118" w:rsidR="0087651A" w:rsidRDefault="0087651A" w:rsidP="0087651A">
      <w:pPr>
        <w:pStyle w:val="NormalWeb"/>
        <w:ind w:left="360"/>
      </w:pPr>
      <w:r>
        <w:rPr>
          <w:noProof/>
        </w:rPr>
        <w:drawing>
          <wp:inline distT="0" distB="0" distL="0" distR="0" wp14:anchorId="5872F403" wp14:editId="2A983BDF">
            <wp:extent cx="5731510" cy="3781425"/>
            <wp:effectExtent l="0" t="0" r="2540" b="9525"/>
            <wp:docPr id="773307393" name="Picture 2" descr="BRITAIN-TRANSPORT-MANUFACTURING-ENGINEERING-NISS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AIN-TRANSPORT-MANUFACTURING-ENGINEERING-NISSA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781425"/>
                    </a:xfrm>
                    <a:prstGeom prst="rect">
                      <a:avLst/>
                    </a:prstGeom>
                    <a:noFill/>
                    <a:ln>
                      <a:noFill/>
                    </a:ln>
                  </pic:spPr>
                </pic:pic>
              </a:graphicData>
            </a:graphic>
          </wp:inline>
        </w:drawing>
      </w:r>
    </w:p>
    <w:p w14:paraId="42B522D2" w14:textId="70B937FF" w:rsidR="001335F7" w:rsidRDefault="0087651A" w:rsidP="0087651A">
      <w:pPr>
        <w:pStyle w:val="NormalWeb"/>
        <w:tabs>
          <w:tab w:val="center" w:pos="4693"/>
        </w:tabs>
        <w:ind w:left="360"/>
      </w:pPr>
      <w:r>
        <w:tab/>
      </w:r>
      <w:r w:rsidRPr="0087651A">
        <w:t xml:space="preserve">Figure </w:t>
      </w:r>
      <w:r>
        <w:t>3</w:t>
      </w:r>
      <w:r w:rsidRPr="0087651A">
        <w:t>. Nissan Sunderland Plant and Smart Manufacturing Operations</w:t>
      </w:r>
    </w:p>
    <w:p w14:paraId="71FC6158" w14:textId="77777777" w:rsidR="0087651A" w:rsidRPr="0087651A" w:rsidRDefault="0087651A" w:rsidP="0087651A">
      <w:pPr>
        <w:pStyle w:val="NormalWeb"/>
        <w:tabs>
          <w:tab w:val="center" w:pos="4693"/>
        </w:tabs>
        <w:ind w:left="360"/>
      </w:pPr>
      <w:r w:rsidRPr="0087651A">
        <w:t>2.1 Ten-Year Business Performance Analysis</w:t>
      </w:r>
    </w:p>
    <w:p w14:paraId="7A2F53C4" w14:textId="77777777" w:rsidR="0087651A" w:rsidRPr="0087651A" w:rsidRDefault="0087651A" w:rsidP="0087651A">
      <w:pPr>
        <w:pStyle w:val="NormalWeb"/>
        <w:tabs>
          <w:tab w:val="center" w:pos="4693"/>
        </w:tabs>
        <w:ind w:left="360"/>
      </w:pPr>
      <w:r w:rsidRPr="0087651A">
        <w:t>This article examines how Nissan Sunderland has performed over the last decade and why recent changes to business strategy have both been justified by performance, but are also a necessary step. While the plant has continued to be among Nissan's best-performing production facilities, business performance has been impacted by Brexit, the COVID-19 pandemic, semiconductor shortages, supply disruptions and global shift toward electric vehicles. However, investments in battery manufacturing, renewable energy and AI-assisted production systems point to a return and better strategic long-term direction.</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56"/>
        <w:gridCol w:w="1759"/>
        <w:gridCol w:w="1910"/>
        <w:gridCol w:w="1862"/>
        <w:gridCol w:w="2429"/>
      </w:tblGrid>
      <w:tr w:rsidR="0087651A" w:rsidRPr="0087651A" w14:paraId="027D8D7B" w14:textId="77777777" w:rsidTr="0087651A">
        <w:trPr>
          <w:tblHeader/>
          <w:tblCellSpacing w:w="15" w:type="dxa"/>
          <w:jc w:val="center"/>
        </w:trPr>
        <w:tc>
          <w:tcPr>
            <w:tcW w:w="0" w:type="auto"/>
            <w:vAlign w:val="center"/>
            <w:hideMark/>
          </w:tcPr>
          <w:p w14:paraId="74D6F6B5" w14:textId="77777777" w:rsidR="0087651A" w:rsidRPr="0087651A" w:rsidRDefault="0087651A" w:rsidP="0087651A">
            <w:pPr>
              <w:pStyle w:val="NormalWeb"/>
              <w:tabs>
                <w:tab w:val="center" w:pos="4693"/>
              </w:tabs>
              <w:ind w:left="360"/>
              <w:rPr>
                <w:b/>
                <w:bCs/>
              </w:rPr>
            </w:pPr>
            <w:r w:rsidRPr="0087651A">
              <w:rPr>
                <w:b/>
                <w:bCs/>
              </w:rPr>
              <w:t>Year</w:t>
            </w:r>
          </w:p>
        </w:tc>
        <w:tc>
          <w:tcPr>
            <w:tcW w:w="0" w:type="auto"/>
            <w:vAlign w:val="center"/>
            <w:hideMark/>
          </w:tcPr>
          <w:p w14:paraId="75C38226" w14:textId="77777777" w:rsidR="0087651A" w:rsidRPr="0087651A" w:rsidRDefault="0087651A" w:rsidP="0087651A">
            <w:pPr>
              <w:pStyle w:val="NormalWeb"/>
              <w:tabs>
                <w:tab w:val="center" w:pos="4693"/>
              </w:tabs>
              <w:ind w:left="360"/>
              <w:rPr>
                <w:b/>
                <w:bCs/>
              </w:rPr>
            </w:pPr>
            <w:r w:rsidRPr="0087651A">
              <w:rPr>
                <w:b/>
                <w:bCs/>
              </w:rPr>
              <w:t>Global Revenue (¥ Billion)</w:t>
            </w:r>
          </w:p>
        </w:tc>
        <w:tc>
          <w:tcPr>
            <w:tcW w:w="0" w:type="auto"/>
            <w:vAlign w:val="center"/>
            <w:hideMark/>
          </w:tcPr>
          <w:p w14:paraId="6864EA82" w14:textId="77777777" w:rsidR="0087651A" w:rsidRPr="0087651A" w:rsidRDefault="0087651A" w:rsidP="0087651A">
            <w:pPr>
              <w:pStyle w:val="NormalWeb"/>
              <w:tabs>
                <w:tab w:val="center" w:pos="4693"/>
              </w:tabs>
              <w:ind w:left="360"/>
              <w:rPr>
                <w:b/>
                <w:bCs/>
              </w:rPr>
            </w:pPr>
            <w:r w:rsidRPr="0087651A">
              <w:rPr>
                <w:b/>
                <w:bCs/>
              </w:rPr>
              <w:t>Operating Profit (¥ Billion)</w:t>
            </w:r>
          </w:p>
        </w:tc>
        <w:tc>
          <w:tcPr>
            <w:tcW w:w="0" w:type="auto"/>
            <w:vAlign w:val="center"/>
            <w:hideMark/>
          </w:tcPr>
          <w:p w14:paraId="02855D10" w14:textId="77777777" w:rsidR="0087651A" w:rsidRPr="0087651A" w:rsidRDefault="0087651A" w:rsidP="0087651A">
            <w:pPr>
              <w:pStyle w:val="NormalWeb"/>
              <w:tabs>
                <w:tab w:val="center" w:pos="4693"/>
              </w:tabs>
              <w:ind w:left="360"/>
              <w:rPr>
                <w:b/>
                <w:bCs/>
              </w:rPr>
            </w:pPr>
            <w:r w:rsidRPr="0087651A">
              <w:rPr>
                <w:b/>
                <w:bCs/>
              </w:rPr>
              <w:t>Global Vehicle Sales (Million)</w:t>
            </w:r>
          </w:p>
        </w:tc>
        <w:tc>
          <w:tcPr>
            <w:tcW w:w="0" w:type="auto"/>
            <w:vAlign w:val="center"/>
            <w:hideMark/>
          </w:tcPr>
          <w:p w14:paraId="514FEE80" w14:textId="77777777" w:rsidR="0087651A" w:rsidRPr="0087651A" w:rsidRDefault="0087651A" w:rsidP="0087651A">
            <w:pPr>
              <w:pStyle w:val="NormalWeb"/>
              <w:tabs>
                <w:tab w:val="center" w:pos="4693"/>
              </w:tabs>
              <w:ind w:left="360"/>
              <w:rPr>
                <w:b/>
                <w:bCs/>
              </w:rPr>
            </w:pPr>
            <w:r w:rsidRPr="0087651A">
              <w:rPr>
                <w:b/>
                <w:bCs/>
              </w:rPr>
              <w:t>Major Strategic Development</w:t>
            </w:r>
          </w:p>
        </w:tc>
      </w:tr>
      <w:tr w:rsidR="0087651A" w:rsidRPr="0087651A" w14:paraId="3D76F86A" w14:textId="77777777" w:rsidTr="0087651A">
        <w:trPr>
          <w:tblCellSpacing w:w="15" w:type="dxa"/>
          <w:jc w:val="center"/>
        </w:trPr>
        <w:tc>
          <w:tcPr>
            <w:tcW w:w="0" w:type="auto"/>
            <w:vAlign w:val="center"/>
            <w:hideMark/>
          </w:tcPr>
          <w:p w14:paraId="25A95E29" w14:textId="77777777" w:rsidR="0087651A" w:rsidRPr="0087651A" w:rsidRDefault="0087651A" w:rsidP="0087651A">
            <w:pPr>
              <w:pStyle w:val="NormalWeb"/>
              <w:tabs>
                <w:tab w:val="center" w:pos="4693"/>
              </w:tabs>
              <w:ind w:left="360"/>
            </w:pPr>
            <w:r w:rsidRPr="0087651A">
              <w:t>2016</w:t>
            </w:r>
          </w:p>
        </w:tc>
        <w:tc>
          <w:tcPr>
            <w:tcW w:w="0" w:type="auto"/>
            <w:vAlign w:val="center"/>
            <w:hideMark/>
          </w:tcPr>
          <w:p w14:paraId="6D8E0065" w14:textId="77777777" w:rsidR="0087651A" w:rsidRPr="0087651A" w:rsidRDefault="0087651A" w:rsidP="0087651A">
            <w:pPr>
              <w:pStyle w:val="NormalWeb"/>
              <w:tabs>
                <w:tab w:val="center" w:pos="4693"/>
              </w:tabs>
              <w:ind w:left="360"/>
            </w:pPr>
            <w:r w:rsidRPr="0087651A">
              <w:t>11,720</w:t>
            </w:r>
          </w:p>
        </w:tc>
        <w:tc>
          <w:tcPr>
            <w:tcW w:w="0" w:type="auto"/>
            <w:vAlign w:val="center"/>
            <w:hideMark/>
          </w:tcPr>
          <w:p w14:paraId="7BB207B1" w14:textId="77777777" w:rsidR="0087651A" w:rsidRPr="0087651A" w:rsidRDefault="0087651A" w:rsidP="0087651A">
            <w:pPr>
              <w:pStyle w:val="NormalWeb"/>
              <w:tabs>
                <w:tab w:val="center" w:pos="4693"/>
              </w:tabs>
              <w:ind w:left="360"/>
            </w:pPr>
            <w:r w:rsidRPr="0087651A">
              <w:t>522</w:t>
            </w:r>
          </w:p>
        </w:tc>
        <w:tc>
          <w:tcPr>
            <w:tcW w:w="0" w:type="auto"/>
            <w:vAlign w:val="center"/>
            <w:hideMark/>
          </w:tcPr>
          <w:p w14:paraId="77DE0BCE" w14:textId="77777777" w:rsidR="0087651A" w:rsidRPr="0087651A" w:rsidRDefault="0087651A" w:rsidP="0087651A">
            <w:pPr>
              <w:pStyle w:val="NormalWeb"/>
              <w:tabs>
                <w:tab w:val="center" w:pos="4693"/>
              </w:tabs>
              <w:ind w:left="360"/>
            </w:pPr>
            <w:r w:rsidRPr="0087651A">
              <w:t>5.83</w:t>
            </w:r>
          </w:p>
        </w:tc>
        <w:tc>
          <w:tcPr>
            <w:tcW w:w="0" w:type="auto"/>
            <w:vAlign w:val="center"/>
            <w:hideMark/>
          </w:tcPr>
          <w:p w14:paraId="1C77DD71" w14:textId="77777777" w:rsidR="0087651A" w:rsidRPr="0087651A" w:rsidRDefault="0087651A" w:rsidP="0087651A">
            <w:pPr>
              <w:pStyle w:val="NormalWeb"/>
              <w:tabs>
                <w:tab w:val="center" w:pos="4693"/>
              </w:tabs>
              <w:ind w:left="360"/>
            </w:pPr>
            <w:r w:rsidRPr="0087651A">
              <w:t>Record global production</w:t>
            </w:r>
          </w:p>
        </w:tc>
      </w:tr>
      <w:tr w:rsidR="0087651A" w:rsidRPr="0087651A" w14:paraId="6EE1D325" w14:textId="77777777" w:rsidTr="0087651A">
        <w:trPr>
          <w:tblCellSpacing w:w="15" w:type="dxa"/>
          <w:jc w:val="center"/>
        </w:trPr>
        <w:tc>
          <w:tcPr>
            <w:tcW w:w="0" w:type="auto"/>
            <w:vAlign w:val="center"/>
            <w:hideMark/>
          </w:tcPr>
          <w:p w14:paraId="1824D579" w14:textId="77777777" w:rsidR="0087651A" w:rsidRPr="0087651A" w:rsidRDefault="0087651A" w:rsidP="0087651A">
            <w:pPr>
              <w:pStyle w:val="NormalWeb"/>
              <w:tabs>
                <w:tab w:val="center" w:pos="4693"/>
              </w:tabs>
              <w:ind w:left="360"/>
            </w:pPr>
            <w:r w:rsidRPr="0087651A">
              <w:t>2017</w:t>
            </w:r>
          </w:p>
        </w:tc>
        <w:tc>
          <w:tcPr>
            <w:tcW w:w="0" w:type="auto"/>
            <w:vAlign w:val="center"/>
            <w:hideMark/>
          </w:tcPr>
          <w:p w14:paraId="581E4A10" w14:textId="77777777" w:rsidR="0087651A" w:rsidRPr="0087651A" w:rsidRDefault="0087651A" w:rsidP="0087651A">
            <w:pPr>
              <w:pStyle w:val="NormalWeb"/>
              <w:tabs>
                <w:tab w:val="center" w:pos="4693"/>
              </w:tabs>
              <w:ind w:left="360"/>
            </w:pPr>
            <w:r w:rsidRPr="0087651A">
              <w:t>11,576</w:t>
            </w:r>
          </w:p>
        </w:tc>
        <w:tc>
          <w:tcPr>
            <w:tcW w:w="0" w:type="auto"/>
            <w:vAlign w:val="center"/>
            <w:hideMark/>
          </w:tcPr>
          <w:p w14:paraId="1D0C301D" w14:textId="77777777" w:rsidR="0087651A" w:rsidRPr="0087651A" w:rsidRDefault="0087651A" w:rsidP="0087651A">
            <w:pPr>
              <w:pStyle w:val="NormalWeb"/>
              <w:tabs>
                <w:tab w:val="center" w:pos="4693"/>
              </w:tabs>
              <w:ind w:left="360"/>
            </w:pPr>
            <w:r w:rsidRPr="0087651A">
              <w:t>568</w:t>
            </w:r>
          </w:p>
        </w:tc>
        <w:tc>
          <w:tcPr>
            <w:tcW w:w="0" w:type="auto"/>
            <w:vAlign w:val="center"/>
            <w:hideMark/>
          </w:tcPr>
          <w:p w14:paraId="779E9C60" w14:textId="77777777" w:rsidR="0087651A" w:rsidRPr="0087651A" w:rsidRDefault="0087651A" w:rsidP="0087651A">
            <w:pPr>
              <w:pStyle w:val="NormalWeb"/>
              <w:tabs>
                <w:tab w:val="center" w:pos="4693"/>
              </w:tabs>
              <w:ind w:left="360"/>
            </w:pPr>
            <w:r w:rsidRPr="0087651A">
              <w:t>5.76</w:t>
            </w:r>
          </w:p>
        </w:tc>
        <w:tc>
          <w:tcPr>
            <w:tcW w:w="0" w:type="auto"/>
            <w:vAlign w:val="center"/>
            <w:hideMark/>
          </w:tcPr>
          <w:p w14:paraId="1AE218E5" w14:textId="77777777" w:rsidR="0087651A" w:rsidRPr="0087651A" w:rsidRDefault="0087651A" w:rsidP="0087651A">
            <w:pPr>
              <w:pStyle w:val="NormalWeb"/>
              <w:tabs>
                <w:tab w:val="center" w:pos="4693"/>
              </w:tabs>
              <w:ind w:left="360"/>
            </w:pPr>
            <w:r w:rsidRPr="0087651A">
              <w:t>Strong European growth</w:t>
            </w:r>
          </w:p>
        </w:tc>
      </w:tr>
      <w:tr w:rsidR="0087651A" w:rsidRPr="0087651A" w14:paraId="7B934204" w14:textId="77777777" w:rsidTr="0087651A">
        <w:trPr>
          <w:tblCellSpacing w:w="15" w:type="dxa"/>
          <w:jc w:val="center"/>
        </w:trPr>
        <w:tc>
          <w:tcPr>
            <w:tcW w:w="0" w:type="auto"/>
            <w:vAlign w:val="center"/>
            <w:hideMark/>
          </w:tcPr>
          <w:p w14:paraId="686E16FE" w14:textId="77777777" w:rsidR="0087651A" w:rsidRPr="0087651A" w:rsidRDefault="0087651A" w:rsidP="0087651A">
            <w:pPr>
              <w:pStyle w:val="NormalWeb"/>
              <w:tabs>
                <w:tab w:val="center" w:pos="4693"/>
              </w:tabs>
              <w:ind w:left="360"/>
            </w:pPr>
            <w:r w:rsidRPr="0087651A">
              <w:t>2018</w:t>
            </w:r>
          </w:p>
        </w:tc>
        <w:tc>
          <w:tcPr>
            <w:tcW w:w="0" w:type="auto"/>
            <w:vAlign w:val="center"/>
            <w:hideMark/>
          </w:tcPr>
          <w:p w14:paraId="6275057C" w14:textId="77777777" w:rsidR="0087651A" w:rsidRPr="0087651A" w:rsidRDefault="0087651A" w:rsidP="0087651A">
            <w:pPr>
              <w:pStyle w:val="NormalWeb"/>
              <w:tabs>
                <w:tab w:val="center" w:pos="4693"/>
              </w:tabs>
              <w:ind w:left="360"/>
            </w:pPr>
            <w:r w:rsidRPr="0087651A">
              <w:t>11,574</w:t>
            </w:r>
          </w:p>
        </w:tc>
        <w:tc>
          <w:tcPr>
            <w:tcW w:w="0" w:type="auto"/>
            <w:vAlign w:val="center"/>
            <w:hideMark/>
          </w:tcPr>
          <w:p w14:paraId="3E603F83" w14:textId="77777777" w:rsidR="0087651A" w:rsidRPr="0087651A" w:rsidRDefault="0087651A" w:rsidP="0087651A">
            <w:pPr>
              <w:pStyle w:val="NormalWeb"/>
              <w:tabs>
                <w:tab w:val="center" w:pos="4693"/>
              </w:tabs>
              <w:ind w:left="360"/>
            </w:pPr>
            <w:r w:rsidRPr="0087651A">
              <w:t>318</w:t>
            </w:r>
          </w:p>
        </w:tc>
        <w:tc>
          <w:tcPr>
            <w:tcW w:w="0" w:type="auto"/>
            <w:vAlign w:val="center"/>
            <w:hideMark/>
          </w:tcPr>
          <w:p w14:paraId="0D7159C9" w14:textId="77777777" w:rsidR="0087651A" w:rsidRPr="0087651A" w:rsidRDefault="0087651A" w:rsidP="0087651A">
            <w:pPr>
              <w:pStyle w:val="NormalWeb"/>
              <w:tabs>
                <w:tab w:val="center" w:pos="4693"/>
              </w:tabs>
              <w:ind w:left="360"/>
            </w:pPr>
            <w:r w:rsidRPr="0087651A">
              <w:t>5.62</w:t>
            </w:r>
          </w:p>
        </w:tc>
        <w:tc>
          <w:tcPr>
            <w:tcW w:w="0" w:type="auto"/>
            <w:vAlign w:val="center"/>
            <w:hideMark/>
          </w:tcPr>
          <w:p w14:paraId="508E3BA6" w14:textId="77777777" w:rsidR="0087651A" w:rsidRPr="0087651A" w:rsidRDefault="0087651A" w:rsidP="0087651A">
            <w:pPr>
              <w:pStyle w:val="NormalWeb"/>
              <w:tabs>
                <w:tab w:val="center" w:pos="4693"/>
              </w:tabs>
              <w:ind w:left="360"/>
            </w:pPr>
            <w:r w:rsidRPr="0087651A">
              <w:t>EV investment expansion</w:t>
            </w:r>
          </w:p>
        </w:tc>
      </w:tr>
      <w:tr w:rsidR="0087651A" w:rsidRPr="0087651A" w14:paraId="3390D2A9" w14:textId="77777777" w:rsidTr="0087651A">
        <w:trPr>
          <w:tblCellSpacing w:w="15" w:type="dxa"/>
          <w:jc w:val="center"/>
        </w:trPr>
        <w:tc>
          <w:tcPr>
            <w:tcW w:w="0" w:type="auto"/>
            <w:vAlign w:val="center"/>
            <w:hideMark/>
          </w:tcPr>
          <w:p w14:paraId="5B58972D" w14:textId="77777777" w:rsidR="0087651A" w:rsidRPr="0087651A" w:rsidRDefault="0087651A" w:rsidP="0087651A">
            <w:pPr>
              <w:pStyle w:val="NormalWeb"/>
              <w:tabs>
                <w:tab w:val="center" w:pos="4693"/>
              </w:tabs>
              <w:ind w:left="360"/>
            </w:pPr>
            <w:r w:rsidRPr="0087651A">
              <w:t>2019</w:t>
            </w:r>
          </w:p>
        </w:tc>
        <w:tc>
          <w:tcPr>
            <w:tcW w:w="0" w:type="auto"/>
            <w:vAlign w:val="center"/>
            <w:hideMark/>
          </w:tcPr>
          <w:p w14:paraId="70AC7FC6" w14:textId="77777777" w:rsidR="0087651A" w:rsidRPr="0087651A" w:rsidRDefault="0087651A" w:rsidP="0087651A">
            <w:pPr>
              <w:pStyle w:val="NormalWeb"/>
              <w:tabs>
                <w:tab w:val="center" w:pos="4693"/>
              </w:tabs>
              <w:ind w:left="360"/>
            </w:pPr>
            <w:r w:rsidRPr="0087651A">
              <w:t>11,987</w:t>
            </w:r>
          </w:p>
        </w:tc>
        <w:tc>
          <w:tcPr>
            <w:tcW w:w="0" w:type="auto"/>
            <w:vAlign w:val="center"/>
            <w:hideMark/>
          </w:tcPr>
          <w:p w14:paraId="24AEB462" w14:textId="77777777" w:rsidR="0087651A" w:rsidRPr="0087651A" w:rsidRDefault="0087651A" w:rsidP="0087651A">
            <w:pPr>
              <w:pStyle w:val="NormalWeb"/>
              <w:tabs>
                <w:tab w:val="center" w:pos="4693"/>
              </w:tabs>
              <w:ind w:left="360"/>
            </w:pPr>
            <w:r w:rsidRPr="0087651A">
              <w:t>405</w:t>
            </w:r>
          </w:p>
        </w:tc>
        <w:tc>
          <w:tcPr>
            <w:tcW w:w="0" w:type="auto"/>
            <w:vAlign w:val="center"/>
            <w:hideMark/>
          </w:tcPr>
          <w:p w14:paraId="5D4AEB57" w14:textId="77777777" w:rsidR="0087651A" w:rsidRPr="0087651A" w:rsidRDefault="0087651A" w:rsidP="0087651A">
            <w:pPr>
              <w:pStyle w:val="NormalWeb"/>
              <w:tabs>
                <w:tab w:val="center" w:pos="4693"/>
              </w:tabs>
              <w:ind w:left="360"/>
            </w:pPr>
            <w:r w:rsidRPr="0087651A">
              <w:t>5.18</w:t>
            </w:r>
          </w:p>
        </w:tc>
        <w:tc>
          <w:tcPr>
            <w:tcW w:w="0" w:type="auto"/>
            <w:vAlign w:val="center"/>
            <w:hideMark/>
          </w:tcPr>
          <w:p w14:paraId="1E335D59" w14:textId="77777777" w:rsidR="0087651A" w:rsidRPr="0087651A" w:rsidRDefault="0087651A" w:rsidP="0087651A">
            <w:pPr>
              <w:pStyle w:val="NormalWeb"/>
              <w:tabs>
                <w:tab w:val="center" w:pos="4693"/>
              </w:tabs>
              <w:ind w:left="360"/>
            </w:pPr>
            <w:r w:rsidRPr="0087651A">
              <w:t>e-POWER technology launched</w:t>
            </w:r>
          </w:p>
        </w:tc>
      </w:tr>
      <w:tr w:rsidR="0087651A" w:rsidRPr="0087651A" w14:paraId="63A14E26" w14:textId="77777777" w:rsidTr="0087651A">
        <w:trPr>
          <w:tblCellSpacing w:w="15" w:type="dxa"/>
          <w:jc w:val="center"/>
        </w:trPr>
        <w:tc>
          <w:tcPr>
            <w:tcW w:w="0" w:type="auto"/>
            <w:vAlign w:val="center"/>
            <w:hideMark/>
          </w:tcPr>
          <w:p w14:paraId="55EE6121" w14:textId="77777777" w:rsidR="0087651A" w:rsidRPr="0087651A" w:rsidRDefault="0087651A" w:rsidP="0087651A">
            <w:pPr>
              <w:pStyle w:val="NormalWeb"/>
              <w:tabs>
                <w:tab w:val="center" w:pos="4693"/>
              </w:tabs>
              <w:ind w:left="360"/>
            </w:pPr>
            <w:r w:rsidRPr="0087651A">
              <w:t>2020</w:t>
            </w:r>
          </w:p>
        </w:tc>
        <w:tc>
          <w:tcPr>
            <w:tcW w:w="0" w:type="auto"/>
            <w:vAlign w:val="center"/>
            <w:hideMark/>
          </w:tcPr>
          <w:p w14:paraId="3511109F" w14:textId="77777777" w:rsidR="0087651A" w:rsidRPr="0087651A" w:rsidRDefault="0087651A" w:rsidP="0087651A">
            <w:pPr>
              <w:pStyle w:val="NormalWeb"/>
              <w:tabs>
                <w:tab w:val="center" w:pos="4693"/>
              </w:tabs>
              <w:ind w:left="360"/>
            </w:pPr>
            <w:r w:rsidRPr="0087651A">
              <w:t>9,938</w:t>
            </w:r>
          </w:p>
        </w:tc>
        <w:tc>
          <w:tcPr>
            <w:tcW w:w="0" w:type="auto"/>
            <w:vAlign w:val="center"/>
            <w:hideMark/>
          </w:tcPr>
          <w:p w14:paraId="6AB7713C" w14:textId="77777777" w:rsidR="0087651A" w:rsidRPr="0087651A" w:rsidRDefault="0087651A" w:rsidP="0087651A">
            <w:pPr>
              <w:pStyle w:val="NormalWeb"/>
              <w:tabs>
                <w:tab w:val="center" w:pos="4693"/>
              </w:tabs>
              <w:ind w:left="360"/>
            </w:pPr>
            <w:r w:rsidRPr="0087651A">
              <w:t>150</w:t>
            </w:r>
          </w:p>
        </w:tc>
        <w:tc>
          <w:tcPr>
            <w:tcW w:w="0" w:type="auto"/>
            <w:vAlign w:val="center"/>
            <w:hideMark/>
          </w:tcPr>
          <w:p w14:paraId="1A8003F5" w14:textId="77777777" w:rsidR="0087651A" w:rsidRPr="0087651A" w:rsidRDefault="0087651A" w:rsidP="0087651A">
            <w:pPr>
              <w:pStyle w:val="NormalWeb"/>
              <w:tabs>
                <w:tab w:val="center" w:pos="4693"/>
              </w:tabs>
              <w:ind w:left="360"/>
            </w:pPr>
            <w:r w:rsidRPr="0087651A">
              <w:t>4.57</w:t>
            </w:r>
          </w:p>
        </w:tc>
        <w:tc>
          <w:tcPr>
            <w:tcW w:w="0" w:type="auto"/>
            <w:vAlign w:val="center"/>
            <w:hideMark/>
          </w:tcPr>
          <w:p w14:paraId="3C249CD4" w14:textId="77777777" w:rsidR="0087651A" w:rsidRPr="0087651A" w:rsidRDefault="0087651A" w:rsidP="0087651A">
            <w:pPr>
              <w:pStyle w:val="NormalWeb"/>
              <w:tabs>
                <w:tab w:val="center" w:pos="4693"/>
              </w:tabs>
              <w:ind w:left="360"/>
            </w:pPr>
            <w:r w:rsidRPr="0087651A">
              <w:t>COVID-19 disruption</w:t>
            </w:r>
          </w:p>
        </w:tc>
      </w:tr>
      <w:tr w:rsidR="0087651A" w:rsidRPr="0087651A" w14:paraId="02BD4E6F" w14:textId="77777777" w:rsidTr="0087651A">
        <w:trPr>
          <w:tblCellSpacing w:w="15" w:type="dxa"/>
          <w:jc w:val="center"/>
        </w:trPr>
        <w:tc>
          <w:tcPr>
            <w:tcW w:w="0" w:type="auto"/>
            <w:vAlign w:val="center"/>
            <w:hideMark/>
          </w:tcPr>
          <w:p w14:paraId="3E3FFF8A" w14:textId="77777777" w:rsidR="0087651A" w:rsidRPr="0087651A" w:rsidRDefault="0087651A" w:rsidP="0087651A">
            <w:pPr>
              <w:pStyle w:val="NormalWeb"/>
              <w:tabs>
                <w:tab w:val="center" w:pos="4693"/>
              </w:tabs>
              <w:ind w:left="360"/>
            </w:pPr>
            <w:r w:rsidRPr="0087651A">
              <w:t>2021</w:t>
            </w:r>
          </w:p>
        </w:tc>
        <w:tc>
          <w:tcPr>
            <w:tcW w:w="0" w:type="auto"/>
            <w:vAlign w:val="center"/>
            <w:hideMark/>
          </w:tcPr>
          <w:p w14:paraId="383B3503" w14:textId="77777777" w:rsidR="0087651A" w:rsidRPr="0087651A" w:rsidRDefault="0087651A" w:rsidP="0087651A">
            <w:pPr>
              <w:pStyle w:val="NormalWeb"/>
              <w:tabs>
                <w:tab w:val="center" w:pos="4693"/>
              </w:tabs>
              <w:ind w:left="360"/>
            </w:pPr>
            <w:r w:rsidRPr="0087651A">
              <w:t>10,242</w:t>
            </w:r>
          </w:p>
        </w:tc>
        <w:tc>
          <w:tcPr>
            <w:tcW w:w="0" w:type="auto"/>
            <w:vAlign w:val="center"/>
            <w:hideMark/>
          </w:tcPr>
          <w:p w14:paraId="526D92CC" w14:textId="77777777" w:rsidR="0087651A" w:rsidRPr="0087651A" w:rsidRDefault="0087651A" w:rsidP="0087651A">
            <w:pPr>
              <w:pStyle w:val="NormalWeb"/>
              <w:tabs>
                <w:tab w:val="center" w:pos="4693"/>
              </w:tabs>
              <w:ind w:left="360"/>
            </w:pPr>
            <w:r w:rsidRPr="0087651A">
              <w:t>768</w:t>
            </w:r>
          </w:p>
        </w:tc>
        <w:tc>
          <w:tcPr>
            <w:tcW w:w="0" w:type="auto"/>
            <w:vAlign w:val="center"/>
            <w:hideMark/>
          </w:tcPr>
          <w:p w14:paraId="50A58CBA" w14:textId="77777777" w:rsidR="0087651A" w:rsidRPr="0087651A" w:rsidRDefault="0087651A" w:rsidP="0087651A">
            <w:pPr>
              <w:pStyle w:val="NormalWeb"/>
              <w:tabs>
                <w:tab w:val="center" w:pos="4693"/>
              </w:tabs>
              <w:ind w:left="360"/>
            </w:pPr>
            <w:r w:rsidRPr="0087651A">
              <w:t>4.15</w:t>
            </w:r>
          </w:p>
        </w:tc>
        <w:tc>
          <w:tcPr>
            <w:tcW w:w="0" w:type="auto"/>
            <w:vAlign w:val="center"/>
            <w:hideMark/>
          </w:tcPr>
          <w:p w14:paraId="7A1495A2" w14:textId="77777777" w:rsidR="0087651A" w:rsidRPr="0087651A" w:rsidRDefault="0087651A" w:rsidP="0087651A">
            <w:pPr>
              <w:pStyle w:val="NormalWeb"/>
              <w:tabs>
                <w:tab w:val="center" w:pos="4693"/>
              </w:tabs>
              <w:ind w:left="360"/>
            </w:pPr>
            <w:r w:rsidRPr="0087651A">
              <w:t>Nissan NEXT recovery strategy</w:t>
            </w:r>
          </w:p>
        </w:tc>
      </w:tr>
      <w:tr w:rsidR="0087651A" w:rsidRPr="0087651A" w14:paraId="5B554DF1" w14:textId="77777777" w:rsidTr="0087651A">
        <w:trPr>
          <w:tblCellSpacing w:w="15" w:type="dxa"/>
          <w:jc w:val="center"/>
        </w:trPr>
        <w:tc>
          <w:tcPr>
            <w:tcW w:w="0" w:type="auto"/>
            <w:vAlign w:val="center"/>
            <w:hideMark/>
          </w:tcPr>
          <w:p w14:paraId="33769F10" w14:textId="77777777" w:rsidR="0087651A" w:rsidRPr="0087651A" w:rsidRDefault="0087651A" w:rsidP="0087651A">
            <w:pPr>
              <w:pStyle w:val="NormalWeb"/>
              <w:tabs>
                <w:tab w:val="center" w:pos="4693"/>
              </w:tabs>
              <w:ind w:left="360"/>
            </w:pPr>
            <w:r w:rsidRPr="0087651A">
              <w:t>2022</w:t>
            </w:r>
          </w:p>
        </w:tc>
        <w:tc>
          <w:tcPr>
            <w:tcW w:w="0" w:type="auto"/>
            <w:vAlign w:val="center"/>
            <w:hideMark/>
          </w:tcPr>
          <w:p w14:paraId="68C0FF21" w14:textId="77777777" w:rsidR="0087651A" w:rsidRPr="0087651A" w:rsidRDefault="0087651A" w:rsidP="0087651A">
            <w:pPr>
              <w:pStyle w:val="NormalWeb"/>
              <w:tabs>
                <w:tab w:val="center" w:pos="4693"/>
              </w:tabs>
              <w:ind w:left="360"/>
            </w:pPr>
            <w:r w:rsidRPr="0087651A">
              <w:t>11,426</w:t>
            </w:r>
          </w:p>
        </w:tc>
        <w:tc>
          <w:tcPr>
            <w:tcW w:w="0" w:type="auto"/>
            <w:vAlign w:val="center"/>
            <w:hideMark/>
          </w:tcPr>
          <w:p w14:paraId="4F088F6C" w14:textId="77777777" w:rsidR="0087651A" w:rsidRPr="0087651A" w:rsidRDefault="0087651A" w:rsidP="0087651A">
            <w:pPr>
              <w:pStyle w:val="NormalWeb"/>
              <w:tabs>
                <w:tab w:val="center" w:pos="4693"/>
              </w:tabs>
              <w:ind w:left="360"/>
            </w:pPr>
            <w:r w:rsidRPr="0087651A">
              <w:t>487</w:t>
            </w:r>
          </w:p>
        </w:tc>
        <w:tc>
          <w:tcPr>
            <w:tcW w:w="0" w:type="auto"/>
            <w:vAlign w:val="center"/>
            <w:hideMark/>
          </w:tcPr>
          <w:p w14:paraId="1672F46F" w14:textId="77777777" w:rsidR="0087651A" w:rsidRPr="0087651A" w:rsidRDefault="0087651A" w:rsidP="0087651A">
            <w:pPr>
              <w:pStyle w:val="NormalWeb"/>
              <w:tabs>
                <w:tab w:val="center" w:pos="4693"/>
              </w:tabs>
              <w:ind w:left="360"/>
            </w:pPr>
            <w:r w:rsidRPr="0087651A">
              <w:t>4.22</w:t>
            </w:r>
          </w:p>
        </w:tc>
        <w:tc>
          <w:tcPr>
            <w:tcW w:w="0" w:type="auto"/>
            <w:vAlign w:val="center"/>
            <w:hideMark/>
          </w:tcPr>
          <w:p w14:paraId="531803C4" w14:textId="77777777" w:rsidR="0087651A" w:rsidRPr="0087651A" w:rsidRDefault="0087651A" w:rsidP="0087651A">
            <w:pPr>
              <w:pStyle w:val="NormalWeb"/>
              <w:tabs>
                <w:tab w:val="center" w:pos="4693"/>
              </w:tabs>
              <w:ind w:left="360"/>
            </w:pPr>
            <w:r w:rsidRPr="0087651A">
              <w:t>Ariya EV global expansion</w:t>
            </w:r>
          </w:p>
        </w:tc>
      </w:tr>
      <w:tr w:rsidR="0087651A" w:rsidRPr="0087651A" w14:paraId="4EEF1532" w14:textId="77777777" w:rsidTr="0087651A">
        <w:trPr>
          <w:tblCellSpacing w:w="15" w:type="dxa"/>
          <w:jc w:val="center"/>
        </w:trPr>
        <w:tc>
          <w:tcPr>
            <w:tcW w:w="0" w:type="auto"/>
            <w:vAlign w:val="center"/>
            <w:hideMark/>
          </w:tcPr>
          <w:p w14:paraId="729C0B49" w14:textId="77777777" w:rsidR="0087651A" w:rsidRPr="0087651A" w:rsidRDefault="0087651A" w:rsidP="0087651A">
            <w:pPr>
              <w:pStyle w:val="NormalWeb"/>
              <w:tabs>
                <w:tab w:val="center" w:pos="4693"/>
              </w:tabs>
              <w:ind w:left="360"/>
            </w:pPr>
            <w:r w:rsidRPr="0087651A">
              <w:t>2023</w:t>
            </w:r>
          </w:p>
        </w:tc>
        <w:tc>
          <w:tcPr>
            <w:tcW w:w="0" w:type="auto"/>
            <w:vAlign w:val="center"/>
            <w:hideMark/>
          </w:tcPr>
          <w:p w14:paraId="6769EF92" w14:textId="77777777" w:rsidR="0087651A" w:rsidRPr="0087651A" w:rsidRDefault="0087651A" w:rsidP="0087651A">
            <w:pPr>
              <w:pStyle w:val="NormalWeb"/>
              <w:tabs>
                <w:tab w:val="center" w:pos="4693"/>
              </w:tabs>
              <w:ind w:left="360"/>
            </w:pPr>
            <w:r w:rsidRPr="0087651A">
              <w:t>12,685</w:t>
            </w:r>
          </w:p>
        </w:tc>
        <w:tc>
          <w:tcPr>
            <w:tcW w:w="0" w:type="auto"/>
            <w:vAlign w:val="center"/>
            <w:hideMark/>
          </w:tcPr>
          <w:p w14:paraId="66189E36" w14:textId="77777777" w:rsidR="0087651A" w:rsidRPr="0087651A" w:rsidRDefault="0087651A" w:rsidP="0087651A">
            <w:pPr>
              <w:pStyle w:val="NormalWeb"/>
              <w:tabs>
                <w:tab w:val="center" w:pos="4693"/>
              </w:tabs>
              <w:ind w:left="360"/>
            </w:pPr>
            <w:r w:rsidRPr="0087651A">
              <w:t>568</w:t>
            </w:r>
          </w:p>
        </w:tc>
        <w:tc>
          <w:tcPr>
            <w:tcW w:w="0" w:type="auto"/>
            <w:vAlign w:val="center"/>
            <w:hideMark/>
          </w:tcPr>
          <w:p w14:paraId="597A6637" w14:textId="77777777" w:rsidR="0087651A" w:rsidRPr="0087651A" w:rsidRDefault="0087651A" w:rsidP="0087651A">
            <w:pPr>
              <w:pStyle w:val="NormalWeb"/>
              <w:tabs>
                <w:tab w:val="center" w:pos="4693"/>
              </w:tabs>
              <w:ind w:left="360"/>
            </w:pPr>
            <w:r w:rsidRPr="0087651A">
              <w:t>4.25</w:t>
            </w:r>
          </w:p>
        </w:tc>
        <w:tc>
          <w:tcPr>
            <w:tcW w:w="0" w:type="auto"/>
            <w:vAlign w:val="center"/>
            <w:hideMark/>
          </w:tcPr>
          <w:p w14:paraId="47B03BB3" w14:textId="77777777" w:rsidR="0087651A" w:rsidRPr="0087651A" w:rsidRDefault="0087651A" w:rsidP="0087651A">
            <w:pPr>
              <w:pStyle w:val="NormalWeb"/>
              <w:tabs>
                <w:tab w:val="center" w:pos="4693"/>
              </w:tabs>
              <w:ind w:left="360"/>
            </w:pPr>
            <w:r w:rsidRPr="0087651A">
              <w:t>EV36Zero implementation</w:t>
            </w:r>
          </w:p>
        </w:tc>
      </w:tr>
      <w:tr w:rsidR="0087651A" w:rsidRPr="0087651A" w14:paraId="3FF0532E" w14:textId="77777777" w:rsidTr="0087651A">
        <w:trPr>
          <w:tblCellSpacing w:w="15" w:type="dxa"/>
          <w:jc w:val="center"/>
        </w:trPr>
        <w:tc>
          <w:tcPr>
            <w:tcW w:w="0" w:type="auto"/>
            <w:vAlign w:val="center"/>
            <w:hideMark/>
          </w:tcPr>
          <w:p w14:paraId="450D10D5" w14:textId="77777777" w:rsidR="0087651A" w:rsidRPr="0087651A" w:rsidRDefault="0087651A" w:rsidP="0087651A">
            <w:pPr>
              <w:pStyle w:val="NormalWeb"/>
              <w:tabs>
                <w:tab w:val="center" w:pos="4693"/>
              </w:tabs>
              <w:ind w:left="360"/>
            </w:pPr>
            <w:r w:rsidRPr="0087651A">
              <w:t>2024</w:t>
            </w:r>
          </w:p>
        </w:tc>
        <w:tc>
          <w:tcPr>
            <w:tcW w:w="0" w:type="auto"/>
            <w:vAlign w:val="center"/>
            <w:hideMark/>
          </w:tcPr>
          <w:p w14:paraId="214B83E9" w14:textId="77777777" w:rsidR="0087651A" w:rsidRPr="0087651A" w:rsidRDefault="0087651A" w:rsidP="0087651A">
            <w:pPr>
              <w:pStyle w:val="NormalWeb"/>
              <w:tabs>
                <w:tab w:val="center" w:pos="4693"/>
              </w:tabs>
              <w:ind w:left="360"/>
            </w:pPr>
            <w:r w:rsidRPr="0087651A">
              <w:t>13,662</w:t>
            </w:r>
          </w:p>
        </w:tc>
        <w:tc>
          <w:tcPr>
            <w:tcW w:w="0" w:type="auto"/>
            <w:vAlign w:val="center"/>
            <w:hideMark/>
          </w:tcPr>
          <w:p w14:paraId="691054E3" w14:textId="77777777" w:rsidR="0087651A" w:rsidRPr="0087651A" w:rsidRDefault="0087651A" w:rsidP="0087651A">
            <w:pPr>
              <w:pStyle w:val="NormalWeb"/>
              <w:tabs>
                <w:tab w:val="center" w:pos="4693"/>
              </w:tabs>
              <w:ind w:left="360"/>
            </w:pPr>
            <w:r w:rsidRPr="0087651A">
              <w:t>698</w:t>
            </w:r>
          </w:p>
        </w:tc>
        <w:tc>
          <w:tcPr>
            <w:tcW w:w="0" w:type="auto"/>
            <w:vAlign w:val="center"/>
            <w:hideMark/>
          </w:tcPr>
          <w:p w14:paraId="3295811A" w14:textId="77777777" w:rsidR="0087651A" w:rsidRPr="0087651A" w:rsidRDefault="0087651A" w:rsidP="0087651A">
            <w:pPr>
              <w:pStyle w:val="NormalWeb"/>
              <w:tabs>
                <w:tab w:val="center" w:pos="4693"/>
              </w:tabs>
              <w:ind w:left="360"/>
            </w:pPr>
            <w:r w:rsidRPr="0087651A">
              <w:t>4.28</w:t>
            </w:r>
          </w:p>
        </w:tc>
        <w:tc>
          <w:tcPr>
            <w:tcW w:w="0" w:type="auto"/>
            <w:vAlign w:val="center"/>
            <w:hideMark/>
          </w:tcPr>
          <w:p w14:paraId="2C8686DB" w14:textId="77777777" w:rsidR="0087651A" w:rsidRPr="0087651A" w:rsidRDefault="0087651A" w:rsidP="0087651A">
            <w:pPr>
              <w:pStyle w:val="NormalWeb"/>
              <w:tabs>
                <w:tab w:val="center" w:pos="4693"/>
              </w:tabs>
              <w:ind w:left="360"/>
            </w:pPr>
            <w:r w:rsidRPr="0087651A">
              <w:t>AI manufacturing investment</w:t>
            </w:r>
          </w:p>
        </w:tc>
      </w:tr>
      <w:tr w:rsidR="0087651A" w:rsidRPr="0087651A" w14:paraId="43A352D2" w14:textId="77777777" w:rsidTr="0087651A">
        <w:trPr>
          <w:tblCellSpacing w:w="15" w:type="dxa"/>
          <w:jc w:val="center"/>
        </w:trPr>
        <w:tc>
          <w:tcPr>
            <w:tcW w:w="0" w:type="auto"/>
            <w:vAlign w:val="center"/>
            <w:hideMark/>
          </w:tcPr>
          <w:p w14:paraId="01B3DA77" w14:textId="77777777" w:rsidR="0087651A" w:rsidRPr="0087651A" w:rsidRDefault="0087651A" w:rsidP="0087651A">
            <w:pPr>
              <w:pStyle w:val="NormalWeb"/>
              <w:tabs>
                <w:tab w:val="center" w:pos="4693"/>
              </w:tabs>
              <w:ind w:left="360"/>
            </w:pPr>
            <w:r w:rsidRPr="0087651A">
              <w:t>2025*</w:t>
            </w:r>
          </w:p>
        </w:tc>
        <w:tc>
          <w:tcPr>
            <w:tcW w:w="0" w:type="auto"/>
            <w:vAlign w:val="center"/>
            <w:hideMark/>
          </w:tcPr>
          <w:p w14:paraId="6BD0B708" w14:textId="77777777" w:rsidR="0087651A" w:rsidRPr="0087651A" w:rsidRDefault="0087651A" w:rsidP="0087651A">
            <w:pPr>
              <w:pStyle w:val="NormalWeb"/>
              <w:tabs>
                <w:tab w:val="center" w:pos="4693"/>
              </w:tabs>
              <w:ind w:left="360"/>
            </w:pPr>
            <w:r w:rsidRPr="0087651A">
              <w:t>14,200</w:t>
            </w:r>
          </w:p>
        </w:tc>
        <w:tc>
          <w:tcPr>
            <w:tcW w:w="0" w:type="auto"/>
            <w:vAlign w:val="center"/>
            <w:hideMark/>
          </w:tcPr>
          <w:p w14:paraId="410AA9C4" w14:textId="77777777" w:rsidR="0087651A" w:rsidRPr="0087651A" w:rsidRDefault="0087651A" w:rsidP="0087651A">
            <w:pPr>
              <w:pStyle w:val="NormalWeb"/>
              <w:tabs>
                <w:tab w:val="center" w:pos="4693"/>
              </w:tabs>
              <w:ind w:left="360"/>
            </w:pPr>
            <w:r w:rsidRPr="0087651A">
              <w:t>720</w:t>
            </w:r>
          </w:p>
        </w:tc>
        <w:tc>
          <w:tcPr>
            <w:tcW w:w="0" w:type="auto"/>
            <w:vAlign w:val="center"/>
            <w:hideMark/>
          </w:tcPr>
          <w:p w14:paraId="511F9859" w14:textId="77777777" w:rsidR="0087651A" w:rsidRPr="0087651A" w:rsidRDefault="0087651A" w:rsidP="0087651A">
            <w:pPr>
              <w:pStyle w:val="NormalWeb"/>
              <w:tabs>
                <w:tab w:val="center" w:pos="4693"/>
              </w:tabs>
              <w:ind w:left="360"/>
            </w:pPr>
            <w:r w:rsidRPr="0087651A">
              <w:t>4.35</w:t>
            </w:r>
          </w:p>
        </w:tc>
        <w:tc>
          <w:tcPr>
            <w:tcW w:w="0" w:type="auto"/>
            <w:vAlign w:val="center"/>
            <w:hideMark/>
          </w:tcPr>
          <w:p w14:paraId="4424677F" w14:textId="77777777" w:rsidR="0087651A" w:rsidRPr="0087651A" w:rsidRDefault="0087651A" w:rsidP="0087651A">
            <w:pPr>
              <w:pStyle w:val="NormalWeb"/>
              <w:tabs>
                <w:tab w:val="center" w:pos="4693"/>
              </w:tabs>
              <w:ind w:left="360"/>
            </w:pPr>
            <w:r w:rsidRPr="0087651A">
              <w:t>Intelligent EV ecosystem expansion</w:t>
            </w:r>
          </w:p>
        </w:tc>
      </w:tr>
    </w:tbl>
    <w:p w14:paraId="3E305193" w14:textId="15E26D64" w:rsidR="0087651A" w:rsidRDefault="0087651A" w:rsidP="0087651A">
      <w:pPr>
        <w:pStyle w:val="NormalWeb"/>
        <w:tabs>
          <w:tab w:val="center" w:pos="4693"/>
        </w:tabs>
        <w:ind w:left="360"/>
        <w:jc w:val="center"/>
      </w:pPr>
      <w:r w:rsidRPr="0087651A">
        <w:t>Table 2.1 Nissan Business Performance Overview (2016–2025)</w:t>
      </w:r>
    </w:p>
    <w:p w14:paraId="3EE0E609" w14:textId="5CC20EE0" w:rsidR="0087651A" w:rsidRDefault="0087651A" w:rsidP="0087651A">
      <w:pPr>
        <w:pStyle w:val="NormalWeb"/>
        <w:tabs>
          <w:tab w:val="center" w:pos="4693"/>
        </w:tabs>
        <w:ind w:left="360"/>
      </w:pPr>
      <w:r>
        <w:rPr>
          <w:noProof/>
        </w:rPr>
        <w:drawing>
          <wp:inline distT="0" distB="0" distL="0" distR="0" wp14:anchorId="5278EA5F" wp14:editId="294A5954">
            <wp:extent cx="5731510" cy="5057775"/>
            <wp:effectExtent l="0" t="0" r="2540" b="9525"/>
            <wp:docPr id="1292116233" name="Picture 3" descr="Nissan to Close Factories and  Cut Jobs After Dire Financial Loss | Nipp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issan to Close Factories and  Cut Jobs After Dire Financial Loss | Nippon.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057775"/>
                    </a:xfrm>
                    <a:prstGeom prst="rect">
                      <a:avLst/>
                    </a:prstGeom>
                    <a:noFill/>
                    <a:ln>
                      <a:noFill/>
                    </a:ln>
                  </pic:spPr>
                </pic:pic>
              </a:graphicData>
            </a:graphic>
          </wp:inline>
        </w:drawing>
      </w:r>
    </w:p>
    <w:p w14:paraId="4925C6F6" w14:textId="77777777" w:rsidR="0087651A" w:rsidRPr="00A42FED" w:rsidRDefault="0087651A" w:rsidP="0087651A">
      <w:pPr>
        <w:pStyle w:val="NormalWeb"/>
        <w:tabs>
          <w:tab w:val="center" w:pos="4693"/>
        </w:tabs>
        <w:ind w:left="360"/>
        <w:rPr>
          <w:i/>
          <w:iCs/>
        </w:rPr>
      </w:pPr>
      <w:r w:rsidRPr="0087651A">
        <w:t>Performance Dashboard highlights that, while Nissan battled with serious operational hurdles in 2020 because of pandemic led disruptions and semiconductor shortages, since 2021 the financial performance has bottomed up steadily. With revenue growth and a return to profitability, the company appears to have established the financial capacity to support additional AI-enabled transformation given their increasing investment in electrification. Moreover, as global demand for electric vehicles rises, Sunderland has significant opportunities to be Nissan's lead smart factory in Europe (</w:t>
      </w:r>
      <w:r w:rsidRPr="00A42FED">
        <w:rPr>
          <w:i/>
          <w:iCs/>
        </w:rPr>
        <w:t>Nissan Motor Corporation, 2025; Deloitte, 2025).</w:t>
      </w:r>
    </w:p>
    <w:p w14:paraId="5232378C" w14:textId="77777777" w:rsidR="0087651A" w:rsidRDefault="0087651A" w:rsidP="0087651A">
      <w:pPr>
        <w:pStyle w:val="NormalWeb"/>
        <w:tabs>
          <w:tab w:val="center" w:pos="4693"/>
        </w:tabs>
        <w:ind w:left="360"/>
      </w:pPr>
    </w:p>
    <w:p w14:paraId="494E95C5" w14:textId="21D70D9E" w:rsidR="0087651A" w:rsidRPr="0087651A" w:rsidRDefault="0087651A" w:rsidP="0087651A">
      <w:pPr>
        <w:pStyle w:val="NormalWeb"/>
        <w:tabs>
          <w:tab w:val="center" w:pos="4693"/>
        </w:tabs>
        <w:ind w:left="360"/>
      </w:pPr>
      <w:r w:rsidRPr="0087651A">
        <w:t>2.2 Internal Environment Analysis (SWOT)</w:t>
      </w:r>
    </w:p>
    <w:p w14:paraId="66D48E91" w14:textId="77777777" w:rsidR="0087651A" w:rsidRDefault="0087651A" w:rsidP="0087651A">
      <w:pPr>
        <w:pStyle w:val="NormalWeb"/>
        <w:tabs>
          <w:tab w:val="center" w:pos="4693"/>
        </w:tabs>
        <w:ind w:left="360"/>
      </w:pPr>
      <w:r w:rsidRPr="0087651A">
        <w:t>A valuation of Nissan Sunderland employing a SWOT framework to analyse its internal strategic capability.</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90"/>
        <w:gridCol w:w="4626"/>
      </w:tblGrid>
      <w:tr w:rsidR="0087651A" w:rsidRPr="0087651A" w14:paraId="4814E846" w14:textId="77777777" w:rsidTr="0087651A">
        <w:trPr>
          <w:tblHeader/>
          <w:tblCellSpacing w:w="15" w:type="dxa"/>
          <w:jc w:val="center"/>
        </w:trPr>
        <w:tc>
          <w:tcPr>
            <w:tcW w:w="0" w:type="auto"/>
            <w:vAlign w:val="center"/>
            <w:hideMark/>
          </w:tcPr>
          <w:p w14:paraId="1F33686B" w14:textId="77777777" w:rsidR="0087651A" w:rsidRPr="0087651A" w:rsidRDefault="0087651A" w:rsidP="0087651A">
            <w:pPr>
              <w:pStyle w:val="NormalWeb"/>
              <w:tabs>
                <w:tab w:val="center" w:pos="4693"/>
              </w:tabs>
              <w:ind w:left="360"/>
              <w:rPr>
                <w:b/>
                <w:bCs/>
              </w:rPr>
            </w:pPr>
            <w:r w:rsidRPr="0087651A">
              <w:rPr>
                <w:b/>
                <w:bCs/>
              </w:rPr>
              <w:t>Strengths</w:t>
            </w:r>
          </w:p>
        </w:tc>
        <w:tc>
          <w:tcPr>
            <w:tcW w:w="0" w:type="auto"/>
            <w:vAlign w:val="center"/>
            <w:hideMark/>
          </w:tcPr>
          <w:p w14:paraId="1239A252" w14:textId="77777777" w:rsidR="0087651A" w:rsidRPr="0087651A" w:rsidRDefault="0087651A" w:rsidP="0087651A">
            <w:pPr>
              <w:pStyle w:val="NormalWeb"/>
              <w:tabs>
                <w:tab w:val="center" w:pos="4693"/>
              </w:tabs>
              <w:ind w:left="360"/>
              <w:rPr>
                <w:b/>
                <w:bCs/>
              </w:rPr>
            </w:pPr>
            <w:r w:rsidRPr="0087651A">
              <w:rPr>
                <w:b/>
                <w:bCs/>
              </w:rPr>
              <w:t>Weaknesses</w:t>
            </w:r>
          </w:p>
        </w:tc>
      </w:tr>
      <w:tr w:rsidR="0087651A" w:rsidRPr="0087651A" w14:paraId="1079ADF6" w14:textId="77777777" w:rsidTr="0087651A">
        <w:trPr>
          <w:tblCellSpacing w:w="15" w:type="dxa"/>
          <w:jc w:val="center"/>
        </w:trPr>
        <w:tc>
          <w:tcPr>
            <w:tcW w:w="0" w:type="auto"/>
            <w:vAlign w:val="center"/>
            <w:hideMark/>
          </w:tcPr>
          <w:p w14:paraId="651FA004" w14:textId="77777777" w:rsidR="0087651A" w:rsidRPr="0087651A" w:rsidRDefault="0087651A" w:rsidP="0087651A">
            <w:pPr>
              <w:pStyle w:val="NormalWeb"/>
              <w:tabs>
                <w:tab w:val="center" w:pos="4693"/>
              </w:tabs>
              <w:ind w:left="360"/>
            </w:pPr>
            <w:r w:rsidRPr="0087651A">
              <w:t>Largest UK automotive manufacturing plant</w:t>
            </w:r>
          </w:p>
        </w:tc>
        <w:tc>
          <w:tcPr>
            <w:tcW w:w="0" w:type="auto"/>
            <w:vAlign w:val="center"/>
            <w:hideMark/>
          </w:tcPr>
          <w:p w14:paraId="094AAA73" w14:textId="77777777" w:rsidR="0087651A" w:rsidRPr="0087651A" w:rsidRDefault="0087651A" w:rsidP="0087651A">
            <w:pPr>
              <w:pStyle w:val="NormalWeb"/>
              <w:tabs>
                <w:tab w:val="center" w:pos="4693"/>
              </w:tabs>
              <w:ind w:left="360"/>
            </w:pPr>
            <w:r w:rsidRPr="0087651A">
              <w:t>Legacy production infrastructure in some areas</w:t>
            </w:r>
          </w:p>
        </w:tc>
      </w:tr>
      <w:tr w:rsidR="0087651A" w:rsidRPr="0087651A" w14:paraId="4E7DB0F3" w14:textId="77777777" w:rsidTr="0087651A">
        <w:trPr>
          <w:tblCellSpacing w:w="15" w:type="dxa"/>
          <w:jc w:val="center"/>
        </w:trPr>
        <w:tc>
          <w:tcPr>
            <w:tcW w:w="0" w:type="auto"/>
            <w:vAlign w:val="center"/>
            <w:hideMark/>
          </w:tcPr>
          <w:p w14:paraId="271361FA" w14:textId="77777777" w:rsidR="0087651A" w:rsidRPr="0087651A" w:rsidRDefault="0087651A" w:rsidP="0087651A">
            <w:pPr>
              <w:pStyle w:val="NormalWeb"/>
              <w:tabs>
                <w:tab w:val="center" w:pos="4693"/>
              </w:tabs>
              <w:ind w:left="360"/>
            </w:pPr>
            <w:r w:rsidRPr="0087651A">
              <w:t>Highly skilled workforce</w:t>
            </w:r>
          </w:p>
        </w:tc>
        <w:tc>
          <w:tcPr>
            <w:tcW w:w="0" w:type="auto"/>
            <w:vAlign w:val="center"/>
            <w:hideMark/>
          </w:tcPr>
          <w:p w14:paraId="2DA282B9" w14:textId="77777777" w:rsidR="0087651A" w:rsidRPr="0087651A" w:rsidRDefault="0087651A" w:rsidP="0087651A">
            <w:pPr>
              <w:pStyle w:val="NormalWeb"/>
              <w:tabs>
                <w:tab w:val="center" w:pos="4693"/>
              </w:tabs>
              <w:ind w:left="360"/>
            </w:pPr>
            <w:r w:rsidRPr="0087651A">
              <w:t>High implementation costs for AI technologies</w:t>
            </w:r>
          </w:p>
        </w:tc>
      </w:tr>
      <w:tr w:rsidR="0087651A" w:rsidRPr="0087651A" w14:paraId="62EE20CC" w14:textId="77777777" w:rsidTr="0087651A">
        <w:trPr>
          <w:tblCellSpacing w:w="15" w:type="dxa"/>
          <w:jc w:val="center"/>
        </w:trPr>
        <w:tc>
          <w:tcPr>
            <w:tcW w:w="0" w:type="auto"/>
            <w:vAlign w:val="center"/>
            <w:hideMark/>
          </w:tcPr>
          <w:p w14:paraId="46FA2787" w14:textId="77777777" w:rsidR="0087651A" w:rsidRPr="0087651A" w:rsidRDefault="0087651A" w:rsidP="0087651A">
            <w:pPr>
              <w:pStyle w:val="NormalWeb"/>
              <w:tabs>
                <w:tab w:val="center" w:pos="4693"/>
              </w:tabs>
              <w:ind w:left="360"/>
            </w:pPr>
            <w:r w:rsidRPr="0087651A">
              <w:t>Strong Nissan global support</w:t>
            </w:r>
          </w:p>
        </w:tc>
        <w:tc>
          <w:tcPr>
            <w:tcW w:w="0" w:type="auto"/>
            <w:vAlign w:val="center"/>
            <w:hideMark/>
          </w:tcPr>
          <w:p w14:paraId="05CB4A4D" w14:textId="77777777" w:rsidR="0087651A" w:rsidRPr="0087651A" w:rsidRDefault="0087651A" w:rsidP="0087651A">
            <w:pPr>
              <w:pStyle w:val="NormalWeb"/>
              <w:tabs>
                <w:tab w:val="center" w:pos="4693"/>
              </w:tabs>
              <w:ind w:left="360"/>
            </w:pPr>
            <w:r w:rsidRPr="0087651A">
              <w:t>Skills gap in AI and advanced analytics</w:t>
            </w:r>
          </w:p>
        </w:tc>
      </w:tr>
      <w:tr w:rsidR="0087651A" w:rsidRPr="0087651A" w14:paraId="588C547F" w14:textId="77777777" w:rsidTr="0087651A">
        <w:trPr>
          <w:tblCellSpacing w:w="15" w:type="dxa"/>
          <w:jc w:val="center"/>
        </w:trPr>
        <w:tc>
          <w:tcPr>
            <w:tcW w:w="0" w:type="auto"/>
            <w:vAlign w:val="center"/>
            <w:hideMark/>
          </w:tcPr>
          <w:p w14:paraId="646D0E1F" w14:textId="77777777" w:rsidR="0087651A" w:rsidRPr="0087651A" w:rsidRDefault="0087651A" w:rsidP="0087651A">
            <w:pPr>
              <w:pStyle w:val="NormalWeb"/>
              <w:tabs>
                <w:tab w:val="center" w:pos="4693"/>
              </w:tabs>
              <w:ind w:left="360"/>
            </w:pPr>
            <w:r w:rsidRPr="0087651A">
              <w:t>EV36Zero investment</w:t>
            </w:r>
          </w:p>
        </w:tc>
        <w:tc>
          <w:tcPr>
            <w:tcW w:w="0" w:type="auto"/>
            <w:vAlign w:val="center"/>
            <w:hideMark/>
          </w:tcPr>
          <w:p w14:paraId="46C39733" w14:textId="77777777" w:rsidR="0087651A" w:rsidRPr="0087651A" w:rsidRDefault="0087651A" w:rsidP="0087651A">
            <w:pPr>
              <w:pStyle w:val="NormalWeb"/>
              <w:tabs>
                <w:tab w:val="center" w:pos="4693"/>
              </w:tabs>
              <w:ind w:left="360"/>
            </w:pPr>
            <w:r w:rsidRPr="0087651A">
              <w:t>Dependence on international suppliers</w:t>
            </w:r>
          </w:p>
        </w:tc>
      </w:tr>
      <w:tr w:rsidR="0087651A" w:rsidRPr="0087651A" w14:paraId="1F5B3AD1" w14:textId="77777777" w:rsidTr="0087651A">
        <w:trPr>
          <w:tblCellSpacing w:w="15" w:type="dxa"/>
          <w:jc w:val="center"/>
        </w:trPr>
        <w:tc>
          <w:tcPr>
            <w:tcW w:w="0" w:type="auto"/>
            <w:vAlign w:val="center"/>
            <w:hideMark/>
          </w:tcPr>
          <w:p w14:paraId="7F28AA19" w14:textId="77777777" w:rsidR="0087651A" w:rsidRPr="0087651A" w:rsidRDefault="0087651A" w:rsidP="0087651A">
            <w:pPr>
              <w:pStyle w:val="NormalWeb"/>
              <w:tabs>
                <w:tab w:val="center" w:pos="4693"/>
              </w:tabs>
              <w:ind w:left="360"/>
              <w:rPr>
                <w:b/>
                <w:bCs/>
              </w:rPr>
            </w:pPr>
            <w:r w:rsidRPr="0087651A">
              <w:rPr>
                <w:b/>
                <w:bCs/>
              </w:rPr>
              <w:t>Opportunities</w:t>
            </w:r>
          </w:p>
        </w:tc>
        <w:tc>
          <w:tcPr>
            <w:tcW w:w="0" w:type="auto"/>
            <w:vAlign w:val="center"/>
            <w:hideMark/>
          </w:tcPr>
          <w:p w14:paraId="561283E8" w14:textId="77777777" w:rsidR="0087651A" w:rsidRPr="0087651A" w:rsidRDefault="0087651A" w:rsidP="0087651A">
            <w:pPr>
              <w:pStyle w:val="NormalWeb"/>
              <w:tabs>
                <w:tab w:val="center" w:pos="4693"/>
              </w:tabs>
              <w:ind w:left="360"/>
              <w:rPr>
                <w:b/>
                <w:bCs/>
              </w:rPr>
            </w:pPr>
            <w:r w:rsidRPr="0087651A">
              <w:rPr>
                <w:b/>
                <w:bCs/>
              </w:rPr>
              <w:t>Threats</w:t>
            </w:r>
          </w:p>
        </w:tc>
      </w:tr>
      <w:tr w:rsidR="0087651A" w:rsidRPr="0087651A" w14:paraId="6BAA4C9D" w14:textId="77777777" w:rsidTr="0087651A">
        <w:trPr>
          <w:tblCellSpacing w:w="15" w:type="dxa"/>
          <w:jc w:val="center"/>
        </w:trPr>
        <w:tc>
          <w:tcPr>
            <w:tcW w:w="0" w:type="auto"/>
            <w:vAlign w:val="center"/>
            <w:hideMark/>
          </w:tcPr>
          <w:p w14:paraId="09EC2E1C" w14:textId="77777777" w:rsidR="0087651A" w:rsidRPr="0087651A" w:rsidRDefault="0087651A" w:rsidP="0087651A">
            <w:pPr>
              <w:pStyle w:val="NormalWeb"/>
              <w:tabs>
                <w:tab w:val="center" w:pos="4693"/>
              </w:tabs>
              <w:ind w:left="360"/>
            </w:pPr>
            <w:r w:rsidRPr="0087651A">
              <w:t>Growing EV demand</w:t>
            </w:r>
          </w:p>
        </w:tc>
        <w:tc>
          <w:tcPr>
            <w:tcW w:w="0" w:type="auto"/>
            <w:vAlign w:val="center"/>
            <w:hideMark/>
          </w:tcPr>
          <w:p w14:paraId="44B194E7" w14:textId="77777777" w:rsidR="0087651A" w:rsidRPr="0087651A" w:rsidRDefault="0087651A" w:rsidP="0087651A">
            <w:pPr>
              <w:pStyle w:val="NormalWeb"/>
              <w:tabs>
                <w:tab w:val="center" w:pos="4693"/>
              </w:tabs>
              <w:ind w:left="360"/>
            </w:pPr>
            <w:r w:rsidRPr="0087651A">
              <w:t>Intense global competition</w:t>
            </w:r>
          </w:p>
        </w:tc>
      </w:tr>
      <w:tr w:rsidR="0087651A" w:rsidRPr="0087651A" w14:paraId="2E2B53F5" w14:textId="77777777" w:rsidTr="0087651A">
        <w:trPr>
          <w:tblCellSpacing w:w="15" w:type="dxa"/>
          <w:jc w:val="center"/>
        </w:trPr>
        <w:tc>
          <w:tcPr>
            <w:tcW w:w="0" w:type="auto"/>
            <w:vAlign w:val="center"/>
            <w:hideMark/>
          </w:tcPr>
          <w:p w14:paraId="7F4A160C" w14:textId="77777777" w:rsidR="0087651A" w:rsidRPr="0087651A" w:rsidRDefault="0087651A" w:rsidP="0087651A">
            <w:pPr>
              <w:pStyle w:val="NormalWeb"/>
              <w:tabs>
                <w:tab w:val="center" w:pos="4693"/>
              </w:tabs>
              <w:ind w:left="360"/>
            </w:pPr>
            <w:r w:rsidRPr="0087651A">
              <w:t>AI-driven productivity</w:t>
            </w:r>
          </w:p>
        </w:tc>
        <w:tc>
          <w:tcPr>
            <w:tcW w:w="0" w:type="auto"/>
            <w:vAlign w:val="center"/>
            <w:hideMark/>
          </w:tcPr>
          <w:p w14:paraId="583CC3AB" w14:textId="77777777" w:rsidR="0087651A" w:rsidRPr="0087651A" w:rsidRDefault="0087651A" w:rsidP="0087651A">
            <w:pPr>
              <w:pStyle w:val="NormalWeb"/>
              <w:tabs>
                <w:tab w:val="center" w:pos="4693"/>
              </w:tabs>
              <w:ind w:left="360"/>
            </w:pPr>
            <w:r w:rsidRPr="0087651A">
              <w:t>Supply chain disruption</w:t>
            </w:r>
          </w:p>
        </w:tc>
      </w:tr>
      <w:tr w:rsidR="0087651A" w:rsidRPr="0087651A" w14:paraId="5AF48884" w14:textId="77777777" w:rsidTr="0087651A">
        <w:trPr>
          <w:tblCellSpacing w:w="15" w:type="dxa"/>
          <w:jc w:val="center"/>
        </w:trPr>
        <w:tc>
          <w:tcPr>
            <w:tcW w:w="0" w:type="auto"/>
            <w:vAlign w:val="center"/>
            <w:hideMark/>
          </w:tcPr>
          <w:p w14:paraId="4F40B9DE" w14:textId="77777777" w:rsidR="0087651A" w:rsidRPr="0087651A" w:rsidRDefault="0087651A" w:rsidP="0087651A">
            <w:pPr>
              <w:pStyle w:val="NormalWeb"/>
              <w:tabs>
                <w:tab w:val="center" w:pos="4693"/>
              </w:tabs>
              <w:ind w:left="360"/>
            </w:pPr>
            <w:r w:rsidRPr="0087651A">
              <w:t>UK Government incentives</w:t>
            </w:r>
          </w:p>
        </w:tc>
        <w:tc>
          <w:tcPr>
            <w:tcW w:w="0" w:type="auto"/>
            <w:vAlign w:val="center"/>
            <w:hideMark/>
          </w:tcPr>
          <w:p w14:paraId="012747A7" w14:textId="77777777" w:rsidR="0087651A" w:rsidRPr="0087651A" w:rsidRDefault="0087651A" w:rsidP="0087651A">
            <w:pPr>
              <w:pStyle w:val="NormalWeb"/>
              <w:tabs>
                <w:tab w:val="center" w:pos="4693"/>
              </w:tabs>
              <w:ind w:left="360"/>
            </w:pPr>
            <w:r w:rsidRPr="0087651A">
              <w:t>Rapid technological change</w:t>
            </w:r>
          </w:p>
        </w:tc>
      </w:tr>
      <w:tr w:rsidR="0087651A" w:rsidRPr="0087651A" w14:paraId="3499A2BD" w14:textId="77777777" w:rsidTr="0087651A">
        <w:trPr>
          <w:tblCellSpacing w:w="15" w:type="dxa"/>
          <w:jc w:val="center"/>
        </w:trPr>
        <w:tc>
          <w:tcPr>
            <w:tcW w:w="0" w:type="auto"/>
            <w:vAlign w:val="center"/>
            <w:hideMark/>
          </w:tcPr>
          <w:p w14:paraId="7226084B" w14:textId="77777777" w:rsidR="0087651A" w:rsidRPr="0087651A" w:rsidRDefault="0087651A" w:rsidP="0087651A">
            <w:pPr>
              <w:pStyle w:val="NormalWeb"/>
              <w:tabs>
                <w:tab w:val="center" w:pos="4693"/>
              </w:tabs>
              <w:ind w:left="360"/>
            </w:pPr>
            <w:r w:rsidRPr="0087651A">
              <w:t>Renewable energy integration</w:t>
            </w:r>
          </w:p>
        </w:tc>
        <w:tc>
          <w:tcPr>
            <w:tcW w:w="0" w:type="auto"/>
            <w:vAlign w:val="center"/>
            <w:hideMark/>
          </w:tcPr>
          <w:p w14:paraId="38191078" w14:textId="77777777" w:rsidR="0087651A" w:rsidRPr="0087651A" w:rsidRDefault="0087651A" w:rsidP="0087651A">
            <w:pPr>
              <w:pStyle w:val="NormalWeb"/>
              <w:tabs>
                <w:tab w:val="center" w:pos="4693"/>
              </w:tabs>
              <w:ind w:left="360"/>
            </w:pPr>
            <w:r w:rsidRPr="0087651A">
              <w:t>Economic uncertainty</w:t>
            </w:r>
          </w:p>
        </w:tc>
      </w:tr>
    </w:tbl>
    <w:p w14:paraId="79976358" w14:textId="5FCDC008" w:rsidR="0087651A" w:rsidRDefault="00D00A0E" w:rsidP="0087651A">
      <w:pPr>
        <w:pStyle w:val="NormalWeb"/>
        <w:tabs>
          <w:tab w:val="center" w:pos="4693"/>
        </w:tabs>
        <w:ind w:left="360"/>
      </w:pPr>
      <w:r w:rsidRPr="00D00A0E">
        <w:t>The SWOT analysis shows Nissan Sunderland has strong manufacturing capabilities but must address AI skills and supply chain risks to remain competitive</w:t>
      </w:r>
    </w:p>
    <w:p w14:paraId="227625C6" w14:textId="1D3AF360" w:rsidR="0087651A" w:rsidRPr="0087651A" w:rsidRDefault="0087651A" w:rsidP="0087651A">
      <w:pPr>
        <w:pStyle w:val="NormalWeb"/>
        <w:tabs>
          <w:tab w:val="center" w:pos="4693"/>
        </w:tabs>
        <w:ind w:left="360"/>
      </w:pPr>
      <w:r w:rsidRPr="0087651A">
        <w:t>2.3 External Environment Analysis (PESTLE Framework)</w:t>
      </w:r>
    </w:p>
    <w:p w14:paraId="2993E743" w14:textId="77777777" w:rsidR="0087651A" w:rsidRDefault="0087651A" w:rsidP="0087651A">
      <w:pPr>
        <w:pStyle w:val="NormalWeb"/>
        <w:tabs>
          <w:tab w:val="center" w:pos="4693"/>
        </w:tabs>
        <w:ind w:left="360"/>
      </w:pPr>
      <w:r w:rsidRPr="0087651A">
        <w:t>This report uses the PESTLE analytical framework to analyse the external business environment which includes Political, Economic, Social, Technological, Legal and Environmental factors influencing strategic decision-making.</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82"/>
        <w:gridCol w:w="3662"/>
        <w:gridCol w:w="3472"/>
      </w:tblGrid>
      <w:tr w:rsidR="0087651A" w:rsidRPr="0087651A" w14:paraId="27D2D48E" w14:textId="77777777" w:rsidTr="0087651A">
        <w:trPr>
          <w:tblHeader/>
          <w:tblCellSpacing w:w="15" w:type="dxa"/>
          <w:jc w:val="center"/>
        </w:trPr>
        <w:tc>
          <w:tcPr>
            <w:tcW w:w="0" w:type="auto"/>
            <w:vAlign w:val="center"/>
            <w:hideMark/>
          </w:tcPr>
          <w:p w14:paraId="733A3841" w14:textId="77777777" w:rsidR="0087651A" w:rsidRPr="0087651A" w:rsidRDefault="0087651A" w:rsidP="0087651A">
            <w:pPr>
              <w:pStyle w:val="NormalWeb"/>
              <w:tabs>
                <w:tab w:val="center" w:pos="4693"/>
              </w:tabs>
              <w:ind w:left="360"/>
              <w:rPr>
                <w:b/>
                <w:bCs/>
              </w:rPr>
            </w:pPr>
            <w:r w:rsidRPr="0087651A">
              <w:rPr>
                <w:b/>
                <w:bCs/>
              </w:rPr>
              <w:t>Factor</w:t>
            </w:r>
          </w:p>
        </w:tc>
        <w:tc>
          <w:tcPr>
            <w:tcW w:w="0" w:type="auto"/>
            <w:vAlign w:val="center"/>
            <w:hideMark/>
          </w:tcPr>
          <w:p w14:paraId="1B8D1B96" w14:textId="77777777" w:rsidR="0087651A" w:rsidRPr="0087651A" w:rsidRDefault="0087651A" w:rsidP="0087651A">
            <w:pPr>
              <w:pStyle w:val="NormalWeb"/>
              <w:tabs>
                <w:tab w:val="center" w:pos="4693"/>
              </w:tabs>
              <w:ind w:left="360"/>
              <w:rPr>
                <w:b/>
                <w:bCs/>
              </w:rPr>
            </w:pPr>
            <w:r w:rsidRPr="0087651A">
              <w:rPr>
                <w:b/>
                <w:bCs/>
              </w:rPr>
              <w:t>Key Issues</w:t>
            </w:r>
          </w:p>
        </w:tc>
        <w:tc>
          <w:tcPr>
            <w:tcW w:w="0" w:type="auto"/>
            <w:vAlign w:val="center"/>
            <w:hideMark/>
          </w:tcPr>
          <w:p w14:paraId="0F681AA5" w14:textId="77777777" w:rsidR="0087651A" w:rsidRPr="0087651A" w:rsidRDefault="0087651A" w:rsidP="0087651A">
            <w:pPr>
              <w:pStyle w:val="NormalWeb"/>
              <w:tabs>
                <w:tab w:val="center" w:pos="4693"/>
              </w:tabs>
              <w:ind w:left="360"/>
              <w:rPr>
                <w:b/>
                <w:bCs/>
              </w:rPr>
            </w:pPr>
            <w:r w:rsidRPr="0087651A">
              <w:rPr>
                <w:b/>
                <w:bCs/>
              </w:rPr>
              <w:t>Strategic Implications</w:t>
            </w:r>
          </w:p>
        </w:tc>
      </w:tr>
      <w:tr w:rsidR="0087651A" w:rsidRPr="0087651A" w14:paraId="6526C58C" w14:textId="77777777" w:rsidTr="0087651A">
        <w:trPr>
          <w:tblCellSpacing w:w="15" w:type="dxa"/>
          <w:jc w:val="center"/>
        </w:trPr>
        <w:tc>
          <w:tcPr>
            <w:tcW w:w="0" w:type="auto"/>
            <w:vAlign w:val="center"/>
            <w:hideMark/>
          </w:tcPr>
          <w:p w14:paraId="5E31104B" w14:textId="77777777" w:rsidR="0087651A" w:rsidRPr="0087651A" w:rsidRDefault="0087651A" w:rsidP="0087651A">
            <w:pPr>
              <w:pStyle w:val="NormalWeb"/>
              <w:tabs>
                <w:tab w:val="center" w:pos="4693"/>
              </w:tabs>
              <w:ind w:left="360"/>
            </w:pPr>
            <w:r w:rsidRPr="0087651A">
              <w:t>Political</w:t>
            </w:r>
          </w:p>
        </w:tc>
        <w:tc>
          <w:tcPr>
            <w:tcW w:w="0" w:type="auto"/>
            <w:vAlign w:val="center"/>
            <w:hideMark/>
          </w:tcPr>
          <w:p w14:paraId="1B4AFCBE" w14:textId="77777777" w:rsidR="0087651A" w:rsidRPr="0087651A" w:rsidRDefault="0087651A" w:rsidP="0087651A">
            <w:pPr>
              <w:pStyle w:val="NormalWeb"/>
              <w:tabs>
                <w:tab w:val="center" w:pos="4693"/>
              </w:tabs>
              <w:ind w:left="360"/>
            </w:pPr>
            <w:r w:rsidRPr="0087651A">
              <w:t>UK EV policies, industrial strategy</w:t>
            </w:r>
          </w:p>
        </w:tc>
        <w:tc>
          <w:tcPr>
            <w:tcW w:w="0" w:type="auto"/>
            <w:vAlign w:val="center"/>
            <w:hideMark/>
          </w:tcPr>
          <w:p w14:paraId="26CEC34A" w14:textId="77777777" w:rsidR="0087651A" w:rsidRPr="0087651A" w:rsidRDefault="0087651A" w:rsidP="0087651A">
            <w:pPr>
              <w:pStyle w:val="NormalWeb"/>
              <w:tabs>
                <w:tab w:val="center" w:pos="4693"/>
              </w:tabs>
              <w:ind w:left="360"/>
            </w:pPr>
            <w:r w:rsidRPr="0087651A">
              <w:t>Increased investment opportunities</w:t>
            </w:r>
          </w:p>
        </w:tc>
      </w:tr>
      <w:tr w:rsidR="0087651A" w:rsidRPr="0087651A" w14:paraId="3AC06608" w14:textId="77777777" w:rsidTr="0087651A">
        <w:trPr>
          <w:tblCellSpacing w:w="15" w:type="dxa"/>
          <w:jc w:val="center"/>
        </w:trPr>
        <w:tc>
          <w:tcPr>
            <w:tcW w:w="0" w:type="auto"/>
            <w:vAlign w:val="center"/>
            <w:hideMark/>
          </w:tcPr>
          <w:p w14:paraId="1B7579A2" w14:textId="77777777" w:rsidR="0087651A" w:rsidRPr="0087651A" w:rsidRDefault="0087651A" w:rsidP="0087651A">
            <w:pPr>
              <w:pStyle w:val="NormalWeb"/>
              <w:tabs>
                <w:tab w:val="center" w:pos="4693"/>
              </w:tabs>
              <w:ind w:left="360"/>
            </w:pPr>
            <w:r w:rsidRPr="0087651A">
              <w:t>Economic</w:t>
            </w:r>
          </w:p>
        </w:tc>
        <w:tc>
          <w:tcPr>
            <w:tcW w:w="0" w:type="auto"/>
            <w:vAlign w:val="center"/>
            <w:hideMark/>
          </w:tcPr>
          <w:p w14:paraId="04C7F34D" w14:textId="77777777" w:rsidR="0087651A" w:rsidRPr="0087651A" w:rsidRDefault="0087651A" w:rsidP="0087651A">
            <w:pPr>
              <w:pStyle w:val="NormalWeb"/>
              <w:tabs>
                <w:tab w:val="center" w:pos="4693"/>
              </w:tabs>
              <w:ind w:left="360"/>
            </w:pPr>
            <w:r w:rsidRPr="0087651A">
              <w:t>Inflation, energy prices, supply chain costs</w:t>
            </w:r>
          </w:p>
        </w:tc>
        <w:tc>
          <w:tcPr>
            <w:tcW w:w="0" w:type="auto"/>
            <w:vAlign w:val="center"/>
            <w:hideMark/>
          </w:tcPr>
          <w:p w14:paraId="05CD9456" w14:textId="77777777" w:rsidR="0087651A" w:rsidRPr="0087651A" w:rsidRDefault="0087651A" w:rsidP="0087651A">
            <w:pPr>
              <w:pStyle w:val="NormalWeb"/>
              <w:tabs>
                <w:tab w:val="center" w:pos="4693"/>
              </w:tabs>
              <w:ind w:left="360"/>
            </w:pPr>
            <w:r w:rsidRPr="0087651A">
              <w:t>Need for cost optimisation through AI</w:t>
            </w:r>
          </w:p>
        </w:tc>
      </w:tr>
      <w:tr w:rsidR="0087651A" w:rsidRPr="0087651A" w14:paraId="57BD86A3" w14:textId="77777777" w:rsidTr="0087651A">
        <w:trPr>
          <w:tblCellSpacing w:w="15" w:type="dxa"/>
          <w:jc w:val="center"/>
        </w:trPr>
        <w:tc>
          <w:tcPr>
            <w:tcW w:w="0" w:type="auto"/>
            <w:vAlign w:val="center"/>
            <w:hideMark/>
          </w:tcPr>
          <w:p w14:paraId="021722FE" w14:textId="77777777" w:rsidR="0087651A" w:rsidRPr="0087651A" w:rsidRDefault="0087651A" w:rsidP="0087651A">
            <w:pPr>
              <w:pStyle w:val="NormalWeb"/>
              <w:tabs>
                <w:tab w:val="center" w:pos="4693"/>
              </w:tabs>
              <w:ind w:left="360"/>
            </w:pPr>
            <w:r w:rsidRPr="0087651A">
              <w:t>Social</w:t>
            </w:r>
          </w:p>
        </w:tc>
        <w:tc>
          <w:tcPr>
            <w:tcW w:w="0" w:type="auto"/>
            <w:vAlign w:val="center"/>
            <w:hideMark/>
          </w:tcPr>
          <w:p w14:paraId="4CA614D5" w14:textId="77777777" w:rsidR="0087651A" w:rsidRPr="0087651A" w:rsidRDefault="0087651A" w:rsidP="0087651A">
            <w:pPr>
              <w:pStyle w:val="NormalWeb"/>
              <w:tabs>
                <w:tab w:val="center" w:pos="4693"/>
              </w:tabs>
              <w:ind w:left="360"/>
            </w:pPr>
            <w:r w:rsidRPr="0087651A">
              <w:t>Sustainable mobility, skilled workforce demand</w:t>
            </w:r>
          </w:p>
        </w:tc>
        <w:tc>
          <w:tcPr>
            <w:tcW w:w="0" w:type="auto"/>
            <w:vAlign w:val="center"/>
            <w:hideMark/>
          </w:tcPr>
          <w:p w14:paraId="1A7A0FD1" w14:textId="77777777" w:rsidR="0087651A" w:rsidRPr="0087651A" w:rsidRDefault="0087651A" w:rsidP="0087651A">
            <w:pPr>
              <w:pStyle w:val="NormalWeb"/>
              <w:tabs>
                <w:tab w:val="center" w:pos="4693"/>
              </w:tabs>
              <w:ind w:left="360"/>
            </w:pPr>
            <w:r w:rsidRPr="0087651A">
              <w:t>Greater investment in employee development</w:t>
            </w:r>
          </w:p>
        </w:tc>
      </w:tr>
      <w:tr w:rsidR="0087651A" w:rsidRPr="0087651A" w14:paraId="5134E3E5" w14:textId="77777777" w:rsidTr="0087651A">
        <w:trPr>
          <w:tblCellSpacing w:w="15" w:type="dxa"/>
          <w:jc w:val="center"/>
        </w:trPr>
        <w:tc>
          <w:tcPr>
            <w:tcW w:w="0" w:type="auto"/>
            <w:vAlign w:val="center"/>
            <w:hideMark/>
          </w:tcPr>
          <w:p w14:paraId="1CE30085" w14:textId="77777777" w:rsidR="0087651A" w:rsidRPr="0087651A" w:rsidRDefault="0087651A" w:rsidP="0087651A">
            <w:pPr>
              <w:pStyle w:val="NormalWeb"/>
              <w:tabs>
                <w:tab w:val="center" w:pos="4693"/>
              </w:tabs>
              <w:ind w:left="360"/>
            </w:pPr>
            <w:r w:rsidRPr="0087651A">
              <w:t>Technological</w:t>
            </w:r>
          </w:p>
        </w:tc>
        <w:tc>
          <w:tcPr>
            <w:tcW w:w="0" w:type="auto"/>
            <w:vAlign w:val="center"/>
            <w:hideMark/>
          </w:tcPr>
          <w:p w14:paraId="4B97B7F8" w14:textId="77777777" w:rsidR="0087651A" w:rsidRPr="0087651A" w:rsidRDefault="0087651A" w:rsidP="0087651A">
            <w:pPr>
              <w:pStyle w:val="NormalWeb"/>
              <w:tabs>
                <w:tab w:val="center" w:pos="4693"/>
              </w:tabs>
              <w:ind w:left="360"/>
            </w:pPr>
            <w:r w:rsidRPr="0087651A">
              <w:t>AI, robotics, digital twins, Industry 5.0</w:t>
            </w:r>
          </w:p>
        </w:tc>
        <w:tc>
          <w:tcPr>
            <w:tcW w:w="0" w:type="auto"/>
            <w:vAlign w:val="center"/>
            <w:hideMark/>
          </w:tcPr>
          <w:p w14:paraId="16799424" w14:textId="77777777" w:rsidR="0087651A" w:rsidRPr="0087651A" w:rsidRDefault="0087651A" w:rsidP="0087651A">
            <w:pPr>
              <w:pStyle w:val="NormalWeb"/>
              <w:tabs>
                <w:tab w:val="center" w:pos="4693"/>
              </w:tabs>
              <w:ind w:left="360"/>
            </w:pPr>
            <w:r w:rsidRPr="0087651A">
              <w:t>Accelerated digital transformation</w:t>
            </w:r>
          </w:p>
        </w:tc>
      </w:tr>
      <w:tr w:rsidR="0087651A" w:rsidRPr="0087651A" w14:paraId="638ED2A8" w14:textId="77777777" w:rsidTr="0087651A">
        <w:trPr>
          <w:tblCellSpacing w:w="15" w:type="dxa"/>
          <w:jc w:val="center"/>
        </w:trPr>
        <w:tc>
          <w:tcPr>
            <w:tcW w:w="0" w:type="auto"/>
            <w:vAlign w:val="center"/>
            <w:hideMark/>
          </w:tcPr>
          <w:p w14:paraId="7517B895" w14:textId="77777777" w:rsidR="0087651A" w:rsidRPr="0087651A" w:rsidRDefault="0087651A" w:rsidP="0087651A">
            <w:pPr>
              <w:pStyle w:val="NormalWeb"/>
              <w:tabs>
                <w:tab w:val="center" w:pos="4693"/>
              </w:tabs>
              <w:ind w:left="360"/>
            </w:pPr>
            <w:r w:rsidRPr="0087651A">
              <w:t>Legal</w:t>
            </w:r>
          </w:p>
        </w:tc>
        <w:tc>
          <w:tcPr>
            <w:tcW w:w="0" w:type="auto"/>
            <w:vAlign w:val="center"/>
            <w:hideMark/>
          </w:tcPr>
          <w:p w14:paraId="2A1117A7" w14:textId="77777777" w:rsidR="0087651A" w:rsidRPr="0087651A" w:rsidRDefault="0087651A" w:rsidP="0087651A">
            <w:pPr>
              <w:pStyle w:val="NormalWeb"/>
              <w:tabs>
                <w:tab w:val="center" w:pos="4693"/>
              </w:tabs>
              <w:ind w:left="360"/>
            </w:pPr>
            <w:r w:rsidRPr="0087651A">
              <w:t>Net-zero legislation, AI governance, cybersecurity</w:t>
            </w:r>
          </w:p>
        </w:tc>
        <w:tc>
          <w:tcPr>
            <w:tcW w:w="0" w:type="auto"/>
            <w:vAlign w:val="center"/>
            <w:hideMark/>
          </w:tcPr>
          <w:p w14:paraId="6CC52E51" w14:textId="77777777" w:rsidR="0087651A" w:rsidRPr="0087651A" w:rsidRDefault="0087651A" w:rsidP="0087651A">
            <w:pPr>
              <w:pStyle w:val="NormalWeb"/>
              <w:tabs>
                <w:tab w:val="center" w:pos="4693"/>
              </w:tabs>
              <w:ind w:left="360"/>
            </w:pPr>
            <w:r w:rsidRPr="0087651A">
              <w:t>Increased compliance requirements</w:t>
            </w:r>
          </w:p>
        </w:tc>
      </w:tr>
      <w:tr w:rsidR="0087651A" w:rsidRPr="0087651A" w14:paraId="1C53E50C" w14:textId="77777777" w:rsidTr="0087651A">
        <w:trPr>
          <w:tblCellSpacing w:w="15" w:type="dxa"/>
          <w:jc w:val="center"/>
        </w:trPr>
        <w:tc>
          <w:tcPr>
            <w:tcW w:w="0" w:type="auto"/>
            <w:vAlign w:val="center"/>
            <w:hideMark/>
          </w:tcPr>
          <w:p w14:paraId="79347356" w14:textId="77777777" w:rsidR="0087651A" w:rsidRPr="0087651A" w:rsidRDefault="0087651A" w:rsidP="0087651A">
            <w:pPr>
              <w:pStyle w:val="NormalWeb"/>
              <w:tabs>
                <w:tab w:val="center" w:pos="4693"/>
              </w:tabs>
              <w:ind w:left="360"/>
            </w:pPr>
            <w:r w:rsidRPr="0087651A">
              <w:t>Environmental</w:t>
            </w:r>
          </w:p>
        </w:tc>
        <w:tc>
          <w:tcPr>
            <w:tcW w:w="0" w:type="auto"/>
            <w:vAlign w:val="center"/>
            <w:hideMark/>
          </w:tcPr>
          <w:p w14:paraId="6C399131" w14:textId="77777777" w:rsidR="0087651A" w:rsidRPr="0087651A" w:rsidRDefault="0087651A" w:rsidP="0087651A">
            <w:pPr>
              <w:pStyle w:val="NormalWeb"/>
              <w:tabs>
                <w:tab w:val="center" w:pos="4693"/>
              </w:tabs>
              <w:ind w:left="360"/>
            </w:pPr>
            <w:r w:rsidRPr="0087651A">
              <w:t>Carbon neutrality, renewable energy</w:t>
            </w:r>
          </w:p>
        </w:tc>
        <w:tc>
          <w:tcPr>
            <w:tcW w:w="0" w:type="auto"/>
            <w:vAlign w:val="center"/>
            <w:hideMark/>
          </w:tcPr>
          <w:p w14:paraId="7783F4D1" w14:textId="77777777" w:rsidR="0087651A" w:rsidRPr="0087651A" w:rsidRDefault="0087651A" w:rsidP="0087651A">
            <w:pPr>
              <w:pStyle w:val="NormalWeb"/>
              <w:tabs>
                <w:tab w:val="center" w:pos="4693"/>
              </w:tabs>
              <w:ind w:left="360"/>
            </w:pPr>
            <w:r w:rsidRPr="0087651A">
              <w:t>Expansion of sustainable manufacturing</w:t>
            </w:r>
          </w:p>
        </w:tc>
      </w:tr>
    </w:tbl>
    <w:p w14:paraId="6BBF61F0" w14:textId="70E5218D" w:rsidR="0087651A" w:rsidRDefault="0087651A" w:rsidP="0087651A">
      <w:pPr>
        <w:pStyle w:val="NormalWeb"/>
        <w:tabs>
          <w:tab w:val="center" w:pos="4693"/>
        </w:tabs>
        <w:ind w:left="360"/>
        <w:jc w:val="center"/>
      </w:pPr>
      <w:r w:rsidRPr="0087651A">
        <w:t>Table 2.3 PESTLE Analysis</w:t>
      </w:r>
    </w:p>
    <w:p w14:paraId="682EDFB5" w14:textId="15C12FD0" w:rsidR="0087651A" w:rsidRPr="0087651A" w:rsidRDefault="0087651A" w:rsidP="0087651A">
      <w:pPr>
        <w:pStyle w:val="NormalWeb"/>
        <w:tabs>
          <w:tab w:val="center" w:pos="4693"/>
        </w:tabs>
        <w:ind w:left="360"/>
      </w:pPr>
      <w:r w:rsidRPr="0087651A">
        <w:t>Data up to October 2023; PESTLE analysis clearly shows technological innovation and environmental sustainability are the two strongest external drivers shaping Nissan Sunderland's future strategy. (</w:t>
      </w:r>
      <w:r w:rsidRPr="00A42FED">
        <w:rPr>
          <w:i/>
          <w:iCs/>
        </w:rPr>
        <w:t>International Energy Agency, 2025; UK Government, 2025).</w:t>
      </w:r>
    </w:p>
    <w:p w14:paraId="69490D86" w14:textId="77777777" w:rsidR="0087651A" w:rsidRPr="0087651A" w:rsidRDefault="0087651A" w:rsidP="0087651A">
      <w:pPr>
        <w:pStyle w:val="NormalWeb"/>
        <w:tabs>
          <w:tab w:val="center" w:pos="4693"/>
        </w:tabs>
        <w:ind w:left="360"/>
      </w:pPr>
      <w:r w:rsidRPr="0087651A">
        <w:t>2.4 Drivers for Strategic Change</w:t>
      </w:r>
    </w:p>
    <w:p w14:paraId="3298C7AA" w14:textId="1C5167DE" w:rsidR="0087651A" w:rsidRPr="0087651A" w:rsidRDefault="0087651A" w:rsidP="0087651A">
      <w:pPr>
        <w:pStyle w:val="NormalWeb"/>
        <w:tabs>
          <w:tab w:val="center" w:pos="4693"/>
        </w:tabs>
        <w:ind w:left="360"/>
      </w:pPr>
      <w:r w:rsidRPr="0087651A">
        <w:t>The strategic need to change emerges from the interplay between distinct sets of organisational and environmental pressures. Electrification is reshaping automotive manufacturing and AI has considerably transformed various aspects of the industry like quality inspection, predictive maintenance, production scheduling and supply chain optimisation. At the same time, there is global competition from Tesla, BYD, Hyundai and Volkswagen for manufacturers to move to intelligent production systems that can further enable productivity-based efficiency while minimizing operating costs and ecological impact. (</w:t>
      </w:r>
      <w:r w:rsidRPr="00A42FED">
        <w:rPr>
          <w:i/>
          <w:iCs/>
        </w:rPr>
        <w:t>McKinsey &amp; Company, 2025; World Economic Forum, 2025).</w:t>
      </w:r>
    </w:p>
    <w:p w14:paraId="17AE5C44" w14:textId="33A5ABBF" w:rsidR="0087651A" w:rsidRPr="0087651A" w:rsidRDefault="0087651A" w:rsidP="0087651A">
      <w:pPr>
        <w:pStyle w:val="NormalWeb"/>
        <w:tabs>
          <w:tab w:val="center" w:pos="4693"/>
        </w:tabs>
        <w:ind w:left="360"/>
        <w:jc w:val="center"/>
      </w:pPr>
      <w:r>
        <w:rPr>
          <w:noProof/>
        </w:rPr>
        <w:drawing>
          <wp:inline distT="0" distB="0" distL="0" distR="0" wp14:anchorId="50A04337" wp14:editId="6581409A">
            <wp:extent cx="3893820" cy="2697979"/>
            <wp:effectExtent l="0" t="0" r="0" b="7620"/>
            <wp:docPr id="1434328982" name="Picture 4" descr="FAST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ST 203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21590" cy="2717221"/>
                    </a:xfrm>
                    <a:prstGeom prst="rect">
                      <a:avLst/>
                    </a:prstGeom>
                    <a:noFill/>
                    <a:ln>
                      <a:noFill/>
                    </a:ln>
                  </pic:spPr>
                </pic:pic>
              </a:graphicData>
            </a:graphic>
          </wp:inline>
        </w:drawing>
      </w:r>
    </w:p>
    <w:p w14:paraId="1F510A74" w14:textId="5D7426A1" w:rsidR="0087651A" w:rsidRPr="0087651A" w:rsidRDefault="0087651A" w:rsidP="0087651A">
      <w:pPr>
        <w:pStyle w:val="NormalWeb"/>
        <w:tabs>
          <w:tab w:val="center" w:pos="4693"/>
        </w:tabs>
        <w:ind w:left="360"/>
        <w:jc w:val="center"/>
      </w:pPr>
      <w:r w:rsidRPr="0087651A">
        <w:t xml:space="preserve">Figure </w:t>
      </w:r>
      <w:r>
        <w:t>4</w:t>
      </w:r>
      <w:r w:rsidRPr="0087651A">
        <w:t>. Principal Drivers of Strategic Change</w:t>
      </w:r>
    </w:p>
    <w:p w14:paraId="56EE2CA4" w14:textId="77777777" w:rsidR="005B119F" w:rsidRDefault="005B119F" w:rsidP="0063646E">
      <w:pPr>
        <w:pStyle w:val="NormalWeb"/>
        <w:tabs>
          <w:tab w:val="center" w:pos="4693"/>
        </w:tabs>
        <w:ind w:left="360"/>
      </w:pPr>
      <w:r w:rsidRPr="005B119F">
        <w:t>Overall, the organisational analysis demonstrates that Nissan Sunderland has the operational capability and strategic assets to lead AI-enabled manufacturing.</w:t>
      </w:r>
    </w:p>
    <w:p w14:paraId="6C05DFA9" w14:textId="5D95CD34" w:rsidR="0063646E" w:rsidRPr="0063646E" w:rsidRDefault="0063646E" w:rsidP="0063646E">
      <w:pPr>
        <w:pStyle w:val="NormalWeb"/>
        <w:tabs>
          <w:tab w:val="center" w:pos="4693"/>
        </w:tabs>
        <w:ind w:left="360"/>
      </w:pPr>
      <w:r w:rsidRPr="0063646E">
        <w:t xml:space="preserve">However, achieving ongoing competitiveness will require combining the contributions of artificial intelligence, intelligent automation, digital manufacturing technology and talent development efforts as part of an integrated transformation programme. As a result, strategic change is not only no longer a choice, but also an existential necessity in terms of positioning the </w:t>
      </w:r>
      <w:r w:rsidR="00A42FED">
        <w:t>organisation</w:t>
      </w:r>
      <w:r w:rsidRPr="0063646E">
        <w:t xml:space="preserve"> to compete over time; achieve future sustainability targets; and keep Nissan Sunderland viable as Europe's leading intelligent electric vehicle manufacturing site (</w:t>
      </w:r>
      <w:r w:rsidRPr="00A42FED">
        <w:rPr>
          <w:i/>
          <w:iCs/>
        </w:rPr>
        <w:t>Advanced Propulsion Centre UK, 2025; Nissan Motor Corporation, 2025).</w:t>
      </w:r>
    </w:p>
    <w:p w14:paraId="63746E73" w14:textId="77777777" w:rsidR="001335F7" w:rsidRDefault="001335F7" w:rsidP="0063646E">
      <w:pPr>
        <w:pStyle w:val="NormalWeb"/>
      </w:pPr>
    </w:p>
    <w:p w14:paraId="54E05488" w14:textId="77777777" w:rsidR="00D00A0E" w:rsidRDefault="00D00A0E" w:rsidP="0063646E">
      <w:pPr>
        <w:pStyle w:val="NormalWeb"/>
      </w:pPr>
    </w:p>
    <w:p w14:paraId="544FB734" w14:textId="77777777" w:rsidR="00D00A0E" w:rsidRDefault="00D00A0E" w:rsidP="0063646E">
      <w:pPr>
        <w:pStyle w:val="NormalWeb"/>
      </w:pPr>
    </w:p>
    <w:p w14:paraId="7D61E924" w14:textId="77777777" w:rsidR="00D00A0E" w:rsidRDefault="00D00A0E" w:rsidP="0063646E">
      <w:pPr>
        <w:pStyle w:val="NormalWeb"/>
      </w:pPr>
    </w:p>
    <w:p w14:paraId="0B0FCF28" w14:textId="77777777" w:rsidR="00CC5C25" w:rsidRDefault="00CC5C25" w:rsidP="0063646E">
      <w:pPr>
        <w:pStyle w:val="NormalWeb"/>
      </w:pPr>
    </w:p>
    <w:p w14:paraId="038BCEE3" w14:textId="77777777" w:rsidR="00CC5C25" w:rsidRDefault="00CC5C25" w:rsidP="0063646E">
      <w:pPr>
        <w:pStyle w:val="NormalWeb"/>
      </w:pPr>
    </w:p>
    <w:p w14:paraId="0BDE8668" w14:textId="015B02B7" w:rsidR="001335F7" w:rsidRPr="00A42FED" w:rsidRDefault="001335F7" w:rsidP="00C8064B">
      <w:pPr>
        <w:pStyle w:val="NormalWeb"/>
        <w:numPr>
          <w:ilvl w:val="0"/>
          <w:numId w:val="1"/>
        </w:numPr>
        <w:outlineLvl w:val="0"/>
        <w:rPr>
          <w:b/>
          <w:bCs/>
          <w:color w:val="7030A0"/>
          <w:sz w:val="28"/>
          <w:szCs w:val="28"/>
        </w:rPr>
      </w:pPr>
      <w:bookmarkStart w:id="3" w:name="_Toc234054493"/>
      <w:r w:rsidRPr="00A42FED">
        <w:rPr>
          <w:b/>
          <w:bCs/>
          <w:color w:val="7030A0"/>
          <w:sz w:val="28"/>
          <w:szCs w:val="28"/>
        </w:rPr>
        <w:t>Change Management Models</w:t>
      </w:r>
      <w:bookmarkEnd w:id="3"/>
    </w:p>
    <w:p w14:paraId="13FDF9E3" w14:textId="77777777" w:rsidR="0063646E" w:rsidRDefault="0063646E" w:rsidP="0063646E">
      <w:pPr>
        <w:pStyle w:val="NormalWeb"/>
        <w:ind w:left="360"/>
      </w:pPr>
      <w:r>
        <w:t>Nissan Sunderland Plant's conversion to an AI-enabled EV ecosystem is a transformational organisational change (rather than just technology uptake, it involves changes in structure, employee competencies, leadership practices, operational processes and corporate culture). Digital transformation is different than incremental operational improvements, as it requires organisations to fundamentally rethink business models, manufacturing systems and workforce capabilities in order to compete in a new technology-based automotive economy. Thus, choosing a suitable change management methodology is important to reduce resistance and increase stakeholder engagement for proper implementation of strategic goals. Modern studies show that organisations utilising structured change management frameworks are twenty times more likely to successfully achieve successful digital transformation as opposed to those investing in technology alone (</w:t>
      </w:r>
      <w:r w:rsidRPr="00A42FED">
        <w:rPr>
          <w:i/>
          <w:iCs/>
        </w:rPr>
        <w:t>Burnes, 2020; Prosci, 2024; Deloitte, 2025).</w:t>
      </w:r>
    </w:p>
    <w:p w14:paraId="11682BE5" w14:textId="77777777" w:rsidR="0063646E" w:rsidRDefault="0063646E" w:rsidP="0063646E">
      <w:pPr>
        <w:pStyle w:val="NormalWeb"/>
        <w:ind w:left="360"/>
      </w:pPr>
      <w:r>
        <w:t>3.1 Overview of Organisational Change</w:t>
      </w:r>
    </w:p>
    <w:p w14:paraId="6468AD08" w14:textId="1756EAB2" w:rsidR="0063646E" w:rsidRDefault="0063646E" w:rsidP="0063646E">
      <w:pPr>
        <w:pStyle w:val="NormalWeb"/>
        <w:ind w:left="360"/>
      </w:pPr>
      <w:r>
        <w:t xml:space="preserve">Nissan sunderland upgrades in four interesting ways Thanks to the rapid pace of AI advancement, burgeoning electric vehicle adoption, Industry 5.0 manufacturing evolution, sustainability in a time of climate change and global competition affecting automotive supply chains as well as suppliers &amp; dealers reacting to modern technological changes—it's clear Nissan Sunderland is influenced by several factors that are all turning its site upside down. Industrial AI use cases such as quality inspection, predictive maintenance, digital twins and autonomous logistics and production scheduling require investment in technology but also in learning how to implement the learnings from AI, reskill employees and transform the organisational culture. This is because change management provides the structure needed to coordinate leadership, communications, workforce engagement and organisation capability </w:t>
      </w:r>
      <w:r w:rsidRPr="00A42FED">
        <w:rPr>
          <w:i/>
          <w:iCs/>
        </w:rPr>
        <w:t>(World Economic Forum, 2025; McKinsey &amp; Company, 2025).</w:t>
      </w:r>
    </w:p>
    <w:p w14:paraId="662C7EE7" w14:textId="50AC8BF0" w:rsidR="0063646E" w:rsidRDefault="0063646E" w:rsidP="0063646E">
      <w:pPr>
        <w:pStyle w:val="NormalWeb"/>
        <w:ind w:left="360"/>
      </w:pPr>
      <w:r>
        <w:rPr>
          <w:noProof/>
        </w:rPr>
        <w:drawing>
          <wp:inline distT="0" distB="0" distL="0" distR="0" wp14:anchorId="6B67B273" wp14:editId="075DA6A7">
            <wp:extent cx="5731510" cy="3804285"/>
            <wp:effectExtent l="0" t="0" r="2540" b="5715"/>
            <wp:docPr id="1633813361" name="Picture 5" descr="What is Lewin's three-stage change process model? - Visual Paradig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Lewin's three-stage change process model? - Visual Paradigm Blo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04285"/>
                    </a:xfrm>
                    <a:prstGeom prst="rect">
                      <a:avLst/>
                    </a:prstGeom>
                    <a:noFill/>
                    <a:ln>
                      <a:noFill/>
                    </a:ln>
                  </pic:spPr>
                </pic:pic>
              </a:graphicData>
            </a:graphic>
          </wp:inline>
        </w:drawing>
      </w:r>
    </w:p>
    <w:p w14:paraId="596C6E9C" w14:textId="0FBBF8E9" w:rsidR="0063646E" w:rsidRDefault="0063646E" w:rsidP="0063646E">
      <w:pPr>
        <w:pStyle w:val="NormalWeb"/>
        <w:ind w:left="360"/>
        <w:jc w:val="center"/>
      </w:pPr>
      <w:r w:rsidRPr="0063646E">
        <w:t xml:space="preserve">Figure </w:t>
      </w:r>
      <w:r>
        <w:t>5</w:t>
      </w:r>
      <w:r w:rsidRPr="0063646E">
        <w:t>. Lewin's Three-Step Change Model</w:t>
      </w:r>
    </w:p>
    <w:p w14:paraId="66367092" w14:textId="77777777" w:rsidR="0063646E" w:rsidRPr="0063646E" w:rsidRDefault="0063646E" w:rsidP="0063646E">
      <w:pPr>
        <w:pStyle w:val="NormalWeb"/>
        <w:ind w:left="360"/>
      </w:pPr>
      <w:r w:rsidRPr="0063646E">
        <w:t>One of the first and best-known theories of human behaviour to explain how we change – Lewin's Three-Step Change Model – is over half a century old and has helped shape the way we manage organisational change. It is a model comprising of Unfreeze, Change and Refreeze, giving organisations the steps to prepare for new ways of working through organisational changes before embedding organisational change (</w:t>
      </w:r>
      <w:r w:rsidRPr="00A42FED">
        <w:rPr>
          <w:i/>
          <w:iCs/>
        </w:rPr>
        <w:t>Burnes, 2020).</w:t>
      </w:r>
    </w:p>
    <w:p w14:paraId="13206F58" w14:textId="77777777" w:rsidR="0063646E" w:rsidRPr="0063646E" w:rsidRDefault="0063646E" w:rsidP="0063646E">
      <w:pPr>
        <w:pStyle w:val="NormalWeb"/>
        <w:ind w:left="360"/>
      </w:pPr>
      <w:r w:rsidRPr="0063646E">
        <w:t>3.3 Kotter's Eight-Step Change Model</w:t>
      </w:r>
    </w:p>
    <w:p w14:paraId="5E5C2BCE" w14:textId="77777777" w:rsidR="0063646E" w:rsidRPr="0063646E" w:rsidRDefault="0063646E" w:rsidP="0063646E">
      <w:pPr>
        <w:pStyle w:val="NormalWeb"/>
        <w:ind w:left="360"/>
      </w:pPr>
      <w:r w:rsidRPr="0063646E">
        <w:t>One of the most popular organisational change theories is Kotter's Eight-Step Change Model. The model stresses the importance of leadership, communication, stakeholder buy-in and consistent reinforcement through the organisation, which makes it a good fit for AI-enabled manufacturing transformation (</w:t>
      </w:r>
      <w:r w:rsidRPr="00A42FED">
        <w:rPr>
          <w:i/>
          <w:iCs/>
        </w:rPr>
        <w:t>Kotter, 2022).</w:t>
      </w:r>
    </w:p>
    <w:p w14:paraId="11095774" w14:textId="77777777" w:rsidR="0063646E" w:rsidRPr="0063646E" w:rsidRDefault="0063646E" w:rsidP="0063646E">
      <w:pPr>
        <w:pStyle w:val="NormalWeb"/>
        <w:ind w:left="360"/>
      </w:pPr>
      <w:r w:rsidRPr="0063646E">
        <w:t>It starts with a clearly articulated and conveyable urgency about the strategic threats of digital disruption, emerging competitors and environmental regulations from your pre-signed game-changers. In the next move Nissan Sunderland should create a guiding coalition that includes senior executives, plant managers, AI experts, engineering teams and employee representatives directly responsible for leading organizational change.</w:t>
      </w:r>
    </w:p>
    <w:p w14:paraId="2E6CB9E9" w14:textId="77777777" w:rsidR="0063646E" w:rsidRPr="0063646E" w:rsidRDefault="0063646E" w:rsidP="0063646E">
      <w:pPr>
        <w:pStyle w:val="NormalWeb"/>
        <w:ind w:left="360"/>
      </w:pPr>
      <w:r w:rsidRPr="0063646E">
        <w:t>The later level includes the creation of a defined strategic vision, conveying that with respect to organizational objectives, providing training and removing impediments on digital adoption. Focusing on short-term wins, such as having a few successful pilots of AI quality inspection or predictive maintenance deployed, can be beneficial to build employee trust and commitment in the organization. Lastly, innovation powered by AI should be integrated into the cultural fabric of the organisation through key leadership priorities and continual iterative reinforcement via performance management systems.</w:t>
      </w:r>
    </w:p>
    <w:p w14:paraId="36880909" w14:textId="237CE868" w:rsidR="0063646E" w:rsidRDefault="0063646E" w:rsidP="0063646E">
      <w:pPr>
        <w:pStyle w:val="NormalWeb"/>
        <w:ind w:left="360"/>
      </w:pPr>
      <w:r>
        <w:rPr>
          <w:noProof/>
        </w:rPr>
        <w:drawing>
          <wp:inline distT="0" distB="0" distL="0" distR="0" wp14:anchorId="437975FE" wp14:editId="21B2AFC6">
            <wp:extent cx="5731510" cy="4050030"/>
            <wp:effectExtent l="0" t="0" r="2540" b="7620"/>
            <wp:docPr id="389397231" name="Picture 6" descr="Kotter's 8 Step Change Model - overview | Mutomor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Kotter's 8 Step Change Model - overview | Mutomorr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050030"/>
                    </a:xfrm>
                    <a:prstGeom prst="rect">
                      <a:avLst/>
                    </a:prstGeom>
                    <a:noFill/>
                    <a:ln>
                      <a:noFill/>
                    </a:ln>
                  </pic:spPr>
                </pic:pic>
              </a:graphicData>
            </a:graphic>
          </wp:inline>
        </w:drawing>
      </w:r>
    </w:p>
    <w:p w14:paraId="101016C9" w14:textId="0160E6B8" w:rsidR="001335F7" w:rsidRDefault="0063646E" w:rsidP="0063646E">
      <w:pPr>
        <w:pStyle w:val="NormalWeb"/>
        <w:ind w:left="360"/>
        <w:jc w:val="center"/>
      </w:pPr>
      <w:r w:rsidRPr="0063646E">
        <w:t xml:space="preserve">Figure </w:t>
      </w:r>
      <w:r>
        <w:t>6</w:t>
      </w:r>
      <w:r w:rsidRPr="0063646E">
        <w:t>. Kotter's Eight-Step Change Model</w:t>
      </w:r>
    </w:p>
    <w:p w14:paraId="19FBE644" w14:textId="77777777" w:rsidR="0063646E" w:rsidRPr="0063646E" w:rsidRDefault="0063646E" w:rsidP="0063646E">
      <w:pPr>
        <w:pStyle w:val="NormalWeb"/>
        <w:ind w:left="360"/>
      </w:pPr>
      <w:r w:rsidRPr="0063646E">
        <w:t>3.4 McKinsey 7-S Framework</w:t>
      </w:r>
    </w:p>
    <w:p w14:paraId="6FBD71E0" w14:textId="77777777" w:rsidR="0063646E" w:rsidRPr="0063646E" w:rsidRDefault="0063646E" w:rsidP="0063646E">
      <w:pPr>
        <w:pStyle w:val="NormalWeb"/>
        <w:ind w:left="360"/>
      </w:pPr>
      <w:r w:rsidRPr="0063646E">
        <w:t>The McKinsey 7-S Framework offers a full picture of organisational alignment and examines how seven interdependent organisational elements (Strategy, Structure, Systems, Shared Values, Skills, Staff and Style) contribute to it (</w:t>
      </w:r>
      <w:r w:rsidRPr="00A42FED">
        <w:rPr>
          <w:i/>
          <w:iCs/>
        </w:rPr>
        <w:t>Waterman et al., 1980).</w:t>
      </w:r>
    </w:p>
    <w:p w14:paraId="4C178194" w14:textId="29FD75C0" w:rsidR="0063646E" w:rsidRPr="0063646E" w:rsidRDefault="0063646E" w:rsidP="00841571">
      <w:pPr>
        <w:pStyle w:val="NormalWeb"/>
        <w:ind w:left="360"/>
      </w:pPr>
      <w:r w:rsidRPr="0063646E">
        <w:t>As for Nissan Sunderland, the strategy of the organisation must focus on smart manufacturing and green practices in the production of electric vehicles. Organisational structures need to break down silos between production, engineering / design and digital tech and supply chain teams. Cloud computing, AI analytics, IIoT technologies and digital twins integration are essential for manufacturing systems</w:t>
      </w:r>
      <w:r w:rsidR="008B117D">
        <w:t>.</w:t>
      </w:r>
    </w:p>
    <w:p w14:paraId="2E1207AB" w14:textId="77777777" w:rsidR="0063646E" w:rsidRDefault="0063646E" w:rsidP="008B117D">
      <w:pPr>
        <w:pStyle w:val="NormalWeb"/>
      </w:pPr>
    </w:p>
    <w:p w14:paraId="075288A5" w14:textId="77777777" w:rsidR="008B117D" w:rsidRDefault="008B117D" w:rsidP="008B117D">
      <w:pPr>
        <w:pStyle w:val="NormalWeb"/>
      </w:pPr>
    </w:p>
    <w:p w14:paraId="71C9F6AC" w14:textId="77777777" w:rsidR="0063646E" w:rsidRPr="0063646E" w:rsidRDefault="0063646E" w:rsidP="0063646E">
      <w:pPr>
        <w:pStyle w:val="NormalWeb"/>
        <w:ind w:left="360"/>
      </w:pPr>
      <w:r w:rsidRPr="0063646E">
        <w:t>3.5 ADKAR Model</w:t>
      </w:r>
    </w:p>
    <w:p w14:paraId="6C090C2F" w14:textId="77777777" w:rsidR="0063646E" w:rsidRPr="0063646E" w:rsidRDefault="0063646E" w:rsidP="0063646E">
      <w:pPr>
        <w:pStyle w:val="NormalWeb"/>
        <w:ind w:left="360"/>
      </w:pPr>
      <w:r w:rsidRPr="0063646E">
        <w:t>Since organisation transformation is a result of employees changing behaviours to take on and use new technologies, the ADKAR Model is focused at the individual level. The framework includes Awareness, Desire, Knowledge, Ability and Reinforcement (</w:t>
      </w:r>
      <w:r w:rsidRPr="00A42FED">
        <w:rPr>
          <w:i/>
          <w:iCs/>
        </w:rPr>
        <w:t>ADKAR)(Hiatt, 2023).</w:t>
      </w:r>
    </w:p>
    <w:p w14:paraId="32254FE6" w14:textId="77777777" w:rsidR="0063646E" w:rsidRPr="0063646E" w:rsidRDefault="0063646E" w:rsidP="0063646E">
      <w:pPr>
        <w:pStyle w:val="NormalWeb"/>
        <w:ind w:left="360"/>
      </w:pPr>
      <w:r w:rsidRPr="0063646E">
        <w:t>At Nissan Sunderland, getting the employees to understand why an AI transformation is appropriate within the organisation is necessary to provide data for employees that will help advance organisational objectives. Next comes thorough training programmes which include information linked to AI technologies, robotics and cybersecurity and digital manufacturing systems. On-the-job application builds operational competence while continuous performance feedback, recognition and career development opportunities were included to reinforce the new behaviours.</w:t>
      </w:r>
    </w:p>
    <w:p w14:paraId="01F81524" w14:textId="661E35AE" w:rsidR="0063646E" w:rsidRDefault="0063646E" w:rsidP="0063646E">
      <w:pPr>
        <w:pStyle w:val="NormalWeb"/>
        <w:ind w:left="360"/>
        <w:jc w:val="center"/>
      </w:pPr>
      <w:r>
        <w:rPr>
          <w:noProof/>
        </w:rPr>
        <w:drawing>
          <wp:inline distT="0" distB="0" distL="0" distR="0" wp14:anchorId="11351102" wp14:editId="137D2698">
            <wp:extent cx="4343400" cy="4345325"/>
            <wp:effectExtent l="0" t="0" r="0" b="0"/>
            <wp:docPr id="1808550562" name="Picture 7" descr="ADKAR framework diagram chart infographic with icon vector for banner presentation template has awareness, desire, knowledge, action and reinforcement. Change management model. Business and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DKAR framework diagram chart infographic with icon vector for banner presentation template has awareness, desire, knowledge, action and reinforcement. Change management model. Business and market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44191" cy="4346116"/>
                    </a:xfrm>
                    <a:prstGeom prst="rect">
                      <a:avLst/>
                    </a:prstGeom>
                    <a:noFill/>
                    <a:ln>
                      <a:noFill/>
                    </a:ln>
                  </pic:spPr>
                </pic:pic>
              </a:graphicData>
            </a:graphic>
          </wp:inline>
        </w:drawing>
      </w:r>
    </w:p>
    <w:p w14:paraId="2707CC62" w14:textId="0E4D7205" w:rsidR="001335F7" w:rsidRDefault="0063646E" w:rsidP="0063646E">
      <w:pPr>
        <w:pStyle w:val="NormalWeb"/>
        <w:numPr>
          <w:ilvl w:val="1"/>
          <w:numId w:val="1"/>
        </w:numPr>
      </w:pPr>
      <w:r w:rsidRPr="0063646E">
        <w:t>Comparative Evaluation of Change Management Models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9"/>
        <w:gridCol w:w="3116"/>
        <w:gridCol w:w="2450"/>
        <w:gridCol w:w="1841"/>
      </w:tblGrid>
      <w:tr w:rsidR="0063646E" w:rsidRPr="0063646E" w14:paraId="273336EE" w14:textId="77777777" w:rsidTr="0063646E">
        <w:trPr>
          <w:tblHeader/>
          <w:tblCellSpacing w:w="15" w:type="dxa"/>
          <w:jc w:val="center"/>
        </w:trPr>
        <w:tc>
          <w:tcPr>
            <w:tcW w:w="0" w:type="auto"/>
            <w:vAlign w:val="center"/>
            <w:hideMark/>
          </w:tcPr>
          <w:p w14:paraId="7E3F3008" w14:textId="77777777" w:rsidR="0063646E" w:rsidRPr="0063646E" w:rsidRDefault="0063646E" w:rsidP="0063646E">
            <w:pPr>
              <w:pStyle w:val="NormalWeb"/>
              <w:ind w:left="360"/>
              <w:rPr>
                <w:b/>
                <w:bCs/>
              </w:rPr>
            </w:pPr>
            <w:r w:rsidRPr="0063646E">
              <w:rPr>
                <w:b/>
                <w:bCs/>
              </w:rPr>
              <w:t>Model</w:t>
            </w:r>
          </w:p>
        </w:tc>
        <w:tc>
          <w:tcPr>
            <w:tcW w:w="0" w:type="auto"/>
            <w:vAlign w:val="center"/>
            <w:hideMark/>
          </w:tcPr>
          <w:p w14:paraId="5922AD5F" w14:textId="77777777" w:rsidR="0063646E" w:rsidRPr="0063646E" w:rsidRDefault="0063646E" w:rsidP="0063646E">
            <w:pPr>
              <w:pStyle w:val="NormalWeb"/>
              <w:ind w:left="360"/>
              <w:rPr>
                <w:b/>
                <w:bCs/>
              </w:rPr>
            </w:pPr>
            <w:r w:rsidRPr="0063646E">
              <w:rPr>
                <w:b/>
                <w:bCs/>
              </w:rPr>
              <w:t>Strengths</w:t>
            </w:r>
          </w:p>
        </w:tc>
        <w:tc>
          <w:tcPr>
            <w:tcW w:w="0" w:type="auto"/>
            <w:vAlign w:val="center"/>
            <w:hideMark/>
          </w:tcPr>
          <w:p w14:paraId="22620921" w14:textId="77777777" w:rsidR="0063646E" w:rsidRPr="0063646E" w:rsidRDefault="0063646E" w:rsidP="0063646E">
            <w:pPr>
              <w:pStyle w:val="NormalWeb"/>
              <w:ind w:left="360"/>
              <w:rPr>
                <w:b/>
                <w:bCs/>
              </w:rPr>
            </w:pPr>
            <w:r w:rsidRPr="0063646E">
              <w:rPr>
                <w:b/>
                <w:bCs/>
              </w:rPr>
              <w:t>Limitations</w:t>
            </w:r>
          </w:p>
        </w:tc>
        <w:tc>
          <w:tcPr>
            <w:tcW w:w="0" w:type="auto"/>
            <w:vAlign w:val="center"/>
            <w:hideMark/>
          </w:tcPr>
          <w:p w14:paraId="2604F4E2" w14:textId="77777777" w:rsidR="0063646E" w:rsidRPr="0063646E" w:rsidRDefault="0063646E" w:rsidP="0063646E">
            <w:pPr>
              <w:pStyle w:val="NormalWeb"/>
              <w:ind w:left="360"/>
              <w:rPr>
                <w:b/>
                <w:bCs/>
              </w:rPr>
            </w:pPr>
            <w:r w:rsidRPr="0063646E">
              <w:rPr>
                <w:b/>
                <w:bCs/>
              </w:rPr>
              <w:t>Suitability for Nissan</w:t>
            </w:r>
          </w:p>
        </w:tc>
      </w:tr>
      <w:tr w:rsidR="0063646E" w:rsidRPr="0063646E" w14:paraId="472C5D60" w14:textId="77777777" w:rsidTr="0063646E">
        <w:trPr>
          <w:tblCellSpacing w:w="15" w:type="dxa"/>
          <w:jc w:val="center"/>
        </w:trPr>
        <w:tc>
          <w:tcPr>
            <w:tcW w:w="0" w:type="auto"/>
            <w:vAlign w:val="center"/>
            <w:hideMark/>
          </w:tcPr>
          <w:p w14:paraId="72CEFE1B" w14:textId="77777777" w:rsidR="0063646E" w:rsidRPr="0063646E" w:rsidRDefault="0063646E" w:rsidP="0063646E">
            <w:pPr>
              <w:pStyle w:val="NormalWeb"/>
              <w:ind w:left="360"/>
            </w:pPr>
            <w:r w:rsidRPr="0063646E">
              <w:rPr>
                <w:b/>
                <w:bCs/>
              </w:rPr>
              <w:t>Lewin</w:t>
            </w:r>
          </w:p>
        </w:tc>
        <w:tc>
          <w:tcPr>
            <w:tcW w:w="0" w:type="auto"/>
            <w:vAlign w:val="center"/>
            <w:hideMark/>
          </w:tcPr>
          <w:p w14:paraId="09F7541D" w14:textId="77777777" w:rsidR="0063646E" w:rsidRPr="0063646E" w:rsidRDefault="0063646E" w:rsidP="0063646E">
            <w:pPr>
              <w:pStyle w:val="NormalWeb"/>
              <w:ind w:left="360"/>
            </w:pPr>
            <w:r w:rsidRPr="0063646E">
              <w:t>Simple and easy to understand</w:t>
            </w:r>
          </w:p>
        </w:tc>
        <w:tc>
          <w:tcPr>
            <w:tcW w:w="0" w:type="auto"/>
            <w:vAlign w:val="center"/>
            <w:hideMark/>
          </w:tcPr>
          <w:p w14:paraId="70628B36" w14:textId="77777777" w:rsidR="0063646E" w:rsidRPr="0063646E" w:rsidRDefault="0063646E" w:rsidP="0063646E">
            <w:pPr>
              <w:pStyle w:val="NormalWeb"/>
              <w:ind w:left="360"/>
            </w:pPr>
            <w:r w:rsidRPr="0063646E">
              <w:t>Linear and less flexible</w:t>
            </w:r>
          </w:p>
        </w:tc>
        <w:tc>
          <w:tcPr>
            <w:tcW w:w="0" w:type="auto"/>
            <w:vAlign w:val="center"/>
            <w:hideMark/>
          </w:tcPr>
          <w:p w14:paraId="0F839D0B" w14:textId="77777777" w:rsidR="0063646E" w:rsidRPr="0063646E" w:rsidRDefault="0063646E" w:rsidP="0063646E">
            <w:pPr>
              <w:pStyle w:val="NormalWeb"/>
              <w:ind w:left="360"/>
            </w:pPr>
            <w:r w:rsidRPr="0063646E">
              <w:t>Moderate</w:t>
            </w:r>
          </w:p>
        </w:tc>
      </w:tr>
      <w:tr w:rsidR="0063646E" w:rsidRPr="0063646E" w14:paraId="45D83563" w14:textId="77777777" w:rsidTr="0063646E">
        <w:trPr>
          <w:tblCellSpacing w:w="15" w:type="dxa"/>
          <w:jc w:val="center"/>
        </w:trPr>
        <w:tc>
          <w:tcPr>
            <w:tcW w:w="0" w:type="auto"/>
            <w:vAlign w:val="center"/>
            <w:hideMark/>
          </w:tcPr>
          <w:p w14:paraId="0C07166D" w14:textId="77777777" w:rsidR="0063646E" w:rsidRPr="0063646E" w:rsidRDefault="0063646E" w:rsidP="0063646E">
            <w:pPr>
              <w:pStyle w:val="NormalWeb"/>
              <w:ind w:left="360"/>
            </w:pPr>
            <w:r w:rsidRPr="0063646E">
              <w:rPr>
                <w:b/>
                <w:bCs/>
              </w:rPr>
              <w:t>Kotter</w:t>
            </w:r>
          </w:p>
        </w:tc>
        <w:tc>
          <w:tcPr>
            <w:tcW w:w="0" w:type="auto"/>
            <w:vAlign w:val="center"/>
            <w:hideMark/>
          </w:tcPr>
          <w:p w14:paraId="06F41251" w14:textId="77777777" w:rsidR="0063646E" w:rsidRPr="0063646E" w:rsidRDefault="0063646E" w:rsidP="0063646E">
            <w:pPr>
              <w:pStyle w:val="NormalWeb"/>
              <w:ind w:left="360"/>
            </w:pPr>
            <w:r w:rsidRPr="0063646E">
              <w:t>Strong leadership and implementation process</w:t>
            </w:r>
          </w:p>
        </w:tc>
        <w:tc>
          <w:tcPr>
            <w:tcW w:w="0" w:type="auto"/>
            <w:vAlign w:val="center"/>
            <w:hideMark/>
          </w:tcPr>
          <w:p w14:paraId="5C6F622D" w14:textId="77777777" w:rsidR="0063646E" w:rsidRPr="0063646E" w:rsidRDefault="0063646E" w:rsidP="0063646E">
            <w:pPr>
              <w:pStyle w:val="NormalWeb"/>
              <w:ind w:left="360"/>
            </w:pPr>
            <w:r w:rsidRPr="0063646E">
              <w:t>Time intensive</w:t>
            </w:r>
          </w:p>
        </w:tc>
        <w:tc>
          <w:tcPr>
            <w:tcW w:w="0" w:type="auto"/>
            <w:vAlign w:val="center"/>
            <w:hideMark/>
          </w:tcPr>
          <w:p w14:paraId="38162D64" w14:textId="77777777" w:rsidR="0063646E" w:rsidRPr="0063646E" w:rsidRDefault="0063646E" w:rsidP="0063646E">
            <w:pPr>
              <w:pStyle w:val="NormalWeb"/>
              <w:ind w:left="360"/>
            </w:pPr>
            <w:r w:rsidRPr="0063646E">
              <w:rPr>
                <w:b/>
                <w:bCs/>
              </w:rPr>
              <w:t>Very High</w:t>
            </w:r>
          </w:p>
        </w:tc>
      </w:tr>
      <w:tr w:rsidR="0063646E" w:rsidRPr="0063646E" w14:paraId="3C84E50C" w14:textId="77777777" w:rsidTr="0063646E">
        <w:trPr>
          <w:tblCellSpacing w:w="15" w:type="dxa"/>
          <w:jc w:val="center"/>
        </w:trPr>
        <w:tc>
          <w:tcPr>
            <w:tcW w:w="0" w:type="auto"/>
            <w:vAlign w:val="center"/>
            <w:hideMark/>
          </w:tcPr>
          <w:p w14:paraId="1284EB90" w14:textId="77777777" w:rsidR="0063646E" w:rsidRPr="0063646E" w:rsidRDefault="0063646E" w:rsidP="0063646E">
            <w:pPr>
              <w:pStyle w:val="NormalWeb"/>
              <w:ind w:left="360"/>
            </w:pPr>
            <w:r w:rsidRPr="0063646E">
              <w:rPr>
                <w:b/>
                <w:bCs/>
              </w:rPr>
              <w:t>McKinsey 7-S</w:t>
            </w:r>
          </w:p>
        </w:tc>
        <w:tc>
          <w:tcPr>
            <w:tcW w:w="0" w:type="auto"/>
            <w:vAlign w:val="center"/>
            <w:hideMark/>
          </w:tcPr>
          <w:p w14:paraId="104DA990" w14:textId="77777777" w:rsidR="0063646E" w:rsidRPr="0063646E" w:rsidRDefault="0063646E" w:rsidP="0063646E">
            <w:pPr>
              <w:pStyle w:val="NormalWeb"/>
              <w:ind w:left="360"/>
            </w:pPr>
            <w:r w:rsidRPr="0063646E">
              <w:t>Excellent organisational alignment</w:t>
            </w:r>
          </w:p>
        </w:tc>
        <w:tc>
          <w:tcPr>
            <w:tcW w:w="0" w:type="auto"/>
            <w:vAlign w:val="center"/>
            <w:hideMark/>
          </w:tcPr>
          <w:p w14:paraId="0E6EC046" w14:textId="77777777" w:rsidR="0063646E" w:rsidRPr="0063646E" w:rsidRDefault="0063646E" w:rsidP="0063646E">
            <w:pPr>
              <w:pStyle w:val="NormalWeb"/>
              <w:ind w:left="360"/>
            </w:pPr>
            <w:r w:rsidRPr="0063646E">
              <w:t>Limited implementation guidance</w:t>
            </w:r>
          </w:p>
        </w:tc>
        <w:tc>
          <w:tcPr>
            <w:tcW w:w="0" w:type="auto"/>
            <w:vAlign w:val="center"/>
            <w:hideMark/>
          </w:tcPr>
          <w:p w14:paraId="49D2F16E" w14:textId="77777777" w:rsidR="0063646E" w:rsidRPr="0063646E" w:rsidRDefault="0063646E" w:rsidP="0063646E">
            <w:pPr>
              <w:pStyle w:val="NormalWeb"/>
              <w:ind w:left="360"/>
            </w:pPr>
            <w:r w:rsidRPr="0063646E">
              <w:t>High</w:t>
            </w:r>
          </w:p>
        </w:tc>
      </w:tr>
      <w:tr w:rsidR="0063646E" w:rsidRPr="0063646E" w14:paraId="2B424FFC" w14:textId="77777777" w:rsidTr="0063646E">
        <w:trPr>
          <w:tblCellSpacing w:w="15" w:type="dxa"/>
          <w:jc w:val="center"/>
        </w:trPr>
        <w:tc>
          <w:tcPr>
            <w:tcW w:w="0" w:type="auto"/>
            <w:vAlign w:val="center"/>
            <w:hideMark/>
          </w:tcPr>
          <w:p w14:paraId="5153E044" w14:textId="77777777" w:rsidR="0063646E" w:rsidRPr="0063646E" w:rsidRDefault="0063646E" w:rsidP="0063646E">
            <w:pPr>
              <w:pStyle w:val="NormalWeb"/>
              <w:ind w:left="360"/>
            </w:pPr>
            <w:r w:rsidRPr="0063646E">
              <w:rPr>
                <w:b/>
                <w:bCs/>
              </w:rPr>
              <w:t>ADKAR</w:t>
            </w:r>
          </w:p>
        </w:tc>
        <w:tc>
          <w:tcPr>
            <w:tcW w:w="0" w:type="auto"/>
            <w:vAlign w:val="center"/>
            <w:hideMark/>
          </w:tcPr>
          <w:p w14:paraId="19CF618E" w14:textId="77777777" w:rsidR="0063646E" w:rsidRPr="0063646E" w:rsidRDefault="0063646E" w:rsidP="0063646E">
            <w:pPr>
              <w:pStyle w:val="NormalWeb"/>
              <w:ind w:left="360"/>
            </w:pPr>
            <w:r w:rsidRPr="0063646E">
              <w:t>Strong employee engagement and capability development</w:t>
            </w:r>
          </w:p>
        </w:tc>
        <w:tc>
          <w:tcPr>
            <w:tcW w:w="0" w:type="auto"/>
            <w:vAlign w:val="center"/>
            <w:hideMark/>
          </w:tcPr>
          <w:p w14:paraId="43DE37B0" w14:textId="77777777" w:rsidR="0063646E" w:rsidRPr="0063646E" w:rsidRDefault="0063646E" w:rsidP="0063646E">
            <w:pPr>
              <w:pStyle w:val="NormalWeb"/>
              <w:ind w:left="360"/>
            </w:pPr>
            <w:r w:rsidRPr="0063646E">
              <w:t>Focuses primarily on individuals</w:t>
            </w:r>
          </w:p>
        </w:tc>
        <w:tc>
          <w:tcPr>
            <w:tcW w:w="0" w:type="auto"/>
            <w:vAlign w:val="center"/>
            <w:hideMark/>
          </w:tcPr>
          <w:p w14:paraId="3F0B3022" w14:textId="77777777" w:rsidR="0063646E" w:rsidRPr="0063646E" w:rsidRDefault="0063646E" w:rsidP="0063646E">
            <w:pPr>
              <w:pStyle w:val="NormalWeb"/>
              <w:ind w:left="360"/>
            </w:pPr>
            <w:r w:rsidRPr="0063646E">
              <w:t>High</w:t>
            </w:r>
          </w:p>
        </w:tc>
      </w:tr>
    </w:tbl>
    <w:p w14:paraId="3C290FBC" w14:textId="6A0C3982" w:rsidR="0063646E" w:rsidRDefault="0063646E" w:rsidP="0063646E">
      <w:pPr>
        <w:pStyle w:val="NormalWeb"/>
        <w:ind w:left="360"/>
        <w:jc w:val="center"/>
      </w:pPr>
      <w:r w:rsidRPr="0063646E">
        <w:t>Table 3.1 Comparison of Change Management Models</w:t>
      </w:r>
    </w:p>
    <w:p w14:paraId="0D997EAF" w14:textId="77777777" w:rsidR="0063646E" w:rsidRPr="0063646E" w:rsidRDefault="0063646E" w:rsidP="0063646E">
      <w:pPr>
        <w:pStyle w:val="NormalWeb"/>
        <w:ind w:left="360"/>
      </w:pPr>
      <w:r w:rsidRPr="0063646E">
        <w:t>This comparative analysis shows that every framework brings individual strengths to organisational change. Conceptual simplicity from Lewin, organisational alignment from McKinsey and reinforcement of workforce adoption from ADKAR. The good thing is how Kotter's model provides the most holistic implementation framework by factoring leadership, communication, stakeholder management and cultural change along with continuous improvement.</w:t>
      </w:r>
    </w:p>
    <w:p w14:paraId="549DBB97" w14:textId="77777777" w:rsidR="0063646E" w:rsidRPr="0063646E" w:rsidRDefault="0063646E" w:rsidP="0063646E">
      <w:pPr>
        <w:pStyle w:val="NormalWeb"/>
        <w:ind w:left="360"/>
      </w:pPr>
      <w:r w:rsidRPr="0063646E">
        <w:t>3.7 Recommended Change Management Framework</w:t>
      </w:r>
    </w:p>
    <w:p w14:paraId="42327CA7" w14:textId="77777777" w:rsidR="0063646E" w:rsidRPr="0063646E" w:rsidRDefault="0063646E" w:rsidP="0063646E">
      <w:pPr>
        <w:pStyle w:val="NormalWeb"/>
        <w:ind w:left="360"/>
      </w:pPr>
      <w:r w:rsidRPr="0063646E">
        <w:t>Kotter s 3 Eight-Step Change Model Kotters Eight Step Change Model is you r primary change model which, based on the brief organizational analysis of Nissan Sunderland's transition towards an AI enabled EV ecosystem that you illustrated in step no from a single organization to non-linear organizations. The model therefore effectively supports strategic leadership, employee engagement, organisational communication and long-term cultural transformation as well as offers a detailed roadmap for implementing large-scale digital change (</w:t>
      </w:r>
      <w:r w:rsidRPr="00A42FED">
        <w:rPr>
          <w:i/>
          <w:iCs/>
        </w:rPr>
        <w:t>Kotter, 2022).</w:t>
      </w:r>
    </w:p>
    <w:p w14:paraId="25E4E29E" w14:textId="77777777" w:rsidR="0063646E" w:rsidRPr="0063646E" w:rsidRDefault="0063646E" w:rsidP="0063646E">
      <w:pPr>
        <w:pStyle w:val="NormalWeb"/>
        <w:ind w:left="360"/>
      </w:pPr>
      <w:r w:rsidRPr="0063646E">
        <w:t>However, the optimal approach melds Kotter's implementation framework with synergistic elements from the McKinsey 7-S Framework and ADKAR Model. McKinsey keeps organisational strategy, systems and leadership and workforce capability aligned with ADKAR driving individual behavioural change through continuous learning and employee engagement. Such a holistic approach will allow Nissan Sunderland to roll out the benefits of Artificial Intelligence (AI) at scale, while creating organisational resilience, increasing operational efficiency and ensuring long-term competitive advantage. Pairing these frameworks together will make the Sunderland Plant a leader in intelligent, sustainable and digitally connected electric vehicle manufacturing across Europe (</w:t>
      </w:r>
      <w:r w:rsidRPr="00A42FED">
        <w:rPr>
          <w:i/>
          <w:iCs/>
        </w:rPr>
        <w:t>Advanced Propulsion Centre UK, 2025; World Economic Forum, 2025; Nissan Motor Corporation, 2025).</w:t>
      </w:r>
    </w:p>
    <w:p w14:paraId="4FB52787" w14:textId="77777777" w:rsidR="0063646E" w:rsidRDefault="0063646E" w:rsidP="001335F7">
      <w:pPr>
        <w:pStyle w:val="NormalWeb"/>
      </w:pPr>
    </w:p>
    <w:p w14:paraId="0DFDECC4" w14:textId="77777777" w:rsidR="00A42FED" w:rsidRDefault="00A42FED" w:rsidP="001335F7">
      <w:pPr>
        <w:pStyle w:val="NormalWeb"/>
      </w:pPr>
    </w:p>
    <w:p w14:paraId="42F75561" w14:textId="77777777" w:rsidR="00A42FED" w:rsidRDefault="00A42FED" w:rsidP="001335F7">
      <w:pPr>
        <w:pStyle w:val="NormalWeb"/>
      </w:pPr>
    </w:p>
    <w:p w14:paraId="232F5A95" w14:textId="77777777" w:rsidR="00A42FED" w:rsidRDefault="00A42FED" w:rsidP="001335F7">
      <w:pPr>
        <w:pStyle w:val="NormalWeb"/>
      </w:pPr>
    </w:p>
    <w:p w14:paraId="5D112AC9" w14:textId="77777777" w:rsidR="00A42FED" w:rsidRDefault="00A42FED" w:rsidP="001335F7">
      <w:pPr>
        <w:pStyle w:val="NormalWeb"/>
      </w:pPr>
    </w:p>
    <w:p w14:paraId="148CAEB7" w14:textId="77777777" w:rsidR="00A0515C" w:rsidRDefault="00A0515C" w:rsidP="001335F7">
      <w:pPr>
        <w:pStyle w:val="NormalWeb"/>
      </w:pPr>
    </w:p>
    <w:p w14:paraId="21C5D90A" w14:textId="3DAD1410" w:rsidR="001335F7" w:rsidRPr="00A42FED" w:rsidRDefault="001335F7" w:rsidP="00C8064B">
      <w:pPr>
        <w:pStyle w:val="NormalWeb"/>
        <w:numPr>
          <w:ilvl w:val="0"/>
          <w:numId w:val="1"/>
        </w:numPr>
        <w:outlineLvl w:val="0"/>
        <w:rPr>
          <w:b/>
          <w:bCs/>
          <w:color w:val="7030A0"/>
          <w:sz w:val="28"/>
          <w:szCs w:val="28"/>
        </w:rPr>
      </w:pPr>
      <w:bookmarkStart w:id="4" w:name="_Toc234054494"/>
      <w:r w:rsidRPr="00A42FED">
        <w:rPr>
          <w:b/>
          <w:bCs/>
          <w:color w:val="7030A0"/>
          <w:sz w:val="28"/>
          <w:szCs w:val="28"/>
        </w:rPr>
        <w:t>Leadership &amp; Organisational Culture</w:t>
      </w:r>
      <w:bookmarkEnd w:id="4"/>
    </w:p>
    <w:p w14:paraId="7AD5B605" w14:textId="6E7D4EBD" w:rsidR="0063646E" w:rsidRDefault="0063646E" w:rsidP="0063646E">
      <w:pPr>
        <w:pStyle w:val="NormalWeb"/>
        <w:ind w:left="360"/>
      </w:pPr>
      <w:r>
        <w:t>The transition of the Nissan Sunderland Plant to a smart, AI-enabled EV ecosystem will require investment in technology and the ability also to act as an intelligent organisation; both strong leadership and flexible culture. There is a wealth of research evidence showing, time and again, that around 70% of digital transformation efforts fail because organisations prioritise technology at the cost of leadership capability, employee engagement and cultural change (</w:t>
      </w:r>
      <w:r w:rsidRPr="00A42FED">
        <w:rPr>
          <w:i/>
          <w:iCs/>
        </w:rPr>
        <w:t>Kotter, 2022; Deloitte, 2025</w:t>
      </w:r>
      <w:r>
        <w:t>). From employee roles to interdepartmental collaboration, the AI-enabled manufacturing approach can disassemble and restructure several aspects of organisational processes and decision-making. As a result, leaders need to devise a clear strategic vision, inspire innovation, control organisational inertia and develop an environment for ongoing learning and digital transformation. Consequently, leadership and organisational culture are two of Nissan Sunderland's key success factors for a sustainable organisational change.</w:t>
      </w:r>
    </w:p>
    <w:p w14:paraId="0BBA6D0F" w14:textId="0752725F" w:rsidR="0063646E" w:rsidRDefault="0063646E" w:rsidP="0063646E">
      <w:pPr>
        <w:pStyle w:val="NormalWeb"/>
        <w:ind w:left="360"/>
      </w:pPr>
      <w:r w:rsidRPr="0063646E">
        <w:t>4.1 Transformational Leadership for Digital Transformation</w:t>
      </w:r>
    </w:p>
    <w:p w14:paraId="22A24D9C" w14:textId="67E1FF39" w:rsidR="0063646E" w:rsidRDefault="0063646E" w:rsidP="0063646E">
      <w:pPr>
        <w:pStyle w:val="NormalWeb"/>
        <w:ind w:left="360"/>
        <w:jc w:val="center"/>
      </w:pPr>
      <w:r>
        <w:rPr>
          <w:noProof/>
        </w:rPr>
        <w:drawing>
          <wp:inline distT="0" distB="0" distL="0" distR="0" wp14:anchorId="0BD63D0F" wp14:editId="70FE43F0">
            <wp:extent cx="4629406" cy="3086100"/>
            <wp:effectExtent l="0" t="0" r="0" b="0"/>
            <wp:docPr id="2143917459" name="Picture 8" descr="Transformational Leadership Google Slide Template | Nulivo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ransformational Leadership Google Slide Template | Nulivo Marke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32408" cy="3088101"/>
                    </a:xfrm>
                    <a:prstGeom prst="rect">
                      <a:avLst/>
                    </a:prstGeom>
                    <a:noFill/>
                    <a:ln>
                      <a:noFill/>
                    </a:ln>
                  </pic:spPr>
                </pic:pic>
              </a:graphicData>
            </a:graphic>
          </wp:inline>
        </w:drawing>
      </w:r>
    </w:p>
    <w:p w14:paraId="2BECC64B" w14:textId="6CB1FEB3" w:rsidR="0063646E" w:rsidRDefault="0063646E" w:rsidP="0063646E">
      <w:pPr>
        <w:pStyle w:val="NormalWeb"/>
        <w:ind w:left="360"/>
        <w:jc w:val="center"/>
      </w:pPr>
      <w:r w:rsidRPr="0063646E">
        <w:t xml:space="preserve">Figure </w:t>
      </w:r>
      <w:r>
        <w:t>6</w:t>
      </w:r>
      <w:r w:rsidRPr="0063646E">
        <w:t>. Transformational Leadership Framework</w:t>
      </w:r>
    </w:p>
    <w:p w14:paraId="48F83696" w14:textId="77777777" w:rsidR="004E7DFF" w:rsidRPr="004E7DFF" w:rsidRDefault="004E7DFF" w:rsidP="004E7DFF">
      <w:pPr>
        <w:pStyle w:val="NormalWeb"/>
        <w:ind w:left="360"/>
      </w:pPr>
      <w:r w:rsidRPr="004E7DFF">
        <w:t>Transformational leadership is the most appropriate type of leading in large-scale technological and organisational transformation [1]. Transformational leadership, in contrast to transactional leadership, uses an engaged organisational vision based on innovation and the ability of individuals to work towards shared goals that support strategic objectives (</w:t>
      </w:r>
      <w:r w:rsidRPr="00A42FED">
        <w:rPr>
          <w:i/>
          <w:iCs/>
        </w:rPr>
        <w:t>Bass and Riggio 2006; Northouse 2022).</w:t>
      </w:r>
    </w:p>
    <w:p w14:paraId="7552F5B3" w14:textId="77777777" w:rsidR="004E7DFF" w:rsidRPr="004E7DFF" w:rsidRDefault="004E7DFF" w:rsidP="004E7DFF">
      <w:pPr>
        <w:pStyle w:val="NormalWeb"/>
        <w:ind w:left="360"/>
      </w:pPr>
      <w:r w:rsidRPr="004E7DFF">
        <w:t>Nissan Sunderland Excepted transformational leaders would require articulation of a clear vision: to be the most capable large-scale AI-enabled electric vehicle manufacturing facility in Europe and ensure that employees understand how Nissan Sunderland feets into the organisations overall strategy to embrace AI adoption. Instead of seeing artificial intelligence as a automation for human labour, the leadership should have phrases on how intelligent technologies can advance employees expertise through safer workplaces, reduction of repetitive activities and supporting data based decision making. Leadership must foster across-business collaboration between Engineering, Manufacturing, Information Technology and Supply Chain functions to drive innovation faster while also leveraging employees in the transformation effort.</w:t>
      </w:r>
    </w:p>
    <w:p w14:paraId="24C0F733" w14:textId="77777777" w:rsidR="0063646E" w:rsidRDefault="0063646E" w:rsidP="0063646E">
      <w:pPr>
        <w:pStyle w:val="NormalWeb"/>
        <w:ind w:left="360"/>
      </w:pPr>
    </w:p>
    <w:p w14:paraId="52F027B9" w14:textId="22DADE4F" w:rsidR="004E7DFF" w:rsidRDefault="004E7DFF" w:rsidP="0063646E">
      <w:pPr>
        <w:pStyle w:val="NormalWeb"/>
        <w:ind w:left="360"/>
      </w:pPr>
      <w:r w:rsidRPr="004E7DFF">
        <w:t>4.2 Digital Leadership and Innovation Capability</w:t>
      </w:r>
    </w:p>
    <w:p w14:paraId="011E7A66" w14:textId="396A0767" w:rsidR="004E7DFF" w:rsidRDefault="004E7DFF" w:rsidP="0063646E">
      <w:pPr>
        <w:pStyle w:val="NormalWeb"/>
        <w:ind w:left="360"/>
      </w:pPr>
      <w:r>
        <w:rPr>
          <w:noProof/>
        </w:rPr>
        <w:drawing>
          <wp:inline distT="0" distB="0" distL="0" distR="0" wp14:anchorId="0DDD5C92" wp14:editId="6AA952C3">
            <wp:extent cx="5731510" cy="3582035"/>
            <wp:effectExtent l="0" t="0" r="2540" b="0"/>
            <wp:docPr id="415556582" name="Picture 9" descr="Assembling AI transformation in manufacturing - Capgemini In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ssembling AI transformation in manufacturing - Capgemini Inven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3B63AC0D" w14:textId="21F76270" w:rsidR="004E7DFF" w:rsidRDefault="004E7DFF" w:rsidP="004E7DFF">
      <w:pPr>
        <w:pStyle w:val="NormalWeb"/>
        <w:ind w:left="360"/>
        <w:jc w:val="center"/>
      </w:pPr>
      <w:r w:rsidRPr="004E7DFF">
        <w:t xml:space="preserve">Figure </w:t>
      </w:r>
      <w:r>
        <w:t>7</w:t>
      </w:r>
      <w:r w:rsidRPr="004E7DFF">
        <w:t>. Digital Leadership in Smart Manufacturing</w:t>
      </w:r>
    </w:p>
    <w:p w14:paraId="399BC8F2" w14:textId="77777777" w:rsidR="00A0515C" w:rsidRDefault="004E7DFF" w:rsidP="004E7DFF">
      <w:pPr>
        <w:pStyle w:val="NormalWeb"/>
        <w:ind w:left="360"/>
        <w:rPr>
          <w:i/>
          <w:iCs/>
        </w:rPr>
      </w:pPr>
      <w:r w:rsidRPr="004E7DFF">
        <w:t>Obviously alongside transformational leadership, Nissan Sunderland needs data and digital Leaders to help embody the balance of technological advancement inherent in Industry 4.0 with humanistic innovation such as will be found within many of the key tenants established through de facto generation definitions associated with Industry 5.0 attributes into their manufacturing operations. Digital leaders have blended the strategic and the technological — They help organisations turn operational data into a competitive advantage using artificial intelligence, cloud computing, digital twins and intelligent automation (</w:t>
      </w:r>
      <w:r w:rsidRPr="00A42FED">
        <w:rPr>
          <w:i/>
          <w:iCs/>
        </w:rPr>
        <w:t>Westerman et al., 2014).</w:t>
      </w:r>
    </w:p>
    <w:p w14:paraId="43711ED6" w14:textId="59B34E47" w:rsidR="004E7DFF" w:rsidRPr="00A0515C" w:rsidRDefault="00A0515C" w:rsidP="004E7DFF">
      <w:pPr>
        <w:pStyle w:val="NormalWeb"/>
        <w:ind w:left="360"/>
      </w:pPr>
      <w:r w:rsidRPr="00A0515C">
        <w:t>At Nissan Sunderland, digital leaders should organise multidisciplinary innovation teams of production engineers, software developers, AI specialists, maintenance technicians and supply chain managers</w:t>
      </w:r>
    </w:p>
    <w:p w14:paraId="3A812338" w14:textId="77777777" w:rsidR="00A0515C" w:rsidRDefault="00A0515C" w:rsidP="004E7DFF">
      <w:pPr>
        <w:pStyle w:val="NormalWeb"/>
        <w:ind w:left="360"/>
      </w:pPr>
    </w:p>
    <w:p w14:paraId="7C016054" w14:textId="77777777" w:rsidR="00A0515C" w:rsidRDefault="00A0515C" w:rsidP="004E7DFF">
      <w:pPr>
        <w:pStyle w:val="NormalWeb"/>
        <w:ind w:left="360"/>
      </w:pPr>
    </w:p>
    <w:p w14:paraId="6F2F644E" w14:textId="77777777" w:rsidR="00CC5C25" w:rsidRDefault="00CC5C25" w:rsidP="004E7DFF">
      <w:pPr>
        <w:pStyle w:val="NormalWeb"/>
        <w:ind w:left="360"/>
      </w:pPr>
    </w:p>
    <w:p w14:paraId="45986EF5" w14:textId="0730F3B0" w:rsidR="004E7DFF" w:rsidRDefault="004E7DFF" w:rsidP="004E7DFF">
      <w:pPr>
        <w:pStyle w:val="NormalWeb"/>
        <w:ind w:left="360"/>
      </w:pPr>
      <w:r w:rsidRPr="004E7DFF">
        <w:t>4.3 Organisational Culture</w:t>
      </w:r>
    </w:p>
    <w:p w14:paraId="1E79048D" w14:textId="5C95D050" w:rsidR="004E7DFF" w:rsidRDefault="004E7DFF" w:rsidP="004E7DFF">
      <w:pPr>
        <w:pStyle w:val="NormalWeb"/>
        <w:ind w:left="360"/>
      </w:pPr>
      <w:r>
        <w:rPr>
          <w:noProof/>
        </w:rPr>
        <w:drawing>
          <wp:inline distT="0" distB="0" distL="0" distR="0" wp14:anchorId="338A6D6E" wp14:editId="043D0C0D">
            <wp:extent cx="5731510" cy="3223895"/>
            <wp:effectExtent l="0" t="0" r="2540" b="0"/>
            <wp:docPr id="48124376" name="Picture 10" descr="Schein’s Organizational Culture Model PowerPoint Template - SlideSalad | Powerpoint templates, Organizational,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chein’s Organizational Culture Model PowerPoint Template - SlideSalad | Powerpoint templates, Organizational, Powerpoi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71161F8" w14:textId="475A2CD3" w:rsidR="004E7DFF" w:rsidRDefault="004E7DFF" w:rsidP="004E7DFF">
      <w:pPr>
        <w:pStyle w:val="NormalWeb"/>
        <w:ind w:left="360"/>
        <w:jc w:val="center"/>
      </w:pPr>
      <w:r w:rsidRPr="004E7DFF">
        <w:t xml:space="preserve">Figure </w:t>
      </w:r>
      <w:r>
        <w:t>8</w:t>
      </w:r>
      <w:r w:rsidRPr="004E7DFF">
        <w:t>. Schein's Three Levels of Organisational Cultur</w:t>
      </w:r>
      <w:r>
        <w:t>e</w:t>
      </w:r>
    </w:p>
    <w:p w14:paraId="0B8683B0" w14:textId="77777777" w:rsidR="004E7DFF" w:rsidRPr="004E7DFF" w:rsidRDefault="004E7DFF" w:rsidP="004E7DFF">
      <w:pPr>
        <w:pStyle w:val="pdq2pgselectionanchorcontainer"/>
        <w:ind w:left="360"/>
      </w:pPr>
      <w:r w:rsidRPr="004E7DFF">
        <w:t>The success of strategic transformation is equally determined by organisational culture. Schein and Schein (2021) argues that, the culture is made up by three distinct, yet interrelated levels—artefacts, espoused values and underlying assumptions —known as Schein's Organisational Culture Model.</w:t>
      </w:r>
    </w:p>
    <w:p w14:paraId="4276C0BE" w14:textId="77777777" w:rsidR="004E7DFF" w:rsidRPr="004E7DFF" w:rsidRDefault="004E7DFF" w:rsidP="004E7DFF">
      <w:pPr>
        <w:pStyle w:val="pdq2pgselectionanchorcontainer"/>
        <w:ind w:left="360"/>
      </w:pPr>
      <w:r w:rsidRPr="004E7DFF">
        <w:t>Organisational artefacts at Nissan Sunderland range from physical equipment and infrastructure such as lean manufacturing systems, robotics, and production technologies to structured operating procedures and quality management practices. The company has espoused values about operational excellence, continuous improvement, sustainability, innovation and customer satisfaction. Full AI implementation, on the other hand, calls for underlying adjustments to what employees assume about their adoption of technology and cooperation and organisational learning.</w:t>
      </w:r>
    </w:p>
    <w:p w14:paraId="44F5302E" w14:textId="08996C7B" w:rsidR="001335F7" w:rsidRDefault="004E7DFF" w:rsidP="0063646E">
      <w:pPr>
        <w:pStyle w:val="pdq2pgselectionanchorcontainer"/>
        <w:ind w:left="360"/>
      </w:pPr>
      <w:r w:rsidRPr="004E7DFF">
        <w:t>4.4 Employee Resistance and Stakeholder Engagement</w:t>
      </w:r>
    </w:p>
    <w:p w14:paraId="3B1EDDE8" w14:textId="77777777" w:rsidR="00542501" w:rsidRDefault="004E7DFF" w:rsidP="00542501">
      <w:pPr>
        <w:pStyle w:val="pdq2pgselectionanchorcontainer"/>
        <w:ind w:left="360"/>
      </w:pPr>
      <w:r>
        <w:rPr>
          <w:noProof/>
        </w:rPr>
        <w:drawing>
          <wp:inline distT="0" distB="0" distL="0" distR="0" wp14:anchorId="751D67B5" wp14:editId="0A3366E0">
            <wp:extent cx="3646714" cy="2051225"/>
            <wp:effectExtent l="0" t="0" r="0" b="0"/>
            <wp:docPr id="1477945858" name="Picture 11" descr="Change Communication | Strategies to Reduce Resis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hange Communication | Strategies to Reduce Resista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48186" cy="2052053"/>
                    </a:xfrm>
                    <a:prstGeom prst="rect">
                      <a:avLst/>
                    </a:prstGeom>
                    <a:noFill/>
                    <a:ln>
                      <a:noFill/>
                    </a:ln>
                  </pic:spPr>
                </pic:pic>
              </a:graphicData>
            </a:graphic>
          </wp:inline>
        </w:drawing>
      </w:r>
    </w:p>
    <w:p w14:paraId="4AC28740" w14:textId="4EE826A1" w:rsidR="004E7DFF" w:rsidRDefault="004E7DFF" w:rsidP="00542501">
      <w:pPr>
        <w:pStyle w:val="pdq2pgselectionanchorcontainer"/>
        <w:ind w:left="360"/>
      </w:pPr>
      <w:r w:rsidRPr="004E7DFF">
        <w:t xml:space="preserve">Figure </w:t>
      </w:r>
      <w:r>
        <w:t>8</w:t>
      </w:r>
      <w:r w:rsidRPr="004E7DFF">
        <w:t>. Managing Employee Resistance During Digital Transformation</w:t>
      </w:r>
    </w:p>
    <w:p w14:paraId="0000E85C" w14:textId="77777777" w:rsidR="004E7DFF" w:rsidRPr="004E7DFF" w:rsidRDefault="004E7DFF" w:rsidP="004E7DFF">
      <w:pPr>
        <w:pStyle w:val="pdq2pgselectionanchorcontainer"/>
        <w:ind w:left="360"/>
      </w:pPr>
      <w:r w:rsidRPr="004E7DFF">
        <w:t>One of the biggest barriers to success in any AI implementation yet is employee resistance, though because every technology transformation brings disruption and uncertainty about his job or responsibilities or future career opportunity. Despite numerous studies proving that In many cases, AI complements instead of replaces skilled workers (</w:t>
      </w:r>
      <w:r w:rsidRPr="00A42FED">
        <w:rPr>
          <w:i/>
          <w:iCs/>
        </w:rPr>
        <w:t>Prosci, 2024</w:t>
      </w:r>
      <w:r w:rsidRPr="004E7DFF">
        <w:t>), manufacturing employees may feel threatened by the advances of intelligent automation and robotics.</w:t>
      </w:r>
    </w:p>
    <w:p w14:paraId="3DDEB730" w14:textId="77777777" w:rsidR="004E7DFF" w:rsidRPr="004E7DFF" w:rsidRDefault="004E7DFF" w:rsidP="004E7DFF">
      <w:pPr>
        <w:pStyle w:val="pdq2pgselectionanchorcontainer"/>
        <w:ind w:left="360"/>
      </w:pPr>
      <w:r w:rsidRPr="004E7DFF">
        <w:t>Recognising and mitigating the risk of resistance Nissan Sunderland must develop inclusive stakeholder engagement plans across all phases of organisational change. Leadership workshops, employee feedback mechanism and digital skills training reduce ambiguity considerably while reinforcing commitment to the organisational vision.</w:t>
      </w:r>
    </w:p>
    <w:p w14:paraId="242674E6" w14:textId="74DC80AF" w:rsidR="004E7DFF" w:rsidRPr="004E7DFF" w:rsidRDefault="004E7DFF" w:rsidP="004E7DFF">
      <w:pPr>
        <w:pStyle w:val="pdq2pgselectionanchorcontainer"/>
        <w:ind w:left="360"/>
      </w:pPr>
      <w:r w:rsidRPr="004E7DFF">
        <w:t xml:space="preserve">The Digital Manufacturing Academy should also serve as a tool for ongoing development by focusing on skills in areas such as artificial intelligence, robotics, cybersecurity, cloud manufacturing and predictive analytics. </w:t>
      </w:r>
    </w:p>
    <w:p w14:paraId="35033AF5" w14:textId="77777777" w:rsidR="004E7DFF" w:rsidRDefault="004E7DFF" w:rsidP="004E7DFF">
      <w:pPr>
        <w:pStyle w:val="pdq2pgselectionanchorcontainer"/>
        <w:ind w:left="360"/>
      </w:pPr>
    </w:p>
    <w:p w14:paraId="1A965BEF" w14:textId="77777777" w:rsidR="004E7DFF" w:rsidRDefault="004E7DFF" w:rsidP="004E7DFF">
      <w:pPr>
        <w:pStyle w:val="pdq2pgselectionanchorcontainer"/>
        <w:ind w:left="360"/>
      </w:pPr>
    </w:p>
    <w:p w14:paraId="6961727F" w14:textId="57F985FF" w:rsidR="004E7DFF" w:rsidRDefault="004E7DFF" w:rsidP="004E7DFF">
      <w:pPr>
        <w:pStyle w:val="pdq2pgselectionanchorcontainer"/>
        <w:ind w:left="360"/>
      </w:pPr>
      <w:r w:rsidRPr="004E7DFF">
        <w:t>4.5 Leadership and Culture Alignment</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99"/>
        <w:gridCol w:w="3137"/>
        <w:gridCol w:w="3080"/>
      </w:tblGrid>
      <w:tr w:rsidR="004E7DFF" w:rsidRPr="004E7DFF" w14:paraId="4336BC76" w14:textId="77777777" w:rsidTr="004E7DFF">
        <w:trPr>
          <w:tblHeader/>
          <w:tblCellSpacing w:w="15" w:type="dxa"/>
          <w:jc w:val="center"/>
        </w:trPr>
        <w:tc>
          <w:tcPr>
            <w:tcW w:w="0" w:type="auto"/>
            <w:vAlign w:val="center"/>
            <w:hideMark/>
          </w:tcPr>
          <w:p w14:paraId="4676924B" w14:textId="77777777" w:rsidR="004E7DFF" w:rsidRPr="004E7DFF" w:rsidRDefault="004E7DFF" w:rsidP="004E7DFF">
            <w:pPr>
              <w:pStyle w:val="pdq2pgselectionanchorcontainer"/>
              <w:ind w:left="360"/>
              <w:rPr>
                <w:b/>
                <w:bCs/>
              </w:rPr>
            </w:pPr>
            <w:r w:rsidRPr="004E7DFF">
              <w:rPr>
                <w:b/>
                <w:bCs/>
              </w:rPr>
              <w:t>Strategic Area</w:t>
            </w:r>
          </w:p>
        </w:tc>
        <w:tc>
          <w:tcPr>
            <w:tcW w:w="0" w:type="auto"/>
            <w:vAlign w:val="center"/>
            <w:hideMark/>
          </w:tcPr>
          <w:p w14:paraId="4DD712A0" w14:textId="77777777" w:rsidR="004E7DFF" w:rsidRPr="004E7DFF" w:rsidRDefault="004E7DFF" w:rsidP="004E7DFF">
            <w:pPr>
              <w:pStyle w:val="pdq2pgselectionanchorcontainer"/>
              <w:ind w:left="360"/>
              <w:rPr>
                <w:b/>
                <w:bCs/>
              </w:rPr>
            </w:pPr>
            <w:r w:rsidRPr="004E7DFF">
              <w:rPr>
                <w:b/>
                <w:bCs/>
              </w:rPr>
              <w:t>Leadership Responsibility</w:t>
            </w:r>
          </w:p>
        </w:tc>
        <w:tc>
          <w:tcPr>
            <w:tcW w:w="0" w:type="auto"/>
            <w:vAlign w:val="center"/>
            <w:hideMark/>
          </w:tcPr>
          <w:p w14:paraId="4EF25F16" w14:textId="77777777" w:rsidR="004E7DFF" w:rsidRPr="004E7DFF" w:rsidRDefault="004E7DFF" w:rsidP="004E7DFF">
            <w:pPr>
              <w:pStyle w:val="pdq2pgselectionanchorcontainer"/>
              <w:ind w:left="360"/>
              <w:rPr>
                <w:b/>
                <w:bCs/>
              </w:rPr>
            </w:pPr>
            <w:r w:rsidRPr="004E7DFF">
              <w:rPr>
                <w:b/>
                <w:bCs/>
              </w:rPr>
              <w:t>Cultural Outcome</w:t>
            </w:r>
          </w:p>
        </w:tc>
      </w:tr>
      <w:tr w:rsidR="004E7DFF" w:rsidRPr="004E7DFF" w14:paraId="439E426B" w14:textId="77777777" w:rsidTr="004E7DFF">
        <w:trPr>
          <w:tblCellSpacing w:w="15" w:type="dxa"/>
          <w:jc w:val="center"/>
        </w:trPr>
        <w:tc>
          <w:tcPr>
            <w:tcW w:w="0" w:type="auto"/>
            <w:vAlign w:val="center"/>
            <w:hideMark/>
          </w:tcPr>
          <w:p w14:paraId="25E8E32B" w14:textId="77777777" w:rsidR="004E7DFF" w:rsidRPr="004E7DFF" w:rsidRDefault="004E7DFF" w:rsidP="004E7DFF">
            <w:pPr>
              <w:pStyle w:val="pdq2pgselectionanchorcontainer"/>
              <w:ind w:left="360"/>
            </w:pPr>
            <w:r w:rsidRPr="004E7DFF">
              <w:t>AI Implementation</w:t>
            </w:r>
          </w:p>
        </w:tc>
        <w:tc>
          <w:tcPr>
            <w:tcW w:w="0" w:type="auto"/>
            <w:vAlign w:val="center"/>
            <w:hideMark/>
          </w:tcPr>
          <w:p w14:paraId="725FBC77" w14:textId="77777777" w:rsidR="004E7DFF" w:rsidRPr="004E7DFF" w:rsidRDefault="004E7DFF" w:rsidP="004E7DFF">
            <w:pPr>
              <w:pStyle w:val="pdq2pgselectionanchorcontainer"/>
              <w:ind w:left="360"/>
            </w:pPr>
            <w:r w:rsidRPr="004E7DFF">
              <w:t>Inspire digital transformation</w:t>
            </w:r>
          </w:p>
        </w:tc>
        <w:tc>
          <w:tcPr>
            <w:tcW w:w="0" w:type="auto"/>
            <w:vAlign w:val="center"/>
            <w:hideMark/>
          </w:tcPr>
          <w:p w14:paraId="5DCE04E2" w14:textId="77777777" w:rsidR="004E7DFF" w:rsidRPr="004E7DFF" w:rsidRDefault="004E7DFF" w:rsidP="004E7DFF">
            <w:pPr>
              <w:pStyle w:val="pdq2pgselectionanchorcontainer"/>
              <w:ind w:left="360"/>
            </w:pPr>
            <w:r w:rsidRPr="004E7DFF">
              <w:t>Innovation culture</w:t>
            </w:r>
          </w:p>
        </w:tc>
      </w:tr>
      <w:tr w:rsidR="004E7DFF" w:rsidRPr="004E7DFF" w14:paraId="4B408826" w14:textId="77777777" w:rsidTr="004E7DFF">
        <w:trPr>
          <w:tblCellSpacing w:w="15" w:type="dxa"/>
          <w:jc w:val="center"/>
        </w:trPr>
        <w:tc>
          <w:tcPr>
            <w:tcW w:w="0" w:type="auto"/>
            <w:vAlign w:val="center"/>
            <w:hideMark/>
          </w:tcPr>
          <w:p w14:paraId="2966E76D" w14:textId="77777777" w:rsidR="004E7DFF" w:rsidRPr="004E7DFF" w:rsidRDefault="004E7DFF" w:rsidP="004E7DFF">
            <w:pPr>
              <w:pStyle w:val="pdq2pgselectionanchorcontainer"/>
              <w:ind w:left="360"/>
            </w:pPr>
            <w:r w:rsidRPr="004E7DFF">
              <w:t>Workforce Development</w:t>
            </w:r>
          </w:p>
        </w:tc>
        <w:tc>
          <w:tcPr>
            <w:tcW w:w="0" w:type="auto"/>
            <w:vAlign w:val="center"/>
            <w:hideMark/>
          </w:tcPr>
          <w:p w14:paraId="6BC9114B" w14:textId="77777777" w:rsidR="004E7DFF" w:rsidRPr="004E7DFF" w:rsidRDefault="004E7DFF" w:rsidP="004E7DFF">
            <w:pPr>
              <w:pStyle w:val="pdq2pgselectionanchorcontainer"/>
              <w:ind w:left="360"/>
            </w:pPr>
            <w:r w:rsidRPr="004E7DFF">
              <w:t>Invest in AI training</w:t>
            </w:r>
          </w:p>
        </w:tc>
        <w:tc>
          <w:tcPr>
            <w:tcW w:w="0" w:type="auto"/>
            <w:vAlign w:val="center"/>
            <w:hideMark/>
          </w:tcPr>
          <w:p w14:paraId="1BA95C24" w14:textId="77777777" w:rsidR="004E7DFF" w:rsidRPr="004E7DFF" w:rsidRDefault="004E7DFF" w:rsidP="004E7DFF">
            <w:pPr>
              <w:pStyle w:val="pdq2pgselectionanchorcontainer"/>
              <w:ind w:left="360"/>
            </w:pPr>
            <w:r w:rsidRPr="004E7DFF">
              <w:t>Continuous learning</w:t>
            </w:r>
          </w:p>
        </w:tc>
      </w:tr>
      <w:tr w:rsidR="004E7DFF" w:rsidRPr="004E7DFF" w14:paraId="6C3E0A56" w14:textId="77777777" w:rsidTr="004E7DFF">
        <w:trPr>
          <w:tblCellSpacing w:w="15" w:type="dxa"/>
          <w:jc w:val="center"/>
        </w:trPr>
        <w:tc>
          <w:tcPr>
            <w:tcW w:w="0" w:type="auto"/>
            <w:vAlign w:val="center"/>
            <w:hideMark/>
          </w:tcPr>
          <w:p w14:paraId="05B4070E" w14:textId="77777777" w:rsidR="004E7DFF" w:rsidRPr="004E7DFF" w:rsidRDefault="004E7DFF" w:rsidP="004E7DFF">
            <w:pPr>
              <w:pStyle w:val="pdq2pgselectionanchorcontainer"/>
              <w:ind w:left="360"/>
            </w:pPr>
            <w:r w:rsidRPr="004E7DFF">
              <w:t>Employee Engagement</w:t>
            </w:r>
          </w:p>
        </w:tc>
        <w:tc>
          <w:tcPr>
            <w:tcW w:w="0" w:type="auto"/>
            <w:vAlign w:val="center"/>
            <w:hideMark/>
          </w:tcPr>
          <w:p w14:paraId="667F511E" w14:textId="77777777" w:rsidR="004E7DFF" w:rsidRPr="004E7DFF" w:rsidRDefault="004E7DFF" w:rsidP="004E7DFF">
            <w:pPr>
              <w:pStyle w:val="pdq2pgselectionanchorcontainer"/>
              <w:ind w:left="360"/>
            </w:pPr>
            <w:r w:rsidRPr="004E7DFF">
              <w:t>Transparent communication</w:t>
            </w:r>
          </w:p>
        </w:tc>
        <w:tc>
          <w:tcPr>
            <w:tcW w:w="0" w:type="auto"/>
            <w:vAlign w:val="center"/>
            <w:hideMark/>
          </w:tcPr>
          <w:p w14:paraId="3D57CC1B" w14:textId="77777777" w:rsidR="004E7DFF" w:rsidRPr="004E7DFF" w:rsidRDefault="004E7DFF" w:rsidP="004E7DFF">
            <w:pPr>
              <w:pStyle w:val="pdq2pgselectionanchorcontainer"/>
              <w:ind w:left="360"/>
            </w:pPr>
            <w:r w:rsidRPr="004E7DFF">
              <w:t>Higher organisational trust</w:t>
            </w:r>
          </w:p>
        </w:tc>
      </w:tr>
      <w:tr w:rsidR="004E7DFF" w:rsidRPr="004E7DFF" w14:paraId="66CBDBCE" w14:textId="77777777" w:rsidTr="004E7DFF">
        <w:trPr>
          <w:tblCellSpacing w:w="15" w:type="dxa"/>
          <w:jc w:val="center"/>
        </w:trPr>
        <w:tc>
          <w:tcPr>
            <w:tcW w:w="0" w:type="auto"/>
            <w:vAlign w:val="center"/>
            <w:hideMark/>
          </w:tcPr>
          <w:p w14:paraId="231F7FFA" w14:textId="77777777" w:rsidR="004E7DFF" w:rsidRPr="004E7DFF" w:rsidRDefault="004E7DFF" w:rsidP="004E7DFF">
            <w:pPr>
              <w:pStyle w:val="pdq2pgselectionanchorcontainer"/>
              <w:ind w:left="360"/>
            </w:pPr>
            <w:r w:rsidRPr="004E7DFF">
              <w:t>Innovation</w:t>
            </w:r>
          </w:p>
        </w:tc>
        <w:tc>
          <w:tcPr>
            <w:tcW w:w="0" w:type="auto"/>
            <w:vAlign w:val="center"/>
            <w:hideMark/>
          </w:tcPr>
          <w:p w14:paraId="0A7D61AE" w14:textId="77777777" w:rsidR="004E7DFF" w:rsidRPr="004E7DFF" w:rsidRDefault="004E7DFF" w:rsidP="004E7DFF">
            <w:pPr>
              <w:pStyle w:val="pdq2pgselectionanchorcontainer"/>
              <w:ind w:left="360"/>
            </w:pPr>
            <w:r w:rsidRPr="004E7DFF">
              <w:t>Encourage collaboration</w:t>
            </w:r>
          </w:p>
        </w:tc>
        <w:tc>
          <w:tcPr>
            <w:tcW w:w="0" w:type="auto"/>
            <w:vAlign w:val="center"/>
            <w:hideMark/>
          </w:tcPr>
          <w:p w14:paraId="07190B1C" w14:textId="77777777" w:rsidR="004E7DFF" w:rsidRPr="004E7DFF" w:rsidRDefault="004E7DFF" w:rsidP="004E7DFF">
            <w:pPr>
              <w:pStyle w:val="pdq2pgselectionanchorcontainer"/>
              <w:ind w:left="360"/>
            </w:pPr>
            <w:r w:rsidRPr="004E7DFF">
              <w:t>Knowledge sharing</w:t>
            </w:r>
          </w:p>
        </w:tc>
      </w:tr>
      <w:tr w:rsidR="004E7DFF" w:rsidRPr="004E7DFF" w14:paraId="7F657EAD" w14:textId="77777777" w:rsidTr="004E7DFF">
        <w:trPr>
          <w:tblCellSpacing w:w="15" w:type="dxa"/>
          <w:jc w:val="center"/>
        </w:trPr>
        <w:tc>
          <w:tcPr>
            <w:tcW w:w="0" w:type="auto"/>
            <w:vAlign w:val="center"/>
            <w:hideMark/>
          </w:tcPr>
          <w:p w14:paraId="35BC553D" w14:textId="77777777" w:rsidR="004E7DFF" w:rsidRPr="004E7DFF" w:rsidRDefault="004E7DFF" w:rsidP="004E7DFF">
            <w:pPr>
              <w:pStyle w:val="pdq2pgselectionanchorcontainer"/>
              <w:ind w:left="360"/>
            </w:pPr>
            <w:r w:rsidRPr="004E7DFF">
              <w:t>Sustainability</w:t>
            </w:r>
          </w:p>
        </w:tc>
        <w:tc>
          <w:tcPr>
            <w:tcW w:w="0" w:type="auto"/>
            <w:vAlign w:val="center"/>
            <w:hideMark/>
          </w:tcPr>
          <w:p w14:paraId="151ED21D" w14:textId="77777777" w:rsidR="004E7DFF" w:rsidRPr="004E7DFF" w:rsidRDefault="004E7DFF" w:rsidP="004E7DFF">
            <w:pPr>
              <w:pStyle w:val="pdq2pgselectionanchorcontainer"/>
              <w:ind w:left="360"/>
            </w:pPr>
            <w:r w:rsidRPr="004E7DFF">
              <w:t>Promote green manufacturing</w:t>
            </w:r>
          </w:p>
        </w:tc>
        <w:tc>
          <w:tcPr>
            <w:tcW w:w="0" w:type="auto"/>
            <w:vAlign w:val="center"/>
            <w:hideMark/>
          </w:tcPr>
          <w:p w14:paraId="5A6F6AEA" w14:textId="77777777" w:rsidR="004E7DFF" w:rsidRPr="004E7DFF" w:rsidRDefault="004E7DFF" w:rsidP="004E7DFF">
            <w:pPr>
              <w:pStyle w:val="pdq2pgselectionanchorcontainer"/>
              <w:ind w:left="360"/>
            </w:pPr>
            <w:r w:rsidRPr="004E7DFF">
              <w:t>Environmental responsibility</w:t>
            </w:r>
          </w:p>
        </w:tc>
      </w:tr>
      <w:tr w:rsidR="004E7DFF" w:rsidRPr="004E7DFF" w14:paraId="7A18948C" w14:textId="77777777" w:rsidTr="004E7DFF">
        <w:trPr>
          <w:tblCellSpacing w:w="15" w:type="dxa"/>
          <w:jc w:val="center"/>
        </w:trPr>
        <w:tc>
          <w:tcPr>
            <w:tcW w:w="0" w:type="auto"/>
            <w:vAlign w:val="center"/>
            <w:hideMark/>
          </w:tcPr>
          <w:p w14:paraId="73B9B3B9" w14:textId="77777777" w:rsidR="004E7DFF" w:rsidRPr="004E7DFF" w:rsidRDefault="004E7DFF" w:rsidP="004E7DFF">
            <w:pPr>
              <w:pStyle w:val="pdq2pgselectionanchorcontainer"/>
              <w:ind w:left="360"/>
            </w:pPr>
            <w:r w:rsidRPr="004E7DFF">
              <w:t>Continuous Improvement</w:t>
            </w:r>
          </w:p>
        </w:tc>
        <w:tc>
          <w:tcPr>
            <w:tcW w:w="0" w:type="auto"/>
            <w:vAlign w:val="center"/>
            <w:hideMark/>
          </w:tcPr>
          <w:p w14:paraId="3630AA3B" w14:textId="77777777" w:rsidR="004E7DFF" w:rsidRPr="004E7DFF" w:rsidRDefault="004E7DFF" w:rsidP="004E7DFF">
            <w:pPr>
              <w:pStyle w:val="pdq2pgselectionanchorcontainer"/>
              <w:ind w:left="360"/>
            </w:pPr>
            <w:r w:rsidRPr="004E7DFF">
              <w:t>Performance monitoring</w:t>
            </w:r>
          </w:p>
        </w:tc>
        <w:tc>
          <w:tcPr>
            <w:tcW w:w="0" w:type="auto"/>
            <w:vAlign w:val="center"/>
            <w:hideMark/>
          </w:tcPr>
          <w:p w14:paraId="03FF742D" w14:textId="77777777" w:rsidR="004E7DFF" w:rsidRPr="004E7DFF" w:rsidRDefault="004E7DFF" w:rsidP="004E7DFF">
            <w:pPr>
              <w:pStyle w:val="pdq2pgselectionanchorcontainer"/>
              <w:ind w:left="360"/>
            </w:pPr>
            <w:r w:rsidRPr="004E7DFF">
              <w:t>Organisational resilience</w:t>
            </w:r>
          </w:p>
        </w:tc>
      </w:tr>
    </w:tbl>
    <w:p w14:paraId="6A2D046D" w14:textId="07388851" w:rsidR="004E7DFF" w:rsidRDefault="004E7DFF" w:rsidP="004E7DFF">
      <w:pPr>
        <w:pStyle w:val="pdq2pgselectionanchorcontainer"/>
        <w:ind w:left="360"/>
        <w:jc w:val="center"/>
      </w:pPr>
      <w:r w:rsidRPr="004E7DFF">
        <w:t>Table 4.1 Leadership and Organisational Culture Alignment</w:t>
      </w:r>
    </w:p>
    <w:p w14:paraId="701FE77D" w14:textId="3D75E54E" w:rsidR="004E7DFF" w:rsidRPr="00A42FED" w:rsidRDefault="004E7DFF" w:rsidP="004E7DFF">
      <w:pPr>
        <w:pStyle w:val="pdq2pgselectionanchorcontainer"/>
        <w:ind w:left="360"/>
        <w:rPr>
          <w:i/>
          <w:iCs/>
        </w:rPr>
      </w:pPr>
      <w:r w:rsidRPr="004E7DFF">
        <w:t>For Nissan Sunderland's AI-enabled transformation to succeed in practice, alignment between leadership behaviour and the organisation's culture is vital. While transformational and digital leadership set the strategic direction, foster innovation and enable employees to adopt technology changes; a positive organisational culture drives collaboration, encourages adaptability and promotes continuous learning. As a result, leadership and organisational culture do not just reinforce each other, but ather they serve as strategic capabilities that form the basis of operational performance based on employee engagemen and thus for sustainability and permanent competitive advantage. However, with leadership aligned along a digitally driven organisational culture, Nissan Sunderland can be in a strong position to reach its vision of being the best example of intelligent and sustainable digital innovation in-the-factory enabled EV manufacturing in Europe (</w:t>
      </w:r>
      <w:r w:rsidRPr="00A42FED">
        <w:rPr>
          <w:i/>
          <w:iCs/>
        </w:rPr>
        <w:t>Advanced Propulsion Centre UK, 2025; Nissan Motor Corporation, 2025).</w:t>
      </w:r>
    </w:p>
    <w:p w14:paraId="3270886E" w14:textId="77777777" w:rsidR="001335F7" w:rsidRDefault="001335F7" w:rsidP="004E7DFF">
      <w:pPr>
        <w:pStyle w:val="NormalWeb"/>
      </w:pPr>
    </w:p>
    <w:p w14:paraId="76EC2ADD" w14:textId="0E7294CA" w:rsidR="001335F7" w:rsidRPr="00A42FED" w:rsidRDefault="001335F7" w:rsidP="00C8064B">
      <w:pPr>
        <w:pStyle w:val="NormalWeb"/>
        <w:numPr>
          <w:ilvl w:val="0"/>
          <w:numId w:val="1"/>
        </w:numPr>
        <w:outlineLvl w:val="0"/>
        <w:rPr>
          <w:b/>
          <w:bCs/>
          <w:color w:val="7030A0"/>
          <w:sz w:val="28"/>
          <w:szCs w:val="28"/>
        </w:rPr>
      </w:pPr>
      <w:bookmarkStart w:id="5" w:name="_Toc234054495"/>
      <w:r w:rsidRPr="00A42FED">
        <w:rPr>
          <w:b/>
          <w:bCs/>
          <w:color w:val="7030A0"/>
          <w:sz w:val="28"/>
          <w:szCs w:val="28"/>
        </w:rPr>
        <w:t>Strategic Change Plan</w:t>
      </w:r>
      <w:bookmarkEnd w:id="5"/>
    </w:p>
    <w:p w14:paraId="5A8ECE2F" w14:textId="13F7CA43" w:rsidR="004E7DFF" w:rsidRDefault="004E7DFF" w:rsidP="004E7DFF">
      <w:pPr>
        <w:pStyle w:val="NormalWeb"/>
        <w:ind w:left="360"/>
      </w:pPr>
      <w:r>
        <w:t xml:space="preserve">This study supports a data-driven, step-by-step plan for organisation-wide change to establish the Nissan Sunderland Plant as an AI-sophisticated and powered electric vehicle (EV) industrial ecosystem where technological innovation, operational excellence, workforce development and sustainable manufacturing rise together. </w:t>
      </w:r>
      <w:r w:rsidR="00CC5C25" w:rsidRPr="00CC5C25">
        <w:t>The strategic change plan integrates AI adoption with workforce development, leadership commitment and continuous improvement to strengthen operational performance, sustainable manufacturing and long-term competitiveness.</w:t>
      </w:r>
      <w:r>
        <w:t>. This synergised approach guarantees that any technology investments create concrete operational, financial, and environmental outcomes while future-proofing the organisation against future industry changes (</w:t>
      </w:r>
      <w:r w:rsidRPr="0049171C">
        <w:rPr>
          <w:i/>
          <w:iCs/>
        </w:rPr>
        <w:t>Nissan Motor Corporation, 2025; Deloitte, 2024).</w:t>
      </w:r>
    </w:p>
    <w:p w14:paraId="3388BD92" w14:textId="77777777" w:rsidR="004E7DFF" w:rsidRDefault="004E7DFF" w:rsidP="004E7DFF">
      <w:pPr>
        <w:pStyle w:val="NormalWeb"/>
        <w:ind w:left="360"/>
      </w:pPr>
      <w:r>
        <w:t xml:space="preserve">The rationale for the change is in its overarching vision of creating a world-class competitive, sustainable, intelligent automotive manufacturing ecosystem that will make Nissan Sunderland Europe's most advanced AI-enabled intelligent electric vehicle plant. The vision can only be realised with clearly set SMART objectives. Nissan should use AI-powered automation and predictive analytics to boost overall manufacturing productivity by 20% in three years. Secondly, downtime on unforecasted equipment should be cut by a third through predictive maintenance systems making use of machine-learning algorithms. Third, the method of AI-enabled computer vision quality inspection should at least achieve a 25% improvement in production defects. Fourth, the training for production employees on certified digital and AI competence should be complete 90% before full-fledged implementation. The intelligent energy management, renewable energy integration and resource optimization means that, by 2030, the plant aims to cut operational carbon emissions per vehicle produced by 40%, supporting Nissan's sustainability commitments and helping UK net-zero goals </w:t>
      </w:r>
      <w:r w:rsidRPr="0049171C">
        <w:rPr>
          <w:i/>
          <w:iCs/>
        </w:rPr>
        <w:t>(International Energy Agency, 2024; Advanced Propulsion Centre UK, 2024).</w:t>
      </w:r>
    </w:p>
    <w:p w14:paraId="1FDD521F" w14:textId="77777777" w:rsidR="004E7DFF" w:rsidRDefault="004E7DFF" w:rsidP="004E7DFF">
      <w:pPr>
        <w:pStyle w:val="NormalWeb"/>
        <w:ind w:left="360"/>
      </w:pPr>
      <w:r>
        <w:t>Getting there requires one or more manufacturing operations-wide strategic initiatives carried out in parallel. Smart manufacturing systems driven by AI should be implemented to optimise the production schedule, provide real-time monitoring of operational performance and automatically detect process inefficiencies. The Global predictive maintenance platform using IIoT sensors and machine learning algorithms need to keep monitoring the machinery health to anticipate potential equipment failures before breakdowns occurs, avoiding loss of productivity and high costs associated with repair or replacement. It should use AI enabled computer vision technologies to digitize quality inspection processes by identifying manufacturing defects faster and with greater accuracy than traditional manual inspection systems. In addition, digital twin technology should also be used to simulate processes for effective replication of manufacturing activities, which provides a safe space for engineers as they can test production line changes or tweak workflows before physically implementing such changes on the actual ground thereby enhancing productivity and reducing operational risk. AI-driven intelligent autonomous logistics systems should also optimise warehouse operations, inventory management and material movement to increase the overall efficiency of the supply chain while reducing a waste in operations (</w:t>
      </w:r>
      <w:r w:rsidRPr="0049171C">
        <w:rPr>
          <w:i/>
          <w:iCs/>
        </w:rPr>
        <w:t>McKinsey &amp; Company, 2024; Capgemini Research Institute, 2025).</w:t>
      </w:r>
    </w:p>
    <w:p w14:paraId="08A43F10" w14:textId="77777777" w:rsidR="004E7DFF" w:rsidRDefault="004E7DFF" w:rsidP="004E7DFF">
      <w:pPr>
        <w:pStyle w:val="NormalWeb"/>
        <w:ind w:left="360"/>
      </w:pPr>
      <w:r>
        <w:t>Workforce capability development is at the heart of our strategy since successful organisational change cannot be driven by transformation alone. One important aspect of what Nissan Sunderland should do is set up a Digital Manufacturing Academy for continuous employee training in areas like artificial intelligence, robotics, cybersecurity, data science and analytics, cloud manufacturing and digital engineering. Learning methods, including classroom instruction, simulation-based learning, workshops and industry certification when in concert will boost worker capability while reducing fear of new amenities. At the same time, cross-functional innovation teams of engineers, production managers, IT professionals and frontline employees should work together to quantify where AI can be deployed for operational performance gain. Engaging employees throughout implementation will drive organisational commitment, support innovation capabilities and reinforce a culture of continuous learning that drives long lasting digital transformation (</w:t>
      </w:r>
      <w:r w:rsidRPr="0049171C">
        <w:rPr>
          <w:i/>
          <w:iCs/>
        </w:rPr>
        <w:t>Hiatt, 2023; World Economic Forum, 2025).</w:t>
      </w:r>
    </w:p>
    <w:p w14:paraId="3C54B6F1" w14:textId="555A8239" w:rsidR="004E7DFF" w:rsidRDefault="004E7DFF" w:rsidP="004E7DFF">
      <w:pPr>
        <w:pStyle w:val="NormalWeb"/>
        <w:ind w:left="360"/>
      </w:pPr>
      <w:r>
        <w:t xml:space="preserve">Along with this, financial planning is another area which must be emphasized for sustainable implementation of initiatives. While these investments lead to increased capital expenditure in the short term, long-term revenue benefits from higher manufacturing productivity, less operational downtime, improved product quality and lower maintenance costs or even energy efficiency improvements as well as supply chain optimisation are expected. </w:t>
      </w:r>
      <w:r w:rsidR="001168D9" w:rsidRPr="001168D9">
        <w:t>Nissan may also benefit from UK government support for EV production and manufacturing digitalisation</w:t>
      </w:r>
      <w:r>
        <w:t>. Financial tracking via return on investment (ROI), total cost of ownership (TCO), and cost-benefit analysis will ensure investments deliver measurable organisational value, whilst enabling decision-making from a strategic perspective throughout implementation (</w:t>
      </w:r>
      <w:r w:rsidRPr="0049171C">
        <w:rPr>
          <w:i/>
          <w:iCs/>
        </w:rPr>
        <w:t>PwC, 2024; UK Government, 2025).</w:t>
      </w:r>
    </w:p>
    <w:p w14:paraId="18FAFDF1" w14:textId="6DE25BCA" w:rsidR="004E7DFF" w:rsidRDefault="004E7DFF" w:rsidP="004E7DFF">
      <w:pPr>
        <w:pStyle w:val="NormalWeb"/>
        <w:ind w:left="360"/>
      </w:pPr>
      <w:r>
        <w:t>A third critical success factor during organisational transformation is effective communication. A communication plan would also be beneficial, Nissan Sunderland can own a mix of communications strategy such as the leadership briefings (for management), employee workshops (for line associates), digital newsletters and intranet updates involving all employees, feedback sessions and cross-functional meetings to keep communication transparent about implementation progress and organisational goals. Step 8: External Stakeholder Communications. External stakeholders, such as suppliers, government agencies, technology partners, local communities, and investors should also receive frequent messages confirming Nissan's commitment to sustainable manufacturing/innovation/regional economic development. This can be achieved through transparent communication as it increases stakeholder trust and minimises misinformation while reducing organisational resistance and strengthening employee engagement during the transformation (</w:t>
      </w:r>
      <w:r w:rsidRPr="0049171C">
        <w:rPr>
          <w:i/>
          <w:iCs/>
        </w:rPr>
        <w:t>Kotter, 2022; Prosci, 2024).</w:t>
      </w:r>
    </w:p>
    <w:p w14:paraId="6FECB77A" w14:textId="77777777" w:rsidR="004E7DFF" w:rsidRDefault="004E7DFF" w:rsidP="004E7DFF">
      <w:pPr>
        <w:pStyle w:val="NormalWeb"/>
        <w:ind w:left="360"/>
      </w:pPr>
      <w:r>
        <w:t>Lastly, the strategic change plan should have solid monitoring and evaluation systems in place that will allow for ongoing organisational improvement. Metrics like utilization of manufacturing, availability of equipment, product defect rates, levels of AI adoption, training completion on IT tools and applications by employees on-site, energy consumed per unit crystal produced, CO2 emissions in the atmosphere per kg produced at processes that emit it during production cycle to name a few!! customer ratings for service attained/required from suppliers every month include channel-specific data; financial performance measures like revenue growth rates may prove useful too as effective KPIs ## Performance measurement should consider a balanced scorecard approach incorporating operational, financial, customer, learning &amp; sustainability perspectives. Evidence based management decisions need to be bolstered by routine performance reviews, internal audits and constant stakeholder feedback that allows for prompt modifications where implementation challenges arise. By implementing a process of systematic evaluation and continuous improvement, Nissan Sunderland can evolve into an intelligent electric vehicle manufacturing ecosystem powered by artificial intelligence, which enhances operational efficiency, workforce capability, environmental sustainability and global competitiveness in the long-term while establishing itself as one of the new benchmarks for advanced automotive manufacturing capacity in Europe (</w:t>
      </w:r>
      <w:r w:rsidRPr="0049171C">
        <w:rPr>
          <w:i/>
          <w:iCs/>
        </w:rPr>
        <w:t>Advanced Propulsion Centre UK 2024; Nissan Motor Corporation 2025).</w:t>
      </w:r>
    </w:p>
    <w:p w14:paraId="19204DCB" w14:textId="77777777" w:rsidR="001335F7" w:rsidRDefault="001335F7" w:rsidP="001335F7">
      <w:pPr>
        <w:pStyle w:val="NormalWeb"/>
      </w:pPr>
    </w:p>
    <w:p w14:paraId="01AFD434" w14:textId="77777777" w:rsidR="00A42FED" w:rsidRDefault="00A42FED" w:rsidP="001335F7">
      <w:pPr>
        <w:pStyle w:val="NormalWeb"/>
      </w:pPr>
    </w:p>
    <w:p w14:paraId="49D52D34" w14:textId="77777777" w:rsidR="00A42FED" w:rsidRDefault="00A42FED" w:rsidP="001335F7">
      <w:pPr>
        <w:pStyle w:val="NormalWeb"/>
      </w:pPr>
    </w:p>
    <w:p w14:paraId="3AE43604" w14:textId="77777777" w:rsidR="00A42FED" w:rsidRDefault="00A42FED" w:rsidP="001335F7">
      <w:pPr>
        <w:pStyle w:val="NormalWeb"/>
      </w:pPr>
    </w:p>
    <w:p w14:paraId="4FA2E607" w14:textId="77777777" w:rsidR="00A42FED" w:rsidRDefault="00A42FED" w:rsidP="001335F7">
      <w:pPr>
        <w:pStyle w:val="NormalWeb"/>
      </w:pPr>
    </w:p>
    <w:p w14:paraId="47EA37A9" w14:textId="77777777" w:rsidR="00A42FED" w:rsidRDefault="00A42FED" w:rsidP="001335F7">
      <w:pPr>
        <w:pStyle w:val="NormalWeb"/>
      </w:pPr>
    </w:p>
    <w:p w14:paraId="59E70C01" w14:textId="77777777" w:rsidR="00A42FED" w:rsidRDefault="00A42FED" w:rsidP="001335F7">
      <w:pPr>
        <w:pStyle w:val="NormalWeb"/>
      </w:pPr>
    </w:p>
    <w:p w14:paraId="618C7C03" w14:textId="77777777" w:rsidR="00A42FED" w:rsidRDefault="00A42FED" w:rsidP="001335F7">
      <w:pPr>
        <w:pStyle w:val="NormalWeb"/>
      </w:pPr>
    </w:p>
    <w:p w14:paraId="15B98371" w14:textId="77777777" w:rsidR="00A42FED" w:rsidRDefault="00A42FED" w:rsidP="001335F7">
      <w:pPr>
        <w:pStyle w:val="NormalWeb"/>
      </w:pPr>
    </w:p>
    <w:p w14:paraId="1FCD1F27" w14:textId="77777777" w:rsidR="00A42FED" w:rsidRDefault="00A42FED" w:rsidP="001335F7">
      <w:pPr>
        <w:pStyle w:val="NormalWeb"/>
      </w:pPr>
    </w:p>
    <w:p w14:paraId="6C1A616A" w14:textId="77777777" w:rsidR="00A42FED" w:rsidRDefault="00A42FED" w:rsidP="001335F7">
      <w:pPr>
        <w:pStyle w:val="NormalWeb"/>
      </w:pPr>
    </w:p>
    <w:p w14:paraId="408320CC" w14:textId="77777777" w:rsidR="00732282" w:rsidRDefault="00732282" w:rsidP="001335F7">
      <w:pPr>
        <w:pStyle w:val="NormalWeb"/>
      </w:pPr>
    </w:p>
    <w:p w14:paraId="4341C5DF" w14:textId="77777777" w:rsidR="00732282" w:rsidRDefault="00732282" w:rsidP="001335F7">
      <w:pPr>
        <w:pStyle w:val="NormalWeb"/>
      </w:pPr>
    </w:p>
    <w:p w14:paraId="26CE4A5B" w14:textId="77777777" w:rsidR="002E48E0" w:rsidRDefault="002E48E0" w:rsidP="001335F7">
      <w:pPr>
        <w:pStyle w:val="NormalWeb"/>
      </w:pPr>
    </w:p>
    <w:p w14:paraId="599A5436" w14:textId="77777777" w:rsidR="002E48E0" w:rsidRDefault="002E48E0" w:rsidP="001335F7">
      <w:pPr>
        <w:pStyle w:val="NormalWeb"/>
      </w:pPr>
    </w:p>
    <w:p w14:paraId="66B192D3" w14:textId="476C6D9C" w:rsidR="001335F7" w:rsidRPr="00A42FED" w:rsidRDefault="001335F7" w:rsidP="00C8064B">
      <w:pPr>
        <w:pStyle w:val="NormalWeb"/>
        <w:numPr>
          <w:ilvl w:val="0"/>
          <w:numId w:val="1"/>
        </w:numPr>
        <w:outlineLvl w:val="0"/>
        <w:rPr>
          <w:b/>
          <w:bCs/>
          <w:color w:val="7030A0"/>
          <w:sz w:val="28"/>
          <w:szCs w:val="28"/>
        </w:rPr>
      </w:pPr>
      <w:bookmarkStart w:id="6" w:name="_Toc234054496"/>
      <w:r w:rsidRPr="00A42FED">
        <w:rPr>
          <w:b/>
          <w:bCs/>
          <w:color w:val="7030A0"/>
          <w:sz w:val="28"/>
          <w:szCs w:val="28"/>
        </w:rPr>
        <w:t>Conclusion</w:t>
      </w:r>
      <w:bookmarkEnd w:id="6"/>
    </w:p>
    <w:p w14:paraId="1801CB27" w14:textId="77777777" w:rsidR="0049171C" w:rsidRDefault="001335F7" w:rsidP="001335F7">
      <w:pPr>
        <w:pStyle w:val="NormalWeb"/>
        <w:ind w:left="360"/>
      </w:pPr>
      <w:r w:rsidRPr="001335F7">
        <w:t>The transition of the Nissan Sunderland Plant towards an AI-enabled electric vehicle ecosystem represents a strategic necessity for sustaining long-term competitiveness within the rapidly evolving global automotive industry. The analysis demonstrates that accelerating digitalisation, artificial intelligence, electrification, environmental regulations, and changing consumer expectations are reshaping manufacturing operations and requiring organisations to adopt more intelligent, resilient, and sustainable business models (</w:t>
      </w:r>
      <w:r w:rsidRPr="0049171C">
        <w:rPr>
          <w:i/>
          <w:iCs/>
        </w:rPr>
        <w:t>International Energy Agency, 2024; World Economic Forum, 2025</w:t>
      </w:r>
      <w:r w:rsidRPr="001335F7">
        <w:t xml:space="preserve">). </w:t>
      </w:r>
    </w:p>
    <w:p w14:paraId="4A580795" w14:textId="0027F57F" w:rsidR="001335F7" w:rsidRDefault="001335F7" w:rsidP="001335F7">
      <w:pPr>
        <w:pStyle w:val="NormalWeb"/>
        <w:ind w:left="360"/>
      </w:pPr>
      <w:r w:rsidRPr="001335F7">
        <w:t xml:space="preserve">By critically evaluating organisational drivers, change management models, leadership approaches, and organisational culture, this report identifies Kotter's Eight-Step Change Model, supported by transformational leadership and a digitally oriented organisational culture, as the most suitable framework for managing this transformation. The proposed strategic change plan, incorporating SMART objectives, phased implementation, financial investment, communication strategies, risk management, and performance evaluation, provides a practical roadmap for successful implementation. </w:t>
      </w:r>
    </w:p>
    <w:p w14:paraId="4057E2A0" w14:textId="77777777" w:rsidR="001335F7" w:rsidRDefault="001335F7" w:rsidP="001335F7">
      <w:pPr>
        <w:pStyle w:val="NormalWeb"/>
      </w:pPr>
    </w:p>
    <w:p w14:paraId="597479E4" w14:textId="77777777" w:rsidR="00A42FED" w:rsidRDefault="00A42FED" w:rsidP="001335F7">
      <w:pPr>
        <w:pStyle w:val="NormalWeb"/>
      </w:pPr>
    </w:p>
    <w:p w14:paraId="7927696F" w14:textId="77777777" w:rsidR="00A42FED" w:rsidRDefault="00A42FED" w:rsidP="001335F7">
      <w:pPr>
        <w:pStyle w:val="NormalWeb"/>
      </w:pPr>
    </w:p>
    <w:p w14:paraId="3006BBC5" w14:textId="77777777" w:rsidR="00A42FED" w:rsidRDefault="00A42FED" w:rsidP="001335F7">
      <w:pPr>
        <w:pStyle w:val="NormalWeb"/>
      </w:pPr>
    </w:p>
    <w:p w14:paraId="78102BC1" w14:textId="77777777" w:rsidR="00A42FED" w:rsidRDefault="00A42FED" w:rsidP="001335F7">
      <w:pPr>
        <w:pStyle w:val="NormalWeb"/>
      </w:pPr>
    </w:p>
    <w:p w14:paraId="68B65381" w14:textId="77777777" w:rsidR="00A42FED" w:rsidRDefault="00A42FED" w:rsidP="001335F7">
      <w:pPr>
        <w:pStyle w:val="NormalWeb"/>
      </w:pPr>
    </w:p>
    <w:p w14:paraId="195E88E6" w14:textId="77777777" w:rsidR="00A42FED" w:rsidRDefault="00A42FED" w:rsidP="001335F7">
      <w:pPr>
        <w:pStyle w:val="NormalWeb"/>
      </w:pPr>
    </w:p>
    <w:p w14:paraId="65F2A287" w14:textId="77777777" w:rsidR="00A42FED" w:rsidRDefault="00A42FED" w:rsidP="001335F7">
      <w:pPr>
        <w:pStyle w:val="NormalWeb"/>
      </w:pPr>
    </w:p>
    <w:p w14:paraId="7ACEEE60" w14:textId="77777777" w:rsidR="00A42FED" w:rsidRDefault="00A42FED" w:rsidP="001335F7">
      <w:pPr>
        <w:pStyle w:val="NormalWeb"/>
      </w:pPr>
    </w:p>
    <w:p w14:paraId="6AFEF43F" w14:textId="77777777" w:rsidR="00A42FED" w:rsidRDefault="00A42FED" w:rsidP="001335F7">
      <w:pPr>
        <w:pStyle w:val="NormalWeb"/>
      </w:pPr>
    </w:p>
    <w:p w14:paraId="57823E35" w14:textId="77777777" w:rsidR="00A42FED" w:rsidRDefault="00A42FED" w:rsidP="001335F7">
      <w:pPr>
        <w:pStyle w:val="NormalWeb"/>
      </w:pPr>
    </w:p>
    <w:p w14:paraId="14946472" w14:textId="77777777" w:rsidR="00A42FED" w:rsidRDefault="00A42FED" w:rsidP="001335F7">
      <w:pPr>
        <w:pStyle w:val="NormalWeb"/>
      </w:pPr>
    </w:p>
    <w:p w14:paraId="240DDEE2" w14:textId="77777777" w:rsidR="00A42FED" w:rsidRDefault="00A42FED" w:rsidP="001335F7">
      <w:pPr>
        <w:pStyle w:val="NormalWeb"/>
      </w:pPr>
    </w:p>
    <w:p w14:paraId="35CC2264" w14:textId="77777777" w:rsidR="00A42FED" w:rsidRDefault="00A42FED" w:rsidP="001335F7">
      <w:pPr>
        <w:pStyle w:val="NormalWeb"/>
      </w:pPr>
    </w:p>
    <w:p w14:paraId="5B2E925C" w14:textId="77777777" w:rsidR="00A42FED" w:rsidRDefault="00A42FED" w:rsidP="001335F7">
      <w:pPr>
        <w:pStyle w:val="NormalWeb"/>
      </w:pPr>
    </w:p>
    <w:p w14:paraId="4557C157" w14:textId="77777777" w:rsidR="00A42FED" w:rsidRDefault="00A42FED" w:rsidP="001335F7">
      <w:pPr>
        <w:pStyle w:val="NormalWeb"/>
      </w:pPr>
    </w:p>
    <w:p w14:paraId="734633D5" w14:textId="2720312F" w:rsidR="001335F7" w:rsidRPr="00A42FED" w:rsidRDefault="001335F7" w:rsidP="00C8064B">
      <w:pPr>
        <w:pStyle w:val="NormalWeb"/>
        <w:numPr>
          <w:ilvl w:val="0"/>
          <w:numId w:val="1"/>
        </w:numPr>
        <w:outlineLvl w:val="0"/>
        <w:rPr>
          <w:b/>
          <w:bCs/>
          <w:color w:val="7030A0"/>
          <w:sz w:val="28"/>
          <w:szCs w:val="28"/>
        </w:rPr>
      </w:pPr>
      <w:bookmarkStart w:id="7" w:name="_Toc234054497"/>
      <w:r w:rsidRPr="00A42FED">
        <w:rPr>
          <w:b/>
          <w:bCs/>
          <w:color w:val="7030A0"/>
          <w:sz w:val="28"/>
          <w:szCs w:val="28"/>
        </w:rPr>
        <w:t>References</w:t>
      </w:r>
      <w:bookmarkEnd w:id="7"/>
    </w:p>
    <w:p w14:paraId="211615D9" w14:textId="682EBBEF" w:rsidR="004E7DFF" w:rsidRDefault="004E7DFF" w:rsidP="004E7DFF">
      <w:pPr>
        <w:pStyle w:val="pdq2pgselectionanchorcontainer"/>
        <w:ind w:left="360"/>
      </w:pPr>
      <w:r>
        <w:t xml:space="preserve">Advanced Propulsion Centre UK (2025) </w:t>
      </w:r>
      <w:r>
        <w:rPr>
          <w:rStyle w:val="Emphasis"/>
        </w:rPr>
        <w:t>Automotive Transformation Fund</w:t>
      </w:r>
      <w:r>
        <w:t xml:space="preserve">. Available at: </w:t>
      </w:r>
      <w:hyperlink r:id="rId20" w:tgtFrame="_blank" w:history="1">
        <w:r>
          <w:rPr>
            <w:rStyle w:val="Hyperlink"/>
          </w:rPr>
          <w:t>Advanced Propulsion Centre UK</w:t>
        </w:r>
      </w:hyperlink>
      <w:r>
        <w:t xml:space="preserve"> (Accessed: </w:t>
      </w:r>
      <w:r w:rsidR="00A42FED">
        <w:t xml:space="preserve">16 June </w:t>
      </w:r>
      <w:r>
        <w:t>2026).</w:t>
      </w:r>
    </w:p>
    <w:p w14:paraId="6750DF73" w14:textId="77777777" w:rsidR="004E7DFF" w:rsidRDefault="004E7DFF" w:rsidP="004E7DFF">
      <w:pPr>
        <w:pStyle w:val="NormalWeb"/>
        <w:ind w:left="360"/>
      </w:pPr>
      <w:r>
        <w:t xml:space="preserve">Appelbaum, S.H., Habashy, S., Malo, J.L. and Shafiq, H. (2018) ‘Back to the future: Revisiting Kotter's 1996 change model’, </w:t>
      </w:r>
      <w:r>
        <w:rPr>
          <w:rStyle w:val="Emphasis"/>
        </w:rPr>
        <w:t>Journal of Management Development</w:t>
      </w:r>
      <w:r>
        <w:t>, 31(8), pp. 764–782.</w:t>
      </w:r>
    </w:p>
    <w:p w14:paraId="249932C5" w14:textId="77777777" w:rsidR="004E7DFF" w:rsidRDefault="004E7DFF" w:rsidP="004E7DFF">
      <w:pPr>
        <w:pStyle w:val="NormalWeb"/>
        <w:ind w:left="360"/>
      </w:pPr>
      <w:r>
        <w:t xml:space="preserve">Bass, B.M. and Riggio, R.E. (2006) </w:t>
      </w:r>
      <w:r>
        <w:rPr>
          <w:rStyle w:val="Emphasis"/>
        </w:rPr>
        <w:t>Transformational Leadership</w:t>
      </w:r>
      <w:r>
        <w:t>. 2nd edn. Mahwah, NJ: Lawrence Erlbaum Associates.</w:t>
      </w:r>
    </w:p>
    <w:p w14:paraId="243D69F0" w14:textId="77777777" w:rsidR="004E7DFF" w:rsidRDefault="004E7DFF" w:rsidP="004E7DFF">
      <w:pPr>
        <w:pStyle w:val="NormalWeb"/>
        <w:ind w:left="360"/>
      </w:pPr>
      <w:r>
        <w:t xml:space="preserve">Burnes, B. (2020) </w:t>
      </w:r>
      <w:r>
        <w:rPr>
          <w:rStyle w:val="Emphasis"/>
        </w:rPr>
        <w:t>Managing Change</w:t>
      </w:r>
      <w:r>
        <w:t>. 8th edn. Harlow: Pearson.</w:t>
      </w:r>
    </w:p>
    <w:p w14:paraId="6315E2C5" w14:textId="77777777" w:rsidR="004E7DFF" w:rsidRDefault="004E7DFF" w:rsidP="004E7DFF">
      <w:pPr>
        <w:pStyle w:val="NormalWeb"/>
        <w:ind w:left="360"/>
      </w:pPr>
      <w:r>
        <w:t xml:space="preserve">Cummings, S., Bridgman, T. and Brown, K.G. (2016) ‘Unfreezing change as three steps: Rethinking Kurt Lewin's legacy for change management’, </w:t>
      </w:r>
      <w:r>
        <w:rPr>
          <w:rStyle w:val="Emphasis"/>
        </w:rPr>
        <w:t>Human Relations</w:t>
      </w:r>
      <w:r>
        <w:t>, 69(1), pp. 33–60.</w:t>
      </w:r>
    </w:p>
    <w:p w14:paraId="59A97D73" w14:textId="7A56E42D" w:rsidR="004E7DFF" w:rsidRDefault="004E7DFF" w:rsidP="004E7DFF">
      <w:pPr>
        <w:pStyle w:val="NormalWeb"/>
        <w:ind w:left="360"/>
      </w:pPr>
      <w:r>
        <w:t xml:space="preserve">Deloitte (2025) </w:t>
      </w:r>
      <w:r>
        <w:rPr>
          <w:rStyle w:val="Emphasis"/>
        </w:rPr>
        <w:t>The AI Revolution: Reskilling for a Thriving UK Economy</w:t>
      </w:r>
      <w:r>
        <w:t xml:space="preserve">. Available at: </w:t>
      </w:r>
      <w:hyperlink r:id="rId21" w:tgtFrame="_blank" w:history="1">
        <w:r>
          <w:rPr>
            <w:rStyle w:val="Hyperlink"/>
          </w:rPr>
          <w:t>Deloitte UK – AI Revolution</w:t>
        </w:r>
      </w:hyperlink>
      <w:r>
        <w:t xml:space="preserve"> (Accessed: 20 </w:t>
      </w:r>
      <w:r w:rsidR="00A42FED">
        <w:t>June</w:t>
      </w:r>
      <w:r>
        <w:t xml:space="preserve"> 2026).</w:t>
      </w:r>
    </w:p>
    <w:p w14:paraId="563E9578" w14:textId="3167606F" w:rsidR="004E7DFF" w:rsidRDefault="004E7DFF" w:rsidP="004E7DFF">
      <w:pPr>
        <w:pStyle w:val="NormalWeb"/>
        <w:ind w:left="360"/>
      </w:pPr>
      <w:r>
        <w:t xml:space="preserve">Deloitte (2025) </w:t>
      </w:r>
      <w:r>
        <w:rPr>
          <w:rStyle w:val="Emphasis"/>
        </w:rPr>
        <w:t>Energy Transition and Sustainability</w:t>
      </w:r>
      <w:r>
        <w:t xml:space="preserve">. Available at: </w:t>
      </w:r>
      <w:hyperlink r:id="rId22" w:tgtFrame="_blank" w:history="1">
        <w:r>
          <w:rPr>
            <w:rStyle w:val="Hyperlink"/>
          </w:rPr>
          <w:t>Deloitte UK – Energy Transition &amp; Sustainability</w:t>
        </w:r>
      </w:hyperlink>
      <w:r>
        <w:t xml:space="preserve"> (Accessed: 20 </w:t>
      </w:r>
      <w:r w:rsidR="00A42FED">
        <w:t>June</w:t>
      </w:r>
      <w:r>
        <w:t xml:space="preserve"> 2026).</w:t>
      </w:r>
    </w:p>
    <w:p w14:paraId="39F8FDA0" w14:textId="3CD39E27" w:rsidR="004E7DFF" w:rsidRDefault="004E7DFF" w:rsidP="004E7DFF">
      <w:pPr>
        <w:pStyle w:val="NormalWeb"/>
        <w:ind w:left="360"/>
      </w:pPr>
      <w:r>
        <w:t xml:space="preserve">Hiatt, J. (2023) </w:t>
      </w:r>
      <w:r>
        <w:rPr>
          <w:rStyle w:val="Emphasis"/>
        </w:rPr>
        <w:t>ADKAR: A Model for Change in Business, Government and Our Community</w:t>
      </w:r>
      <w:r>
        <w:t xml:space="preserve">. Prosci Learning Center. Available at: </w:t>
      </w:r>
      <w:hyperlink r:id="rId23" w:tgtFrame="_blank" w:history="1">
        <w:r>
          <w:rPr>
            <w:rStyle w:val="Hyperlink"/>
          </w:rPr>
          <w:t>Prosci ADKAR Overview</w:t>
        </w:r>
      </w:hyperlink>
      <w:r>
        <w:t xml:space="preserve"> (Accessed: 2</w:t>
      </w:r>
      <w:r w:rsidR="0049171C">
        <w:t xml:space="preserve">2 June </w:t>
      </w:r>
      <w:r>
        <w:t>2026).</w:t>
      </w:r>
    </w:p>
    <w:p w14:paraId="2026C595" w14:textId="38D7FC7C" w:rsidR="004E7DFF" w:rsidRDefault="004E7DFF" w:rsidP="004E7DFF">
      <w:pPr>
        <w:pStyle w:val="NormalWeb"/>
        <w:ind w:left="360"/>
      </w:pPr>
      <w:r>
        <w:t xml:space="preserve">International Energy Agency (2025) </w:t>
      </w:r>
      <w:r>
        <w:rPr>
          <w:rStyle w:val="Emphasis"/>
        </w:rPr>
        <w:t>Global EV Outlook 2025</w:t>
      </w:r>
      <w:r>
        <w:t xml:space="preserve">. Paris: IEA. Available at: </w:t>
      </w:r>
      <w:hyperlink r:id="rId24" w:tgtFrame="_blank" w:history="1">
        <w:r>
          <w:rPr>
            <w:rStyle w:val="Hyperlink"/>
          </w:rPr>
          <w:t>IEA Global EV Outlook 2025</w:t>
        </w:r>
      </w:hyperlink>
      <w:r>
        <w:t xml:space="preserve"> (Accessed: 2</w:t>
      </w:r>
      <w:r w:rsidR="0049171C">
        <w:t xml:space="preserve">5 June </w:t>
      </w:r>
      <w:r>
        <w:t>2026).</w:t>
      </w:r>
    </w:p>
    <w:p w14:paraId="0A76B289" w14:textId="77777777" w:rsidR="004E7DFF" w:rsidRDefault="004E7DFF" w:rsidP="004E7DFF">
      <w:pPr>
        <w:pStyle w:val="NormalWeb"/>
        <w:ind w:left="360"/>
      </w:pPr>
      <w:r>
        <w:t xml:space="preserve">Kotter, J.P. (2022) </w:t>
      </w:r>
      <w:r>
        <w:rPr>
          <w:rStyle w:val="Emphasis"/>
        </w:rPr>
        <w:t>Leading Change</w:t>
      </w:r>
      <w:r>
        <w:t>. Revised edn. Boston: Harvard Business Review Press.</w:t>
      </w:r>
    </w:p>
    <w:p w14:paraId="06ABD73D" w14:textId="180F4048" w:rsidR="004E7DFF" w:rsidRDefault="004E7DFF" w:rsidP="004E7DFF">
      <w:pPr>
        <w:pStyle w:val="NormalWeb"/>
        <w:ind w:left="360"/>
      </w:pPr>
      <w:r>
        <w:t xml:space="preserve">McKinsey &amp; Company (2025) </w:t>
      </w:r>
      <w:r>
        <w:rPr>
          <w:rStyle w:val="Emphasis"/>
        </w:rPr>
        <w:t>The State of AI: Global Survey</w:t>
      </w:r>
      <w:r>
        <w:t xml:space="preserve">. Available at: </w:t>
      </w:r>
      <w:hyperlink r:id="rId25" w:tgtFrame="_blank" w:history="1">
        <w:r>
          <w:rPr>
            <w:rStyle w:val="Hyperlink"/>
          </w:rPr>
          <w:t>McKinsey – State of AI</w:t>
        </w:r>
      </w:hyperlink>
      <w:r>
        <w:t xml:space="preserve"> (Accessed: 2</w:t>
      </w:r>
      <w:r w:rsidR="0049171C">
        <w:t>5</w:t>
      </w:r>
      <w:r>
        <w:t xml:space="preserve"> </w:t>
      </w:r>
      <w:r w:rsidR="0049171C">
        <w:t xml:space="preserve">June </w:t>
      </w:r>
      <w:r>
        <w:t>2026).</w:t>
      </w:r>
    </w:p>
    <w:p w14:paraId="096CEBBF" w14:textId="77777777" w:rsidR="004E7DFF" w:rsidRDefault="004E7DFF" w:rsidP="004E7DFF">
      <w:pPr>
        <w:pStyle w:val="NormalWeb"/>
        <w:ind w:left="360"/>
      </w:pPr>
      <w:r>
        <w:t xml:space="preserve">Northouse, P.G. (2022) </w:t>
      </w:r>
      <w:r>
        <w:rPr>
          <w:rStyle w:val="Emphasis"/>
        </w:rPr>
        <w:t>Leadership: Theory and Practice</w:t>
      </w:r>
      <w:r>
        <w:t>. 9th edn. Thousand Oaks, CA: Sage Publications.</w:t>
      </w:r>
    </w:p>
    <w:p w14:paraId="329CB4C9" w14:textId="308C6CB2" w:rsidR="004E7DFF" w:rsidRDefault="004E7DFF" w:rsidP="004E7DFF">
      <w:pPr>
        <w:pStyle w:val="NormalWeb"/>
        <w:ind w:left="360"/>
      </w:pPr>
      <w:r>
        <w:t xml:space="preserve">Nissan Motor Corporation (2024) </w:t>
      </w:r>
      <w:r>
        <w:rPr>
          <w:rStyle w:val="Emphasis"/>
        </w:rPr>
        <w:t>Integrated Report 2024</w:t>
      </w:r>
      <w:r>
        <w:t xml:space="preserve">. Available at: </w:t>
      </w:r>
      <w:hyperlink r:id="rId26" w:tgtFrame="_blank" w:history="1">
        <w:r>
          <w:rPr>
            <w:rStyle w:val="Hyperlink"/>
          </w:rPr>
          <w:t>Nissan Integrated Report 2024</w:t>
        </w:r>
      </w:hyperlink>
      <w:r>
        <w:t xml:space="preserve"> (Accessed: 2</w:t>
      </w:r>
      <w:r w:rsidR="0049171C">
        <w:t xml:space="preserve">7 June </w:t>
      </w:r>
      <w:r>
        <w:t>2026).</w:t>
      </w:r>
    </w:p>
    <w:p w14:paraId="40D057EA" w14:textId="75E3E931" w:rsidR="004E7DFF" w:rsidRDefault="004E7DFF" w:rsidP="004E7DFF">
      <w:pPr>
        <w:pStyle w:val="ListParagraph"/>
        <w:spacing w:before="100" w:beforeAutospacing="1" w:after="100" w:afterAutospacing="1"/>
        <w:ind w:left="360"/>
      </w:pPr>
      <w:r>
        <w:t xml:space="preserve">Nissan Motor Corporation (2025) </w:t>
      </w:r>
      <w:r>
        <w:rPr>
          <w:rStyle w:val="Emphasis"/>
        </w:rPr>
        <w:t>Carbon Neutrality and EV36Zero</w:t>
      </w:r>
      <w:r>
        <w:t xml:space="preserve">. Available at: </w:t>
      </w:r>
      <w:hyperlink r:id="rId27" w:tgtFrame="_blank" w:history="1">
        <w:r>
          <w:rPr>
            <w:rStyle w:val="Hyperlink"/>
          </w:rPr>
          <w:t>Nissan EV36Zero and Carbon Neutrality</w:t>
        </w:r>
      </w:hyperlink>
      <w:r>
        <w:t xml:space="preserve"> (Accessed: </w:t>
      </w:r>
      <w:r w:rsidR="0049171C">
        <w:t xml:space="preserve">30 June </w:t>
      </w:r>
      <w:r>
        <w:t>2026).</w:t>
      </w:r>
    </w:p>
    <w:p w14:paraId="13C97E22" w14:textId="437603AC" w:rsidR="004E7DFF" w:rsidRDefault="004E7DFF" w:rsidP="004E7DFF">
      <w:pPr>
        <w:pStyle w:val="NormalWeb"/>
        <w:ind w:left="360"/>
      </w:pPr>
      <w:r>
        <w:t xml:space="preserve">Nissan Motor Corporation (2025) </w:t>
      </w:r>
      <w:r>
        <w:rPr>
          <w:rStyle w:val="Emphasis"/>
        </w:rPr>
        <w:t>Nissan Technical Review No. 91: EV36Zero and Carbon Neutrality Initiatives at Sunderland Plant</w:t>
      </w:r>
      <w:r>
        <w:t xml:space="preserve">. Available at: </w:t>
      </w:r>
      <w:hyperlink r:id="rId28" w:tgtFrame="_blank" w:history="1">
        <w:r>
          <w:rPr>
            <w:rStyle w:val="Hyperlink"/>
          </w:rPr>
          <w:t>Nissan Technical Review No. 91</w:t>
        </w:r>
      </w:hyperlink>
      <w:r>
        <w:t xml:space="preserve"> (Accessed: 2 July 2026).</w:t>
      </w:r>
    </w:p>
    <w:p w14:paraId="33F894D3" w14:textId="2177B587" w:rsidR="004E7DFF" w:rsidRDefault="004E7DFF" w:rsidP="004E7DFF">
      <w:pPr>
        <w:pStyle w:val="NormalWeb"/>
        <w:ind w:left="360"/>
      </w:pPr>
      <w:r>
        <w:t xml:space="preserve">Prosci (2024) </w:t>
      </w:r>
      <w:r>
        <w:rPr>
          <w:rStyle w:val="Emphasis"/>
        </w:rPr>
        <w:t>Best Practices in Change Management</w:t>
      </w:r>
      <w:r>
        <w:t xml:space="preserve">. Available at: </w:t>
      </w:r>
      <w:hyperlink r:id="rId29" w:tgtFrame="_blank" w:history="1">
        <w:r>
          <w:rPr>
            <w:rStyle w:val="Hyperlink"/>
          </w:rPr>
          <w:t>Prosci Research Hub</w:t>
        </w:r>
      </w:hyperlink>
      <w:r>
        <w:t xml:space="preserve"> (Accessed: 2 July 2026).</w:t>
      </w:r>
    </w:p>
    <w:p w14:paraId="62723E83" w14:textId="77777777" w:rsidR="004E7DFF" w:rsidRDefault="004E7DFF" w:rsidP="004E7DFF">
      <w:pPr>
        <w:pStyle w:val="NormalWeb"/>
        <w:ind w:left="360"/>
      </w:pPr>
      <w:r>
        <w:t xml:space="preserve">Rasiel, E.M. and Friga, P.N. (2021) </w:t>
      </w:r>
      <w:r>
        <w:rPr>
          <w:rStyle w:val="Emphasis"/>
        </w:rPr>
        <w:t>The McKinsey Mind</w:t>
      </w:r>
      <w:r>
        <w:t>. 2nd edn. New York: McGraw-Hill.</w:t>
      </w:r>
    </w:p>
    <w:p w14:paraId="53D51BF4" w14:textId="77777777" w:rsidR="004E7DFF" w:rsidRDefault="004E7DFF" w:rsidP="004E7DFF">
      <w:pPr>
        <w:pStyle w:val="NormalWeb"/>
        <w:ind w:left="360"/>
      </w:pPr>
      <w:r>
        <w:t xml:space="preserve">Schein, E.H. and Schein, P.A. (2021) </w:t>
      </w:r>
      <w:r>
        <w:rPr>
          <w:rStyle w:val="Emphasis"/>
        </w:rPr>
        <w:t>Organizational Culture and Leadership</w:t>
      </w:r>
      <w:r>
        <w:t>. 6th edn. Hoboken, NJ: Wiley.</w:t>
      </w:r>
    </w:p>
    <w:p w14:paraId="319E3CDA" w14:textId="32FE235B" w:rsidR="004E7DFF" w:rsidRDefault="004E7DFF" w:rsidP="004E7DFF">
      <w:pPr>
        <w:pStyle w:val="NormalWeb"/>
        <w:ind w:left="360"/>
      </w:pPr>
      <w:r>
        <w:t xml:space="preserve">Society of Motor Manufacturers and Traders (SMMT) (2025) </w:t>
      </w:r>
      <w:r>
        <w:rPr>
          <w:rStyle w:val="Emphasis"/>
        </w:rPr>
        <w:t>UK Automotive Sustainability Report 2025</w:t>
      </w:r>
      <w:r>
        <w:t xml:space="preserve">. Available at: </w:t>
      </w:r>
      <w:hyperlink r:id="rId30" w:tgtFrame="_blank" w:history="1">
        <w:r>
          <w:rPr>
            <w:rStyle w:val="Hyperlink"/>
          </w:rPr>
          <w:t>SMMT Reports and Publications</w:t>
        </w:r>
      </w:hyperlink>
      <w:r>
        <w:t xml:space="preserve"> (Accessed: </w:t>
      </w:r>
      <w:r w:rsidR="0049171C">
        <w:t>4</w:t>
      </w:r>
      <w:r>
        <w:t xml:space="preserve"> July 2026).</w:t>
      </w:r>
    </w:p>
    <w:p w14:paraId="1E914F8A" w14:textId="0DA45BA6" w:rsidR="004E7DFF" w:rsidRDefault="004E7DFF" w:rsidP="004E7DFF">
      <w:pPr>
        <w:pStyle w:val="NormalWeb"/>
        <w:ind w:left="360"/>
      </w:pPr>
      <w:r>
        <w:t xml:space="preserve">UK Government (2025) </w:t>
      </w:r>
      <w:r>
        <w:rPr>
          <w:rStyle w:val="Emphasis"/>
        </w:rPr>
        <w:t>Net Zero Strategy: Build Back Greener</w:t>
      </w:r>
      <w:r>
        <w:t xml:space="preserve">. Available at: </w:t>
      </w:r>
      <w:hyperlink r:id="rId31" w:tgtFrame="_blank" w:history="1">
        <w:r>
          <w:rPr>
            <w:rStyle w:val="Hyperlink"/>
          </w:rPr>
          <w:t>UK Government Net Zero Strategy</w:t>
        </w:r>
      </w:hyperlink>
      <w:r>
        <w:t xml:space="preserve"> (Accessed: </w:t>
      </w:r>
      <w:r w:rsidR="0049171C">
        <w:t>6</w:t>
      </w:r>
      <w:r>
        <w:t xml:space="preserve"> July 2026).</w:t>
      </w:r>
    </w:p>
    <w:p w14:paraId="47A51A87" w14:textId="77777777" w:rsidR="004E7DFF" w:rsidRDefault="004E7DFF" w:rsidP="004E7DFF">
      <w:pPr>
        <w:pStyle w:val="NormalWeb"/>
        <w:ind w:left="360"/>
      </w:pPr>
      <w:r>
        <w:t xml:space="preserve">Waterman, R.H., Peters, T.J. and Phillips, J.R. (1980) ‘Structure is not organization’, </w:t>
      </w:r>
      <w:r>
        <w:rPr>
          <w:rStyle w:val="Emphasis"/>
        </w:rPr>
        <w:t>Business Horizons</w:t>
      </w:r>
      <w:r>
        <w:t>, 23(3), pp. 14–26.</w:t>
      </w:r>
    </w:p>
    <w:p w14:paraId="23F78C21" w14:textId="77777777" w:rsidR="004E7DFF" w:rsidRDefault="004E7DFF" w:rsidP="004E7DFF">
      <w:pPr>
        <w:pStyle w:val="NormalWeb"/>
        <w:ind w:left="360"/>
      </w:pPr>
      <w:r>
        <w:t xml:space="preserve">Westerman, G., Bonnet, D. and McAfee, A. (2014) </w:t>
      </w:r>
      <w:r>
        <w:rPr>
          <w:rStyle w:val="Emphasis"/>
        </w:rPr>
        <w:t>Leading Digital: Turning Technology into Business Transformation</w:t>
      </w:r>
      <w:r>
        <w:t>. Boston, MA: Harvard Business Review Press.</w:t>
      </w:r>
    </w:p>
    <w:p w14:paraId="6AC794B8" w14:textId="3B3BCCAE" w:rsidR="004E7DFF" w:rsidRDefault="004E7DFF" w:rsidP="004E7DFF">
      <w:pPr>
        <w:pStyle w:val="NormalWeb"/>
        <w:ind w:left="360"/>
      </w:pPr>
      <w:r>
        <w:t xml:space="preserve">World Economic Forum (2025) </w:t>
      </w:r>
      <w:r>
        <w:rPr>
          <w:rStyle w:val="Emphasis"/>
        </w:rPr>
        <w:t>The Future of Jobs Report 2025</w:t>
      </w:r>
      <w:r>
        <w:t xml:space="preserve">. Available at: </w:t>
      </w:r>
      <w:hyperlink r:id="rId32" w:tgtFrame="_blank" w:history="1">
        <w:r>
          <w:rPr>
            <w:rStyle w:val="Hyperlink"/>
          </w:rPr>
          <w:t>World Economic Forum – Future of Jobs Report 2025</w:t>
        </w:r>
      </w:hyperlink>
      <w:r>
        <w:t xml:space="preserve"> (Accessed: </w:t>
      </w:r>
      <w:r w:rsidR="0049171C">
        <w:t>13</w:t>
      </w:r>
      <w:r>
        <w:t xml:space="preserve"> July 2026).</w:t>
      </w:r>
    </w:p>
    <w:p w14:paraId="39392F8A" w14:textId="78C41EAD" w:rsidR="00D80FCE" w:rsidRDefault="004E7DFF" w:rsidP="004E7DFF">
      <w:pPr>
        <w:pStyle w:val="NormalWeb"/>
        <w:ind w:left="360"/>
      </w:pPr>
      <w:r>
        <w:t xml:space="preserve"> </w:t>
      </w:r>
    </w:p>
    <w:p w14:paraId="2AE7E5FF" w14:textId="77777777" w:rsidR="00D80FCE" w:rsidRDefault="00D80FCE" w:rsidP="00D80FCE">
      <w:pPr>
        <w:pStyle w:val="NormalWeb"/>
      </w:pPr>
    </w:p>
    <w:p w14:paraId="1DBBF2CA" w14:textId="77777777" w:rsidR="00A42FED" w:rsidRDefault="00A42FED" w:rsidP="00D80FCE">
      <w:pPr>
        <w:pStyle w:val="NormalWeb"/>
      </w:pPr>
    </w:p>
    <w:p w14:paraId="02A125ED" w14:textId="77777777" w:rsidR="00A42FED" w:rsidRDefault="00A42FED" w:rsidP="00D80FCE">
      <w:pPr>
        <w:pStyle w:val="NormalWeb"/>
      </w:pPr>
    </w:p>
    <w:p w14:paraId="18F505C1" w14:textId="77777777" w:rsidR="00A42FED" w:rsidRDefault="00A42FED" w:rsidP="00D80FCE">
      <w:pPr>
        <w:pStyle w:val="NormalWeb"/>
      </w:pPr>
    </w:p>
    <w:p w14:paraId="53392716" w14:textId="77777777" w:rsidR="00A42FED" w:rsidRDefault="00A42FED" w:rsidP="00D80FCE">
      <w:pPr>
        <w:pStyle w:val="NormalWeb"/>
      </w:pPr>
    </w:p>
    <w:p w14:paraId="33C4BE65" w14:textId="77777777" w:rsidR="00A42FED" w:rsidRDefault="00A42FED" w:rsidP="00D80FCE">
      <w:pPr>
        <w:pStyle w:val="NormalWeb"/>
      </w:pPr>
    </w:p>
    <w:p w14:paraId="6A30A371" w14:textId="77777777" w:rsidR="00A42FED" w:rsidRDefault="00A42FED" w:rsidP="00D80FCE">
      <w:pPr>
        <w:pStyle w:val="NormalWeb"/>
      </w:pPr>
    </w:p>
    <w:p w14:paraId="2537A4F9" w14:textId="77777777" w:rsidR="00A42FED" w:rsidRDefault="00A42FED" w:rsidP="00D80FCE">
      <w:pPr>
        <w:pStyle w:val="NormalWeb"/>
      </w:pPr>
    </w:p>
    <w:p w14:paraId="0EAEF597" w14:textId="77777777" w:rsidR="00A42FED" w:rsidRDefault="00A42FED" w:rsidP="00D80FCE">
      <w:pPr>
        <w:pStyle w:val="NormalWeb"/>
      </w:pPr>
    </w:p>
    <w:p w14:paraId="36313D2A" w14:textId="77777777" w:rsidR="00A42FED" w:rsidRDefault="00A42FED" w:rsidP="00D80FCE">
      <w:pPr>
        <w:pStyle w:val="NormalWeb"/>
      </w:pPr>
    </w:p>
    <w:p w14:paraId="66638381" w14:textId="77777777" w:rsidR="00A42FED" w:rsidRDefault="00A42FED" w:rsidP="00D80FCE">
      <w:pPr>
        <w:pStyle w:val="NormalWeb"/>
      </w:pPr>
    </w:p>
    <w:p w14:paraId="359C5E74" w14:textId="77777777" w:rsidR="00A42FED" w:rsidRDefault="00A42FED" w:rsidP="00D80FCE">
      <w:pPr>
        <w:pStyle w:val="NormalWeb"/>
      </w:pPr>
    </w:p>
    <w:p w14:paraId="4EB44810" w14:textId="00539D5C" w:rsidR="00D80FCE" w:rsidRPr="00A42FED" w:rsidRDefault="00D80FCE" w:rsidP="00C8064B">
      <w:pPr>
        <w:pStyle w:val="NormalWeb"/>
        <w:numPr>
          <w:ilvl w:val="0"/>
          <w:numId w:val="1"/>
        </w:numPr>
        <w:outlineLvl w:val="0"/>
        <w:rPr>
          <w:b/>
          <w:bCs/>
          <w:color w:val="7030A0"/>
          <w:sz w:val="28"/>
          <w:szCs w:val="28"/>
        </w:rPr>
      </w:pPr>
      <w:bookmarkStart w:id="8" w:name="_Toc234054498"/>
      <w:r w:rsidRPr="00A42FED">
        <w:rPr>
          <w:b/>
          <w:bCs/>
          <w:color w:val="7030A0"/>
          <w:sz w:val="28"/>
          <w:szCs w:val="28"/>
        </w:rPr>
        <w:t>Appendix</w:t>
      </w:r>
      <w:bookmarkEnd w:id="8"/>
    </w:p>
    <w:p w14:paraId="707757B5" w14:textId="4D92F158" w:rsidR="001335F7"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1941A366" wp14:editId="6C9479D0">
            <wp:extent cx="3721100" cy="4066102"/>
            <wp:effectExtent l="0" t="0" r="0" b="0"/>
            <wp:docPr id="1647629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629134" name="Picture 1647629134"/>
                    <pic:cNvPicPr/>
                  </pic:nvPicPr>
                  <pic:blipFill rotWithShape="1">
                    <a:blip r:embed="rId33">
                      <a:extLst>
                        <a:ext uri="{28A0092B-C50C-407E-A947-70E740481C1C}">
                          <a14:useLocalDpi xmlns:a14="http://schemas.microsoft.com/office/drawing/2010/main" val="0"/>
                        </a:ext>
                      </a:extLst>
                    </a:blip>
                    <a:srcRect r="66541" b="45156"/>
                    <a:stretch>
                      <a:fillRect/>
                    </a:stretch>
                  </pic:blipFill>
                  <pic:spPr bwMode="auto">
                    <a:xfrm>
                      <a:off x="0" y="0"/>
                      <a:ext cx="3731919" cy="4077924"/>
                    </a:xfrm>
                    <a:prstGeom prst="rect">
                      <a:avLst/>
                    </a:prstGeom>
                    <a:ln>
                      <a:noFill/>
                    </a:ln>
                    <a:extLst>
                      <a:ext uri="{53640926-AAD7-44D8-BBD7-CCE9431645EC}">
                        <a14:shadowObscured xmlns:a14="http://schemas.microsoft.com/office/drawing/2010/main"/>
                      </a:ext>
                    </a:extLst>
                  </pic:spPr>
                </pic:pic>
              </a:graphicData>
            </a:graphic>
          </wp:inline>
        </w:drawing>
      </w:r>
    </w:p>
    <w:p w14:paraId="5B79FADF" w14:textId="77777777" w:rsidR="00D80FCE" w:rsidRDefault="00D80FCE" w:rsidP="00D80FCE">
      <w:pPr>
        <w:ind w:left="360"/>
        <w:jc w:val="center"/>
        <w:rPr>
          <w:rFonts w:ascii="Times New Roman" w:hAnsi="Times New Roman" w:cs="Times New Roman"/>
          <w:sz w:val="24"/>
          <w:szCs w:val="24"/>
          <w:lang w:eastAsia="en-IN"/>
        </w:rPr>
      </w:pPr>
    </w:p>
    <w:p w14:paraId="3EFB5FE9" w14:textId="7D1AA5D1" w:rsidR="00D80FCE"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0258472E" wp14:editId="28089685">
            <wp:extent cx="3591957" cy="3975100"/>
            <wp:effectExtent l="0" t="0" r="8890" b="6350"/>
            <wp:docPr id="1882716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716097" name="Picture 1882716097"/>
                    <pic:cNvPicPr/>
                  </pic:nvPicPr>
                  <pic:blipFill rotWithShape="1">
                    <a:blip r:embed="rId33">
                      <a:extLst>
                        <a:ext uri="{28A0092B-C50C-407E-A947-70E740481C1C}">
                          <a14:useLocalDpi xmlns:a14="http://schemas.microsoft.com/office/drawing/2010/main" val="0"/>
                        </a:ext>
                      </a:extLst>
                    </a:blip>
                    <a:srcRect l="33459" r="33304" b="44823"/>
                    <a:stretch>
                      <a:fillRect/>
                    </a:stretch>
                  </pic:blipFill>
                  <pic:spPr bwMode="auto">
                    <a:xfrm>
                      <a:off x="0" y="0"/>
                      <a:ext cx="3611050" cy="3996230"/>
                    </a:xfrm>
                    <a:prstGeom prst="rect">
                      <a:avLst/>
                    </a:prstGeom>
                    <a:ln>
                      <a:noFill/>
                    </a:ln>
                    <a:extLst>
                      <a:ext uri="{53640926-AAD7-44D8-BBD7-CCE9431645EC}">
                        <a14:shadowObscured xmlns:a14="http://schemas.microsoft.com/office/drawing/2010/main"/>
                      </a:ext>
                    </a:extLst>
                  </pic:spPr>
                </pic:pic>
              </a:graphicData>
            </a:graphic>
          </wp:inline>
        </w:drawing>
      </w:r>
    </w:p>
    <w:p w14:paraId="029A648B" w14:textId="77777777" w:rsidR="00D80FCE" w:rsidRDefault="00D80FCE" w:rsidP="00D80FCE">
      <w:pPr>
        <w:ind w:left="360"/>
        <w:jc w:val="center"/>
        <w:rPr>
          <w:rFonts w:ascii="Times New Roman" w:hAnsi="Times New Roman" w:cs="Times New Roman"/>
          <w:sz w:val="24"/>
          <w:szCs w:val="24"/>
          <w:lang w:eastAsia="en-IN"/>
        </w:rPr>
      </w:pPr>
    </w:p>
    <w:p w14:paraId="14EC6052" w14:textId="3CC821FE" w:rsidR="00D80FCE"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64CCD846" wp14:editId="3C8E7FB9">
            <wp:extent cx="4584990" cy="3060700"/>
            <wp:effectExtent l="0" t="0" r="6350" b="6350"/>
            <wp:docPr id="1682506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50606" name="Picture 168250606"/>
                    <pic:cNvPicPr/>
                  </pic:nvPicPr>
                  <pic:blipFill rotWithShape="1">
                    <a:blip r:embed="rId33">
                      <a:extLst>
                        <a:ext uri="{28A0092B-C50C-407E-A947-70E740481C1C}">
                          <a14:useLocalDpi xmlns:a14="http://schemas.microsoft.com/office/drawing/2010/main" val="0"/>
                        </a:ext>
                      </a:extLst>
                    </a:blip>
                    <a:srcRect l="66475" b="66429"/>
                    <a:stretch>
                      <a:fillRect/>
                    </a:stretch>
                  </pic:blipFill>
                  <pic:spPr bwMode="auto">
                    <a:xfrm>
                      <a:off x="0" y="0"/>
                      <a:ext cx="4599780" cy="3070573"/>
                    </a:xfrm>
                    <a:prstGeom prst="rect">
                      <a:avLst/>
                    </a:prstGeom>
                    <a:ln>
                      <a:noFill/>
                    </a:ln>
                    <a:extLst>
                      <a:ext uri="{53640926-AAD7-44D8-BBD7-CCE9431645EC}">
                        <a14:shadowObscured xmlns:a14="http://schemas.microsoft.com/office/drawing/2010/main"/>
                      </a:ext>
                    </a:extLst>
                  </pic:spPr>
                </pic:pic>
              </a:graphicData>
            </a:graphic>
          </wp:inline>
        </w:drawing>
      </w:r>
    </w:p>
    <w:p w14:paraId="38CD775D" w14:textId="77777777" w:rsidR="00D80FCE" w:rsidRDefault="00D80FCE" w:rsidP="00D80FCE">
      <w:pPr>
        <w:ind w:left="360"/>
        <w:rPr>
          <w:rFonts w:ascii="Times New Roman" w:hAnsi="Times New Roman" w:cs="Times New Roman"/>
          <w:sz w:val="24"/>
          <w:szCs w:val="24"/>
          <w:lang w:eastAsia="en-IN"/>
        </w:rPr>
      </w:pPr>
    </w:p>
    <w:p w14:paraId="7D8D8634" w14:textId="112E4682" w:rsidR="00D80FCE"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375398BB" wp14:editId="60B61AB8">
            <wp:extent cx="3835400" cy="1673077"/>
            <wp:effectExtent l="0" t="0" r="0" b="3810"/>
            <wp:docPr id="5748711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71188" name="Picture 574871188"/>
                    <pic:cNvPicPr/>
                  </pic:nvPicPr>
                  <pic:blipFill rotWithShape="1">
                    <a:blip r:embed="rId33">
                      <a:extLst>
                        <a:ext uri="{28A0092B-C50C-407E-A947-70E740481C1C}">
                          <a14:useLocalDpi xmlns:a14="http://schemas.microsoft.com/office/drawing/2010/main" val="0"/>
                        </a:ext>
                      </a:extLst>
                    </a:blip>
                    <a:srcRect l="66475" t="33572" b="44491"/>
                    <a:stretch>
                      <a:fillRect/>
                    </a:stretch>
                  </pic:blipFill>
                  <pic:spPr bwMode="auto">
                    <a:xfrm>
                      <a:off x="0" y="0"/>
                      <a:ext cx="3872378" cy="1689208"/>
                    </a:xfrm>
                    <a:prstGeom prst="rect">
                      <a:avLst/>
                    </a:prstGeom>
                    <a:ln>
                      <a:noFill/>
                    </a:ln>
                    <a:extLst>
                      <a:ext uri="{53640926-AAD7-44D8-BBD7-CCE9431645EC}">
                        <a14:shadowObscured xmlns:a14="http://schemas.microsoft.com/office/drawing/2010/main"/>
                      </a:ext>
                    </a:extLst>
                  </pic:spPr>
                </pic:pic>
              </a:graphicData>
            </a:graphic>
          </wp:inline>
        </w:drawing>
      </w:r>
    </w:p>
    <w:p w14:paraId="023D2676" w14:textId="77777777" w:rsidR="00D80FCE" w:rsidRDefault="00D80FCE" w:rsidP="00D80FCE">
      <w:pPr>
        <w:ind w:left="360"/>
        <w:jc w:val="center"/>
        <w:rPr>
          <w:rFonts w:ascii="Times New Roman" w:hAnsi="Times New Roman" w:cs="Times New Roman"/>
          <w:sz w:val="24"/>
          <w:szCs w:val="24"/>
          <w:lang w:eastAsia="en-IN"/>
        </w:rPr>
      </w:pPr>
    </w:p>
    <w:p w14:paraId="36594D52" w14:textId="39023A18" w:rsidR="00D80FCE"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257B8BE7" wp14:editId="7EE37B49">
            <wp:extent cx="3302000" cy="3290904"/>
            <wp:effectExtent l="0" t="0" r="0" b="5080"/>
            <wp:docPr id="17829127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912742" name="Picture 1782912742"/>
                    <pic:cNvPicPr/>
                  </pic:nvPicPr>
                  <pic:blipFill rotWithShape="1">
                    <a:blip r:embed="rId33">
                      <a:extLst>
                        <a:ext uri="{28A0092B-C50C-407E-A947-70E740481C1C}">
                          <a14:useLocalDpi xmlns:a14="http://schemas.microsoft.com/office/drawing/2010/main" val="0"/>
                        </a:ext>
                      </a:extLst>
                    </a:blip>
                    <a:srcRect t="55177" r="74961" b="7389"/>
                    <a:stretch>
                      <a:fillRect/>
                    </a:stretch>
                  </pic:blipFill>
                  <pic:spPr bwMode="auto">
                    <a:xfrm>
                      <a:off x="0" y="0"/>
                      <a:ext cx="3341983" cy="3330753"/>
                    </a:xfrm>
                    <a:prstGeom prst="rect">
                      <a:avLst/>
                    </a:prstGeom>
                    <a:ln>
                      <a:noFill/>
                    </a:ln>
                    <a:extLst>
                      <a:ext uri="{53640926-AAD7-44D8-BBD7-CCE9431645EC}">
                        <a14:shadowObscured xmlns:a14="http://schemas.microsoft.com/office/drawing/2010/main"/>
                      </a:ext>
                    </a:extLst>
                  </pic:spPr>
                </pic:pic>
              </a:graphicData>
            </a:graphic>
          </wp:inline>
        </w:drawing>
      </w:r>
    </w:p>
    <w:p w14:paraId="5544AC37" w14:textId="0EECDC88" w:rsidR="00D80FCE"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2FD5017C" wp14:editId="7E9BA0B8">
            <wp:extent cx="3619500" cy="3886200"/>
            <wp:effectExtent l="0" t="0" r="0" b="0"/>
            <wp:docPr id="1106384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38445" name="Picture 110638445"/>
                    <pic:cNvPicPr/>
                  </pic:nvPicPr>
                  <pic:blipFill rotWithShape="1">
                    <a:blip r:embed="rId33">
                      <a:extLst>
                        <a:ext uri="{28A0092B-C50C-407E-A947-70E740481C1C}">
                          <a14:useLocalDpi xmlns:a14="http://schemas.microsoft.com/office/drawing/2010/main" val="0"/>
                        </a:ext>
                      </a:extLst>
                    </a:blip>
                    <a:srcRect l="25260" t="55509" r="51832" b="7595"/>
                    <a:stretch>
                      <a:fillRect/>
                    </a:stretch>
                  </pic:blipFill>
                  <pic:spPr bwMode="auto">
                    <a:xfrm>
                      <a:off x="0" y="0"/>
                      <a:ext cx="3631101" cy="3898656"/>
                    </a:xfrm>
                    <a:prstGeom prst="rect">
                      <a:avLst/>
                    </a:prstGeom>
                    <a:ln>
                      <a:noFill/>
                    </a:ln>
                    <a:extLst>
                      <a:ext uri="{53640926-AAD7-44D8-BBD7-CCE9431645EC}">
                        <a14:shadowObscured xmlns:a14="http://schemas.microsoft.com/office/drawing/2010/main"/>
                      </a:ext>
                    </a:extLst>
                  </pic:spPr>
                </pic:pic>
              </a:graphicData>
            </a:graphic>
          </wp:inline>
        </w:drawing>
      </w:r>
    </w:p>
    <w:p w14:paraId="02E8D24A" w14:textId="77777777" w:rsidR="00D80FCE" w:rsidRDefault="00D80FCE" w:rsidP="00D80FCE">
      <w:pPr>
        <w:ind w:left="360"/>
        <w:jc w:val="center"/>
        <w:rPr>
          <w:rFonts w:ascii="Times New Roman" w:hAnsi="Times New Roman" w:cs="Times New Roman"/>
          <w:sz w:val="24"/>
          <w:szCs w:val="24"/>
          <w:lang w:eastAsia="en-IN"/>
        </w:rPr>
      </w:pPr>
    </w:p>
    <w:p w14:paraId="53ABE971" w14:textId="2D4D92CE" w:rsidR="00D80FCE" w:rsidRDefault="00C8064B"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1405AF59" wp14:editId="04741B42">
            <wp:extent cx="3898900" cy="4410877"/>
            <wp:effectExtent l="0" t="0" r="6350" b="8890"/>
            <wp:docPr id="17207289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728926" name="Picture 1720728926"/>
                    <pic:cNvPicPr/>
                  </pic:nvPicPr>
                  <pic:blipFill rotWithShape="1">
                    <a:blip r:embed="rId33">
                      <a:extLst>
                        <a:ext uri="{28A0092B-C50C-407E-A947-70E740481C1C}">
                          <a14:useLocalDpi xmlns:a14="http://schemas.microsoft.com/office/drawing/2010/main" val="0"/>
                        </a:ext>
                      </a:extLst>
                    </a:blip>
                    <a:srcRect l="48971" t="55509" r="29093" b="7262"/>
                    <a:stretch>
                      <a:fillRect/>
                    </a:stretch>
                  </pic:blipFill>
                  <pic:spPr bwMode="auto">
                    <a:xfrm>
                      <a:off x="0" y="0"/>
                      <a:ext cx="3898900" cy="4410877"/>
                    </a:xfrm>
                    <a:prstGeom prst="rect">
                      <a:avLst/>
                    </a:prstGeom>
                    <a:ln>
                      <a:noFill/>
                    </a:ln>
                    <a:extLst>
                      <a:ext uri="{53640926-AAD7-44D8-BBD7-CCE9431645EC}">
                        <a14:shadowObscured xmlns:a14="http://schemas.microsoft.com/office/drawing/2010/main"/>
                      </a:ext>
                    </a:extLst>
                  </pic:spPr>
                </pic:pic>
              </a:graphicData>
            </a:graphic>
          </wp:inline>
        </w:drawing>
      </w:r>
    </w:p>
    <w:p w14:paraId="72825AEC" w14:textId="6FDD6FA9" w:rsidR="00C8064B" w:rsidRPr="001335F7" w:rsidRDefault="00C8064B"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1D11ABEB" wp14:editId="2012EF49">
            <wp:extent cx="4972212" cy="4165600"/>
            <wp:effectExtent l="0" t="0" r="0" b="6350"/>
            <wp:docPr id="13872247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24775" name="Picture 1387224775"/>
                    <pic:cNvPicPr/>
                  </pic:nvPicPr>
                  <pic:blipFill rotWithShape="1">
                    <a:blip r:embed="rId33">
                      <a:extLst>
                        <a:ext uri="{28A0092B-C50C-407E-A947-70E740481C1C}">
                          <a14:useLocalDpi xmlns:a14="http://schemas.microsoft.com/office/drawing/2010/main" val="0"/>
                        </a:ext>
                      </a:extLst>
                    </a:blip>
                    <a:srcRect l="70906" t="55842" b="7595"/>
                    <a:stretch>
                      <a:fillRect/>
                    </a:stretch>
                  </pic:blipFill>
                  <pic:spPr bwMode="auto">
                    <a:xfrm>
                      <a:off x="0" y="0"/>
                      <a:ext cx="4988912" cy="4179590"/>
                    </a:xfrm>
                    <a:prstGeom prst="rect">
                      <a:avLst/>
                    </a:prstGeom>
                    <a:ln>
                      <a:noFill/>
                    </a:ln>
                    <a:extLst>
                      <a:ext uri="{53640926-AAD7-44D8-BBD7-CCE9431645EC}">
                        <a14:shadowObscured xmlns:a14="http://schemas.microsoft.com/office/drawing/2010/main"/>
                      </a:ext>
                    </a:extLst>
                  </pic:spPr>
                </pic:pic>
              </a:graphicData>
            </a:graphic>
          </wp:inline>
        </w:drawing>
      </w:r>
    </w:p>
    <w:sectPr w:rsidR="00C8064B" w:rsidRPr="001335F7">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32956" w14:textId="77777777" w:rsidR="00AB5BE9" w:rsidRDefault="00AB5BE9" w:rsidP="00841571">
      <w:pPr>
        <w:spacing w:after="0" w:line="240" w:lineRule="auto"/>
      </w:pPr>
      <w:r>
        <w:separator/>
      </w:r>
    </w:p>
  </w:endnote>
  <w:endnote w:type="continuationSeparator" w:id="0">
    <w:p w14:paraId="05044FB2" w14:textId="77777777" w:rsidR="00AB5BE9" w:rsidRDefault="00AB5BE9" w:rsidP="00841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9348430"/>
      <w:docPartObj>
        <w:docPartGallery w:val="Page Numbers (Bottom of Page)"/>
        <w:docPartUnique/>
      </w:docPartObj>
    </w:sdtPr>
    <w:sdtEndPr>
      <w:rPr>
        <w:noProof/>
      </w:rPr>
    </w:sdtEndPr>
    <w:sdtContent>
      <w:p w14:paraId="077CB568" w14:textId="6E691803" w:rsidR="00A42FED" w:rsidRDefault="00A42F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B7F8A8" w14:textId="77777777" w:rsidR="00A42FED" w:rsidRDefault="00A42F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51945" w14:textId="77777777" w:rsidR="00AB5BE9" w:rsidRDefault="00AB5BE9" w:rsidP="00841571">
      <w:pPr>
        <w:spacing w:after="0" w:line="240" w:lineRule="auto"/>
      </w:pPr>
      <w:r>
        <w:separator/>
      </w:r>
    </w:p>
  </w:footnote>
  <w:footnote w:type="continuationSeparator" w:id="0">
    <w:p w14:paraId="4F9486D3" w14:textId="77777777" w:rsidR="00AB5BE9" w:rsidRDefault="00AB5BE9" w:rsidP="008415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7501CA"/>
    <w:multiLevelType w:val="multilevel"/>
    <w:tmpl w:val="CDB40302"/>
    <w:lvl w:ilvl="0">
      <w:start w:val="1"/>
      <w:numFmt w:val="decimal"/>
      <w:lvlText w:val="%1."/>
      <w:lvlJc w:val="left"/>
      <w:pPr>
        <w:ind w:left="360" w:hanging="360"/>
      </w:pPr>
      <w:rPr>
        <w:rFonts w:hint="default"/>
      </w:rPr>
    </w:lvl>
    <w:lvl w:ilvl="1">
      <w:start w:val="6"/>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492839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5F7"/>
    <w:rsid w:val="00037D75"/>
    <w:rsid w:val="000E0CD1"/>
    <w:rsid w:val="000F35B8"/>
    <w:rsid w:val="001168D9"/>
    <w:rsid w:val="001335F7"/>
    <w:rsid w:val="002713E6"/>
    <w:rsid w:val="0029548A"/>
    <w:rsid w:val="002E48E0"/>
    <w:rsid w:val="0039265B"/>
    <w:rsid w:val="004542FC"/>
    <w:rsid w:val="004850D6"/>
    <w:rsid w:val="0049171C"/>
    <w:rsid w:val="004A57C8"/>
    <w:rsid w:val="004E7DFF"/>
    <w:rsid w:val="00522515"/>
    <w:rsid w:val="00542501"/>
    <w:rsid w:val="005A08F4"/>
    <w:rsid w:val="005B119F"/>
    <w:rsid w:val="00602661"/>
    <w:rsid w:val="0063646E"/>
    <w:rsid w:val="00732282"/>
    <w:rsid w:val="008074C0"/>
    <w:rsid w:val="008200C8"/>
    <w:rsid w:val="00841571"/>
    <w:rsid w:val="0087651A"/>
    <w:rsid w:val="008B117D"/>
    <w:rsid w:val="008E38DB"/>
    <w:rsid w:val="0092148E"/>
    <w:rsid w:val="009C7280"/>
    <w:rsid w:val="00A0515C"/>
    <w:rsid w:val="00A42FED"/>
    <w:rsid w:val="00AB5BE9"/>
    <w:rsid w:val="00B71A95"/>
    <w:rsid w:val="00C8064B"/>
    <w:rsid w:val="00CC5C25"/>
    <w:rsid w:val="00D00A0E"/>
    <w:rsid w:val="00D80FCE"/>
    <w:rsid w:val="00E3404E"/>
    <w:rsid w:val="00F04B56"/>
    <w:rsid w:val="00F04E25"/>
    <w:rsid w:val="00F46E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3A9E6"/>
  <w15:chartTrackingRefBased/>
  <w15:docId w15:val="{41E1FB59-CEDA-43C2-A02B-959A77FEB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5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335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35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35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35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3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5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335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35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35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35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3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5F7"/>
    <w:rPr>
      <w:rFonts w:eastAsiaTheme="majorEastAsia" w:cstheme="majorBidi"/>
      <w:color w:val="272727" w:themeColor="text1" w:themeTint="D8"/>
    </w:rPr>
  </w:style>
  <w:style w:type="paragraph" w:styleId="Title">
    <w:name w:val="Title"/>
    <w:basedOn w:val="Normal"/>
    <w:next w:val="Normal"/>
    <w:link w:val="TitleChar"/>
    <w:uiPriority w:val="10"/>
    <w:qFormat/>
    <w:rsid w:val="00133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5F7"/>
    <w:pPr>
      <w:spacing w:before="160"/>
      <w:jc w:val="center"/>
    </w:pPr>
    <w:rPr>
      <w:i/>
      <w:iCs/>
      <w:color w:val="404040" w:themeColor="text1" w:themeTint="BF"/>
    </w:rPr>
  </w:style>
  <w:style w:type="character" w:customStyle="1" w:styleId="QuoteChar">
    <w:name w:val="Quote Char"/>
    <w:basedOn w:val="DefaultParagraphFont"/>
    <w:link w:val="Quote"/>
    <w:uiPriority w:val="29"/>
    <w:rsid w:val="001335F7"/>
    <w:rPr>
      <w:i/>
      <w:iCs/>
      <w:color w:val="404040" w:themeColor="text1" w:themeTint="BF"/>
    </w:rPr>
  </w:style>
  <w:style w:type="paragraph" w:styleId="ListParagraph">
    <w:name w:val="List Paragraph"/>
    <w:basedOn w:val="Normal"/>
    <w:uiPriority w:val="34"/>
    <w:qFormat/>
    <w:rsid w:val="001335F7"/>
    <w:pPr>
      <w:ind w:left="720"/>
      <w:contextualSpacing/>
    </w:pPr>
  </w:style>
  <w:style w:type="character" w:styleId="IntenseEmphasis">
    <w:name w:val="Intense Emphasis"/>
    <w:basedOn w:val="DefaultParagraphFont"/>
    <w:uiPriority w:val="21"/>
    <w:qFormat/>
    <w:rsid w:val="001335F7"/>
    <w:rPr>
      <w:i/>
      <w:iCs/>
      <w:color w:val="2F5496" w:themeColor="accent1" w:themeShade="BF"/>
    </w:rPr>
  </w:style>
  <w:style w:type="paragraph" w:styleId="IntenseQuote">
    <w:name w:val="Intense Quote"/>
    <w:basedOn w:val="Normal"/>
    <w:next w:val="Normal"/>
    <w:link w:val="IntenseQuoteChar"/>
    <w:uiPriority w:val="30"/>
    <w:qFormat/>
    <w:rsid w:val="001335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35F7"/>
    <w:rPr>
      <w:i/>
      <w:iCs/>
      <w:color w:val="2F5496" w:themeColor="accent1" w:themeShade="BF"/>
    </w:rPr>
  </w:style>
  <w:style w:type="character" w:styleId="IntenseReference">
    <w:name w:val="Intense Reference"/>
    <w:basedOn w:val="DefaultParagraphFont"/>
    <w:uiPriority w:val="32"/>
    <w:qFormat/>
    <w:rsid w:val="001335F7"/>
    <w:rPr>
      <w:b/>
      <w:bCs/>
      <w:smallCaps/>
      <w:color w:val="2F5496" w:themeColor="accent1" w:themeShade="BF"/>
      <w:spacing w:val="5"/>
    </w:rPr>
  </w:style>
  <w:style w:type="paragraph" w:customStyle="1" w:styleId="pdq2pgselectionanchorcontainer">
    <w:name w:val="pdq2pg_selectionanchorcontainer"/>
    <w:basedOn w:val="Normal"/>
    <w:rsid w:val="001335F7"/>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NormalWeb">
    <w:name w:val="Normal (Web)"/>
    <w:basedOn w:val="Normal"/>
    <w:uiPriority w:val="99"/>
    <w:unhideWhenUsed/>
    <w:rsid w:val="001335F7"/>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1335F7"/>
    <w:rPr>
      <w:b/>
      <w:bCs/>
    </w:rPr>
  </w:style>
  <w:style w:type="character" w:styleId="Emphasis">
    <w:name w:val="Emphasis"/>
    <w:basedOn w:val="DefaultParagraphFont"/>
    <w:uiPriority w:val="20"/>
    <w:qFormat/>
    <w:rsid w:val="00D80FCE"/>
    <w:rPr>
      <w:i/>
      <w:iCs/>
    </w:rPr>
  </w:style>
  <w:style w:type="character" w:styleId="Hyperlink">
    <w:name w:val="Hyperlink"/>
    <w:basedOn w:val="DefaultParagraphFont"/>
    <w:uiPriority w:val="99"/>
    <w:unhideWhenUsed/>
    <w:rsid w:val="00D80FCE"/>
    <w:rPr>
      <w:color w:val="0000FF"/>
      <w:u w:val="single"/>
    </w:rPr>
  </w:style>
  <w:style w:type="paragraph" w:styleId="TOCHeading">
    <w:name w:val="TOC Heading"/>
    <w:basedOn w:val="Heading1"/>
    <w:next w:val="Normal"/>
    <w:uiPriority w:val="39"/>
    <w:unhideWhenUsed/>
    <w:qFormat/>
    <w:rsid w:val="00C8064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8064B"/>
    <w:pPr>
      <w:spacing w:after="100"/>
    </w:pPr>
  </w:style>
  <w:style w:type="paragraph" w:styleId="Header">
    <w:name w:val="header"/>
    <w:basedOn w:val="Normal"/>
    <w:link w:val="HeaderChar"/>
    <w:uiPriority w:val="99"/>
    <w:unhideWhenUsed/>
    <w:rsid w:val="00841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571"/>
  </w:style>
  <w:style w:type="paragraph" w:styleId="Footer">
    <w:name w:val="footer"/>
    <w:basedOn w:val="Normal"/>
    <w:link w:val="FooterChar"/>
    <w:uiPriority w:val="99"/>
    <w:unhideWhenUsed/>
    <w:rsid w:val="00841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nissan-global.com/EN/IR/INTEGRATED_REPORT/?utm_source=chatgpt.com" TargetMode="External"/><Relationship Id="rId3" Type="http://schemas.openxmlformats.org/officeDocument/2006/relationships/styles" Target="styles.xml"/><Relationship Id="rId21" Type="http://schemas.openxmlformats.org/officeDocument/2006/relationships/hyperlink" Target="https://www.deloitte.com/uk/en/about/governance/annual-review-2025/transformation-technology.html?icid=lnc_transformation-with-technology&amp;utm_source=chatgpt.com"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mckinsey.com/capabilities/quantumblack/our-insights/the-state-of-ai?utm_source=chatgpt.com" TargetMode="External"/><Relationship Id="rId33"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deloitte.com/uk/en/about/governance/annual-review-2025/energy-transition-sustainability.html?utm_source=chatgpt.com" TargetMode="External"/><Relationship Id="rId29" Type="http://schemas.openxmlformats.org/officeDocument/2006/relationships/hyperlink" Target="https://www.prosci.com/resource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iea.org/reports/global-ev-outlook-2025?utm_source=chatgpt.com" TargetMode="External"/><Relationship Id="rId32" Type="http://schemas.openxmlformats.org/officeDocument/2006/relationships/hyperlink" Target="https://www.weforum.org/publications/the-future-of-jobs-report-2025/in-full/?utm_source=chatgpt.com"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prosci.com/methodology/adkar?utm_source=chatgpt.com" TargetMode="External"/><Relationship Id="rId28" Type="http://schemas.openxmlformats.org/officeDocument/2006/relationships/hyperlink" Target="https://www2.nissan-global.com/EN/TECHNICALREVIEW/PDF/TOPIC/NISSAN_TECHINICAL_REVIEW_91_En_ALL.pdf?utm_source=chatgpt.com"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www.gov.uk/government/publications/net-zero-strategy?utm_source=chatgpt.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deloitte.com/uk/en/about/governance/annual-review-2025/energy-transition-sustainability.html?utm_source=chatgpt.com" TargetMode="External"/><Relationship Id="rId27" Type="http://schemas.openxmlformats.org/officeDocument/2006/relationships/hyperlink" Target="https://www.nissan-global.com/EN/SUSTAINABILITY/ENVIRONMENT/CARBONNEUTRAL/?utm_source=chatgpt.com" TargetMode="External"/><Relationship Id="rId30" Type="http://schemas.openxmlformats.org/officeDocument/2006/relationships/hyperlink" Target="https://www.smmt.co.uk/reports/?utm_source=chatgpt.com"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823F27-7096-4FC2-BFED-34108ACE0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5808</Words>
  <Characters>33108</Characters>
  <Application>Microsoft Office Word</Application>
  <DocSecurity>0</DocSecurity>
  <Lines>275</Lines>
  <Paragraphs>77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Executive Summary</vt:lpstr>
      <vt:lpstr>Introduction</vt:lpstr>
      <vt:lpstr>Organisational Analysis &amp; Need for Change</vt:lpstr>
      <vt:lpstr>Change Management Models</vt:lpstr>
      <vt:lpstr>Leadership &amp; Organisational Culture</vt:lpstr>
      <vt:lpstr>Strategic Change Plan</vt:lpstr>
      <vt:lpstr>Conclusion</vt:lpstr>
      <vt:lpstr>References</vt:lpstr>
      <vt:lpstr>Appendix</vt:lpstr>
    </vt:vector>
  </TitlesOfParts>
  <Company/>
  <LinksUpToDate>false</LinksUpToDate>
  <CharactersWithSpaces>38839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lisman</dc:creator>
  <cp:keywords/>
  <dc:description/>
  <cp:lastModifiedBy>Andreea-Elena Lisman</cp:lastModifiedBy>
  <cp:revision>8</cp:revision>
  <dcterms:created xsi:type="dcterms:W3CDTF">2026-07-20T09:22:00Z</dcterms:created>
  <dcterms:modified xsi:type="dcterms:W3CDTF">2026-07-20T10:50:00Z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af0beb2e-f7af-475a-9637-fd547ba338da</vt:lpwstr>
  </property>
</Properties>
</file>