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2DAB" w:rsidRDefault="00732DAB" w:rsidP="00732DAB">
      <w:pPr>
        <w:pStyle w:val="NormalWeb"/>
        <w:spacing w:before="0" w:beforeAutospacing="0" w:after="0" w:afterAutospacing="0"/>
        <w:ind w:right="-334"/>
      </w:pPr>
    </w:p>
    <w:p w:rsidR="00732DAB" w:rsidRDefault="00732DAB" w:rsidP="00732DAB">
      <w:pPr>
        <w:pStyle w:val="NormalWeb"/>
        <w:spacing w:before="0" w:beforeAutospacing="0" w:after="0" w:afterAutospacing="0"/>
        <w:ind w:left="-180" w:right="-334"/>
      </w:pPr>
    </w:p>
    <w:p w:rsidR="00732DAB" w:rsidRDefault="00732DAB" w:rsidP="00732DA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732DAB" w:rsidRPr="00230F35" w:rsidRDefault="00732DAB" w:rsidP="00732DA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732DAB" w:rsidRPr="00230F35" w:rsidRDefault="00732DAB" w:rsidP="00732DAB">
      <w:pPr>
        <w:rPr>
          <w:rFonts w:ascii="Arial" w:hAnsi="Arial" w:cs="Arial"/>
          <w:sz w:val="28"/>
          <w:szCs w:val="28"/>
          <w:lang w:val="cy-GB"/>
        </w:rPr>
      </w:pPr>
    </w:p>
    <w:p w:rsidR="00732DAB" w:rsidRDefault="00732DAB" w:rsidP="00732DAB">
      <w:pPr>
        <w:pStyle w:val="Heading3"/>
        <w:jc w:val="center"/>
        <w:rPr>
          <w:lang w:val="cy-GB"/>
        </w:rPr>
      </w:pPr>
      <w:r>
        <w:rPr>
          <w:lang w:val="cy-GB"/>
        </w:rPr>
        <w:t>THIS SHEET MUST BE THE FIRST PAGE OF THE ASSIGNMENT YOU ARE SUBMITTING  (DO NOT SEND AS A SEPARATE FILE)</w:t>
      </w:r>
    </w:p>
    <w:p w:rsidR="00732DAB" w:rsidRDefault="00732DAB" w:rsidP="00732DA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32DAB" w:rsidRPr="00230F35" w:rsidTr="00273CFF">
        <w:trPr>
          <w:trHeight w:val="614"/>
        </w:trPr>
        <w:tc>
          <w:tcPr>
            <w:tcW w:w="8856" w:type="dxa"/>
            <w:gridSpan w:val="5"/>
          </w:tcPr>
          <w:p w:rsidR="00732DAB" w:rsidRPr="00230F35" w:rsidRDefault="00732DAB" w:rsidP="00273CFF">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32DAB" w:rsidRPr="00230F35" w:rsidTr="00273CFF">
        <w:trPr>
          <w:trHeight w:val="718"/>
        </w:trPr>
        <w:tc>
          <w:tcPr>
            <w:tcW w:w="8856" w:type="dxa"/>
            <w:gridSpan w:val="5"/>
          </w:tcPr>
          <w:p w:rsidR="00732DAB" w:rsidRDefault="00732DAB" w:rsidP="00273CF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732DAB" w:rsidRPr="00230F35" w:rsidRDefault="00080F98" w:rsidP="00273CFF">
            <w:pPr>
              <w:pStyle w:val="NormalWeb"/>
              <w:spacing w:before="0" w:beforeAutospacing="0" w:after="0" w:afterAutospacing="0"/>
              <w:ind w:right="34"/>
              <w:rPr>
                <w:rFonts w:ascii="Arial" w:hAnsi="Arial" w:cs="Arial"/>
                <w:sz w:val="22"/>
                <w:szCs w:val="22"/>
              </w:rPr>
            </w:pPr>
            <w:r>
              <w:rPr>
                <w:rFonts w:ascii="Arial" w:hAnsi="Arial" w:cs="Arial"/>
                <w:sz w:val="22"/>
                <w:szCs w:val="22"/>
              </w:rPr>
              <w:t>Gerald Cooper</w:t>
            </w:r>
          </w:p>
        </w:tc>
      </w:tr>
      <w:tr w:rsidR="00732DAB" w:rsidRPr="00230F35" w:rsidTr="00273CFF">
        <w:trPr>
          <w:trHeight w:val="849"/>
        </w:trPr>
        <w:tc>
          <w:tcPr>
            <w:tcW w:w="4788" w:type="dxa"/>
          </w:tcPr>
          <w:p w:rsidR="00732DAB" w:rsidRPr="00230F35" w:rsidRDefault="00732DAB" w:rsidP="00273CF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1C71AB">
              <w:rPr>
                <w:rFonts w:ascii="Arial" w:hAnsi="Arial" w:cs="Arial"/>
                <w:sz w:val="22"/>
                <w:szCs w:val="22"/>
              </w:rPr>
              <w:t xml:space="preserve"> </w:t>
            </w:r>
            <w:r w:rsidR="00080F98">
              <w:rPr>
                <w:rFonts w:ascii="Arial" w:hAnsi="Arial" w:cs="Arial"/>
                <w:sz w:val="22"/>
                <w:szCs w:val="22"/>
              </w:rPr>
              <w:t>CSEN 7027</w:t>
            </w:r>
          </w:p>
          <w:p w:rsidR="00732DAB" w:rsidRPr="00230F35" w:rsidRDefault="00732DAB" w:rsidP="00273CFF">
            <w:pPr>
              <w:pStyle w:val="NormalWeb"/>
              <w:spacing w:before="0" w:beforeAutospacing="0" w:after="0" w:afterAutospacing="0"/>
              <w:ind w:right="34"/>
              <w:rPr>
                <w:rFonts w:ascii="Arial" w:hAnsi="Arial" w:cs="Arial"/>
                <w:sz w:val="22"/>
                <w:szCs w:val="22"/>
              </w:rPr>
            </w:pPr>
          </w:p>
          <w:p w:rsidR="00732DAB" w:rsidRDefault="00732DAB" w:rsidP="00273CF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080F98">
              <w:rPr>
                <w:rFonts w:ascii="Arial" w:hAnsi="Arial" w:cs="Arial"/>
                <w:sz w:val="22"/>
                <w:szCs w:val="22"/>
              </w:rPr>
              <w:t xml:space="preserve"> Bodily Distempers and Passions of the Mind: Shakespeare and Donne</w:t>
            </w:r>
          </w:p>
          <w:p w:rsidR="00732DAB" w:rsidRDefault="00732DAB" w:rsidP="00273CFF">
            <w:pPr>
              <w:pStyle w:val="NormalWeb"/>
              <w:spacing w:before="0" w:beforeAutospacing="0" w:after="0" w:afterAutospacing="0"/>
              <w:ind w:right="34"/>
              <w:rPr>
                <w:rFonts w:ascii="Arial" w:hAnsi="Arial" w:cs="Arial"/>
                <w:sz w:val="22"/>
                <w:szCs w:val="22"/>
              </w:rPr>
            </w:pPr>
          </w:p>
          <w:p w:rsidR="00732DAB" w:rsidRPr="00230F35" w:rsidRDefault="00732DAB" w:rsidP="00273CFF">
            <w:pPr>
              <w:pStyle w:val="NormalWeb"/>
              <w:spacing w:before="0" w:beforeAutospacing="0" w:after="0" w:afterAutospacing="0"/>
              <w:ind w:right="34"/>
              <w:rPr>
                <w:rFonts w:ascii="Arial" w:hAnsi="Arial" w:cs="Arial"/>
                <w:sz w:val="22"/>
                <w:szCs w:val="22"/>
              </w:rPr>
            </w:pPr>
          </w:p>
        </w:tc>
        <w:tc>
          <w:tcPr>
            <w:tcW w:w="2266" w:type="dxa"/>
            <w:gridSpan w:val="3"/>
          </w:tcPr>
          <w:p w:rsidR="00732DAB" w:rsidRDefault="00732DAB" w:rsidP="00273CF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080F98" w:rsidRDefault="00080F98" w:rsidP="00273CFF">
            <w:pPr>
              <w:pStyle w:val="NormalWeb"/>
              <w:spacing w:before="0" w:beforeAutospacing="0" w:after="0" w:afterAutospacing="0"/>
              <w:ind w:right="34"/>
              <w:rPr>
                <w:rFonts w:ascii="Arial" w:hAnsi="Arial" w:cs="Arial"/>
                <w:sz w:val="22"/>
                <w:szCs w:val="22"/>
              </w:rPr>
            </w:pPr>
          </w:p>
          <w:p w:rsidR="00080F98" w:rsidRPr="00230F35" w:rsidRDefault="00080F98" w:rsidP="00273CFF">
            <w:pPr>
              <w:pStyle w:val="NormalWeb"/>
              <w:spacing w:before="0" w:beforeAutospacing="0" w:after="0" w:afterAutospacing="0"/>
              <w:ind w:right="34"/>
              <w:rPr>
                <w:rFonts w:ascii="Arial" w:hAnsi="Arial" w:cs="Arial"/>
                <w:sz w:val="22"/>
                <w:szCs w:val="22"/>
              </w:rPr>
            </w:pPr>
            <w:r>
              <w:rPr>
                <w:rFonts w:ascii="Arial" w:hAnsi="Arial" w:cs="Arial"/>
                <w:sz w:val="22"/>
                <w:szCs w:val="22"/>
              </w:rPr>
              <w:t>1502061</w:t>
            </w:r>
          </w:p>
        </w:tc>
        <w:tc>
          <w:tcPr>
            <w:tcW w:w="1802" w:type="dxa"/>
          </w:tcPr>
          <w:p w:rsidR="00732DAB" w:rsidRPr="00230F35" w:rsidRDefault="00732DAB" w:rsidP="00273CF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732DAB" w:rsidRPr="00230F35" w:rsidRDefault="00732DAB" w:rsidP="00273CF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732DAB" w:rsidRPr="00230F35" w:rsidTr="00273CFF">
        <w:trPr>
          <w:trHeight w:val="1139"/>
        </w:trPr>
        <w:tc>
          <w:tcPr>
            <w:tcW w:w="8856" w:type="dxa"/>
            <w:gridSpan w:val="5"/>
          </w:tcPr>
          <w:p w:rsidR="00732DAB" w:rsidRPr="00230F35" w:rsidRDefault="00732DAB" w:rsidP="00273CFF">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080F98">
              <w:rPr>
                <w:rFonts w:ascii="Arial" w:hAnsi="Arial" w:cs="Arial"/>
                <w:sz w:val="22"/>
                <w:szCs w:val="22"/>
              </w:rPr>
              <w:t xml:space="preserve"> Dr Mitchell</w:t>
            </w:r>
          </w:p>
          <w:p w:rsidR="00732DAB" w:rsidRPr="00230F35" w:rsidRDefault="00732DAB" w:rsidP="00273CFF">
            <w:pPr>
              <w:pStyle w:val="NormalWeb"/>
              <w:spacing w:before="0" w:beforeAutospacing="0" w:after="0" w:afterAutospacing="0"/>
              <w:ind w:right="34"/>
              <w:rPr>
                <w:rFonts w:ascii="Arial" w:hAnsi="Arial" w:cs="Arial"/>
                <w:sz w:val="22"/>
                <w:szCs w:val="22"/>
              </w:rPr>
            </w:pPr>
          </w:p>
          <w:p w:rsidR="00732DAB" w:rsidRDefault="00732DAB" w:rsidP="00273CFF">
            <w:pPr>
              <w:pStyle w:val="NormalWeb"/>
              <w:spacing w:before="0" w:beforeAutospacing="0" w:after="0" w:afterAutospacing="0"/>
              <w:ind w:right="34"/>
              <w:rPr>
                <w:rFonts w:ascii="Arial" w:hAnsi="Arial" w:cs="Arial"/>
                <w:sz w:val="22"/>
                <w:szCs w:val="22"/>
              </w:rPr>
            </w:pPr>
          </w:p>
          <w:p w:rsidR="00732DAB" w:rsidRPr="00230F35" w:rsidRDefault="00732DAB" w:rsidP="00273CF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080F98">
              <w:rPr>
                <w:rFonts w:ascii="Arial" w:hAnsi="Arial" w:cs="Arial"/>
                <w:sz w:val="22"/>
                <w:szCs w:val="22"/>
              </w:rPr>
              <w:t xml:space="preserve"> 24</w:t>
            </w:r>
            <w:r w:rsidR="00080F98" w:rsidRPr="00080F98">
              <w:rPr>
                <w:rFonts w:ascii="Arial" w:hAnsi="Arial" w:cs="Arial"/>
                <w:sz w:val="22"/>
                <w:szCs w:val="22"/>
                <w:vertAlign w:val="superscript"/>
              </w:rPr>
              <w:t>th</w:t>
            </w:r>
            <w:r w:rsidR="00080F98">
              <w:rPr>
                <w:rFonts w:ascii="Arial" w:hAnsi="Arial" w:cs="Arial"/>
                <w:sz w:val="22"/>
                <w:szCs w:val="22"/>
              </w:rPr>
              <w:t xml:space="preserve"> January 2018</w:t>
            </w:r>
          </w:p>
        </w:tc>
      </w:tr>
      <w:tr w:rsidR="00732DAB" w:rsidRPr="00230F35" w:rsidTr="00273CFF">
        <w:trPr>
          <w:trHeight w:val="978"/>
        </w:trPr>
        <w:tc>
          <w:tcPr>
            <w:tcW w:w="8856" w:type="dxa"/>
            <w:gridSpan w:val="5"/>
            <w:tcBorders>
              <w:bottom w:val="single" w:sz="4" w:space="0" w:color="000000"/>
            </w:tcBorders>
          </w:tcPr>
          <w:p w:rsidR="00732DAB" w:rsidRDefault="00732DAB" w:rsidP="00273CFF">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rsidR="00732DAB" w:rsidRDefault="00732DAB" w:rsidP="00273CFF">
            <w:pPr>
              <w:rPr>
                <w:rFonts w:ascii="Arial" w:hAnsi="Arial" w:cs="Arial"/>
              </w:rPr>
            </w:pPr>
          </w:p>
          <w:p w:rsidR="00732DAB" w:rsidRPr="00230F35" w:rsidRDefault="00732DAB" w:rsidP="00273CFF">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9C3584">
              <w:rPr>
                <w:rFonts w:ascii="Arial" w:hAnsi="Arial" w:cs="Arial"/>
              </w:rPr>
            </w:r>
            <w:r w:rsidR="009C3584">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080F98" w:rsidRPr="001C71AB">
              <w:rPr>
                <w:rFonts w:ascii="Arial" w:hAnsi="Arial" w:cs="Arial"/>
                <w:color w:val="C00000"/>
              </w:rPr>
              <w:t>X</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009C3584">
              <w:rPr>
                <w:rFonts w:ascii="Arial" w:hAnsi="Arial" w:cs="Arial"/>
              </w:rPr>
            </w:r>
            <w:r w:rsidR="009C3584">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009C3584">
              <w:rPr>
                <w:rFonts w:ascii="Arial" w:hAnsi="Arial" w:cs="Arial"/>
              </w:rPr>
            </w:r>
            <w:r w:rsidR="009C3584">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009C3584">
              <w:rPr>
                <w:rFonts w:ascii="Arial" w:hAnsi="Arial" w:cs="Arial"/>
              </w:rPr>
            </w:r>
            <w:r w:rsidR="009C3584">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009C3584">
              <w:rPr>
                <w:rFonts w:ascii="Arial" w:hAnsi="Arial" w:cs="Arial"/>
              </w:rPr>
            </w:r>
            <w:r w:rsidR="009C3584">
              <w:rPr>
                <w:rFonts w:ascii="Arial" w:hAnsi="Arial" w:cs="Arial"/>
              </w:rPr>
              <w:fldChar w:fldCharType="separate"/>
            </w:r>
            <w:r w:rsidRPr="00230F35">
              <w:rPr>
                <w:rFonts w:ascii="Arial" w:hAnsi="Arial" w:cs="Arial"/>
              </w:rPr>
              <w:fldChar w:fldCharType="end"/>
            </w:r>
            <w:bookmarkEnd w:id="4"/>
          </w:p>
        </w:tc>
      </w:tr>
      <w:tr w:rsidR="00732DAB" w:rsidRPr="00230F35" w:rsidTr="00273CFF">
        <w:trPr>
          <w:trHeight w:val="978"/>
        </w:trPr>
        <w:tc>
          <w:tcPr>
            <w:tcW w:w="8856" w:type="dxa"/>
            <w:gridSpan w:val="5"/>
            <w:shd w:val="clear" w:color="auto" w:fill="D9D9D9"/>
          </w:tcPr>
          <w:p w:rsidR="00732DAB" w:rsidRPr="00230F35" w:rsidRDefault="00732DAB" w:rsidP="00273CF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732DAB" w:rsidRDefault="00732DAB" w:rsidP="00273CF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732DAB" w:rsidRDefault="00732DAB" w:rsidP="00273CFF">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00080F98" w:rsidRPr="001C71AB">
              <w:rPr>
                <w:rFonts w:ascii="Calibri" w:hAnsi="Calibri" w:cs="Calibri"/>
                <w:b/>
                <w:color w:val="C00000"/>
                <w:sz w:val="44"/>
                <w:szCs w:val="44"/>
              </w:rPr>
              <w:t>X</w:t>
            </w:r>
          </w:p>
          <w:p w:rsidR="00732DAB" w:rsidRPr="00230F35" w:rsidRDefault="00732DAB" w:rsidP="00273CFF">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732DAB" w:rsidRPr="00230F35" w:rsidTr="00273CFF">
        <w:trPr>
          <w:trHeight w:val="3972"/>
        </w:trPr>
        <w:tc>
          <w:tcPr>
            <w:tcW w:w="8856" w:type="dxa"/>
            <w:gridSpan w:val="5"/>
          </w:tcPr>
          <w:p w:rsidR="00732DAB" w:rsidRDefault="00732DAB" w:rsidP="00273CFF">
            <w:pPr>
              <w:rPr>
                <w:rFonts w:ascii="Arial" w:hAnsi="Arial"/>
                <w:b/>
              </w:rPr>
            </w:pPr>
          </w:p>
          <w:p w:rsidR="00732DAB" w:rsidRPr="00116CE6" w:rsidRDefault="00732DAB" w:rsidP="00273CFF">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32DAB" w:rsidRPr="00116CE6" w:rsidTr="00273CFF">
              <w:tc>
                <w:tcPr>
                  <w:tcW w:w="6970" w:type="dxa"/>
                </w:tcPr>
                <w:p w:rsidR="00732DAB" w:rsidRPr="00116CE6" w:rsidRDefault="00732DAB" w:rsidP="00273CFF">
                  <w:pPr>
                    <w:rPr>
                      <w:rFonts w:ascii="Arial" w:hAnsi="Arial"/>
                      <w:sz w:val="20"/>
                      <w:szCs w:val="20"/>
                    </w:rPr>
                  </w:pPr>
                </w:p>
                <w:p w:rsidR="00732DAB" w:rsidRPr="00116CE6" w:rsidRDefault="00732DAB" w:rsidP="00273CFF">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732DAB" w:rsidRPr="00116CE6" w:rsidRDefault="00732DAB" w:rsidP="00273CFF">
                  <w:pPr>
                    <w:rPr>
                      <w:rFonts w:ascii="Arial" w:hAnsi="Arial"/>
                      <w:sz w:val="20"/>
                      <w:szCs w:val="20"/>
                    </w:rPr>
                  </w:pPr>
                </w:p>
              </w:tc>
            </w:tr>
            <w:tr w:rsidR="00732DAB" w:rsidRPr="00116CE6" w:rsidTr="00273CFF">
              <w:tc>
                <w:tcPr>
                  <w:tcW w:w="6970" w:type="dxa"/>
                </w:tcPr>
                <w:p w:rsidR="00732DAB" w:rsidRPr="00116CE6" w:rsidRDefault="00732DAB" w:rsidP="00273CFF">
                  <w:pPr>
                    <w:rPr>
                      <w:rFonts w:ascii="Arial" w:hAnsi="Arial"/>
                      <w:sz w:val="20"/>
                      <w:szCs w:val="20"/>
                    </w:rPr>
                  </w:pPr>
                </w:p>
                <w:p w:rsidR="00732DAB" w:rsidRPr="00116CE6" w:rsidRDefault="00732DAB" w:rsidP="00273CFF">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732DAB" w:rsidRPr="00116CE6" w:rsidRDefault="00732DAB" w:rsidP="00273CFF">
                  <w:pPr>
                    <w:rPr>
                      <w:rFonts w:ascii="Arial" w:hAnsi="Arial"/>
                      <w:sz w:val="20"/>
                      <w:szCs w:val="20"/>
                    </w:rPr>
                  </w:pPr>
                </w:p>
              </w:tc>
            </w:tr>
            <w:tr w:rsidR="00732DAB" w:rsidRPr="00116CE6" w:rsidTr="00273CFF">
              <w:tc>
                <w:tcPr>
                  <w:tcW w:w="6970" w:type="dxa"/>
                </w:tcPr>
                <w:p w:rsidR="00732DAB" w:rsidRPr="00AA70BC" w:rsidRDefault="00732DAB" w:rsidP="00273CFF">
                  <w:pPr>
                    <w:rPr>
                      <w:rFonts w:ascii="Arial" w:hAnsi="Arial"/>
                      <w:sz w:val="20"/>
                      <w:szCs w:val="20"/>
                    </w:rPr>
                  </w:pPr>
                  <w:r w:rsidRPr="00AA70BC">
                    <w:rPr>
                      <w:rFonts w:ascii="Arial" w:hAnsi="Arial"/>
                      <w:sz w:val="20"/>
                      <w:szCs w:val="20"/>
                    </w:rPr>
                    <w:t xml:space="preserve">Agreed Internal Mark: </w:t>
                  </w:r>
                </w:p>
                <w:p w:rsidR="00732DAB" w:rsidRPr="00E14D2E" w:rsidRDefault="00732DAB" w:rsidP="00273CFF">
                  <w:pPr>
                    <w:rPr>
                      <w:rFonts w:ascii="Arial" w:hAnsi="Arial"/>
                      <w:sz w:val="20"/>
                      <w:szCs w:val="20"/>
                      <w:highlight w:val="yellow"/>
                    </w:rPr>
                  </w:pPr>
                </w:p>
              </w:tc>
              <w:tc>
                <w:tcPr>
                  <w:tcW w:w="1660" w:type="dxa"/>
                </w:tcPr>
                <w:p w:rsidR="00732DAB" w:rsidRPr="00E14D2E" w:rsidRDefault="00732DAB" w:rsidP="00273CFF">
                  <w:pPr>
                    <w:rPr>
                      <w:rFonts w:ascii="Arial" w:hAnsi="Arial"/>
                      <w:sz w:val="20"/>
                      <w:szCs w:val="20"/>
                      <w:highlight w:val="yellow"/>
                    </w:rPr>
                  </w:pPr>
                </w:p>
              </w:tc>
            </w:tr>
            <w:tr w:rsidR="00732DAB" w:rsidRPr="00116CE6" w:rsidTr="00273CFF">
              <w:tc>
                <w:tcPr>
                  <w:tcW w:w="6970" w:type="dxa"/>
                </w:tcPr>
                <w:p w:rsidR="00732DAB" w:rsidRPr="00116CE6" w:rsidRDefault="00732DAB" w:rsidP="00273CFF">
                  <w:pPr>
                    <w:rPr>
                      <w:rFonts w:ascii="Arial" w:hAnsi="Arial"/>
                      <w:sz w:val="20"/>
                      <w:szCs w:val="20"/>
                    </w:rPr>
                  </w:pPr>
                </w:p>
                <w:p w:rsidR="00732DAB" w:rsidRPr="00116CE6" w:rsidRDefault="00732DAB" w:rsidP="00273CFF">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732DAB" w:rsidRPr="00116CE6" w:rsidRDefault="00732DAB" w:rsidP="00273CFF">
                  <w:pPr>
                    <w:rPr>
                      <w:rFonts w:ascii="Arial" w:hAnsi="Arial"/>
                      <w:sz w:val="20"/>
                      <w:szCs w:val="20"/>
                    </w:rPr>
                  </w:pPr>
                </w:p>
              </w:tc>
            </w:tr>
            <w:tr w:rsidR="00732DAB" w:rsidRPr="00116CE6" w:rsidTr="00273CFF">
              <w:tc>
                <w:tcPr>
                  <w:tcW w:w="6970" w:type="dxa"/>
                </w:tcPr>
                <w:p w:rsidR="00732DAB" w:rsidRDefault="00732DAB" w:rsidP="00273CFF">
                  <w:pPr>
                    <w:rPr>
                      <w:rFonts w:ascii="Arial" w:hAnsi="Arial"/>
                      <w:sz w:val="20"/>
                      <w:szCs w:val="20"/>
                    </w:rPr>
                  </w:pPr>
                </w:p>
                <w:p w:rsidR="00732DAB" w:rsidRPr="00022345" w:rsidRDefault="00732DAB" w:rsidP="00273CFF">
                  <w:pPr>
                    <w:rPr>
                      <w:rFonts w:ascii="Arial" w:hAnsi="Arial"/>
                      <w:b/>
                      <w:sz w:val="20"/>
                      <w:szCs w:val="20"/>
                    </w:rPr>
                  </w:pPr>
                  <w:r w:rsidRPr="00022345">
                    <w:rPr>
                      <w:rFonts w:ascii="Arial" w:hAnsi="Arial"/>
                      <w:b/>
                      <w:sz w:val="20"/>
                      <w:szCs w:val="20"/>
                    </w:rPr>
                    <w:t>Final Mark</w:t>
                  </w:r>
                </w:p>
                <w:p w:rsidR="00732DAB" w:rsidRPr="00116CE6" w:rsidRDefault="00732DAB" w:rsidP="00273CFF">
                  <w:pPr>
                    <w:rPr>
                      <w:rFonts w:ascii="Arial" w:hAnsi="Arial"/>
                      <w:sz w:val="20"/>
                      <w:szCs w:val="20"/>
                    </w:rPr>
                  </w:pPr>
                </w:p>
              </w:tc>
              <w:tc>
                <w:tcPr>
                  <w:tcW w:w="1660" w:type="dxa"/>
                </w:tcPr>
                <w:p w:rsidR="00732DAB" w:rsidRPr="00116CE6" w:rsidRDefault="00732DAB" w:rsidP="00273CFF">
                  <w:pPr>
                    <w:rPr>
                      <w:rFonts w:ascii="Arial" w:hAnsi="Arial"/>
                      <w:sz w:val="20"/>
                      <w:szCs w:val="20"/>
                    </w:rPr>
                  </w:pPr>
                </w:p>
              </w:tc>
            </w:tr>
          </w:tbl>
          <w:p w:rsidR="00732DAB" w:rsidRDefault="00732DAB" w:rsidP="00273CFF">
            <w:pPr>
              <w:pStyle w:val="NormalWeb"/>
              <w:spacing w:before="0" w:beforeAutospacing="0" w:after="0" w:afterAutospacing="0"/>
              <w:ind w:left="142" w:right="34"/>
              <w:rPr>
                <w:rFonts w:ascii="Arial" w:hAnsi="Arial" w:cs="Arial"/>
                <w:b/>
                <w:sz w:val="22"/>
                <w:szCs w:val="22"/>
              </w:rPr>
            </w:pPr>
          </w:p>
          <w:p w:rsidR="00732DAB" w:rsidRPr="00230F35" w:rsidRDefault="00732DAB" w:rsidP="00273CFF">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732DAB" w:rsidRDefault="00732DAB" w:rsidP="00273CFF">
            <w:pPr>
              <w:pStyle w:val="NormalWeb"/>
              <w:spacing w:before="0" w:beforeAutospacing="0" w:after="0" w:afterAutospacing="0"/>
              <w:rPr>
                <w:rFonts w:ascii="Arial" w:hAnsi="Arial" w:cs="Arial"/>
                <w:b/>
                <w:sz w:val="22"/>
                <w:szCs w:val="22"/>
              </w:rPr>
            </w:pPr>
          </w:p>
          <w:p w:rsidR="00732DAB" w:rsidRDefault="00732DAB" w:rsidP="00273CFF">
            <w:pPr>
              <w:pStyle w:val="NormalWeb"/>
              <w:spacing w:before="0" w:beforeAutospacing="0" w:after="0" w:afterAutospacing="0"/>
              <w:rPr>
                <w:rFonts w:ascii="Arial" w:hAnsi="Arial" w:cs="Arial"/>
                <w:b/>
                <w:sz w:val="22"/>
                <w:szCs w:val="22"/>
              </w:rPr>
            </w:pPr>
          </w:p>
          <w:p w:rsidR="00732DAB" w:rsidRDefault="00732DAB" w:rsidP="00273CFF">
            <w:pPr>
              <w:pStyle w:val="NormalWeb"/>
              <w:spacing w:before="0" w:beforeAutospacing="0" w:after="0" w:afterAutospacing="0"/>
              <w:rPr>
                <w:rFonts w:ascii="Arial" w:hAnsi="Arial" w:cs="Arial"/>
                <w:b/>
                <w:sz w:val="22"/>
                <w:szCs w:val="22"/>
              </w:rPr>
            </w:pPr>
          </w:p>
          <w:p w:rsidR="00732DAB" w:rsidRDefault="00732DAB" w:rsidP="00273CFF">
            <w:pPr>
              <w:pStyle w:val="NormalWeb"/>
              <w:spacing w:before="0" w:beforeAutospacing="0" w:after="0" w:afterAutospacing="0"/>
              <w:rPr>
                <w:rFonts w:ascii="Arial" w:hAnsi="Arial" w:cs="Arial"/>
                <w:b/>
                <w:sz w:val="22"/>
                <w:szCs w:val="22"/>
              </w:rPr>
            </w:pPr>
          </w:p>
          <w:p w:rsidR="00732DAB" w:rsidRPr="00230F35" w:rsidRDefault="00732DAB" w:rsidP="00273CFF">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732DAB" w:rsidRDefault="00732DAB" w:rsidP="00273CFF">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732DAB" w:rsidRPr="00001C3B" w:rsidRDefault="00732DAB" w:rsidP="00273CFF">
            <w:pPr>
              <w:pStyle w:val="NormalWeb"/>
              <w:rPr>
                <w:rFonts w:ascii="Arial" w:hAnsi="Arial" w:cs="Arial"/>
                <w:sz w:val="22"/>
                <w:szCs w:val="22"/>
              </w:rPr>
            </w:pPr>
          </w:p>
        </w:tc>
      </w:tr>
      <w:tr w:rsidR="00732DAB" w:rsidRPr="00230F35" w:rsidTr="00273CFF">
        <w:trPr>
          <w:trHeight w:val="492"/>
        </w:trPr>
        <w:tc>
          <w:tcPr>
            <w:tcW w:w="6768" w:type="dxa"/>
            <w:gridSpan w:val="3"/>
          </w:tcPr>
          <w:p w:rsidR="00732DAB" w:rsidRPr="00230F35" w:rsidRDefault="00732DAB" w:rsidP="00273CFF">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rsidR="00732DAB" w:rsidRPr="00230F35" w:rsidRDefault="00732DAB" w:rsidP="00273CFF">
            <w:pPr>
              <w:pStyle w:val="NormalWeb"/>
              <w:spacing w:after="0"/>
              <w:ind w:left="142" w:right="34"/>
              <w:rPr>
                <w:rFonts w:ascii="Arial" w:hAnsi="Arial" w:cs="Arial"/>
                <w:sz w:val="22"/>
                <w:szCs w:val="22"/>
              </w:rPr>
            </w:pPr>
            <w:r w:rsidRPr="00230F35">
              <w:rPr>
                <w:rFonts w:ascii="Arial" w:hAnsi="Arial" w:cs="Arial"/>
                <w:sz w:val="22"/>
                <w:szCs w:val="22"/>
              </w:rPr>
              <w:t>Date:</w:t>
            </w:r>
          </w:p>
        </w:tc>
      </w:tr>
      <w:tr w:rsidR="00732DAB" w:rsidRPr="002F467C" w:rsidTr="00273CFF">
        <w:tc>
          <w:tcPr>
            <w:tcW w:w="8856" w:type="dxa"/>
            <w:gridSpan w:val="5"/>
          </w:tcPr>
          <w:p w:rsidR="00732DAB" w:rsidRPr="00230F35" w:rsidRDefault="00732DAB" w:rsidP="00273CFF">
            <w:pPr>
              <w:pStyle w:val="NormalWeb"/>
              <w:spacing w:before="0" w:beforeAutospacing="0" w:after="0" w:afterAutospacing="0"/>
              <w:ind w:right="-334"/>
              <w:rPr>
                <w:rFonts w:ascii="Arial" w:hAnsi="Arial" w:cs="Arial"/>
                <w:bCs/>
                <w:i/>
                <w:sz w:val="22"/>
                <w:szCs w:val="22"/>
              </w:rPr>
            </w:pPr>
          </w:p>
          <w:p w:rsidR="00732DAB" w:rsidRPr="00230F35" w:rsidRDefault="00732DAB" w:rsidP="00273CFF">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732DAB" w:rsidRPr="00230F35" w:rsidRDefault="00732DAB" w:rsidP="00273CFF">
            <w:pPr>
              <w:pStyle w:val="NormalWeb"/>
              <w:spacing w:before="0" w:beforeAutospacing="0" w:after="0" w:afterAutospacing="0"/>
              <w:ind w:right="-334"/>
              <w:rPr>
                <w:rFonts w:ascii="Arial" w:hAnsi="Arial" w:cs="Arial"/>
                <w:b/>
                <w:bCs/>
                <w:sz w:val="22"/>
                <w:szCs w:val="22"/>
              </w:rPr>
            </w:pPr>
          </w:p>
          <w:p w:rsidR="00732DAB" w:rsidRPr="00230F35" w:rsidRDefault="00732DAB" w:rsidP="00273CF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732DAB" w:rsidRPr="00230F35" w:rsidRDefault="00732DAB" w:rsidP="00273CFF">
            <w:pPr>
              <w:pStyle w:val="NormalWeb"/>
              <w:spacing w:before="0" w:beforeAutospacing="0" w:after="0" w:afterAutospacing="0"/>
              <w:ind w:right="-334"/>
              <w:rPr>
                <w:rFonts w:ascii="Arial" w:hAnsi="Arial" w:cs="Arial"/>
                <w:bCs/>
                <w:sz w:val="22"/>
                <w:szCs w:val="22"/>
              </w:rPr>
            </w:pPr>
          </w:p>
          <w:p w:rsidR="00732DAB" w:rsidRPr="00230F35" w:rsidRDefault="00732DAB" w:rsidP="00273CFF">
            <w:pPr>
              <w:pStyle w:val="NormalWeb"/>
              <w:spacing w:before="0" w:beforeAutospacing="0" w:after="0" w:afterAutospacing="0"/>
              <w:ind w:right="-334"/>
              <w:rPr>
                <w:rFonts w:ascii="Arial" w:hAnsi="Arial" w:cs="Arial"/>
                <w:bCs/>
                <w:sz w:val="22"/>
                <w:szCs w:val="22"/>
              </w:rPr>
            </w:pPr>
          </w:p>
          <w:p w:rsidR="00732DAB" w:rsidRPr="00230F35" w:rsidRDefault="00732DAB" w:rsidP="00273CFF">
            <w:pPr>
              <w:pStyle w:val="NormalWeb"/>
              <w:spacing w:before="0" w:beforeAutospacing="0" w:after="0" w:afterAutospacing="0"/>
              <w:ind w:right="-334"/>
              <w:rPr>
                <w:rFonts w:ascii="Arial" w:hAnsi="Arial" w:cs="Arial"/>
                <w:bCs/>
                <w:sz w:val="22"/>
                <w:szCs w:val="22"/>
              </w:rPr>
            </w:pPr>
          </w:p>
        </w:tc>
      </w:tr>
      <w:tr w:rsidR="00732DAB" w:rsidRPr="002F467C" w:rsidTr="00273CFF">
        <w:trPr>
          <w:trHeight w:val="720"/>
        </w:trPr>
        <w:tc>
          <w:tcPr>
            <w:tcW w:w="5211" w:type="dxa"/>
            <w:gridSpan w:val="2"/>
          </w:tcPr>
          <w:p w:rsidR="00732DAB" w:rsidRPr="00230F35" w:rsidRDefault="00732DAB" w:rsidP="00273CF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732DAB" w:rsidRPr="00230F35" w:rsidRDefault="00732DAB" w:rsidP="00273CF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32DAB" w:rsidRPr="002F467C" w:rsidTr="00273CFF">
        <w:trPr>
          <w:trHeight w:val="720"/>
        </w:trPr>
        <w:tc>
          <w:tcPr>
            <w:tcW w:w="8856" w:type="dxa"/>
            <w:gridSpan w:val="5"/>
          </w:tcPr>
          <w:p w:rsidR="00732DAB" w:rsidRPr="00AA70BC" w:rsidRDefault="00732DAB" w:rsidP="00273CFF">
            <w:pPr>
              <w:rPr>
                <w:rFonts w:ascii="Arial" w:hAnsi="Arial" w:cs="Arial"/>
                <w:b/>
              </w:rPr>
            </w:pPr>
            <w:r w:rsidRPr="00AA70BC">
              <w:rPr>
                <w:rFonts w:ascii="Arial" w:hAnsi="Arial" w:cs="Arial"/>
                <w:b/>
              </w:rPr>
              <w:t>AGREED INTERNAL MARK (where necessary):</w:t>
            </w:r>
          </w:p>
          <w:p w:rsidR="00732DAB" w:rsidRPr="00AA70BC" w:rsidRDefault="00732DAB" w:rsidP="00273CFF">
            <w:pPr>
              <w:rPr>
                <w:rFonts w:ascii="Arial" w:hAnsi="Arial" w:cs="Arial"/>
                <w:b/>
              </w:rPr>
            </w:pPr>
          </w:p>
          <w:p w:rsidR="00732DAB" w:rsidRDefault="00732DAB" w:rsidP="00273CFF">
            <w:pPr>
              <w:rPr>
                <w:rFonts w:ascii="Arial" w:hAnsi="Arial" w:cs="Arial"/>
                <w:b/>
              </w:rPr>
            </w:pPr>
            <w:r w:rsidRPr="00AA70BC">
              <w:rPr>
                <w:rFonts w:ascii="Arial" w:hAnsi="Arial" w:cs="Arial"/>
                <w:b/>
              </w:rPr>
              <w:t>Comment on process on arriving at agreed mark:</w:t>
            </w:r>
          </w:p>
          <w:p w:rsidR="00732DAB" w:rsidRDefault="00732DAB" w:rsidP="00273CFF">
            <w:pPr>
              <w:rPr>
                <w:rFonts w:ascii="Arial" w:hAnsi="Arial" w:cs="Arial"/>
                <w:b/>
              </w:rPr>
            </w:pPr>
          </w:p>
          <w:p w:rsidR="00732DAB" w:rsidRPr="00B34964" w:rsidRDefault="00732DAB" w:rsidP="00273CFF">
            <w:pPr>
              <w:rPr>
                <w:rFonts w:ascii="Arial" w:hAnsi="Arial" w:cs="Arial"/>
                <w:b/>
              </w:rPr>
            </w:pPr>
          </w:p>
        </w:tc>
      </w:tr>
      <w:tr w:rsidR="00732DAB" w:rsidRPr="002F467C" w:rsidTr="00273CFF">
        <w:trPr>
          <w:trHeight w:val="720"/>
        </w:trPr>
        <w:tc>
          <w:tcPr>
            <w:tcW w:w="8856" w:type="dxa"/>
            <w:gridSpan w:val="5"/>
          </w:tcPr>
          <w:p w:rsidR="00732DAB" w:rsidRPr="00B34964" w:rsidRDefault="00732DAB" w:rsidP="00273CFF">
            <w:pPr>
              <w:rPr>
                <w:rFonts w:ascii="Arial" w:hAnsi="Arial" w:cs="Arial"/>
                <w:b/>
              </w:rPr>
            </w:pPr>
            <w:r w:rsidRPr="00B34964">
              <w:rPr>
                <w:rFonts w:ascii="Arial" w:hAnsi="Arial" w:cs="Arial"/>
                <w:b/>
              </w:rPr>
              <w:t>External Examiner’s comments (if relevant)</w:t>
            </w:r>
          </w:p>
          <w:p w:rsidR="00732DAB" w:rsidRPr="00230F35" w:rsidRDefault="00732DAB" w:rsidP="00273CFF">
            <w:pPr>
              <w:pStyle w:val="NormalWeb"/>
              <w:spacing w:before="0" w:beforeAutospacing="0" w:after="0" w:afterAutospacing="0"/>
              <w:ind w:right="-334"/>
              <w:rPr>
                <w:rFonts w:ascii="Arial" w:hAnsi="Arial" w:cs="Arial"/>
                <w:bCs/>
                <w:sz w:val="22"/>
                <w:szCs w:val="22"/>
              </w:rPr>
            </w:pPr>
          </w:p>
          <w:p w:rsidR="00732DAB" w:rsidRPr="00230F35" w:rsidRDefault="00732DAB" w:rsidP="00273CFF">
            <w:pPr>
              <w:pStyle w:val="NormalWeb"/>
              <w:spacing w:before="0" w:beforeAutospacing="0" w:after="0" w:afterAutospacing="0"/>
              <w:ind w:right="-334"/>
              <w:rPr>
                <w:rFonts w:ascii="Arial" w:hAnsi="Arial" w:cs="Arial"/>
                <w:bCs/>
                <w:sz w:val="22"/>
                <w:szCs w:val="22"/>
              </w:rPr>
            </w:pPr>
          </w:p>
          <w:p w:rsidR="00732DAB" w:rsidRPr="00230F35" w:rsidRDefault="00732DAB" w:rsidP="00273CFF">
            <w:pPr>
              <w:pStyle w:val="NormalWeb"/>
              <w:spacing w:before="0" w:beforeAutospacing="0" w:after="0" w:afterAutospacing="0"/>
              <w:ind w:right="-334"/>
              <w:rPr>
                <w:rFonts w:ascii="Arial" w:hAnsi="Arial" w:cs="Arial"/>
                <w:bCs/>
                <w:sz w:val="22"/>
                <w:szCs w:val="22"/>
              </w:rPr>
            </w:pPr>
          </w:p>
        </w:tc>
      </w:tr>
      <w:tr w:rsidR="00732DAB" w:rsidRPr="002F467C" w:rsidTr="00273CFF">
        <w:trPr>
          <w:trHeight w:val="720"/>
        </w:trPr>
        <w:tc>
          <w:tcPr>
            <w:tcW w:w="5211" w:type="dxa"/>
            <w:gridSpan w:val="2"/>
          </w:tcPr>
          <w:p w:rsidR="00732DAB" w:rsidRPr="00230F35" w:rsidRDefault="00732DAB" w:rsidP="00273CFF">
            <w:pPr>
              <w:rPr>
                <w:rFonts w:ascii="Arial" w:hAnsi="Arial" w:cs="Arial"/>
              </w:rPr>
            </w:pPr>
            <w:r w:rsidRPr="00230F35">
              <w:rPr>
                <w:rFonts w:ascii="Arial" w:hAnsi="Arial" w:cs="Arial"/>
              </w:rPr>
              <w:t>External Examiner’s Signature:</w:t>
            </w:r>
          </w:p>
        </w:tc>
        <w:tc>
          <w:tcPr>
            <w:tcW w:w="3645" w:type="dxa"/>
            <w:gridSpan w:val="3"/>
          </w:tcPr>
          <w:p w:rsidR="00732DAB" w:rsidRPr="00230F35" w:rsidRDefault="00732DAB" w:rsidP="00273CFF">
            <w:pPr>
              <w:rPr>
                <w:rFonts w:ascii="Arial" w:hAnsi="Arial" w:cs="Arial"/>
              </w:rPr>
            </w:pPr>
            <w:r w:rsidRPr="00230F35">
              <w:rPr>
                <w:rFonts w:ascii="Arial" w:hAnsi="Arial" w:cs="Arial"/>
              </w:rPr>
              <w:t>Date:</w:t>
            </w:r>
          </w:p>
        </w:tc>
      </w:tr>
    </w:tbl>
    <w:p w:rsidR="00732DAB" w:rsidRDefault="00732DAB">
      <w:pPr>
        <w:rPr>
          <w:rFonts w:ascii="Times New Roman" w:hAnsi="Times New Roman" w:cs="Times New Roman"/>
          <w:sz w:val="24"/>
          <w:szCs w:val="24"/>
        </w:rPr>
      </w:pPr>
    </w:p>
    <w:p w:rsidR="00732DAB" w:rsidRDefault="00732DAB">
      <w:pPr>
        <w:rPr>
          <w:rFonts w:ascii="Times New Roman" w:hAnsi="Times New Roman" w:cs="Times New Roman"/>
          <w:sz w:val="24"/>
          <w:szCs w:val="24"/>
        </w:rPr>
      </w:pPr>
    </w:p>
    <w:p w:rsidR="00732DAB" w:rsidRDefault="00732DAB">
      <w:pPr>
        <w:rPr>
          <w:rFonts w:ascii="Times New Roman" w:hAnsi="Times New Roman" w:cs="Times New Roman"/>
          <w:sz w:val="24"/>
          <w:szCs w:val="24"/>
        </w:rPr>
      </w:pPr>
    </w:p>
    <w:p w:rsidR="00732DAB" w:rsidRDefault="00732DAB">
      <w:pPr>
        <w:rPr>
          <w:rFonts w:ascii="Times New Roman" w:hAnsi="Times New Roman" w:cs="Times New Roman"/>
          <w:sz w:val="24"/>
          <w:szCs w:val="24"/>
        </w:rPr>
      </w:pPr>
    </w:p>
    <w:p w:rsidR="00732DAB" w:rsidRDefault="00732DAB">
      <w:pPr>
        <w:rPr>
          <w:rFonts w:ascii="Times New Roman" w:hAnsi="Times New Roman" w:cs="Times New Roman"/>
          <w:sz w:val="24"/>
          <w:szCs w:val="24"/>
        </w:rPr>
      </w:pPr>
    </w:p>
    <w:p w:rsidR="00732DAB" w:rsidRDefault="00732DAB">
      <w:pPr>
        <w:rPr>
          <w:rFonts w:ascii="Times New Roman" w:hAnsi="Times New Roman" w:cs="Times New Roman"/>
          <w:sz w:val="24"/>
          <w:szCs w:val="24"/>
        </w:rPr>
      </w:pPr>
    </w:p>
    <w:p w:rsidR="001B3FE1" w:rsidRDefault="009872D1">
      <w:pPr>
        <w:rPr>
          <w:rFonts w:ascii="Times New Roman" w:hAnsi="Times New Roman" w:cs="Times New Roman"/>
          <w:sz w:val="24"/>
          <w:szCs w:val="24"/>
        </w:rPr>
      </w:pPr>
      <w:r>
        <w:rPr>
          <w:rFonts w:ascii="Times New Roman" w:hAnsi="Times New Roman" w:cs="Times New Roman"/>
          <w:sz w:val="24"/>
          <w:szCs w:val="24"/>
        </w:rPr>
        <w:lastRenderedPageBreak/>
        <w:t>1502061 Gerald Cooper</w:t>
      </w:r>
    </w:p>
    <w:p w:rsidR="009872D1" w:rsidRDefault="009872D1">
      <w:pPr>
        <w:rPr>
          <w:rFonts w:ascii="Times New Roman" w:hAnsi="Times New Roman" w:cs="Times New Roman"/>
          <w:sz w:val="24"/>
          <w:szCs w:val="24"/>
        </w:rPr>
      </w:pPr>
    </w:p>
    <w:p w:rsidR="009872D1" w:rsidRDefault="009872D1">
      <w:pPr>
        <w:rPr>
          <w:rFonts w:ascii="Times New Roman" w:hAnsi="Times New Roman" w:cs="Times New Roman"/>
          <w:sz w:val="28"/>
          <w:szCs w:val="28"/>
          <w:u w:val="single"/>
        </w:rPr>
      </w:pPr>
      <w:r w:rsidRPr="009872D1">
        <w:rPr>
          <w:rFonts w:ascii="Times New Roman" w:hAnsi="Times New Roman" w:cs="Times New Roman"/>
          <w:sz w:val="28"/>
          <w:szCs w:val="28"/>
          <w:u w:val="single"/>
        </w:rPr>
        <w:t>The Role of Context in the Understanding and Appreciation of The Sonnets of Donne and Shakespeare</w:t>
      </w:r>
    </w:p>
    <w:p w:rsidR="009872D1" w:rsidRDefault="009872D1">
      <w:pPr>
        <w:rPr>
          <w:rFonts w:ascii="Times New Roman" w:hAnsi="Times New Roman" w:cs="Times New Roman"/>
          <w:sz w:val="28"/>
          <w:szCs w:val="28"/>
          <w:u w:val="single"/>
        </w:rPr>
      </w:pPr>
    </w:p>
    <w:p w:rsidR="00BC3406" w:rsidRDefault="009872D1">
      <w:pPr>
        <w:rPr>
          <w:rFonts w:ascii="Times New Roman" w:hAnsi="Times New Roman" w:cs="Times New Roman"/>
          <w:sz w:val="24"/>
          <w:szCs w:val="24"/>
        </w:rPr>
      </w:pPr>
      <w:r>
        <w:rPr>
          <w:rFonts w:ascii="Times New Roman" w:hAnsi="Times New Roman" w:cs="Times New Roman"/>
          <w:sz w:val="24"/>
          <w:szCs w:val="24"/>
        </w:rPr>
        <w:t>It is possible to discuss the nature and importance of the context of a literary work without referring to specific works</w:t>
      </w:r>
      <w:r w:rsidR="00BC3406">
        <w:rPr>
          <w:rFonts w:ascii="Times New Roman" w:hAnsi="Times New Roman" w:cs="Times New Roman"/>
          <w:sz w:val="24"/>
          <w:szCs w:val="24"/>
        </w:rPr>
        <w:t>,</w:t>
      </w:r>
      <w:r>
        <w:rPr>
          <w:rFonts w:ascii="Times New Roman" w:hAnsi="Times New Roman" w:cs="Times New Roman"/>
          <w:sz w:val="24"/>
          <w:szCs w:val="24"/>
        </w:rPr>
        <w:t xml:space="preserve"> to make points of general significance.</w:t>
      </w:r>
      <w:r w:rsidR="00B12E9C">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I wish to develop my arguments in the opposite direction</w:t>
      </w:r>
      <w:r w:rsidR="004C1A09">
        <w:rPr>
          <w:rFonts w:ascii="Times New Roman" w:hAnsi="Times New Roman" w:cs="Times New Roman"/>
          <w:sz w:val="24"/>
          <w:szCs w:val="24"/>
        </w:rPr>
        <w:t>;</w:t>
      </w:r>
      <w:r>
        <w:rPr>
          <w:rFonts w:ascii="Times New Roman" w:hAnsi="Times New Roman" w:cs="Times New Roman"/>
          <w:sz w:val="24"/>
          <w:szCs w:val="24"/>
        </w:rPr>
        <w:t xml:space="preserve"> by a consideration of specific works, from which I hope to be able to </w:t>
      </w:r>
      <w:r w:rsidR="004C1A09">
        <w:rPr>
          <w:rFonts w:ascii="Times New Roman" w:hAnsi="Times New Roman" w:cs="Times New Roman"/>
          <w:sz w:val="24"/>
          <w:szCs w:val="24"/>
        </w:rPr>
        <w:t>draw lessons which have general application.</w:t>
      </w:r>
      <w:r>
        <w:rPr>
          <w:rFonts w:ascii="Times New Roman" w:hAnsi="Times New Roman" w:cs="Times New Roman"/>
          <w:sz w:val="24"/>
          <w:szCs w:val="24"/>
        </w:rPr>
        <w:t xml:space="preserve"> </w:t>
      </w:r>
      <w:r w:rsidR="004C1A09">
        <w:rPr>
          <w:rFonts w:ascii="Times New Roman" w:hAnsi="Times New Roman" w:cs="Times New Roman"/>
          <w:sz w:val="24"/>
          <w:szCs w:val="24"/>
        </w:rPr>
        <w:t>It is difficult to imagine a situation where the use of language does not require some understanding of the context in which this use takes place; whether it is, for example, the use of a metaphor</w:t>
      </w:r>
      <w:r w:rsidR="00A206D7">
        <w:rPr>
          <w:rStyle w:val="FootnoteReference"/>
          <w:rFonts w:ascii="Times New Roman" w:hAnsi="Times New Roman" w:cs="Times New Roman"/>
          <w:sz w:val="24"/>
          <w:szCs w:val="24"/>
        </w:rPr>
        <w:footnoteReference w:id="2"/>
      </w:r>
      <w:r w:rsidR="004C1A09">
        <w:rPr>
          <w:rFonts w:ascii="Times New Roman" w:hAnsi="Times New Roman" w:cs="Times New Roman"/>
          <w:sz w:val="24"/>
          <w:szCs w:val="24"/>
        </w:rPr>
        <w:t>, or the way sense evolves in everyday interaction as a conversation proceeds.</w:t>
      </w:r>
      <w:r w:rsidR="00A206D7">
        <w:rPr>
          <w:rStyle w:val="FootnoteReference"/>
          <w:rFonts w:ascii="Times New Roman" w:hAnsi="Times New Roman" w:cs="Times New Roman"/>
          <w:sz w:val="24"/>
          <w:szCs w:val="24"/>
        </w:rPr>
        <w:footnoteReference w:id="3"/>
      </w:r>
      <w:r w:rsidR="004C1A09">
        <w:rPr>
          <w:rFonts w:ascii="Times New Roman" w:hAnsi="Times New Roman" w:cs="Times New Roman"/>
          <w:sz w:val="24"/>
          <w:szCs w:val="24"/>
        </w:rPr>
        <w:t xml:space="preserve"> The context may be a feature of the linguistic act being considered, which radiates outward, so to speak, or it may be a feature of </w:t>
      </w:r>
      <w:r w:rsidR="00BC3406">
        <w:rPr>
          <w:rFonts w:ascii="Times New Roman" w:hAnsi="Times New Roman" w:cs="Times New Roman"/>
          <w:sz w:val="24"/>
          <w:szCs w:val="24"/>
        </w:rPr>
        <w:t>the reception of that act, imposing, to a greater or lesser extent, an interpretation from outside.</w:t>
      </w:r>
    </w:p>
    <w:p w:rsidR="00375906" w:rsidRDefault="00BC3406">
      <w:pPr>
        <w:rPr>
          <w:rFonts w:ascii="Times New Roman" w:hAnsi="Times New Roman" w:cs="Times New Roman"/>
          <w:sz w:val="24"/>
          <w:szCs w:val="24"/>
        </w:rPr>
      </w:pPr>
      <w:r>
        <w:rPr>
          <w:rFonts w:ascii="Times New Roman" w:hAnsi="Times New Roman" w:cs="Times New Roman"/>
          <w:sz w:val="24"/>
          <w:szCs w:val="24"/>
        </w:rPr>
        <w:t>Shakespeare’s sonnets 44 and 45 are generally agreed to be best read as a pair. The warrant for this is simply that the first line of 45, ‘The other two, slight air and purging fire,’ makes you ask; ‘If these are the other two, what are the first two?’ The answer is in sonnet 44. In addition</w:t>
      </w:r>
      <w:r w:rsidR="00AD2392">
        <w:rPr>
          <w:rFonts w:ascii="Times New Roman" w:hAnsi="Times New Roman" w:cs="Times New Roman"/>
          <w:sz w:val="24"/>
          <w:szCs w:val="24"/>
        </w:rPr>
        <w:t>,</w:t>
      </w:r>
      <w:r>
        <w:rPr>
          <w:rFonts w:ascii="Times New Roman" w:hAnsi="Times New Roman" w:cs="Times New Roman"/>
          <w:sz w:val="24"/>
          <w:szCs w:val="24"/>
        </w:rPr>
        <w:t xml:space="preserve"> the sonnets both address</w:t>
      </w:r>
      <w:r w:rsidR="00AD2392">
        <w:rPr>
          <w:rFonts w:ascii="Times New Roman" w:hAnsi="Times New Roman" w:cs="Times New Roman"/>
          <w:sz w:val="24"/>
          <w:szCs w:val="24"/>
        </w:rPr>
        <w:t>,</w:t>
      </w:r>
      <w:r>
        <w:rPr>
          <w:rFonts w:ascii="Times New Roman" w:hAnsi="Times New Roman" w:cs="Times New Roman"/>
          <w:sz w:val="24"/>
          <w:szCs w:val="24"/>
        </w:rPr>
        <w:t xml:space="preserve"> in different ways, the same topics.</w:t>
      </w:r>
      <w:r w:rsidR="00AD2392">
        <w:rPr>
          <w:rFonts w:ascii="Times New Roman" w:hAnsi="Times New Roman" w:cs="Times New Roman"/>
          <w:sz w:val="24"/>
          <w:szCs w:val="24"/>
        </w:rPr>
        <w:t xml:space="preserve"> If one can ask, </w:t>
      </w:r>
      <w:r w:rsidR="00372E7A">
        <w:rPr>
          <w:rFonts w:ascii="Times New Roman" w:hAnsi="Times New Roman" w:cs="Times New Roman"/>
          <w:sz w:val="24"/>
          <w:szCs w:val="24"/>
        </w:rPr>
        <w:t>‘</w:t>
      </w:r>
      <w:r w:rsidR="00AD2392">
        <w:rPr>
          <w:rFonts w:ascii="Times New Roman" w:hAnsi="Times New Roman" w:cs="Times New Roman"/>
          <w:sz w:val="24"/>
          <w:szCs w:val="24"/>
        </w:rPr>
        <w:t xml:space="preserve">what are these sonnets </w:t>
      </w:r>
      <w:r w:rsidR="00A06549">
        <w:rPr>
          <w:rFonts w:ascii="Times New Roman" w:hAnsi="Times New Roman" w:cs="Times New Roman"/>
          <w:sz w:val="24"/>
          <w:szCs w:val="24"/>
        </w:rPr>
        <w:t xml:space="preserve">about?’, </w:t>
      </w:r>
      <w:r w:rsidR="00AD2392">
        <w:rPr>
          <w:rFonts w:ascii="Times New Roman" w:hAnsi="Times New Roman" w:cs="Times New Roman"/>
          <w:sz w:val="24"/>
          <w:szCs w:val="24"/>
        </w:rPr>
        <w:t>one can provide different answers.</w:t>
      </w:r>
      <w:r w:rsidR="00372E7A">
        <w:rPr>
          <w:rStyle w:val="FootnoteReference"/>
          <w:rFonts w:ascii="Times New Roman" w:hAnsi="Times New Roman" w:cs="Times New Roman"/>
          <w:sz w:val="24"/>
          <w:szCs w:val="24"/>
        </w:rPr>
        <w:footnoteReference w:id="4"/>
      </w:r>
      <w:r w:rsidR="00AD2392">
        <w:rPr>
          <w:rFonts w:ascii="Times New Roman" w:hAnsi="Times New Roman" w:cs="Times New Roman"/>
          <w:sz w:val="24"/>
          <w:szCs w:val="24"/>
        </w:rPr>
        <w:t xml:space="preserve"> These answers can be seen as providing different levels of meaning, from simple to complex, as it were, but there are other consequences to </w:t>
      </w:r>
      <w:r w:rsidR="00375906">
        <w:rPr>
          <w:rFonts w:ascii="Times New Roman" w:hAnsi="Times New Roman" w:cs="Times New Roman"/>
          <w:sz w:val="24"/>
          <w:szCs w:val="24"/>
        </w:rPr>
        <w:t xml:space="preserve">these different interpretations which I will discuss later. A surface reading of these sonnets will release the following information. They are written to another person, who is somewhere </w:t>
      </w:r>
      <w:r w:rsidR="00EA0BE6">
        <w:rPr>
          <w:rFonts w:ascii="Times New Roman" w:hAnsi="Times New Roman" w:cs="Times New Roman"/>
          <w:sz w:val="24"/>
          <w:szCs w:val="24"/>
        </w:rPr>
        <w:t>else,</w:t>
      </w:r>
      <w:r w:rsidR="00375906">
        <w:rPr>
          <w:rFonts w:ascii="Times New Roman" w:hAnsi="Times New Roman" w:cs="Times New Roman"/>
          <w:sz w:val="24"/>
          <w:szCs w:val="24"/>
        </w:rPr>
        <w:t xml:space="preserve"> and it seems that the ‘I’ of the sonnets has strong feelings for the ‘thou’ of the sonnets. The </w:t>
      </w:r>
      <w:r w:rsidR="00EA0BE6">
        <w:rPr>
          <w:rFonts w:ascii="Times New Roman" w:hAnsi="Times New Roman" w:cs="Times New Roman"/>
          <w:sz w:val="24"/>
          <w:szCs w:val="24"/>
        </w:rPr>
        <w:t xml:space="preserve">use of earth and water in sonnet 44 is clearly a metaphor for distance, and the use of air and fire in sonnet 45 is clearly a metaphor for thought and desire. The rather wordy formulation can be rendered as something along the lines of; ‘We are far apart, I try and be with you in my thoughts, but it doesn’t really work, and I desire </w:t>
      </w:r>
      <w:r w:rsidR="00A06549">
        <w:rPr>
          <w:rFonts w:ascii="Times New Roman" w:hAnsi="Times New Roman" w:cs="Times New Roman"/>
          <w:sz w:val="24"/>
          <w:szCs w:val="24"/>
        </w:rPr>
        <w:t xml:space="preserve">to be with </w:t>
      </w:r>
      <w:r w:rsidR="00EA0BE6">
        <w:rPr>
          <w:rFonts w:ascii="Times New Roman" w:hAnsi="Times New Roman" w:cs="Times New Roman"/>
          <w:sz w:val="24"/>
          <w:szCs w:val="24"/>
        </w:rPr>
        <w:t>you so much that I get sad and start crying.’</w:t>
      </w:r>
      <w:r w:rsidR="008D6DF8">
        <w:rPr>
          <w:rFonts w:ascii="Times New Roman" w:hAnsi="Times New Roman" w:cs="Times New Roman"/>
          <w:sz w:val="24"/>
          <w:szCs w:val="24"/>
        </w:rPr>
        <w:t xml:space="preserve"> This works if we are prepared to ignore some of the obvious pointers in the sonnets to the fact that more is being said.</w:t>
      </w:r>
      <w:r w:rsidR="004F3C6F">
        <w:rPr>
          <w:rFonts w:ascii="Times New Roman" w:hAnsi="Times New Roman" w:cs="Times New Roman"/>
          <w:sz w:val="24"/>
          <w:szCs w:val="24"/>
        </w:rPr>
        <w:t xml:space="preserve"> The use of the word ‘element’ in both sonnets, line 13 in sonnet 44, and line 5 in sonnet 45; should alert us. We do not understand the word element as relating to anything mentioned in the sonnets</w:t>
      </w:r>
      <w:r w:rsidR="00BD0EA3">
        <w:rPr>
          <w:rFonts w:ascii="Times New Roman" w:hAnsi="Times New Roman" w:cs="Times New Roman"/>
          <w:sz w:val="24"/>
          <w:szCs w:val="24"/>
        </w:rPr>
        <w:t>;</w:t>
      </w:r>
      <w:r w:rsidR="004F3C6F">
        <w:rPr>
          <w:rFonts w:ascii="Times New Roman" w:hAnsi="Times New Roman" w:cs="Times New Roman"/>
          <w:sz w:val="24"/>
          <w:szCs w:val="24"/>
        </w:rPr>
        <w:t xml:space="preserve"> we might think of the bit that heats the water in a kettle or the building blocks of the universe,</w:t>
      </w:r>
      <w:r w:rsidR="00B67BE3">
        <w:rPr>
          <w:rFonts w:ascii="Times New Roman" w:hAnsi="Times New Roman" w:cs="Times New Roman"/>
          <w:sz w:val="24"/>
          <w:szCs w:val="24"/>
        </w:rPr>
        <w:t xml:space="preserve"> atoms and so on,</w:t>
      </w:r>
      <w:r w:rsidR="004F3C6F">
        <w:rPr>
          <w:rFonts w:ascii="Times New Roman" w:hAnsi="Times New Roman" w:cs="Times New Roman"/>
          <w:sz w:val="24"/>
          <w:szCs w:val="24"/>
        </w:rPr>
        <w:t xml:space="preserve"> but not water, earth, fire and air. What is going on? We need to understand that in the </w:t>
      </w:r>
      <w:r w:rsidR="00372E7A">
        <w:rPr>
          <w:rFonts w:ascii="Times New Roman" w:hAnsi="Times New Roman" w:cs="Times New Roman"/>
          <w:sz w:val="24"/>
          <w:szCs w:val="24"/>
        </w:rPr>
        <w:t>r</w:t>
      </w:r>
      <w:r w:rsidR="004F3C6F">
        <w:rPr>
          <w:rFonts w:ascii="Times New Roman" w:hAnsi="Times New Roman" w:cs="Times New Roman"/>
          <w:sz w:val="24"/>
          <w:szCs w:val="24"/>
        </w:rPr>
        <w:t>enaissance</w:t>
      </w:r>
      <w:r w:rsidR="00B67BE3">
        <w:rPr>
          <w:rFonts w:ascii="Times New Roman" w:hAnsi="Times New Roman" w:cs="Times New Roman"/>
          <w:sz w:val="24"/>
          <w:szCs w:val="24"/>
        </w:rPr>
        <w:t>,</w:t>
      </w:r>
      <w:r w:rsidR="004F3C6F">
        <w:rPr>
          <w:rFonts w:ascii="Times New Roman" w:hAnsi="Times New Roman" w:cs="Times New Roman"/>
          <w:sz w:val="24"/>
          <w:szCs w:val="24"/>
        </w:rPr>
        <w:t xml:space="preserve"> </w:t>
      </w:r>
      <w:r w:rsidR="0072518F">
        <w:rPr>
          <w:rFonts w:ascii="Times New Roman" w:hAnsi="Times New Roman" w:cs="Times New Roman"/>
          <w:sz w:val="24"/>
          <w:szCs w:val="24"/>
        </w:rPr>
        <w:t>air, fire, water and earth were, following Aristotle, seen as the building blocks of the world. They were the elements</w:t>
      </w:r>
      <w:r w:rsidR="004F3C6F">
        <w:rPr>
          <w:rFonts w:ascii="Times New Roman" w:hAnsi="Times New Roman" w:cs="Times New Roman"/>
          <w:sz w:val="24"/>
          <w:szCs w:val="24"/>
        </w:rPr>
        <w:t xml:space="preserve"> </w:t>
      </w:r>
      <w:r w:rsidR="001B127C">
        <w:rPr>
          <w:rFonts w:ascii="Times New Roman" w:hAnsi="Times New Roman" w:cs="Times New Roman"/>
          <w:sz w:val="24"/>
          <w:szCs w:val="24"/>
        </w:rPr>
        <w:t>from which everything was constructed. In addition, following the Hippocratic writers and Galen</w:t>
      </w:r>
      <w:r w:rsidR="00A06549">
        <w:rPr>
          <w:rFonts w:ascii="Times New Roman" w:hAnsi="Times New Roman" w:cs="Times New Roman"/>
          <w:sz w:val="24"/>
          <w:szCs w:val="24"/>
        </w:rPr>
        <w:t xml:space="preserve">, </w:t>
      </w:r>
      <w:r w:rsidR="008B6CAF">
        <w:rPr>
          <w:rFonts w:ascii="Times New Roman" w:hAnsi="Times New Roman" w:cs="Times New Roman"/>
          <w:sz w:val="24"/>
          <w:szCs w:val="24"/>
        </w:rPr>
        <w:t>t</w:t>
      </w:r>
      <w:r w:rsidR="001B127C">
        <w:rPr>
          <w:rFonts w:ascii="Times New Roman" w:hAnsi="Times New Roman" w:cs="Times New Roman"/>
          <w:sz w:val="24"/>
          <w:szCs w:val="24"/>
        </w:rPr>
        <w:t xml:space="preserve">hese elements were associated with </w:t>
      </w:r>
      <w:r w:rsidR="001B127C">
        <w:rPr>
          <w:rFonts w:ascii="Times New Roman" w:hAnsi="Times New Roman" w:cs="Times New Roman"/>
          <w:sz w:val="24"/>
          <w:szCs w:val="24"/>
        </w:rPr>
        <w:lastRenderedPageBreak/>
        <w:t xml:space="preserve">the four humours of Blood, yellow bile, phlegm, and black bile, the products of various stages of digestion, </w:t>
      </w:r>
      <w:r w:rsidR="00B67BE3">
        <w:rPr>
          <w:rFonts w:ascii="Times New Roman" w:hAnsi="Times New Roman" w:cs="Times New Roman"/>
          <w:sz w:val="24"/>
          <w:szCs w:val="24"/>
        </w:rPr>
        <w:t>which</w:t>
      </w:r>
      <w:r w:rsidR="001B127C">
        <w:rPr>
          <w:rFonts w:ascii="Times New Roman" w:hAnsi="Times New Roman" w:cs="Times New Roman"/>
          <w:sz w:val="24"/>
          <w:szCs w:val="24"/>
        </w:rPr>
        <w:t xml:space="preserve"> were distributed around the body.</w:t>
      </w:r>
      <w:r w:rsidR="008B6CAF">
        <w:rPr>
          <w:rStyle w:val="FootnoteReference"/>
          <w:rFonts w:ascii="Times New Roman" w:hAnsi="Times New Roman" w:cs="Times New Roman"/>
          <w:sz w:val="24"/>
          <w:szCs w:val="24"/>
        </w:rPr>
        <w:footnoteReference w:id="5"/>
      </w:r>
      <w:r w:rsidR="001B127C">
        <w:rPr>
          <w:rFonts w:ascii="Times New Roman" w:hAnsi="Times New Roman" w:cs="Times New Roman"/>
          <w:sz w:val="24"/>
          <w:szCs w:val="24"/>
        </w:rPr>
        <w:t xml:space="preserve"> Harmony in the world, the product of the balance of the four elements, was mirrored by humoral balance in the individual. The upsetting of this humoral balance could lead to disease which could only be rectified by feeding or evacuation. (p. 2)</w:t>
      </w:r>
      <w:r w:rsidR="00B67BE3">
        <w:rPr>
          <w:rFonts w:ascii="Times New Roman" w:hAnsi="Times New Roman" w:cs="Times New Roman"/>
          <w:sz w:val="24"/>
          <w:szCs w:val="24"/>
        </w:rPr>
        <w:t>. The key to health, both physical and mental, lay in consumption, with its watchword, temperance; but this is an individual matter and apparently everyone is different</w:t>
      </w:r>
      <w:r w:rsidR="008B6CAF">
        <w:rPr>
          <w:rFonts w:ascii="Times New Roman" w:hAnsi="Times New Roman" w:cs="Times New Roman"/>
          <w:sz w:val="24"/>
          <w:szCs w:val="24"/>
        </w:rPr>
        <w:t>.</w:t>
      </w:r>
      <w:r w:rsidR="008B6CAF">
        <w:rPr>
          <w:rStyle w:val="FootnoteReference"/>
          <w:rFonts w:ascii="Times New Roman" w:hAnsi="Times New Roman" w:cs="Times New Roman"/>
          <w:sz w:val="24"/>
          <w:szCs w:val="24"/>
        </w:rPr>
        <w:footnoteReference w:id="6"/>
      </w:r>
      <w:r w:rsidR="00CE519D">
        <w:rPr>
          <w:rFonts w:ascii="Times New Roman" w:hAnsi="Times New Roman" w:cs="Times New Roman"/>
          <w:sz w:val="24"/>
          <w:szCs w:val="24"/>
        </w:rPr>
        <w:t xml:space="preserve"> </w:t>
      </w:r>
      <w:r w:rsidR="008B6CAF">
        <w:rPr>
          <w:rFonts w:ascii="Times New Roman" w:hAnsi="Times New Roman" w:cs="Times New Roman"/>
          <w:sz w:val="24"/>
          <w:szCs w:val="24"/>
        </w:rPr>
        <w:t>T</w:t>
      </w:r>
      <w:r w:rsidR="00CE519D">
        <w:rPr>
          <w:rFonts w:ascii="Times New Roman" w:hAnsi="Times New Roman" w:cs="Times New Roman"/>
          <w:sz w:val="24"/>
          <w:szCs w:val="24"/>
        </w:rPr>
        <w:t>his emphasis on uniqueness is an example of what Schoenfeldt refers to as ‘[…] surprising similarities that exist between the early modern language of interiority and our own.’ (p. 75).</w:t>
      </w:r>
    </w:p>
    <w:p w:rsidR="00CE519D" w:rsidRDefault="00CE519D">
      <w:pPr>
        <w:rPr>
          <w:rFonts w:ascii="Times New Roman" w:hAnsi="Times New Roman" w:cs="Times New Roman"/>
          <w:sz w:val="24"/>
          <w:szCs w:val="24"/>
        </w:rPr>
      </w:pPr>
      <w:r>
        <w:rPr>
          <w:rFonts w:ascii="Times New Roman" w:hAnsi="Times New Roman" w:cs="Times New Roman"/>
          <w:sz w:val="24"/>
          <w:szCs w:val="24"/>
        </w:rPr>
        <w:t xml:space="preserve">We can now see that the organisation of the two sonnets is a dense metaphor which moves from Aristotle’s four elements of Air, Fire, </w:t>
      </w:r>
      <w:r w:rsidR="00F86F54">
        <w:rPr>
          <w:rFonts w:ascii="Times New Roman" w:hAnsi="Times New Roman" w:cs="Times New Roman"/>
          <w:sz w:val="24"/>
          <w:szCs w:val="24"/>
        </w:rPr>
        <w:t>W</w:t>
      </w:r>
      <w:r>
        <w:rPr>
          <w:rFonts w:ascii="Times New Roman" w:hAnsi="Times New Roman" w:cs="Times New Roman"/>
          <w:sz w:val="24"/>
          <w:szCs w:val="24"/>
        </w:rPr>
        <w:t>ater and Earth, through their associated humours to the feelings</w:t>
      </w:r>
      <w:r w:rsidR="00B201F6">
        <w:rPr>
          <w:rFonts w:ascii="Times New Roman" w:hAnsi="Times New Roman" w:cs="Times New Roman"/>
          <w:sz w:val="24"/>
          <w:szCs w:val="24"/>
        </w:rPr>
        <w:t>,</w:t>
      </w:r>
      <w:r>
        <w:rPr>
          <w:rFonts w:ascii="Times New Roman" w:hAnsi="Times New Roman" w:cs="Times New Roman"/>
          <w:sz w:val="24"/>
          <w:szCs w:val="24"/>
        </w:rPr>
        <w:t xml:space="preserve"> or psychological types</w:t>
      </w:r>
      <w:r w:rsidR="00B201F6">
        <w:rPr>
          <w:rFonts w:ascii="Times New Roman" w:hAnsi="Times New Roman" w:cs="Times New Roman"/>
          <w:sz w:val="24"/>
          <w:szCs w:val="24"/>
        </w:rPr>
        <w:t>,</w:t>
      </w:r>
      <w:r>
        <w:rPr>
          <w:rFonts w:ascii="Times New Roman" w:hAnsi="Times New Roman" w:cs="Times New Roman"/>
          <w:sz w:val="24"/>
          <w:szCs w:val="24"/>
        </w:rPr>
        <w:t xml:space="preserve"> associated with them</w:t>
      </w:r>
      <w:r w:rsidR="00B201F6">
        <w:rPr>
          <w:rFonts w:ascii="Times New Roman" w:hAnsi="Times New Roman" w:cs="Times New Roman"/>
          <w:sz w:val="24"/>
          <w:szCs w:val="24"/>
        </w:rPr>
        <w:t>;</w:t>
      </w:r>
      <w:r>
        <w:rPr>
          <w:rFonts w:ascii="Times New Roman" w:hAnsi="Times New Roman" w:cs="Times New Roman"/>
          <w:sz w:val="24"/>
          <w:szCs w:val="24"/>
        </w:rPr>
        <w:t xml:space="preserve"> and on to specific notions of thought, desire</w:t>
      </w:r>
      <w:r w:rsidR="00B201F6">
        <w:rPr>
          <w:rFonts w:ascii="Times New Roman" w:hAnsi="Times New Roman" w:cs="Times New Roman"/>
          <w:sz w:val="24"/>
          <w:szCs w:val="24"/>
        </w:rPr>
        <w:t>, and the body or flesh. However, this whole conceit works in a way which almost def</w:t>
      </w:r>
      <w:r w:rsidR="004D14B7">
        <w:rPr>
          <w:rFonts w:ascii="Times New Roman" w:hAnsi="Times New Roman" w:cs="Times New Roman"/>
          <w:sz w:val="24"/>
          <w:szCs w:val="24"/>
        </w:rPr>
        <w:t>ies</w:t>
      </w:r>
      <w:r w:rsidR="00B201F6">
        <w:rPr>
          <w:rFonts w:ascii="Times New Roman" w:hAnsi="Times New Roman" w:cs="Times New Roman"/>
          <w:sz w:val="24"/>
          <w:szCs w:val="24"/>
        </w:rPr>
        <w:t xml:space="preserve"> analysis</w:t>
      </w:r>
      <w:r w:rsidR="004D14B7">
        <w:rPr>
          <w:rFonts w:ascii="Times New Roman" w:hAnsi="Times New Roman" w:cs="Times New Roman"/>
          <w:sz w:val="24"/>
          <w:szCs w:val="24"/>
        </w:rPr>
        <w:t>. An example of this is that Stephen Booth makes the point that Shakespeare’s attention is primarily to the tenor of his statements, not to their vehicle, which he describes as the technical details of traditional physics and medicine.</w:t>
      </w:r>
      <w:r w:rsidR="008B6CAF">
        <w:rPr>
          <w:rStyle w:val="FootnoteReference"/>
          <w:rFonts w:ascii="Times New Roman" w:hAnsi="Times New Roman" w:cs="Times New Roman"/>
          <w:sz w:val="24"/>
          <w:szCs w:val="24"/>
        </w:rPr>
        <w:footnoteReference w:id="7"/>
      </w:r>
      <w:r w:rsidR="004D14B7">
        <w:rPr>
          <w:rFonts w:ascii="Times New Roman" w:hAnsi="Times New Roman" w:cs="Times New Roman"/>
          <w:sz w:val="24"/>
          <w:szCs w:val="24"/>
        </w:rPr>
        <w:t xml:space="preserve"> This</w:t>
      </w:r>
      <w:r w:rsidR="00CC374F">
        <w:rPr>
          <w:rFonts w:ascii="Times New Roman" w:hAnsi="Times New Roman" w:cs="Times New Roman"/>
          <w:sz w:val="24"/>
          <w:szCs w:val="24"/>
        </w:rPr>
        <w:t xml:space="preserve"> is almost certainly</w:t>
      </w:r>
      <w:r w:rsidR="004D14B7">
        <w:rPr>
          <w:rFonts w:ascii="Times New Roman" w:hAnsi="Times New Roman" w:cs="Times New Roman"/>
          <w:sz w:val="24"/>
          <w:szCs w:val="24"/>
        </w:rPr>
        <w:t xml:space="preserve"> missing the opportunity to examine the extent to which Shakespeare is appropriating the language of humours</w:t>
      </w:r>
      <w:r w:rsidR="00F86F54">
        <w:rPr>
          <w:rFonts w:ascii="Times New Roman" w:hAnsi="Times New Roman" w:cs="Times New Roman"/>
          <w:sz w:val="24"/>
          <w:szCs w:val="24"/>
        </w:rPr>
        <w:t xml:space="preserve"> to interrogate it; to, in a sense, turn the metaphor back on itself and examine the extent to which it is a sufficient discourse for his needs. One needs to be aware of the extent to which Shakespeare is subverting the discourse to examine its flaws.</w:t>
      </w:r>
      <w:r w:rsidR="00973D5D">
        <w:rPr>
          <w:rStyle w:val="FootnoteReference"/>
          <w:rFonts w:ascii="Times New Roman" w:hAnsi="Times New Roman" w:cs="Times New Roman"/>
          <w:sz w:val="24"/>
          <w:szCs w:val="24"/>
        </w:rPr>
        <w:footnoteReference w:id="8"/>
      </w:r>
      <w:r w:rsidR="00F86F54">
        <w:rPr>
          <w:rFonts w:ascii="Times New Roman" w:hAnsi="Times New Roman" w:cs="Times New Roman"/>
          <w:sz w:val="24"/>
          <w:szCs w:val="24"/>
        </w:rPr>
        <w:t xml:space="preserve"> So far, I have arrived at a view of the two sonnets which understand how the poetic artifice makes sense. Shakespeare is employing an extended metaphor which runs on different levels</w:t>
      </w:r>
      <w:r w:rsidR="00D96CDC">
        <w:rPr>
          <w:rFonts w:ascii="Times New Roman" w:hAnsi="Times New Roman" w:cs="Times New Roman"/>
          <w:sz w:val="24"/>
          <w:szCs w:val="24"/>
        </w:rPr>
        <w:t>. For example, Earth and Water are exactly what they seem, markers of distance, and formidable obstacles to the desire of two people to be together (or one person, at least), but they also introduce the notion of balance and harmony which refers to the world but also reaches down into the core of the individual and his sense of completeness. In this way it can be argued</w:t>
      </w:r>
      <w:r w:rsidR="00E1653C">
        <w:rPr>
          <w:rFonts w:ascii="Times New Roman" w:hAnsi="Times New Roman" w:cs="Times New Roman"/>
          <w:sz w:val="24"/>
          <w:szCs w:val="24"/>
        </w:rPr>
        <w:t xml:space="preserve"> that</w:t>
      </w:r>
      <w:r w:rsidR="00D96CDC">
        <w:rPr>
          <w:rFonts w:ascii="Times New Roman" w:hAnsi="Times New Roman" w:cs="Times New Roman"/>
          <w:sz w:val="24"/>
          <w:szCs w:val="24"/>
        </w:rPr>
        <w:t xml:space="preserve"> Shakespeare exemplifies Rosamund Tuve’s view that metaphor for the Elizabethan poet</w:t>
      </w:r>
      <w:r w:rsidR="00E1653C">
        <w:rPr>
          <w:rFonts w:ascii="Times New Roman" w:hAnsi="Times New Roman" w:cs="Times New Roman"/>
          <w:sz w:val="24"/>
          <w:szCs w:val="24"/>
        </w:rPr>
        <w:t xml:space="preserve"> shows the truth of commonly accepted and believed propositions</w:t>
      </w:r>
      <w:r w:rsidR="00611B7A">
        <w:rPr>
          <w:rFonts w:ascii="Times New Roman" w:hAnsi="Times New Roman" w:cs="Times New Roman"/>
          <w:sz w:val="24"/>
          <w:szCs w:val="24"/>
        </w:rPr>
        <w:t>.</w:t>
      </w:r>
      <w:r w:rsidR="00A26F7C">
        <w:rPr>
          <w:rStyle w:val="FootnoteReference"/>
          <w:rFonts w:ascii="Times New Roman" w:hAnsi="Times New Roman" w:cs="Times New Roman"/>
          <w:sz w:val="24"/>
          <w:szCs w:val="24"/>
        </w:rPr>
        <w:footnoteReference w:id="9"/>
      </w:r>
      <w:r w:rsidR="00B9592C">
        <w:rPr>
          <w:rFonts w:ascii="Times New Roman" w:hAnsi="Times New Roman" w:cs="Times New Roman"/>
          <w:sz w:val="24"/>
          <w:szCs w:val="24"/>
        </w:rPr>
        <w:t xml:space="preserve"> </w:t>
      </w:r>
      <w:r w:rsidR="00E1653C">
        <w:rPr>
          <w:rFonts w:ascii="Times New Roman" w:hAnsi="Times New Roman" w:cs="Times New Roman"/>
          <w:sz w:val="24"/>
          <w:szCs w:val="24"/>
        </w:rPr>
        <w:t xml:space="preserve"> There is another aspect to this which has so far been ignored. The Renaissance view of the four elements and the four humours helps us understand the impressive achievements that are sonnets 44 and 45, but an understanding of another idea, which stands behind this</w:t>
      </w:r>
      <w:r w:rsidR="00611B7A">
        <w:rPr>
          <w:rFonts w:ascii="Times New Roman" w:hAnsi="Times New Roman" w:cs="Times New Roman"/>
          <w:sz w:val="24"/>
          <w:szCs w:val="24"/>
        </w:rPr>
        <w:t>,</w:t>
      </w:r>
      <w:r w:rsidR="00E1653C">
        <w:rPr>
          <w:rFonts w:ascii="Times New Roman" w:hAnsi="Times New Roman" w:cs="Times New Roman"/>
          <w:sz w:val="24"/>
          <w:szCs w:val="24"/>
        </w:rPr>
        <w:t xml:space="preserve"> adds another level, another dimension to the way these sonnets can act upon us. Microcosm – Macrocosm, the view that the way the individual is composed</w:t>
      </w:r>
      <w:r w:rsidR="0068168C">
        <w:rPr>
          <w:rFonts w:ascii="Times New Roman" w:hAnsi="Times New Roman" w:cs="Times New Roman"/>
          <w:sz w:val="24"/>
          <w:szCs w:val="24"/>
        </w:rPr>
        <w:t>, is reflected in the way all things in the world are constructed, large o</w:t>
      </w:r>
      <w:r w:rsidR="002E2BA3">
        <w:rPr>
          <w:rFonts w:ascii="Times New Roman" w:hAnsi="Times New Roman" w:cs="Times New Roman"/>
          <w:sz w:val="24"/>
          <w:szCs w:val="24"/>
        </w:rPr>
        <w:t xml:space="preserve">r </w:t>
      </w:r>
      <w:r w:rsidR="0068168C">
        <w:rPr>
          <w:rFonts w:ascii="Times New Roman" w:hAnsi="Times New Roman" w:cs="Times New Roman"/>
          <w:sz w:val="24"/>
          <w:szCs w:val="24"/>
        </w:rPr>
        <w:t xml:space="preserve">small, allows us to see that the images which Shakespeare uses are available to us as metaphors but at the same time as descriptions of the individual. So that the ‘I’ of the sonnets is not just separated from the object of his desire by physical distance, he is a fractured individual whose thoughts cannot control the disintegration of personality which </w:t>
      </w:r>
      <w:r w:rsidR="00CC374F">
        <w:rPr>
          <w:rFonts w:ascii="Times New Roman" w:hAnsi="Times New Roman" w:cs="Times New Roman"/>
          <w:sz w:val="24"/>
          <w:szCs w:val="24"/>
        </w:rPr>
        <w:lastRenderedPageBreak/>
        <w:t>appears</w:t>
      </w:r>
      <w:r w:rsidR="0068168C">
        <w:rPr>
          <w:rFonts w:ascii="Times New Roman" w:hAnsi="Times New Roman" w:cs="Times New Roman"/>
          <w:sz w:val="24"/>
          <w:szCs w:val="24"/>
        </w:rPr>
        <w:t xml:space="preserve"> to be imminent. </w:t>
      </w:r>
      <w:r w:rsidR="00A26F7C">
        <w:rPr>
          <w:rFonts w:ascii="Times New Roman" w:hAnsi="Times New Roman" w:cs="Times New Roman"/>
          <w:sz w:val="24"/>
          <w:szCs w:val="24"/>
        </w:rPr>
        <w:t>As Helen Vendler points out, ‘The ethics of lyric writing lies in the accuracy of its representation of inner life, and in that alone.’ (p. 17)</w:t>
      </w:r>
    </w:p>
    <w:p w:rsidR="003226B8" w:rsidRDefault="003226B8">
      <w:pPr>
        <w:rPr>
          <w:rFonts w:ascii="Times New Roman" w:hAnsi="Times New Roman" w:cs="Times New Roman"/>
          <w:sz w:val="24"/>
          <w:szCs w:val="24"/>
        </w:rPr>
      </w:pPr>
      <w:r>
        <w:rPr>
          <w:rFonts w:ascii="Times New Roman" w:hAnsi="Times New Roman" w:cs="Times New Roman"/>
          <w:sz w:val="24"/>
          <w:szCs w:val="24"/>
        </w:rPr>
        <w:t xml:space="preserve">Sonnet 94 is a very different piece of work compared to the sonnets just discussed. It addresses the qualities of </w:t>
      </w:r>
      <w:r w:rsidR="00CF374A">
        <w:rPr>
          <w:rFonts w:ascii="Times New Roman" w:hAnsi="Times New Roman" w:cs="Times New Roman"/>
          <w:sz w:val="24"/>
          <w:szCs w:val="24"/>
        </w:rPr>
        <w:t>‘</w:t>
      </w:r>
      <w:r>
        <w:rPr>
          <w:rFonts w:ascii="Times New Roman" w:hAnsi="Times New Roman" w:cs="Times New Roman"/>
          <w:sz w:val="24"/>
          <w:szCs w:val="24"/>
        </w:rPr>
        <w:t>they</w:t>
      </w:r>
      <w:r w:rsidR="00CF374A">
        <w:rPr>
          <w:rFonts w:ascii="Times New Roman" w:hAnsi="Times New Roman" w:cs="Times New Roman"/>
          <w:sz w:val="24"/>
          <w:szCs w:val="24"/>
        </w:rPr>
        <w:t>’</w:t>
      </w:r>
      <w:r>
        <w:rPr>
          <w:rFonts w:ascii="Times New Roman" w:hAnsi="Times New Roman" w:cs="Times New Roman"/>
          <w:sz w:val="24"/>
          <w:szCs w:val="24"/>
        </w:rPr>
        <w:t xml:space="preserve">, but in </w:t>
      </w:r>
      <w:r w:rsidR="00CF374A">
        <w:rPr>
          <w:rFonts w:ascii="Times New Roman" w:hAnsi="Times New Roman" w:cs="Times New Roman"/>
          <w:sz w:val="24"/>
          <w:szCs w:val="24"/>
        </w:rPr>
        <w:t>terms which seem to keep one searching for the voice of the writer. ‘They’ are compared to ‘others’. Unlike sonnets 44 and 45, 94 is not full of things; miles, earth, water, flesh, air, fire and so on, until we get to weeds and lilies in the last six lines. As Schoenfeldt points out,</w:t>
      </w:r>
      <w:r w:rsidR="00606E8A">
        <w:rPr>
          <w:rFonts w:ascii="Times New Roman" w:hAnsi="Times New Roman" w:cs="Times New Roman"/>
          <w:sz w:val="24"/>
          <w:szCs w:val="24"/>
        </w:rPr>
        <w:t xml:space="preserve"> (p 83)</w:t>
      </w:r>
      <w:r w:rsidR="00CF374A">
        <w:rPr>
          <w:rFonts w:ascii="Times New Roman" w:hAnsi="Times New Roman" w:cs="Times New Roman"/>
          <w:sz w:val="24"/>
          <w:szCs w:val="24"/>
        </w:rPr>
        <w:t xml:space="preserve"> </w:t>
      </w:r>
      <w:r w:rsidR="00606E8A">
        <w:rPr>
          <w:rFonts w:ascii="Times New Roman" w:hAnsi="Times New Roman" w:cs="Times New Roman"/>
          <w:sz w:val="24"/>
          <w:szCs w:val="24"/>
        </w:rPr>
        <w:t xml:space="preserve">sonnet 94 is probably the most discussed </w:t>
      </w:r>
      <w:r w:rsidR="001019FC">
        <w:rPr>
          <w:rFonts w:ascii="Times New Roman" w:hAnsi="Times New Roman" w:cs="Times New Roman"/>
          <w:sz w:val="24"/>
          <w:szCs w:val="24"/>
        </w:rPr>
        <w:t xml:space="preserve">and puzzled over </w:t>
      </w:r>
      <w:r w:rsidR="00606E8A">
        <w:rPr>
          <w:rFonts w:ascii="Times New Roman" w:hAnsi="Times New Roman" w:cs="Times New Roman"/>
          <w:sz w:val="24"/>
          <w:szCs w:val="24"/>
        </w:rPr>
        <w:t>sonnet of the twentieth century.</w:t>
      </w:r>
      <w:r w:rsidR="009D3162">
        <w:rPr>
          <w:rStyle w:val="FootnoteReference"/>
          <w:rFonts w:ascii="Times New Roman" w:hAnsi="Times New Roman" w:cs="Times New Roman"/>
          <w:sz w:val="24"/>
          <w:szCs w:val="24"/>
        </w:rPr>
        <w:footnoteReference w:id="10"/>
      </w:r>
      <w:r w:rsidR="00606E8A">
        <w:rPr>
          <w:rFonts w:ascii="Times New Roman" w:hAnsi="Times New Roman" w:cs="Times New Roman"/>
          <w:sz w:val="24"/>
          <w:szCs w:val="24"/>
        </w:rPr>
        <w:t xml:space="preserve"> He puts this down to modern readers</w:t>
      </w:r>
      <w:r w:rsidR="001019FC">
        <w:rPr>
          <w:rFonts w:ascii="Times New Roman" w:hAnsi="Times New Roman" w:cs="Times New Roman"/>
          <w:sz w:val="24"/>
          <w:szCs w:val="24"/>
        </w:rPr>
        <w:t>’</w:t>
      </w:r>
      <w:r w:rsidR="00606E8A">
        <w:rPr>
          <w:rFonts w:ascii="Times New Roman" w:hAnsi="Times New Roman" w:cs="Times New Roman"/>
          <w:sz w:val="24"/>
          <w:szCs w:val="24"/>
        </w:rPr>
        <w:t xml:space="preserve"> tendency to read the sonnet from a modern perspective; ‘We fail, that is, to see the premium that Shakespeare’s own articulations of desire place on self-control, as well as the medical and moral culture from which they derive.’ Schoenfeldt goes on to explain </w:t>
      </w:r>
      <w:r w:rsidR="00987737">
        <w:rPr>
          <w:rFonts w:ascii="Times New Roman" w:hAnsi="Times New Roman" w:cs="Times New Roman"/>
          <w:sz w:val="24"/>
          <w:szCs w:val="24"/>
        </w:rPr>
        <w:t>that while we may regard the self-control described in the sonnet as an unhealthy symptom of repression, taken in the context of both the other sonnets which Schoenfeldt chooses to discuss, 44, 45, 129, 145, 146, 147, and 154; and ‘the period’s medical, theological, and philosophical inheritance.’ (p. 84), sonnet 94 amounts to an ‘urgent endorsement of cool stability’ (p. 83). This statement relies on two things, the context provided by the sonnets Schoenfeldt has selected to demonstrate</w:t>
      </w:r>
      <w:r w:rsidR="001019FC">
        <w:rPr>
          <w:rFonts w:ascii="Times New Roman" w:hAnsi="Times New Roman" w:cs="Times New Roman"/>
          <w:sz w:val="24"/>
          <w:szCs w:val="24"/>
        </w:rPr>
        <w:t>, by way of contrast, ‘the insanities of insubordinate desire,’ (p. 83) and the lines in sonnet 94 which he describes as ‘Shakespeare’s praise of those with the capacity to remain ‘’as stone,</w:t>
      </w:r>
      <w:r w:rsidR="00324BCF">
        <w:rPr>
          <w:rFonts w:ascii="Times New Roman" w:hAnsi="Times New Roman" w:cs="Times New Roman"/>
          <w:sz w:val="24"/>
          <w:szCs w:val="24"/>
        </w:rPr>
        <w:t xml:space="preserve"> </w:t>
      </w:r>
      <w:r w:rsidR="001019FC">
        <w:rPr>
          <w:rFonts w:ascii="Times New Roman" w:hAnsi="Times New Roman" w:cs="Times New Roman"/>
          <w:sz w:val="24"/>
          <w:szCs w:val="24"/>
        </w:rPr>
        <w:t>/ Unmooved, cold’’ (sonnet 94, lines3 – 4).’ (p. 74).</w:t>
      </w:r>
      <w:r w:rsidR="00324BCF">
        <w:rPr>
          <w:rFonts w:ascii="Times New Roman" w:hAnsi="Times New Roman" w:cs="Times New Roman"/>
          <w:sz w:val="24"/>
          <w:szCs w:val="24"/>
        </w:rPr>
        <w:t xml:space="preserve"> Schoenfeldt links these lines with the imagery employed by Sir Thomas Elyot in </w:t>
      </w:r>
      <w:r w:rsidR="00324BCF" w:rsidRPr="00324BCF">
        <w:rPr>
          <w:rFonts w:ascii="Times New Roman" w:hAnsi="Times New Roman" w:cs="Times New Roman"/>
          <w:i/>
          <w:sz w:val="24"/>
          <w:szCs w:val="24"/>
        </w:rPr>
        <w:t>The Book Named The</w:t>
      </w:r>
      <w:r w:rsidR="00324BCF">
        <w:rPr>
          <w:rFonts w:ascii="Times New Roman" w:hAnsi="Times New Roman" w:cs="Times New Roman"/>
          <w:sz w:val="24"/>
          <w:szCs w:val="24"/>
        </w:rPr>
        <w:t xml:space="preserve"> </w:t>
      </w:r>
      <w:r w:rsidR="00324BCF" w:rsidRPr="00324BCF">
        <w:rPr>
          <w:rFonts w:ascii="Times New Roman" w:hAnsi="Times New Roman" w:cs="Times New Roman"/>
          <w:i/>
          <w:sz w:val="24"/>
          <w:szCs w:val="24"/>
        </w:rPr>
        <w:t>Governor</w:t>
      </w:r>
      <w:r w:rsidR="00324BCF">
        <w:rPr>
          <w:rFonts w:ascii="Times New Roman" w:hAnsi="Times New Roman" w:cs="Times New Roman"/>
          <w:i/>
          <w:sz w:val="24"/>
          <w:szCs w:val="24"/>
        </w:rPr>
        <w:t xml:space="preserve"> </w:t>
      </w:r>
      <w:r w:rsidR="00324BCF">
        <w:rPr>
          <w:rFonts w:ascii="Times New Roman" w:hAnsi="Times New Roman" w:cs="Times New Roman"/>
          <w:sz w:val="24"/>
          <w:szCs w:val="24"/>
        </w:rPr>
        <w:t xml:space="preserve">and ‘Spenser’s portrait of the temperate self in Book 2 of </w:t>
      </w:r>
      <w:r w:rsidR="00324BCF" w:rsidRPr="00324BCF">
        <w:rPr>
          <w:rFonts w:ascii="Times New Roman" w:hAnsi="Times New Roman" w:cs="Times New Roman"/>
          <w:i/>
          <w:sz w:val="24"/>
          <w:szCs w:val="24"/>
        </w:rPr>
        <w:t>The Faerie Queene</w:t>
      </w:r>
      <w:r w:rsidR="0061726E">
        <w:rPr>
          <w:rFonts w:ascii="Times New Roman" w:hAnsi="Times New Roman" w:cs="Times New Roman"/>
          <w:sz w:val="24"/>
          <w:szCs w:val="24"/>
        </w:rPr>
        <w:t>.’</w:t>
      </w:r>
      <w:r w:rsidR="00324BCF">
        <w:rPr>
          <w:rFonts w:ascii="Times New Roman" w:hAnsi="Times New Roman" w:cs="Times New Roman"/>
          <w:sz w:val="24"/>
          <w:szCs w:val="24"/>
        </w:rPr>
        <w:t>, where the comparison of the self to stony materials depicts ‘the virtue of constancy.’ (p. 74).</w:t>
      </w:r>
    </w:p>
    <w:p w:rsidR="009A459F" w:rsidRDefault="00324BCF">
      <w:pPr>
        <w:rPr>
          <w:rFonts w:ascii="Times New Roman" w:hAnsi="Times New Roman" w:cs="Times New Roman"/>
          <w:sz w:val="24"/>
          <w:szCs w:val="24"/>
        </w:rPr>
      </w:pPr>
      <w:r>
        <w:rPr>
          <w:rFonts w:ascii="Times New Roman" w:hAnsi="Times New Roman" w:cs="Times New Roman"/>
          <w:sz w:val="24"/>
          <w:szCs w:val="24"/>
        </w:rPr>
        <w:t xml:space="preserve">It </w:t>
      </w:r>
      <w:r w:rsidR="00116968">
        <w:rPr>
          <w:rFonts w:ascii="Times New Roman" w:hAnsi="Times New Roman" w:cs="Times New Roman"/>
          <w:sz w:val="24"/>
          <w:szCs w:val="24"/>
        </w:rPr>
        <w:t>is</w:t>
      </w:r>
      <w:r>
        <w:rPr>
          <w:rFonts w:ascii="Times New Roman" w:hAnsi="Times New Roman" w:cs="Times New Roman"/>
          <w:sz w:val="24"/>
          <w:szCs w:val="24"/>
        </w:rPr>
        <w:t xml:space="preserve"> important to point out that to make this argument, Schoenfeldt creates a context from some other selected sonnets, which provide a contrasting view to the one which he maintains is in sonnet 94</w:t>
      </w:r>
      <w:r w:rsidR="009A459F">
        <w:rPr>
          <w:rFonts w:ascii="Times New Roman" w:hAnsi="Times New Roman" w:cs="Times New Roman"/>
          <w:sz w:val="24"/>
          <w:szCs w:val="24"/>
        </w:rPr>
        <w:t xml:space="preserve">, and provides a further context from ‘the periods medical, theological and philosophical inheritance’ (p. 84). The poem is understood from the position of the contexts provided, which are used to interpret three words in the poem, </w:t>
      </w:r>
      <w:r w:rsidR="0061726E">
        <w:rPr>
          <w:rFonts w:ascii="Times New Roman" w:hAnsi="Times New Roman" w:cs="Times New Roman"/>
          <w:sz w:val="24"/>
          <w:szCs w:val="24"/>
        </w:rPr>
        <w:t>‘</w:t>
      </w:r>
      <w:r w:rsidR="009A459F">
        <w:rPr>
          <w:rFonts w:ascii="Times New Roman" w:hAnsi="Times New Roman" w:cs="Times New Roman"/>
          <w:sz w:val="24"/>
          <w:szCs w:val="24"/>
        </w:rPr>
        <w:t>unmooved</w:t>
      </w:r>
      <w:r w:rsidR="0061726E">
        <w:rPr>
          <w:rFonts w:ascii="Times New Roman" w:hAnsi="Times New Roman" w:cs="Times New Roman"/>
          <w:sz w:val="24"/>
          <w:szCs w:val="24"/>
        </w:rPr>
        <w:t>’</w:t>
      </w:r>
      <w:r w:rsidR="009A459F">
        <w:rPr>
          <w:rFonts w:ascii="Times New Roman" w:hAnsi="Times New Roman" w:cs="Times New Roman"/>
          <w:sz w:val="24"/>
          <w:szCs w:val="24"/>
        </w:rPr>
        <w:t xml:space="preserve">, </w:t>
      </w:r>
      <w:r w:rsidR="0061726E">
        <w:rPr>
          <w:rFonts w:ascii="Times New Roman" w:hAnsi="Times New Roman" w:cs="Times New Roman"/>
          <w:sz w:val="24"/>
          <w:szCs w:val="24"/>
        </w:rPr>
        <w:t>‘</w:t>
      </w:r>
      <w:r w:rsidR="009A459F">
        <w:rPr>
          <w:rFonts w:ascii="Times New Roman" w:hAnsi="Times New Roman" w:cs="Times New Roman"/>
          <w:sz w:val="24"/>
          <w:szCs w:val="24"/>
        </w:rPr>
        <w:t>cold</w:t>
      </w:r>
      <w:r w:rsidR="0061726E">
        <w:rPr>
          <w:rFonts w:ascii="Times New Roman" w:hAnsi="Times New Roman" w:cs="Times New Roman"/>
          <w:sz w:val="24"/>
          <w:szCs w:val="24"/>
        </w:rPr>
        <w:t>’</w:t>
      </w:r>
      <w:r w:rsidR="009A459F">
        <w:rPr>
          <w:rFonts w:ascii="Times New Roman" w:hAnsi="Times New Roman" w:cs="Times New Roman"/>
          <w:sz w:val="24"/>
          <w:szCs w:val="24"/>
        </w:rPr>
        <w:t xml:space="preserve">, and </w:t>
      </w:r>
      <w:r w:rsidR="0061726E">
        <w:rPr>
          <w:rFonts w:ascii="Times New Roman" w:hAnsi="Times New Roman" w:cs="Times New Roman"/>
          <w:sz w:val="24"/>
          <w:szCs w:val="24"/>
        </w:rPr>
        <w:t>‘</w:t>
      </w:r>
      <w:r w:rsidR="009A459F">
        <w:rPr>
          <w:rFonts w:ascii="Times New Roman" w:hAnsi="Times New Roman" w:cs="Times New Roman"/>
          <w:sz w:val="24"/>
          <w:szCs w:val="24"/>
        </w:rPr>
        <w:t>stone</w:t>
      </w:r>
      <w:r w:rsidR="0061726E">
        <w:rPr>
          <w:rFonts w:ascii="Times New Roman" w:hAnsi="Times New Roman" w:cs="Times New Roman"/>
          <w:sz w:val="24"/>
          <w:szCs w:val="24"/>
        </w:rPr>
        <w:t>’</w:t>
      </w:r>
      <w:r w:rsidR="009A459F">
        <w:rPr>
          <w:rFonts w:ascii="Times New Roman" w:hAnsi="Times New Roman" w:cs="Times New Roman"/>
          <w:sz w:val="24"/>
          <w:szCs w:val="24"/>
        </w:rPr>
        <w:t>. What does the poem have to say about this?</w:t>
      </w:r>
      <w:r w:rsidR="0061726E">
        <w:rPr>
          <w:rFonts w:ascii="Times New Roman" w:hAnsi="Times New Roman" w:cs="Times New Roman"/>
          <w:sz w:val="24"/>
          <w:szCs w:val="24"/>
        </w:rPr>
        <w:t xml:space="preserve"> Many commentators have detected an ambivalence and in some cases irony in the praise which is heaped on ‘they’ in the sonnet. Schoenfeldt’s point is that this is misplaced because an understanding of context enables us to see the words ‘unmooved’, ‘cold’ and ‘stone’ as value words rather than words which carry critical overtones. My point is that in this instance context is having it all its own way, without any attention being paid to what is happening in the sonnet</w:t>
      </w:r>
      <w:r w:rsidR="00116968">
        <w:rPr>
          <w:rFonts w:ascii="Times New Roman" w:hAnsi="Times New Roman" w:cs="Times New Roman"/>
          <w:sz w:val="24"/>
          <w:szCs w:val="24"/>
        </w:rPr>
        <w:t xml:space="preserve"> and the way Shakespeare is working to undermine the position of ‘they’ and establish the moral superiority of ‘others’ with whom the writer identifies. There is not space to discuss the whole of the sonnet, but a discussion of the first four line</w:t>
      </w:r>
      <w:r w:rsidR="005F1087">
        <w:rPr>
          <w:rFonts w:ascii="Times New Roman" w:hAnsi="Times New Roman" w:cs="Times New Roman"/>
          <w:sz w:val="24"/>
          <w:szCs w:val="24"/>
        </w:rPr>
        <w:t>s</w:t>
      </w:r>
      <w:r w:rsidR="00116968">
        <w:rPr>
          <w:rFonts w:ascii="Times New Roman" w:hAnsi="Times New Roman" w:cs="Times New Roman"/>
          <w:sz w:val="24"/>
          <w:szCs w:val="24"/>
        </w:rPr>
        <w:t xml:space="preserve"> will make my point and indicate ways in which the remainder of the poem can be discussed.</w:t>
      </w:r>
      <w:r w:rsidR="00FF6B57">
        <w:rPr>
          <w:rFonts w:ascii="Times New Roman" w:hAnsi="Times New Roman" w:cs="Times New Roman"/>
          <w:sz w:val="24"/>
          <w:szCs w:val="24"/>
        </w:rPr>
        <w:t xml:space="preserve"> The vacillation which commentators have detected in the first four lines of the poem can be more easily discussed if the lines are rearranged into two rhyming couplets. Doing this shows that there are two differing positions at work here, and incidentally</w:t>
      </w:r>
      <w:r w:rsidR="001E60AC">
        <w:rPr>
          <w:rFonts w:ascii="Times New Roman" w:hAnsi="Times New Roman" w:cs="Times New Roman"/>
          <w:sz w:val="24"/>
          <w:szCs w:val="24"/>
        </w:rPr>
        <w:t>,</w:t>
      </w:r>
      <w:r w:rsidR="00FF6B57">
        <w:rPr>
          <w:rFonts w:ascii="Times New Roman" w:hAnsi="Times New Roman" w:cs="Times New Roman"/>
          <w:sz w:val="24"/>
          <w:szCs w:val="24"/>
        </w:rPr>
        <w:t xml:space="preserve"> that Shakespeare uses rhyme as a cognitive instrument to </w:t>
      </w:r>
      <w:r w:rsidR="000F147A">
        <w:rPr>
          <w:rFonts w:ascii="Times New Roman" w:hAnsi="Times New Roman" w:cs="Times New Roman"/>
          <w:sz w:val="24"/>
          <w:szCs w:val="24"/>
        </w:rPr>
        <w:t>cue us</w:t>
      </w:r>
      <w:r w:rsidR="00FF6B57">
        <w:rPr>
          <w:rFonts w:ascii="Times New Roman" w:hAnsi="Times New Roman" w:cs="Times New Roman"/>
          <w:sz w:val="24"/>
          <w:szCs w:val="24"/>
        </w:rPr>
        <w:t xml:space="preserve"> towards connecting these lines with each other.</w:t>
      </w:r>
    </w:p>
    <w:p w:rsidR="00FF6B57" w:rsidRPr="00273D49" w:rsidRDefault="00FF6B57" w:rsidP="00FF6B57">
      <w:pPr>
        <w:spacing w:after="0"/>
        <w:rPr>
          <w:rFonts w:ascii="Times New Roman" w:hAnsi="Times New Roman" w:cs="Times New Roman"/>
          <w:sz w:val="20"/>
          <w:szCs w:val="20"/>
        </w:rPr>
      </w:pPr>
      <w:r>
        <w:rPr>
          <w:rFonts w:ascii="Times New Roman" w:hAnsi="Times New Roman" w:cs="Times New Roman"/>
          <w:sz w:val="24"/>
          <w:szCs w:val="24"/>
        </w:rPr>
        <w:lastRenderedPageBreak/>
        <w:t xml:space="preserve">                </w:t>
      </w:r>
      <w:r w:rsidRPr="00273D49">
        <w:rPr>
          <w:rFonts w:ascii="Times New Roman" w:hAnsi="Times New Roman" w:cs="Times New Roman"/>
          <w:sz w:val="20"/>
          <w:szCs w:val="20"/>
        </w:rPr>
        <w:t>They that have the pow’r to hurt, and will do none,</w:t>
      </w:r>
    </w:p>
    <w:p w:rsidR="00FF6B57" w:rsidRPr="00273D49" w:rsidRDefault="00FF6B57" w:rsidP="00FF6B57">
      <w:pPr>
        <w:spacing w:after="0"/>
        <w:rPr>
          <w:rFonts w:ascii="Times New Roman" w:hAnsi="Times New Roman" w:cs="Times New Roman"/>
          <w:sz w:val="20"/>
          <w:szCs w:val="20"/>
        </w:rPr>
      </w:pPr>
      <w:r w:rsidRPr="00273D49">
        <w:rPr>
          <w:rFonts w:ascii="Times New Roman" w:hAnsi="Times New Roman" w:cs="Times New Roman"/>
          <w:sz w:val="20"/>
          <w:szCs w:val="20"/>
        </w:rPr>
        <w:t xml:space="preserve">                   Who, moving others, are themselves as stone,</w:t>
      </w:r>
    </w:p>
    <w:p w:rsidR="00FF6B57" w:rsidRPr="00273D49" w:rsidRDefault="00FF6B57" w:rsidP="00FF6B57">
      <w:pPr>
        <w:spacing w:after="0"/>
        <w:rPr>
          <w:rFonts w:ascii="Times New Roman" w:hAnsi="Times New Roman" w:cs="Times New Roman"/>
          <w:sz w:val="20"/>
          <w:szCs w:val="20"/>
        </w:rPr>
      </w:pPr>
      <w:r w:rsidRPr="00273D49">
        <w:rPr>
          <w:rFonts w:ascii="Times New Roman" w:hAnsi="Times New Roman" w:cs="Times New Roman"/>
          <w:sz w:val="20"/>
          <w:szCs w:val="20"/>
        </w:rPr>
        <w:t xml:space="preserve">                   That do not do the thing they most do show,</w:t>
      </w:r>
    </w:p>
    <w:p w:rsidR="00FF6B57" w:rsidRPr="00273D49" w:rsidRDefault="00FF6B57" w:rsidP="00FF6B57">
      <w:pPr>
        <w:rPr>
          <w:rFonts w:ascii="Times New Roman" w:hAnsi="Times New Roman" w:cs="Times New Roman"/>
          <w:sz w:val="20"/>
          <w:szCs w:val="20"/>
        </w:rPr>
      </w:pPr>
      <w:r w:rsidRPr="00273D49">
        <w:rPr>
          <w:rFonts w:ascii="Times New Roman" w:hAnsi="Times New Roman" w:cs="Times New Roman"/>
          <w:sz w:val="20"/>
          <w:szCs w:val="20"/>
        </w:rPr>
        <w:t xml:space="preserve">                   Unmooved, cold and to temptation slow:</w:t>
      </w:r>
    </w:p>
    <w:p w:rsidR="001E60AC" w:rsidRPr="00487B04" w:rsidRDefault="00273D49" w:rsidP="00FF6B57">
      <w:pPr>
        <w:rPr>
          <w:rFonts w:ascii="Times New Roman" w:hAnsi="Times New Roman" w:cs="Times New Roman"/>
          <w:sz w:val="24"/>
          <w:szCs w:val="24"/>
        </w:rPr>
      </w:pPr>
      <w:r w:rsidRPr="00487B04">
        <w:rPr>
          <w:rFonts w:ascii="Times New Roman" w:hAnsi="Times New Roman" w:cs="Times New Roman"/>
          <w:sz w:val="24"/>
          <w:szCs w:val="24"/>
        </w:rPr>
        <w:t>Schoenfeldt</w:t>
      </w:r>
      <w:r w:rsidR="00FF6B57" w:rsidRPr="00487B04">
        <w:rPr>
          <w:rFonts w:ascii="Times New Roman" w:hAnsi="Times New Roman" w:cs="Times New Roman"/>
          <w:sz w:val="24"/>
          <w:szCs w:val="24"/>
        </w:rPr>
        <w:t xml:space="preserve"> </w:t>
      </w:r>
      <w:r w:rsidRPr="00487B04">
        <w:rPr>
          <w:rFonts w:ascii="Times New Roman" w:hAnsi="Times New Roman" w:cs="Times New Roman"/>
          <w:sz w:val="24"/>
          <w:szCs w:val="24"/>
        </w:rPr>
        <w:t xml:space="preserve">is right to point out that the first two lines in my version should be read as an ‘urgent endorsement of cool stability’, (p 83) but the next line starts to unpick this by working against itself. At first sight it seems to be a continuation of the sentiment of the first two lines; they have, and presumably show, the power to hurt, but do not do it. </w:t>
      </w:r>
      <w:r w:rsidR="005F1087">
        <w:rPr>
          <w:rFonts w:ascii="Times New Roman" w:hAnsi="Times New Roman" w:cs="Times New Roman"/>
          <w:sz w:val="24"/>
          <w:szCs w:val="24"/>
        </w:rPr>
        <w:t>T</w:t>
      </w:r>
      <w:r w:rsidRPr="00487B04">
        <w:rPr>
          <w:rFonts w:ascii="Times New Roman" w:hAnsi="Times New Roman" w:cs="Times New Roman"/>
          <w:sz w:val="24"/>
          <w:szCs w:val="24"/>
        </w:rPr>
        <w:t xml:space="preserve">he unhappy rhythm of this line introduces a note of uncertainty. In </w:t>
      </w:r>
      <w:r w:rsidR="000F147A" w:rsidRPr="00487B04">
        <w:rPr>
          <w:rFonts w:ascii="Times New Roman" w:hAnsi="Times New Roman" w:cs="Times New Roman"/>
          <w:sz w:val="24"/>
          <w:szCs w:val="24"/>
        </w:rPr>
        <w:t>addition,</w:t>
      </w:r>
      <w:r w:rsidRPr="00487B04">
        <w:rPr>
          <w:rFonts w:ascii="Times New Roman" w:hAnsi="Times New Roman" w:cs="Times New Roman"/>
          <w:sz w:val="24"/>
          <w:szCs w:val="24"/>
        </w:rPr>
        <w:t xml:space="preserve"> the line talks about ‘they’ not doing something, but manages to do it by including</w:t>
      </w:r>
      <w:r w:rsidR="000F147A" w:rsidRPr="00487B04">
        <w:rPr>
          <w:rFonts w:ascii="Times New Roman" w:hAnsi="Times New Roman" w:cs="Times New Roman"/>
          <w:sz w:val="24"/>
          <w:szCs w:val="24"/>
        </w:rPr>
        <w:t xml:space="preserve"> ‘do’ three times. In terms of meaning, it fights against the thing it seems to be saying. This undermining of the propositions in the first two lines continues in the fourth line where apparently admirable qualities are questioned by the word ‘cold’. Not only does this, literally as it were, introduce a further chilly note into the discussion, but as Stephen Booth has pointed out, the word ‘cold’ spelt ‘could’ in the </w:t>
      </w:r>
      <w:r w:rsidR="00AF084E" w:rsidRPr="00487B04">
        <w:rPr>
          <w:rFonts w:ascii="Times New Roman" w:hAnsi="Times New Roman" w:cs="Times New Roman"/>
          <w:sz w:val="24"/>
          <w:szCs w:val="24"/>
        </w:rPr>
        <w:t>quarto, can be read as registering a form of the verb ‘can’, a sort of ‘cold could’.</w:t>
      </w:r>
      <w:r w:rsidR="005F1087">
        <w:rPr>
          <w:rFonts w:ascii="Times New Roman" w:hAnsi="Times New Roman" w:cs="Times New Roman"/>
          <w:sz w:val="24"/>
          <w:szCs w:val="24"/>
        </w:rPr>
        <w:t xml:space="preserve"> </w:t>
      </w:r>
      <w:r w:rsidR="00AF084E" w:rsidRPr="00487B04">
        <w:rPr>
          <w:rFonts w:ascii="Times New Roman" w:hAnsi="Times New Roman" w:cs="Times New Roman"/>
          <w:sz w:val="24"/>
          <w:szCs w:val="24"/>
        </w:rPr>
        <w:t>(p</w:t>
      </w:r>
      <w:r w:rsidR="005F1087">
        <w:rPr>
          <w:rFonts w:ascii="Times New Roman" w:hAnsi="Times New Roman" w:cs="Times New Roman"/>
          <w:sz w:val="24"/>
          <w:szCs w:val="24"/>
        </w:rPr>
        <w:t>.</w:t>
      </w:r>
      <w:r w:rsidR="00AF084E" w:rsidRPr="00487B04">
        <w:rPr>
          <w:rFonts w:ascii="Times New Roman" w:hAnsi="Times New Roman" w:cs="Times New Roman"/>
          <w:sz w:val="24"/>
          <w:szCs w:val="24"/>
        </w:rPr>
        <w:t xml:space="preserve"> 580). A sense of threat is being gradually revealed, together with a sense of hypocrisy which is reinforced by what one writer has described as the ‘sly’ insertion of the word ‘rightly’ </w:t>
      </w:r>
      <w:r w:rsidR="009F7DBC" w:rsidRPr="00487B04">
        <w:rPr>
          <w:rFonts w:ascii="Times New Roman" w:hAnsi="Times New Roman" w:cs="Times New Roman"/>
          <w:sz w:val="24"/>
          <w:szCs w:val="24"/>
        </w:rPr>
        <w:t>in</w:t>
      </w:r>
      <w:r w:rsidR="00AF084E" w:rsidRPr="00487B04">
        <w:rPr>
          <w:rFonts w:ascii="Times New Roman" w:hAnsi="Times New Roman" w:cs="Times New Roman"/>
          <w:sz w:val="24"/>
          <w:szCs w:val="24"/>
        </w:rPr>
        <w:t xml:space="preserve"> line 5.</w:t>
      </w:r>
      <w:r w:rsidR="005F1087">
        <w:rPr>
          <w:rStyle w:val="FootnoteReference"/>
          <w:rFonts w:ascii="Times New Roman" w:hAnsi="Times New Roman" w:cs="Times New Roman"/>
          <w:sz w:val="24"/>
          <w:szCs w:val="24"/>
        </w:rPr>
        <w:footnoteReference w:id="11"/>
      </w:r>
      <w:r w:rsidR="00AF084E" w:rsidRPr="00487B04">
        <w:rPr>
          <w:rFonts w:ascii="Times New Roman" w:hAnsi="Times New Roman" w:cs="Times New Roman"/>
          <w:sz w:val="24"/>
          <w:szCs w:val="24"/>
        </w:rPr>
        <w:t xml:space="preserve"> This </w:t>
      </w:r>
      <w:r w:rsidR="00231FE6" w:rsidRPr="00487B04">
        <w:rPr>
          <w:rFonts w:ascii="Times New Roman" w:hAnsi="Times New Roman" w:cs="Times New Roman"/>
          <w:sz w:val="24"/>
          <w:szCs w:val="24"/>
        </w:rPr>
        <w:t>is</w:t>
      </w:r>
      <w:r w:rsidR="00AF084E" w:rsidRPr="00487B04">
        <w:rPr>
          <w:rFonts w:ascii="Times New Roman" w:hAnsi="Times New Roman" w:cs="Times New Roman"/>
          <w:sz w:val="24"/>
          <w:szCs w:val="24"/>
        </w:rPr>
        <w:t xml:space="preserve"> not ignored by Schoenfeldt, but he</w:t>
      </w:r>
      <w:r w:rsidR="00231FE6" w:rsidRPr="00487B04">
        <w:rPr>
          <w:rFonts w:ascii="Times New Roman" w:hAnsi="Times New Roman" w:cs="Times New Roman"/>
          <w:sz w:val="24"/>
          <w:szCs w:val="24"/>
        </w:rPr>
        <w:t xml:space="preserve"> converts it into a debate on stoicism and competing models of masculinity (pp. 86 – 95). This can only be done by importing further extra-textual references and ignoring the evidence that the writer of sonnet 94 may well be engaged in a radical undermining of precisely those propositions with which he starts the sonnet.</w:t>
      </w:r>
      <w:r w:rsidR="00FF6B57" w:rsidRPr="00487B04">
        <w:rPr>
          <w:rFonts w:ascii="Times New Roman" w:hAnsi="Times New Roman" w:cs="Times New Roman"/>
          <w:sz w:val="24"/>
          <w:szCs w:val="24"/>
        </w:rPr>
        <w:t xml:space="preserve">  </w:t>
      </w:r>
    </w:p>
    <w:p w:rsidR="00E11BBC" w:rsidRPr="00487B04" w:rsidRDefault="009F7DBC" w:rsidP="00FF6B57">
      <w:pPr>
        <w:rPr>
          <w:rFonts w:ascii="Times New Roman" w:hAnsi="Times New Roman" w:cs="Times New Roman"/>
          <w:sz w:val="24"/>
          <w:szCs w:val="24"/>
        </w:rPr>
      </w:pPr>
      <w:r w:rsidRPr="00487B04">
        <w:rPr>
          <w:rFonts w:ascii="Times New Roman" w:hAnsi="Times New Roman" w:cs="Times New Roman"/>
          <w:sz w:val="24"/>
          <w:szCs w:val="24"/>
        </w:rPr>
        <w:t xml:space="preserve">John Donne’s Holy Sonnets provide a further interesting case of the importance of context in the development of meaning. In this case I wish to examine the idea that in a sonnet sequence, the running order of the sonnets is important because, amongst other things, the relative positions of the sonnets provide a context within which other senses may emerge. I shall examine this with reference to the first and last </w:t>
      </w:r>
      <w:r w:rsidR="001B3FE1">
        <w:rPr>
          <w:rFonts w:ascii="Times New Roman" w:hAnsi="Times New Roman" w:cs="Times New Roman"/>
          <w:sz w:val="24"/>
          <w:szCs w:val="24"/>
        </w:rPr>
        <w:t>s</w:t>
      </w:r>
      <w:r w:rsidRPr="00487B04">
        <w:rPr>
          <w:rFonts w:ascii="Times New Roman" w:hAnsi="Times New Roman" w:cs="Times New Roman"/>
          <w:sz w:val="24"/>
          <w:szCs w:val="24"/>
        </w:rPr>
        <w:t>onnets in the 1633 sequence.</w:t>
      </w:r>
      <w:r w:rsidR="00E2357B">
        <w:rPr>
          <w:rStyle w:val="FootnoteReference"/>
          <w:rFonts w:ascii="Times New Roman" w:hAnsi="Times New Roman" w:cs="Times New Roman"/>
          <w:sz w:val="24"/>
          <w:szCs w:val="24"/>
        </w:rPr>
        <w:footnoteReference w:id="12"/>
      </w:r>
      <w:r w:rsidRPr="00487B04">
        <w:rPr>
          <w:rFonts w:ascii="Times New Roman" w:hAnsi="Times New Roman" w:cs="Times New Roman"/>
          <w:sz w:val="24"/>
          <w:szCs w:val="24"/>
        </w:rPr>
        <w:t xml:space="preserve"> In addition, some of the language used in these first and last sonnets</w:t>
      </w:r>
      <w:r w:rsidR="00FF6B57" w:rsidRPr="00487B04">
        <w:rPr>
          <w:rFonts w:ascii="Times New Roman" w:hAnsi="Times New Roman" w:cs="Times New Roman"/>
          <w:sz w:val="24"/>
          <w:szCs w:val="24"/>
        </w:rPr>
        <w:t xml:space="preserve"> </w:t>
      </w:r>
      <w:r w:rsidRPr="00487B04">
        <w:rPr>
          <w:rFonts w:ascii="Times New Roman" w:hAnsi="Times New Roman" w:cs="Times New Roman"/>
          <w:sz w:val="24"/>
          <w:szCs w:val="24"/>
        </w:rPr>
        <w:t>leads to and invites a consideration of the intellectual and ideological milieu within which they were written.</w:t>
      </w:r>
      <w:r w:rsidR="00FF6B57" w:rsidRPr="00487B04">
        <w:rPr>
          <w:rFonts w:ascii="Times New Roman" w:hAnsi="Times New Roman" w:cs="Times New Roman"/>
          <w:sz w:val="24"/>
          <w:szCs w:val="24"/>
        </w:rPr>
        <w:t xml:space="preserve"> </w:t>
      </w:r>
      <w:r w:rsidRPr="00487B04">
        <w:rPr>
          <w:rFonts w:ascii="Times New Roman" w:hAnsi="Times New Roman" w:cs="Times New Roman"/>
          <w:sz w:val="24"/>
          <w:szCs w:val="24"/>
        </w:rPr>
        <w:t xml:space="preserve">The order in which the </w:t>
      </w:r>
      <w:r w:rsidR="00881D03" w:rsidRPr="00487B04">
        <w:rPr>
          <w:rFonts w:ascii="Times New Roman" w:hAnsi="Times New Roman" w:cs="Times New Roman"/>
          <w:sz w:val="24"/>
          <w:szCs w:val="24"/>
        </w:rPr>
        <w:t>Holy Sonnets, first printed in 1633</w:t>
      </w:r>
      <w:r w:rsidR="008E097E">
        <w:rPr>
          <w:rFonts w:ascii="Times New Roman" w:hAnsi="Times New Roman" w:cs="Times New Roman"/>
          <w:sz w:val="24"/>
          <w:szCs w:val="24"/>
        </w:rPr>
        <w:t>,</w:t>
      </w:r>
      <w:r w:rsidR="00881D03" w:rsidRPr="00487B04">
        <w:rPr>
          <w:rFonts w:ascii="Times New Roman" w:hAnsi="Times New Roman" w:cs="Times New Roman"/>
          <w:sz w:val="24"/>
          <w:szCs w:val="24"/>
        </w:rPr>
        <w:t xml:space="preserve"> have been read is of some importance. The original order, continued by Sir Herbert Grierson,</w:t>
      </w:r>
      <w:r w:rsidR="00442D5C">
        <w:rPr>
          <w:rStyle w:val="FootnoteReference"/>
          <w:rFonts w:ascii="Times New Roman" w:hAnsi="Times New Roman" w:cs="Times New Roman"/>
          <w:sz w:val="24"/>
          <w:szCs w:val="24"/>
        </w:rPr>
        <w:footnoteReference w:id="13"/>
      </w:r>
      <w:r w:rsidR="00881D03" w:rsidRPr="00487B04">
        <w:rPr>
          <w:rFonts w:ascii="Times New Roman" w:hAnsi="Times New Roman" w:cs="Times New Roman"/>
          <w:sz w:val="24"/>
          <w:szCs w:val="24"/>
        </w:rPr>
        <w:t xml:space="preserve"> was revised by Helen Gardner</w:t>
      </w:r>
      <w:r w:rsidR="00442D5C">
        <w:rPr>
          <w:rStyle w:val="FootnoteReference"/>
          <w:rFonts w:ascii="Times New Roman" w:hAnsi="Times New Roman" w:cs="Times New Roman"/>
          <w:sz w:val="24"/>
          <w:szCs w:val="24"/>
        </w:rPr>
        <w:footnoteReference w:id="14"/>
      </w:r>
      <w:r w:rsidR="00881D03" w:rsidRPr="00487B04">
        <w:rPr>
          <w:rFonts w:ascii="Times New Roman" w:hAnsi="Times New Roman" w:cs="Times New Roman"/>
          <w:sz w:val="24"/>
          <w:szCs w:val="24"/>
        </w:rPr>
        <w:t xml:space="preserve"> in 1952 and has been widely followed since</w:t>
      </w:r>
      <w:r w:rsidR="005B6B08" w:rsidRPr="00487B04">
        <w:rPr>
          <w:rFonts w:ascii="Times New Roman" w:hAnsi="Times New Roman" w:cs="Times New Roman"/>
          <w:sz w:val="24"/>
          <w:szCs w:val="24"/>
        </w:rPr>
        <w:t>. R. V. Young’s thorough examination of the issues</w:t>
      </w:r>
      <w:r w:rsidR="00FF6B57" w:rsidRPr="00487B04">
        <w:rPr>
          <w:rFonts w:ascii="Times New Roman" w:hAnsi="Times New Roman" w:cs="Times New Roman"/>
          <w:sz w:val="24"/>
          <w:szCs w:val="24"/>
        </w:rPr>
        <w:t xml:space="preserve"> </w:t>
      </w:r>
      <w:r w:rsidR="005B6B08" w:rsidRPr="00487B04">
        <w:rPr>
          <w:rFonts w:ascii="Times New Roman" w:hAnsi="Times New Roman" w:cs="Times New Roman"/>
          <w:sz w:val="24"/>
          <w:szCs w:val="24"/>
        </w:rPr>
        <w:t>is content to let Gardner’s order stand.</w:t>
      </w:r>
      <w:r w:rsidR="008E097E">
        <w:rPr>
          <w:rStyle w:val="FootnoteReference"/>
          <w:rFonts w:ascii="Times New Roman" w:hAnsi="Times New Roman" w:cs="Times New Roman"/>
          <w:sz w:val="24"/>
          <w:szCs w:val="24"/>
        </w:rPr>
        <w:footnoteReference w:id="15"/>
      </w:r>
      <w:r w:rsidR="00FF6B57" w:rsidRPr="00487B04">
        <w:rPr>
          <w:rFonts w:ascii="Times New Roman" w:hAnsi="Times New Roman" w:cs="Times New Roman"/>
          <w:sz w:val="24"/>
          <w:szCs w:val="24"/>
        </w:rPr>
        <w:t xml:space="preserve">  </w:t>
      </w:r>
      <w:r w:rsidR="005B6B08" w:rsidRPr="00487B04">
        <w:rPr>
          <w:rFonts w:ascii="Times New Roman" w:hAnsi="Times New Roman" w:cs="Times New Roman"/>
          <w:sz w:val="24"/>
          <w:szCs w:val="24"/>
        </w:rPr>
        <w:t xml:space="preserve">If this order is accepted, a striking fact emerges; the first and last sonnets of the sequence (HS </w:t>
      </w:r>
      <w:r w:rsidR="005B6B08" w:rsidRPr="00487B04">
        <w:rPr>
          <w:rFonts w:ascii="Times New Roman" w:hAnsi="Times New Roman" w:cs="Times New Roman"/>
          <w:i/>
          <w:sz w:val="24"/>
          <w:szCs w:val="24"/>
        </w:rPr>
        <w:t>As Due</w:t>
      </w:r>
      <w:r w:rsidR="005B6B08" w:rsidRPr="00487B04">
        <w:rPr>
          <w:rFonts w:ascii="Times New Roman" w:hAnsi="Times New Roman" w:cs="Times New Roman"/>
          <w:sz w:val="24"/>
          <w:szCs w:val="24"/>
        </w:rPr>
        <w:t xml:space="preserve"> and HS </w:t>
      </w:r>
      <w:r w:rsidR="005B6B08" w:rsidRPr="00487B04">
        <w:rPr>
          <w:rFonts w:ascii="Times New Roman" w:hAnsi="Times New Roman" w:cs="Times New Roman"/>
          <w:i/>
          <w:sz w:val="24"/>
          <w:szCs w:val="24"/>
        </w:rPr>
        <w:t>Father,</w:t>
      </w:r>
      <w:r w:rsidR="005B6B08" w:rsidRPr="00487B04">
        <w:rPr>
          <w:rFonts w:ascii="Times New Roman" w:hAnsi="Times New Roman" w:cs="Times New Roman"/>
          <w:sz w:val="24"/>
          <w:szCs w:val="24"/>
        </w:rPr>
        <w:t xml:space="preserve"> respectively)</w:t>
      </w:r>
      <w:r w:rsidR="008E097E">
        <w:rPr>
          <w:rStyle w:val="FootnoteReference"/>
          <w:rFonts w:ascii="Times New Roman" w:hAnsi="Times New Roman" w:cs="Times New Roman"/>
          <w:sz w:val="24"/>
          <w:szCs w:val="24"/>
        </w:rPr>
        <w:footnoteReference w:id="16"/>
      </w:r>
      <w:r w:rsidR="00E2357B">
        <w:rPr>
          <w:rFonts w:ascii="Times New Roman" w:hAnsi="Times New Roman" w:cs="Times New Roman"/>
          <w:sz w:val="24"/>
          <w:szCs w:val="24"/>
        </w:rPr>
        <w:t>,</w:t>
      </w:r>
      <w:r w:rsidR="005B6B08" w:rsidRPr="00487B04">
        <w:rPr>
          <w:rFonts w:ascii="Times New Roman" w:hAnsi="Times New Roman" w:cs="Times New Roman"/>
          <w:sz w:val="24"/>
          <w:szCs w:val="24"/>
        </w:rPr>
        <w:t xml:space="preserve"> are notable for their use of legal terminology</w:t>
      </w:r>
      <w:r w:rsidR="008D0193" w:rsidRPr="00487B04">
        <w:rPr>
          <w:rFonts w:ascii="Times New Roman" w:hAnsi="Times New Roman" w:cs="Times New Roman"/>
          <w:sz w:val="24"/>
          <w:szCs w:val="24"/>
        </w:rPr>
        <w:t xml:space="preserve">. I will examine this legal terminology to try and illuminate the meaning of the sonnets. In the first sonnet (HS </w:t>
      </w:r>
      <w:r w:rsidR="008D0193" w:rsidRPr="00487B04">
        <w:rPr>
          <w:rFonts w:ascii="Times New Roman" w:hAnsi="Times New Roman" w:cs="Times New Roman"/>
          <w:i/>
          <w:sz w:val="24"/>
          <w:szCs w:val="24"/>
        </w:rPr>
        <w:t>As Due</w:t>
      </w:r>
      <w:r w:rsidR="008D0193" w:rsidRPr="00487B04">
        <w:rPr>
          <w:rFonts w:ascii="Times New Roman" w:hAnsi="Times New Roman" w:cs="Times New Roman"/>
          <w:sz w:val="24"/>
          <w:szCs w:val="24"/>
        </w:rPr>
        <w:t>)</w:t>
      </w:r>
      <w:r w:rsidR="00FF6B57" w:rsidRPr="00487B04">
        <w:rPr>
          <w:rFonts w:ascii="Times New Roman" w:hAnsi="Times New Roman" w:cs="Times New Roman"/>
          <w:sz w:val="24"/>
          <w:szCs w:val="24"/>
        </w:rPr>
        <w:t xml:space="preserve"> </w:t>
      </w:r>
      <w:r w:rsidR="008D0193" w:rsidRPr="00487B04">
        <w:rPr>
          <w:rFonts w:ascii="Times New Roman" w:hAnsi="Times New Roman" w:cs="Times New Roman"/>
          <w:sz w:val="24"/>
          <w:szCs w:val="24"/>
        </w:rPr>
        <w:t>there are four lines; line 1 ‘As due by many titles I resign’, line 4 ‘Thy blood bought that the which before was thine’, line 6, ‘Thy servant, whose pains Thou hast still repaid’, and line 9, ‘Why doth the devil then usurp on me?’.</w:t>
      </w:r>
      <w:r w:rsidR="00FF6B57" w:rsidRPr="00487B04">
        <w:rPr>
          <w:rFonts w:ascii="Times New Roman" w:hAnsi="Times New Roman" w:cs="Times New Roman"/>
          <w:sz w:val="24"/>
          <w:szCs w:val="24"/>
        </w:rPr>
        <w:t xml:space="preserve"> </w:t>
      </w:r>
      <w:r w:rsidR="00F7646C" w:rsidRPr="00487B04">
        <w:rPr>
          <w:rFonts w:ascii="Times New Roman" w:hAnsi="Times New Roman" w:cs="Times New Roman"/>
          <w:sz w:val="24"/>
          <w:szCs w:val="24"/>
        </w:rPr>
        <w:t xml:space="preserve">In line 1 the important words are ‘due’ and ‘titles’. ‘Due’ has many meanings, </w:t>
      </w:r>
      <w:r w:rsidR="00F7646C" w:rsidRPr="00487B04">
        <w:rPr>
          <w:rFonts w:ascii="Times New Roman" w:hAnsi="Times New Roman" w:cs="Times New Roman"/>
          <w:sz w:val="24"/>
          <w:szCs w:val="24"/>
        </w:rPr>
        <w:lastRenderedPageBreak/>
        <w:t>among them ‘proper’, ‘sufficient’ and ‘appropriate’ but also ‘owing’; bills are due, rent is due and so on, but legally only at the right time. A title is a legal document demonstrating the entitlement of the holder to certain contractually binding benefits. Lines 4 and 6 change the imagery to that of the payment for goods or services, or in the case of a servant, for labour undertaken. With line 9 we are back in the world of contract and title. The Norton edition</w:t>
      </w:r>
      <w:r w:rsidR="00E2357B">
        <w:rPr>
          <w:rStyle w:val="FootnoteReference"/>
          <w:rFonts w:ascii="Times New Roman" w:hAnsi="Times New Roman" w:cs="Times New Roman"/>
          <w:sz w:val="24"/>
          <w:szCs w:val="24"/>
        </w:rPr>
        <w:footnoteReference w:id="17"/>
      </w:r>
      <w:r w:rsidR="00F7646C" w:rsidRPr="00487B04">
        <w:rPr>
          <w:rFonts w:ascii="Times New Roman" w:hAnsi="Times New Roman" w:cs="Times New Roman"/>
          <w:sz w:val="24"/>
          <w:szCs w:val="24"/>
        </w:rPr>
        <w:t xml:space="preserve">  glosses usurp as ‘claim unjustly, appropriate wrongly</w:t>
      </w:r>
      <w:r w:rsidR="00E4425E" w:rsidRPr="00487B04">
        <w:rPr>
          <w:rFonts w:ascii="Times New Roman" w:hAnsi="Times New Roman" w:cs="Times New Roman"/>
          <w:sz w:val="24"/>
          <w:szCs w:val="24"/>
        </w:rPr>
        <w:t>’,</w:t>
      </w:r>
      <w:r w:rsidR="00FF6B57" w:rsidRPr="00487B04">
        <w:rPr>
          <w:rFonts w:ascii="Times New Roman" w:hAnsi="Times New Roman" w:cs="Times New Roman"/>
          <w:sz w:val="24"/>
          <w:szCs w:val="24"/>
        </w:rPr>
        <w:t xml:space="preserve"> </w:t>
      </w:r>
      <w:r w:rsidR="00E4425E" w:rsidRPr="00487B04">
        <w:rPr>
          <w:rFonts w:ascii="Times New Roman" w:hAnsi="Times New Roman" w:cs="Times New Roman"/>
          <w:sz w:val="24"/>
          <w:szCs w:val="24"/>
        </w:rPr>
        <w:t>but</w:t>
      </w:r>
      <w:r w:rsidR="00FF6B57" w:rsidRPr="00487B04">
        <w:rPr>
          <w:rFonts w:ascii="Times New Roman" w:hAnsi="Times New Roman" w:cs="Times New Roman"/>
          <w:sz w:val="24"/>
          <w:szCs w:val="24"/>
        </w:rPr>
        <w:t xml:space="preserve"> </w:t>
      </w:r>
      <w:r w:rsidR="00E4425E" w:rsidRPr="00487B04">
        <w:rPr>
          <w:rFonts w:ascii="Times New Roman" w:hAnsi="Times New Roman" w:cs="Times New Roman"/>
          <w:sz w:val="24"/>
          <w:szCs w:val="24"/>
        </w:rPr>
        <w:t xml:space="preserve">this can be particularly thought of as referring to the usurpation of land, an issue in the seventeenth century, as I shall indicate, and particularly of the usurpation of title. The final sonnet </w:t>
      </w:r>
      <w:r w:rsidR="00E954BC" w:rsidRPr="00487B04">
        <w:rPr>
          <w:rFonts w:ascii="Times New Roman" w:hAnsi="Times New Roman" w:cs="Times New Roman"/>
          <w:sz w:val="24"/>
          <w:szCs w:val="24"/>
        </w:rPr>
        <w:t xml:space="preserve">(HS </w:t>
      </w:r>
      <w:r w:rsidR="00E954BC" w:rsidRPr="00487B04">
        <w:rPr>
          <w:rFonts w:ascii="Times New Roman" w:hAnsi="Times New Roman" w:cs="Times New Roman"/>
          <w:i/>
          <w:sz w:val="24"/>
          <w:szCs w:val="24"/>
        </w:rPr>
        <w:t>Father</w:t>
      </w:r>
      <w:r w:rsidR="00E954BC" w:rsidRPr="00487B04">
        <w:rPr>
          <w:rFonts w:ascii="Times New Roman" w:hAnsi="Times New Roman" w:cs="Times New Roman"/>
          <w:sz w:val="24"/>
          <w:szCs w:val="24"/>
        </w:rPr>
        <w:t>), contains a lot of legal terminology; ‘double interest’, ‘jointure’, several ‘wills’, ‘legacy’, several ‘laws’, and ‘statutes’. A close examination of the use of these terms, and the way their legal meanings radiate out into the sonnets, would be a complex task for which there is not space. A consideration of one term will demonstrate the methodology that can be employed and the benefits of so doing. The word ‘jointure’ in line three is glossed in the Norton edition as ‘</w:t>
      </w:r>
      <w:r w:rsidR="00006B2A" w:rsidRPr="00487B04">
        <w:rPr>
          <w:rFonts w:ascii="Times New Roman" w:hAnsi="Times New Roman" w:cs="Times New Roman"/>
          <w:sz w:val="24"/>
          <w:szCs w:val="24"/>
        </w:rPr>
        <w:t xml:space="preserve">the holding of an estate by two or more persons in joint-tenancy’ (note 8 p. 116). This is unsound. It means the right to the enjoyment of property after its owner’s death, until the time when that person dies; at which point the property reverts to the person who succeeded to the title. This </w:t>
      </w:r>
      <w:r w:rsidR="00FC68F7" w:rsidRPr="00487B04">
        <w:rPr>
          <w:rFonts w:ascii="Times New Roman" w:hAnsi="Times New Roman" w:cs="Times New Roman"/>
          <w:sz w:val="24"/>
          <w:szCs w:val="24"/>
        </w:rPr>
        <w:t>was</w:t>
      </w:r>
      <w:r w:rsidR="00006B2A" w:rsidRPr="00487B04">
        <w:rPr>
          <w:rFonts w:ascii="Times New Roman" w:hAnsi="Times New Roman" w:cs="Times New Roman"/>
          <w:sz w:val="24"/>
          <w:szCs w:val="24"/>
        </w:rPr>
        <w:t xml:space="preserve"> most commonly a legal provision made in favour of widows, a necessary provision during a period when primogeniture was the norm and women were not able to inherit land in the presence of a male descendant until The Statute of Wills of 1540</w:t>
      </w:r>
      <w:r w:rsidR="00B6487D">
        <w:rPr>
          <w:rFonts w:ascii="Times New Roman" w:hAnsi="Times New Roman" w:cs="Times New Roman"/>
          <w:sz w:val="24"/>
          <w:szCs w:val="24"/>
        </w:rPr>
        <w:t>.</w:t>
      </w:r>
      <w:r w:rsidR="00B6487D">
        <w:rPr>
          <w:rStyle w:val="FootnoteReference"/>
          <w:rFonts w:ascii="Times New Roman" w:hAnsi="Times New Roman" w:cs="Times New Roman"/>
          <w:sz w:val="24"/>
          <w:szCs w:val="24"/>
        </w:rPr>
        <w:footnoteReference w:id="18"/>
      </w:r>
      <w:r w:rsidR="00006B2A" w:rsidRPr="00487B04">
        <w:rPr>
          <w:rFonts w:ascii="Times New Roman" w:hAnsi="Times New Roman" w:cs="Times New Roman"/>
          <w:sz w:val="24"/>
          <w:szCs w:val="24"/>
        </w:rPr>
        <w:t xml:space="preserve"> </w:t>
      </w:r>
      <w:r w:rsidR="00FC68F7" w:rsidRPr="00487B04">
        <w:rPr>
          <w:rFonts w:ascii="Times New Roman" w:hAnsi="Times New Roman" w:cs="Times New Roman"/>
          <w:sz w:val="24"/>
          <w:szCs w:val="24"/>
        </w:rPr>
        <w:t>Primogeniture remained the presumptive arrangement until the Administration of Estates Act 1925</w:t>
      </w:r>
      <w:r w:rsidR="00B6487D">
        <w:rPr>
          <w:rStyle w:val="FootnoteReference"/>
          <w:rFonts w:ascii="Times New Roman" w:hAnsi="Times New Roman" w:cs="Times New Roman"/>
          <w:sz w:val="24"/>
          <w:szCs w:val="24"/>
        </w:rPr>
        <w:footnoteReference w:id="19"/>
      </w:r>
      <w:r w:rsidR="00FC68F7" w:rsidRPr="00487B04">
        <w:rPr>
          <w:rFonts w:ascii="Times New Roman" w:hAnsi="Times New Roman" w:cs="Times New Roman"/>
          <w:sz w:val="24"/>
          <w:szCs w:val="24"/>
        </w:rPr>
        <w:t>. Jointure as a legal instrument was not confined to</w:t>
      </w:r>
      <w:r w:rsidR="00FF6B57" w:rsidRPr="00487B04">
        <w:rPr>
          <w:rFonts w:ascii="Times New Roman" w:hAnsi="Times New Roman" w:cs="Times New Roman"/>
          <w:sz w:val="24"/>
          <w:szCs w:val="24"/>
        </w:rPr>
        <w:t xml:space="preserve"> </w:t>
      </w:r>
      <w:r w:rsidR="00FC68F7" w:rsidRPr="00487B04">
        <w:rPr>
          <w:rFonts w:ascii="Times New Roman" w:hAnsi="Times New Roman" w:cs="Times New Roman"/>
          <w:sz w:val="24"/>
          <w:szCs w:val="24"/>
        </w:rPr>
        <w:t>widows</w:t>
      </w:r>
      <w:r w:rsidR="004C6B3F" w:rsidRPr="00487B04">
        <w:rPr>
          <w:rFonts w:ascii="Times New Roman" w:hAnsi="Times New Roman" w:cs="Times New Roman"/>
          <w:sz w:val="24"/>
          <w:szCs w:val="24"/>
        </w:rPr>
        <w:t xml:space="preserve"> and was widely used in the seventeenth century to make prov</w:t>
      </w:r>
      <w:r w:rsidR="00526216" w:rsidRPr="00487B04">
        <w:rPr>
          <w:rFonts w:ascii="Times New Roman" w:hAnsi="Times New Roman" w:cs="Times New Roman"/>
          <w:sz w:val="24"/>
          <w:szCs w:val="24"/>
        </w:rPr>
        <w:t>ision for dependants whil</w:t>
      </w:r>
      <w:r w:rsidR="00BF2D56">
        <w:rPr>
          <w:rFonts w:ascii="Times New Roman" w:hAnsi="Times New Roman" w:cs="Times New Roman"/>
          <w:sz w:val="24"/>
          <w:szCs w:val="24"/>
        </w:rPr>
        <w:t>st avoiding</w:t>
      </w:r>
      <w:r w:rsidR="00526216" w:rsidRPr="00487B04">
        <w:rPr>
          <w:rFonts w:ascii="Times New Roman" w:hAnsi="Times New Roman" w:cs="Times New Roman"/>
          <w:sz w:val="24"/>
          <w:szCs w:val="24"/>
        </w:rPr>
        <w:t xml:space="preserve"> ultimately dismembering an estate. How are we to understand this word?</w:t>
      </w:r>
      <w:r w:rsidR="00FF6B57" w:rsidRPr="00487B04">
        <w:rPr>
          <w:rFonts w:ascii="Times New Roman" w:hAnsi="Times New Roman" w:cs="Times New Roman"/>
          <w:sz w:val="24"/>
          <w:szCs w:val="24"/>
        </w:rPr>
        <w:t xml:space="preserve">  </w:t>
      </w:r>
      <w:r w:rsidR="00526216" w:rsidRPr="00487B04">
        <w:rPr>
          <w:rFonts w:ascii="Times New Roman" w:hAnsi="Times New Roman" w:cs="Times New Roman"/>
          <w:sz w:val="24"/>
          <w:szCs w:val="24"/>
        </w:rPr>
        <w:t>Arthur Clements would have us understand it as the sharing of the tenancy of an estate. An alternative is that it refers to the enjoyment of something after the death of someone</w:t>
      </w:r>
      <w:r w:rsidR="00E11BBC" w:rsidRPr="00487B04">
        <w:rPr>
          <w:rFonts w:ascii="Times New Roman" w:hAnsi="Times New Roman" w:cs="Times New Roman"/>
          <w:sz w:val="24"/>
          <w:szCs w:val="24"/>
        </w:rPr>
        <w:t>,</w:t>
      </w:r>
      <w:r w:rsidR="00526216" w:rsidRPr="00487B04">
        <w:rPr>
          <w:rFonts w:ascii="Times New Roman" w:hAnsi="Times New Roman" w:cs="Times New Roman"/>
          <w:sz w:val="24"/>
          <w:szCs w:val="24"/>
        </w:rPr>
        <w:t xml:space="preserve"> as a result of their will, until the person them</w:t>
      </w:r>
      <w:r w:rsidR="00B6487D">
        <w:rPr>
          <w:rFonts w:ascii="Times New Roman" w:hAnsi="Times New Roman" w:cs="Times New Roman"/>
          <w:sz w:val="24"/>
          <w:szCs w:val="24"/>
        </w:rPr>
        <w:t xml:space="preserve"> </w:t>
      </w:r>
      <w:r w:rsidR="00526216" w:rsidRPr="00487B04">
        <w:rPr>
          <w:rFonts w:ascii="Times New Roman" w:hAnsi="Times New Roman" w:cs="Times New Roman"/>
          <w:sz w:val="24"/>
          <w:szCs w:val="24"/>
        </w:rPr>
        <w:t>sel</w:t>
      </w:r>
      <w:r w:rsidR="00BF2D56">
        <w:rPr>
          <w:rFonts w:ascii="Times New Roman" w:hAnsi="Times New Roman" w:cs="Times New Roman"/>
          <w:sz w:val="24"/>
          <w:szCs w:val="24"/>
        </w:rPr>
        <w:t>f</w:t>
      </w:r>
      <w:r w:rsidR="00B6487D">
        <w:rPr>
          <w:rFonts w:ascii="Times New Roman" w:hAnsi="Times New Roman" w:cs="Times New Roman"/>
          <w:sz w:val="24"/>
          <w:szCs w:val="24"/>
        </w:rPr>
        <w:t>,</w:t>
      </w:r>
      <w:r w:rsidR="00526216" w:rsidRPr="00487B04">
        <w:rPr>
          <w:rFonts w:ascii="Times New Roman" w:hAnsi="Times New Roman" w:cs="Times New Roman"/>
          <w:sz w:val="24"/>
          <w:szCs w:val="24"/>
        </w:rPr>
        <w:t xml:space="preserve"> dies, when the title reverts. We can now ask; ‘who is the giver who wills it, and what is the property that you enjoy for a life term</w:t>
      </w:r>
      <w:r w:rsidR="00E11BBC" w:rsidRPr="00487B04">
        <w:rPr>
          <w:rFonts w:ascii="Times New Roman" w:hAnsi="Times New Roman" w:cs="Times New Roman"/>
          <w:sz w:val="24"/>
          <w:szCs w:val="24"/>
        </w:rPr>
        <w:t>? A possible answer is God’s love. If the last will stands, God’s love is assured. The important point to bear in mind in all this is that jointure assures that right.</w:t>
      </w:r>
    </w:p>
    <w:p w:rsidR="001A25C9" w:rsidRDefault="00E11BBC" w:rsidP="00FF6B57">
      <w:pPr>
        <w:rPr>
          <w:rFonts w:ascii="Times New Roman" w:hAnsi="Times New Roman" w:cs="Times New Roman"/>
          <w:sz w:val="24"/>
          <w:szCs w:val="24"/>
        </w:rPr>
      </w:pPr>
      <w:r w:rsidRPr="00487B04">
        <w:rPr>
          <w:rFonts w:ascii="Times New Roman" w:hAnsi="Times New Roman" w:cs="Times New Roman"/>
          <w:sz w:val="24"/>
          <w:szCs w:val="24"/>
        </w:rPr>
        <w:t xml:space="preserve">The fact that these first and last sonnets of the 1633 sequence are suffused with the terminology of land law is significant in the context of changes that were taking place in land law in the seventeenth century. In this century we see a change from a largely feudal system of landholding based on the power of the Crown and the Nobles, holders of large landed estates, to the growth of freehold </w:t>
      </w:r>
      <w:r w:rsidR="00487B04" w:rsidRPr="00487B04">
        <w:rPr>
          <w:rFonts w:ascii="Times New Roman" w:hAnsi="Times New Roman" w:cs="Times New Roman"/>
          <w:sz w:val="24"/>
          <w:szCs w:val="24"/>
        </w:rPr>
        <w:t>as the dominant form of landholding and the gentry as the dominant social and political class.</w:t>
      </w:r>
      <w:r w:rsidR="00FF6B57" w:rsidRPr="00487B04">
        <w:rPr>
          <w:rFonts w:ascii="Times New Roman" w:hAnsi="Times New Roman" w:cs="Times New Roman"/>
          <w:sz w:val="24"/>
          <w:szCs w:val="24"/>
        </w:rPr>
        <w:t xml:space="preserve"> </w:t>
      </w:r>
      <w:r w:rsidR="00487B04">
        <w:rPr>
          <w:rFonts w:ascii="Times New Roman" w:hAnsi="Times New Roman" w:cs="Times New Roman"/>
          <w:sz w:val="24"/>
          <w:szCs w:val="24"/>
        </w:rPr>
        <w:t xml:space="preserve">As early as 1607, in the aftermath of the midlands riots against enclosures, we see that although </w:t>
      </w:r>
      <w:r w:rsidR="00C70AC8">
        <w:rPr>
          <w:rFonts w:ascii="Times New Roman" w:hAnsi="Times New Roman" w:cs="Times New Roman"/>
          <w:sz w:val="24"/>
          <w:szCs w:val="24"/>
        </w:rPr>
        <w:t>James I</w:t>
      </w:r>
      <w:r w:rsidR="00487B04">
        <w:rPr>
          <w:rFonts w:ascii="Times New Roman" w:hAnsi="Times New Roman" w:cs="Times New Roman"/>
          <w:sz w:val="24"/>
          <w:szCs w:val="24"/>
        </w:rPr>
        <w:t xml:space="preserve"> made attempts to prevent the spread of enclosures, a memorandum prepared</w:t>
      </w:r>
      <w:r w:rsidR="00FF6B57" w:rsidRPr="00487B04">
        <w:rPr>
          <w:rFonts w:ascii="Times New Roman" w:hAnsi="Times New Roman" w:cs="Times New Roman"/>
          <w:sz w:val="24"/>
          <w:szCs w:val="24"/>
        </w:rPr>
        <w:t xml:space="preserve"> </w:t>
      </w:r>
      <w:r w:rsidR="00487B04">
        <w:rPr>
          <w:rFonts w:ascii="Times New Roman" w:hAnsi="Times New Roman" w:cs="Times New Roman"/>
          <w:sz w:val="24"/>
          <w:szCs w:val="24"/>
        </w:rPr>
        <w:t xml:space="preserve">for the Privy Council proposed the need to strike a balance between the requirements ‘that the poor man shall be satisfied in his end, habitation, and the gentleman not hindered </w:t>
      </w:r>
      <w:r w:rsidR="004D0B32">
        <w:rPr>
          <w:rFonts w:ascii="Times New Roman" w:hAnsi="Times New Roman" w:cs="Times New Roman"/>
          <w:sz w:val="24"/>
          <w:szCs w:val="24"/>
        </w:rPr>
        <w:t>in his desire, improvement.</w:t>
      </w:r>
      <w:r w:rsidR="002137D0">
        <w:rPr>
          <w:rFonts w:ascii="Times New Roman" w:hAnsi="Times New Roman" w:cs="Times New Roman"/>
          <w:sz w:val="24"/>
          <w:szCs w:val="24"/>
        </w:rPr>
        <w:t>’</w:t>
      </w:r>
      <w:r w:rsidR="00B6487D">
        <w:rPr>
          <w:rStyle w:val="FootnoteReference"/>
          <w:rFonts w:ascii="Times New Roman" w:hAnsi="Times New Roman" w:cs="Times New Roman"/>
          <w:sz w:val="24"/>
          <w:szCs w:val="24"/>
        </w:rPr>
        <w:footnoteReference w:id="20"/>
      </w:r>
      <w:r w:rsidR="004D0B32">
        <w:rPr>
          <w:rFonts w:ascii="Times New Roman" w:hAnsi="Times New Roman" w:cs="Times New Roman"/>
          <w:sz w:val="24"/>
          <w:szCs w:val="24"/>
        </w:rPr>
        <w:t xml:space="preserve"> We also see in this period the decline of copyhold, a system of landholding based on manorial records and feudal rights and duties with its attendant baggage of perpetuities; and the establishment and dominance of </w:t>
      </w:r>
      <w:r w:rsidR="004D0B32">
        <w:rPr>
          <w:rFonts w:ascii="Times New Roman" w:hAnsi="Times New Roman" w:cs="Times New Roman"/>
          <w:sz w:val="24"/>
          <w:szCs w:val="24"/>
        </w:rPr>
        <w:lastRenderedPageBreak/>
        <w:t>freehold.</w:t>
      </w:r>
      <w:r w:rsidR="00FF6B57" w:rsidRPr="00487B04">
        <w:rPr>
          <w:rFonts w:ascii="Times New Roman" w:hAnsi="Times New Roman" w:cs="Times New Roman"/>
          <w:sz w:val="24"/>
          <w:szCs w:val="24"/>
        </w:rPr>
        <w:t xml:space="preserve"> </w:t>
      </w:r>
      <w:r w:rsidR="004D0B32">
        <w:rPr>
          <w:rFonts w:ascii="Times New Roman" w:hAnsi="Times New Roman" w:cs="Times New Roman"/>
          <w:sz w:val="24"/>
          <w:szCs w:val="24"/>
        </w:rPr>
        <w:t>The prerogative courts which protected copyholders were abolished by the same act (1641) which abolished the Star Chamber.</w:t>
      </w:r>
      <w:r w:rsidR="00B6487D">
        <w:rPr>
          <w:rStyle w:val="FootnoteReference"/>
          <w:rFonts w:ascii="Times New Roman" w:hAnsi="Times New Roman" w:cs="Times New Roman"/>
          <w:sz w:val="24"/>
          <w:szCs w:val="24"/>
        </w:rPr>
        <w:footnoteReference w:id="21"/>
      </w:r>
      <w:r w:rsidR="004D0B32">
        <w:rPr>
          <w:rFonts w:ascii="Times New Roman" w:hAnsi="Times New Roman" w:cs="Times New Roman"/>
          <w:sz w:val="24"/>
          <w:szCs w:val="24"/>
        </w:rPr>
        <w:t xml:space="preserve"> </w:t>
      </w:r>
      <w:r w:rsidR="00EE4111">
        <w:rPr>
          <w:rFonts w:ascii="Times New Roman" w:hAnsi="Times New Roman" w:cs="Times New Roman"/>
          <w:sz w:val="24"/>
          <w:szCs w:val="24"/>
        </w:rPr>
        <w:t>T</w:t>
      </w:r>
      <w:r w:rsidR="004D0B32">
        <w:rPr>
          <w:rFonts w:ascii="Times New Roman" w:hAnsi="Times New Roman" w:cs="Times New Roman"/>
          <w:sz w:val="24"/>
          <w:szCs w:val="24"/>
        </w:rPr>
        <w:t xml:space="preserve">he final development in the establishment of the dominance of the courts in the whole business of the possession of land </w:t>
      </w:r>
      <w:r w:rsidR="002137D0">
        <w:rPr>
          <w:rFonts w:ascii="Times New Roman" w:hAnsi="Times New Roman" w:cs="Times New Roman"/>
          <w:sz w:val="24"/>
          <w:szCs w:val="24"/>
        </w:rPr>
        <w:t>was the passage in 1677 of The Act for the Prevention of Frauds and Perjuries, which contained the requirement that all land transactions be made in writing.</w:t>
      </w:r>
      <w:r w:rsidR="00A12A34">
        <w:rPr>
          <w:rStyle w:val="FootnoteReference"/>
          <w:rFonts w:ascii="Times New Roman" w:hAnsi="Times New Roman" w:cs="Times New Roman"/>
          <w:sz w:val="24"/>
          <w:szCs w:val="24"/>
        </w:rPr>
        <w:footnoteReference w:id="22"/>
      </w:r>
      <w:r w:rsidR="002137D0">
        <w:rPr>
          <w:rFonts w:ascii="Times New Roman" w:hAnsi="Times New Roman" w:cs="Times New Roman"/>
          <w:sz w:val="24"/>
          <w:szCs w:val="24"/>
        </w:rPr>
        <w:t xml:space="preserve"> The political importance of these changes </w:t>
      </w:r>
      <w:r w:rsidR="00C70AC8">
        <w:rPr>
          <w:rFonts w:ascii="Times New Roman" w:hAnsi="Times New Roman" w:cs="Times New Roman"/>
          <w:sz w:val="24"/>
          <w:szCs w:val="24"/>
        </w:rPr>
        <w:t>was</w:t>
      </w:r>
      <w:r w:rsidR="002137D0">
        <w:rPr>
          <w:rFonts w:ascii="Times New Roman" w:hAnsi="Times New Roman" w:cs="Times New Roman"/>
          <w:sz w:val="24"/>
          <w:szCs w:val="24"/>
        </w:rPr>
        <w:t xml:space="preserve"> far reaching; as Barrington Moore Jr. puts it, ‘Through breaking the power of the </w:t>
      </w:r>
      <w:r w:rsidR="00C70AC8">
        <w:rPr>
          <w:rFonts w:ascii="Times New Roman" w:hAnsi="Times New Roman" w:cs="Times New Roman"/>
          <w:sz w:val="24"/>
          <w:szCs w:val="24"/>
        </w:rPr>
        <w:t>k</w:t>
      </w:r>
      <w:r w:rsidR="002137D0">
        <w:rPr>
          <w:rFonts w:ascii="Times New Roman" w:hAnsi="Times New Roman" w:cs="Times New Roman"/>
          <w:sz w:val="24"/>
          <w:szCs w:val="24"/>
        </w:rPr>
        <w:t xml:space="preserve">ing, the </w:t>
      </w:r>
      <w:r w:rsidR="00C70AC8">
        <w:rPr>
          <w:rFonts w:ascii="Times New Roman" w:hAnsi="Times New Roman" w:cs="Times New Roman"/>
          <w:sz w:val="24"/>
          <w:szCs w:val="24"/>
        </w:rPr>
        <w:t>C</w:t>
      </w:r>
      <w:r w:rsidR="002137D0">
        <w:rPr>
          <w:rFonts w:ascii="Times New Roman" w:hAnsi="Times New Roman" w:cs="Times New Roman"/>
          <w:sz w:val="24"/>
          <w:szCs w:val="24"/>
        </w:rPr>
        <w:t xml:space="preserve">ivil </w:t>
      </w:r>
      <w:r w:rsidR="00C70AC8">
        <w:rPr>
          <w:rFonts w:ascii="Times New Roman" w:hAnsi="Times New Roman" w:cs="Times New Roman"/>
          <w:sz w:val="24"/>
          <w:szCs w:val="24"/>
        </w:rPr>
        <w:t>W</w:t>
      </w:r>
      <w:r w:rsidR="002137D0">
        <w:rPr>
          <w:rFonts w:ascii="Times New Roman" w:hAnsi="Times New Roman" w:cs="Times New Roman"/>
          <w:sz w:val="24"/>
          <w:szCs w:val="24"/>
        </w:rPr>
        <w:t xml:space="preserve">ar swept away the main barrier to the enclosing landlord and simultaneously prepared England for rule by </w:t>
      </w:r>
      <w:r w:rsidR="00C70AC8">
        <w:rPr>
          <w:rFonts w:ascii="Times New Roman" w:hAnsi="Times New Roman" w:cs="Times New Roman"/>
          <w:sz w:val="24"/>
          <w:szCs w:val="24"/>
        </w:rPr>
        <w:t xml:space="preserve">a </w:t>
      </w:r>
      <w:r w:rsidR="002137D0">
        <w:rPr>
          <w:rFonts w:ascii="Times New Roman" w:hAnsi="Times New Roman" w:cs="Times New Roman"/>
          <w:sz w:val="24"/>
          <w:szCs w:val="24"/>
        </w:rPr>
        <w:t>‘’</w:t>
      </w:r>
      <w:r w:rsidR="00C70AC8">
        <w:rPr>
          <w:rFonts w:ascii="Times New Roman" w:hAnsi="Times New Roman" w:cs="Times New Roman"/>
          <w:sz w:val="24"/>
          <w:szCs w:val="24"/>
        </w:rPr>
        <w:t>committee of Landlords’’, a reasonably accurate if unflattering designation of Parliament in the eighteenth century’.</w:t>
      </w:r>
      <w:r w:rsidR="00A12A34">
        <w:rPr>
          <w:rStyle w:val="FootnoteReference"/>
          <w:rFonts w:ascii="Times New Roman" w:hAnsi="Times New Roman" w:cs="Times New Roman"/>
          <w:sz w:val="24"/>
          <w:szCs w:val="24"/>
        </w:rPr>
        <w:footnoteReference w:id="23"/>
      </w:r>
      <w:r w:rsidR="001A25C9">
        <w:rPr>
          <w:rFonts w:ascii="Times New Roman" w:hAnsi="Times New Roman" w:cs="Times New Roman"/>
          <w:sz w:val="24"/>
          <w:szCs w:val="24"/>
        </w:rPr>
        <w:t xml:space="preserve"> Alongside this, and of no less importance, was the development of a different conception of the individual. In political and social terms, the individual begins to be seen as ‘essentially the proprietor of his own person or capacities, owing nothing to society for them. The individual was seen neither as a moral whole, nor as part of a larger social whole, but as owner of himself.’</w:t>
      </w:r>
      <w:r w:rsidR="00A12A34">
        <w:rPr>
          <w:rStyle w:val="FootnoteReference"/>
          <w:rFonts w:ascii="Times New Roman" w:hAnsi="Times New Roman" w:cs="Times New Roman"/>
          <w:sz w:val="24"/>
          <w:szCs w:val="24"/>
        </w:rPr>
        <w:footnoteReference w:id="24"/>
      </w:r>
      <w:r w:rsidR="001A25C9">
        <w:rPr>
          <w:rFonts w:ascii="Times New Roman" w:hAnsi="Times New Roman" w:cs="Times New Roman"/>
          <w:sz w:val="24"/>
          <w:szCs w:val="24"/>
        </w:rPr>
        <w:t xml:space="preserve"> </w:t>
      </w:r>
    </w:p>
    <w:p w:rsidR="00F17279" w:rsidRDefault="006B078F" w:rsidP="00FF6B57">
      <w:pPr>
        <w:rPr>
          <w:rFonts w:ascii="Times New Roman" w:hAnsi="Times New Roman" w:cs="Times New Roman"/>
          <w:sz w:val="24"/>
          <w:szCs w:val="24"/>
        </w:rPr>
      </w:pPr>
      <w:r>
        <w:rPr>
          <w:rFonts w:ascii="Times New Roman" w:hAnsi="Times New Roman" w:cs="Times New Roman"/>
          <w:sz w:val="24"/>
          <w:szCs w:val="24"/>
        </w:rPr>
        <w:t>We can now return to The Holy Sonnets of 1633. To what extent are we justified in understanding the words Donne uses in their strict</w:t>
      </w:r>
      <w:r w:rsidR="00407A43">
        <w:rPr>
          <w:rFonts w:ascii="Times New Roman" w:hAnsi="Times New Roman" w:cs="Times New Roman"/>
          <w:sz w:val="24"/>
          <w:szCs w:val="24"/>
        </w:rPr>
        <w:t>ly</w:t>
      </w:r>
      <w:r>
        <w:rPr>
          <w:rFonts w:ascii="Times New Roman" w:hAnsi="Times New Roman" w:cs="Times New Roman"/>
          <w:sz w:val="24"/>
          <w:szCs w:val="24"/>
        </w:rPr>
        <w:t xml:space="preserve"> legal sense? As Emma Rhatigan has pointed out, Donne studied at Lincoln’s Inn and was later a preacher</w:t>
      </w:r>
      <w:r w:rsidR="00EE4111">
        <w:rPr>
          <w:rFonts w:ascii="Times New Roman" w:hAnsi="Times New Roman" w:cs="Times New Roman"/>
          <w:sz w:val="24"/>
          <w:szCs w:val="24"/>
        </w:rPr>
        <w:t xml:space="preserve"> there</w:t>
      </w:r>
      <w:r w:rsidR="0044464E">
        <w:rPr>
          <w:rFonts w:ascii="Times New Roman" w:hAnsi="Times New Roman" w:cs="Times New Roman"/>
          <w:sz w:val="24"/>
          <w:szCs w:val="24"/>
        </w:rPr>
        <w:t>;</w:t>
      </w:r>
      <w:r>
        <w:rPr>
          <w:rFonts w:ascii="Times New Roman" w:hAnsi="Times New Roman" w:cs="Times New Roman"/>
          <w:sz w:val="24"/>
          <w:szCs w:val="24"/>
        </w:rPr>
        <w:t xml:space="preserve"> </w:t>
      </w:r>
      <w:r w:rsidR="0044464E">
        <w:rPr>
          <w:rFonts w:ascii="Times New Roman" w:hAnsi="Times New Roman" w:cs="Times New Roman"/>
          <w:sz w:val="24"/>
          <w:szCs w:val="24"/>
        </w:rPr>
        <w:t>a</w:t>
      </w:r>
      <w:r>
        <w:rPr>
          <w:rFonts w:ascii="Times New Roman" w:hAnsi="Times New Roman" w:cs="Times New Roman"/>
          <w:sz w:val="24"/>
          <w:szCs w:val="24"/>
        </w:rPr>
        <w:t>lso</w:t>
      </w:r>
      <w:r w:rsidR="00407A43">
        <w:rPr>
          <w:rFonts w:ascii="Times New Roman" w:hAnsi="Times New Roman" w:cs="Times New Roman"/>
          <w:sz w:val="24"/>
          <w:szCs w:val="24"/>
        </w:rPr>
        <w:t>,</w:t>
      </w:r>
      <w:r>
        <w:rPr>
          <w:rFonts w:ascii="Times New Roman" w:hAnsi="Times New Roman" w:cs="Times New Roman"/>
          <w:sz w:val="24"/>
          <w:szCs w:val="24"/>
        </w:rPr>
        <w:t xml:space="preserve"> </w:t>
      </w:r>
      <w:r w:rsidR="00407A43">
        <w:rPr>
          <w:rFonts w:ascii="Times New Roman" w:hAnsi="Times New Roman" w:cs="Times New Roman"/>
          <w:sz w:val="24"/>
          <w:szCs w:val="24"/>
        </w:rPr>
        <w:t>many</w:t>
      </w:r>
      <w:r>
        <w:rPr>
          <w:rFonts w:ascii="Times New Roman" w:hAnsi="Times New Roman" w:cs="Times New Roman"/>
          <w:sz w:val="24"/>
          <w:szCs w:val="24"/>
        </w:rPr>
        <w:t xml:space="preserve"> </w:t>
      </w:r>
      <w:r w:rsidR="00407A43">
        <w:rPr>
          <w:rFonts w:ascii="Times New Roman" w:hAnsi="Times New Roman" w:cs="Times New Roman"/>
          <w:sz w:val="24"/>
          <w:szCs w:val="24"/>
        </w:rPr>
        <w:t xml:space="preserve">of </w:t>
      </w:r>
      <w:r>
        <w:rPr>
          <w:rFonts w:ascii="Times New Roman" w:hAnsi="Times New Roman" w:cs="Times New Roman"/>
          <w:sz w:val="24"/>
          <w:szCs w:val="24"/>
        </w:rPr>
        <w:t>his extended family were members and officials of Lincoln’s Inn.</w:t>
      </w:r>
      <w:r w:rsidR="00691FF4">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In view of this it would be remiss of any reader to</w:t>
      </w:r>
      <w:r w:rsidR="00407A43">
        <w:rPr>
          <w:rFonts w:ascii="Times New Roman" w:hAnsi="Times New Roman" w:cs="Times New Roman"/>
          <w:sz w:val="24"/>
          <w:szCs w:val="24"/>
        </w:rPr>
        <w:t xml:space="preserve"> ignore a thorough understanding of these terms where they occur. The issue of the context that is created by these two sonnets can be summarised in the following way. Firstly, the first and last of the sonnets contain legal terminology which seems to move the discussion towards an understanding of the issue of God’s love and the prospect of redemption as in some way assured by a</w:t>
      </w:r>
      <w:r w:rsidR="00FF6B57" w:rsidRPr="00487B04">
        <w:rPr>
          <w:rFonts w:ascii="Times New Roman" w:hAnsi="Times New Roman" w:cs="Times New Roman"/>
          <w:sz w:val="24"/>
          <w:szCs w:val="24"/>
        </w:rPr>
        <w:t xml:space="preserve"> </w:t>
      </w:r>
      <w:r w:rsidR="00407A43">
        <w:rPr>
          <w:rFonts w:ascii="Times New Roman" w:hAnsi="Times New Roman" w:cs="Times New Roman"/>
          <w:sz w:val="24"/>
          <w:szCs w:val="24"/>
        </w:rPr>
        <w:t>contract which has been undertaken between God and Man. This is explored in these two sonnets and in many sermons</w:t>
      </w:r>
      <w:r w:rsidR="005322DA">
        <w:rPr>
          <w:rFonts w:ascii="Times New Roman" w:hAnsi="Times New Roman" w:cs="Times New Roman"/>
          <w:sz w:val="24"/>
          <w:szCs w:val="24"/>
        </w:rPr>
        <w:t xml:space="preserve"> and in </w:t>
      </w:r>
      <w:r w:rsidR="005322DA" w:rsidRPr="005322DA">
        <w:rPr>
          <w:rFonts w:ascii="Times New Roman" w:hAnsi="Times New Roman" w:cs="Times New Roman"/>
          <w:i/>
          <w:sz w:val="24"/>
          <w:szCs w:val="24"/>
        </w:rPr>
        <w:t>Hymn to God,</w:t>
      </w:r>
      <w:r w:rsidR="005322DA">
        <w:rPr>
          <w:rFonts w:ascii="Times New Roman" w:hAnsi="Times New Roman" w:cs="Times New Roman"/>
          <w:sz w:val="24"/>
          <w:szCs w:val="24"/>
        </w:rPr>
        <w:t xml:space="preserve"> </w:t>
      </w:r>
      <w:r w:rsidR="005322DA" w:rsidRPr="005322DA">
        <w:rPr>
          <w:rFonts w:ascii="Times New Roman" w:hAnsi="Times New Roman" w:cs="Times New Roman"/>
          <w:i/>
          <w:sz w:val="24"/>
          <w:szCs w:val="24"/>
        </w:rPr>
        <w:t>my God, in my Sickness</w:t>
      </w:r>
      <w:r w:rsidR="005322DA">
        <w:rPr>
          <w:rFonts w:ascii="Times New Roman" w:hAnsi="Times New Roman" w:cs="Times New Roman"/>
          <w:i/>
          <w:sz w:val="24"/>
          <w:szCs w:val="24"/>
        </w:rPr>
        <w:t>.</w:t>
      </w:r>
      <w:r w:rsidR="005322DA">
        <w:rPr>
          <w:rFonts w:ascii="Times New Roman" w:hAnsi="Times New Roman" w:cs="Times New Roman"/>
          <w:sz w:val="24"/>
          <w:szCs w:val="24"/>
        </w:rPr>
        <w:t xml:space="preserve"> In between</w:t>
      </w:r>
      <w:r w:rsidR="00FF6B57" w:rsidRPr="005322DA">
        <w:rPr>
          <w:rFonts w:ascii="Times New Roman" w:hAnsi="Times New Roman" w:cs="Times New Roman"/>
          <w:i/>
          <w:sz w:val="24"/>
          <w:szCs w:val="24"/>
        </w:rPr>
        <w:t xml:space="preserve"> </w:t>
      </w:r>
      <w:r w:rsidR="005322DA">
        <w:rPr>
          <w:rFonts w:ascii="Times New Roman" w:hAnsi="Times New Roman" w:cs="Times New Roman"/>
          <w:sz w:val="24"/>
          <w:szCs w:val="24"/>
        </w:rPr>
        <w:t>these two sonnets all manner of doubt is entertained in the other sonnets of the sequence.</w:t>
      </w:r>
      <w:r w:rsidR="00BF2D56">
        <w:rPr>
          <w:rFonts w:ascii="Times New Roman" w:hAnsi="Times New Roman" w:cs="Times New Roman"/>
          <w:sz w:val="24"/>
          <w:szCs w:val="24"/>
        </w:rPr>
        <w:t xml:space="preserve"> The impression is of doubt verging on despair.</w:t>
      </w:r>
      <w:r w:rsidR="005322DA">
        <w:rPr>
          <w:rFonts w:ascii="Times New Roman" w:hAnsi="Times New Roman" w:cs="Times New Roman"/>
          <w:sz w:val="24"/>
          <w:szCs w:val="24"/>
        </w:rPr>
        <w:t xml:space="preserve"> My contention is that this is made possible by the certainties which Donne discusses in the first and last sonnets and which act as anchors against the more terrifying thoughts contained in some of the other sonnets. In addition</w:t>
      </w:r>
      <w:r w:rsidR="006C7089">
        <w:rPr>
          <w:rFonts w:ascii="Times New Roman" w:hAnsi="Times New Roman" w:cs="Times New Roman"/>
          <w:sz w:val="24"/>
          <w:szCs w:val="24"/>
        </w:rPr>
        <w:t>,</w:t>
      </w:r>
      <w:r w:rsidR="005322DA">
        <w:rPr>
          <w:rFonts w:ascii="Times New Roman" w:hAnsi="Times New Roman" w:cs="Times New Roman"/>
          <w:sz w:val="24"/>
          <w:szCs w:val="24"/>
        </w:rPr>
        <w:t xml:space="preserve"> the use of legal terminology</w:t>
      </w:r>
      <w:r w:rsidR="006C7089">
        <w:rPr>
          <w:rFonts w:ascii="Times New Roman" w:hAnsi="Times New Roman" w:cs="Times New Roman"/>
          <w:sz w:val="24"/>
          <w:szCs w:val="24"/>
        </w:rPr>
        <w:t xml:space="preserve">, with its attendant social, political and ideological ramifications, provides a way into the debate about Donne’s precise </w:t>
      </w:r>
      <w:r w:rsidR="005E169E">
        <w:rPr>
          <w:rFonts w:ascii="Times New Roman" w:hAnsi="Times New Roman" w:cs="Times New Roman"/>
          <w:sz w:val="24"/>
          <w:szCs w:val="24"/>
        </w:rPr>
        <w:t xml:space="preserve">  </w:t>
      </w:r>
      <w:r w:rsidR="006C7089">
        <w:rPr>
          <w:rFonts w:ascii="Times New Roman" w:hAnsi="Times New Roman" w:cs="Times New Roman"/>
          <w:sz w:val="24"/>
          <w:szCs w:val="24"/>
        </w:rPr>
        <w:t>theological position. The discussion of Donne’s Catholic upbringing versus his apparently Calvinist views on salvation, to simplify grossly, is usually discussed in relation to the ideas contained in his writings, particularly his sermons.</w:t>
      </w:r>
      <w:r w:rsidR="000A2313">
        <w:rPr>
          <w:rFonts w:ascii="Times New Roman" w:hAnsi="Times New Roman" w:cs="Times New Roman"/>
          <w:sz w:val="24"/>
          <w:szCs w:val="24"/>
        </w:rPr>
        <w:t xml:space="preserve"> </w:t>
      </w:r>
    </w:p>
    <w:p w:rsidR="00F17279" w:rsidRDefault="00F17279" w:rsidP="00FF6B57">
      <w:pPr>
        <w:rPr>
          <w:rFonts w:ascii="Times New Roman" w:hAnsi="Times New Roman" w:cs="Times New Roman"/>
          <w:sz w:val="24"/>
          <w:szCs w:val="24"/>
        </w:rPr>
      </w:pPr>
    </w:p>
    <w:p w:rsidR="00F17279" w:rsidRDefault="00F17279" w:rsidP="00FF6B57">
      <w:pPr>
        <w:rPr>
          <w:rFonts w:ascii="Times New Roman" w:hAnsi="Times New Roman" w:cs="Times New Roman"/>
          <w:sz w:val="24"/>
          <w:szCs w:val="24"/>
        </w:rPr>
      </w:pPr>
    </w:p>
    <w:p w:rsidR="00F17279" w:rsidRDefault="00F17279" w:rsidP="00FF6B57">
      <w:pPr>
        <w:rPr>
          <w:rFonts w:ascii="Times New Roman" w:hAnsi="Times New Roman" w:cs="Times New Roman"/>
          <w:sz w:val="24"/>
          <w:szCs w:val="24"/>
        </w:rPr>
      </w:pPr>
    </w:p>
    <w:p w:rsidR="00B962CA" w:rsidRDefault="000A2313" w:rsidP="00FF6B57">
      <w:pPr>
        <w:rPr>
          <w:rFonts w:ascii="Times New Roman" w:hAnsi="Times New Roman" w:cs="Times New Roman"/>
          <w:sz w:val="24"/>
          <w:szCs w:val="24"/>
        </w:rPr>
      </w:pPr>
      <w:bookmarkStart w:id="5" w:name="_GoBack"/>
      <w:bookmarkEnd w:id="5"/>
      <w:r>
        <w:rPr>
          <w:rFonts w:ascii="Times New Roman" w:hAnsi="Times New Roman" w:cs="Times New Roman"/>
          <w:sz w:val="24"/>
          <w:szCs w:val="24"/>
        </w:rPr>
        <w:lastRenderedPageBreak/>
        <w:t>However</w:t>
      </w:r>
      <w:r w:rsidR="00D25567">
        <w:rPr>
          <w:rFonts w:ascii="Times New Roman" w:hAnsi="Times New Roman" w:cs="Times New Roman"/>
          <w:sz w:val="24"/>
          <w:szCs w:val="24"/>
        </w:rPr>
        <w:t>,</w:t>
      </w:r>
      <w:r>
        <w:rPr>
          <w:rFonts w:ascii="Times New Roman" w:hAnsi="Times New Roman" w:cs="Times New Roman"/>
          <w:sz w:val="24"/>
          <w:szCs w:val="24"/>
        </w:rPr>
        <w:t xml:space="preserve"> the discussion tends to be confined to the theological debates and movements of the time</w:t>
      </w:r>
      <w:r w:rsidR="006C7089">
        <w:rPr>
          <w:rFonts w:ascii="Times New Roman" w:hAnsi="Times New Roman" w:cs="Times New Roman"/>
          <w:sz w:val="24"/>
          <w:szCs w:val="24"/>
        </w:rPr>
        <w:t>.</w:t>
      </w:r>
      <w:r w:rsidR="00112C6A">
        <w:rPr>
          <w:rStyle w:val="FootnoteReference"/>
          <w:rFonts w:ascii="Times New Roman" w:hAnsi="Times New Roman" w:cs="Times New Roman"/>
          <w:sz w:val="24"/>
          <w:szCs w:val="24"/>
        </w:rPr>
        <w:footnoteReference w:id="26"/>
      </w:r>
      <w:r w:rsidR="009B55C3">
        <w:rPr>
          <w:rFonts w:ascii="Times New Roman" w:hAnsi="Times New Roman" w:cs="Times New Roman"/>
          <w:sz w:val="24"/>
          <w:szCs w:val="24"/>
        </w:rPr>
        <w:t xml:space="preserve"> Angus Fletcher</w:t>
      </w:r>
      <w:r w:rsidR="00EE4111">
        <w:rPr>
          <w:rFonts w:ascii="Times New Roman" w:hAnsi="Times New Roman" w:cs="Times New Roman"/>
          <w:sz w:val="24"/>
          <w:szCs w:val="24"/>
        </w:rPr>
        <w:t>, a notable exception,</w:t>
      </w:r>
      <w:r w:rsidR="009B55C3">
        <w:rPr>
          <w:rFonts w:ascii="Times New Roman" w:hAnsi="Times New Roman" w:cs="Times New Roman"/>
          <w:sz w:val="24"/>
          <w:szCs w:val="24"/>
        </w:rPr>
        <w:t xml:space="preserve"> has pointed out that ‘in general, the theology of Donne’s religious verse has proved frustratingly elusive.’</w:t>
      </w:r>
      <w:r w:rsidR="00C35233">
        <w:rPr>
          <w:rStyle w:val="FootnoteReference"/>
          <w:rFonts w:ascii="Times New Roman" w:hAnsi="Times New Roman" w:cs="Times New Roman"/>
          <w:sz w:val="24"/>
          <w:szCs w:val="24"/>
        </w:rPr>
        <w:footnoteReference w:id="27"/>
      </w:r>
      <w:r w:rsidR="009B55C3">
        <w:rPr>
          <w:rFonts w:ascii="Times New Roman" w:hAnsi="Times New Roman" w:cs="Times New Roman"/>
          <w:sz w:val="24"/>
          <w:szCs w:val="24"/>
        </w:rPr>
        <w:t xml:space="preserve">  </w:t>
      </w:r>
      <w:r w:rsidR="006C7089">
        <w:rPr>
          <w:rFonts w:ascii="Times New Roman" w:hAnsi="Times New Roman" w:cs="Times New Roman"/>
          <w:sz w:val="24"/>
          <w:szCs w:val="24"/>
        </w:rPr>
        <w:t xml:space="preserve">A discussion of the </w:t>
      </w:r>
      <w:r w:rsidR="0012430B">
        <w:rPr>
          <w:rFonts w:ascii="Times New Roman" w:hAnsi="Times New Roman" w:cs="Times New Roman"/>
          <w:sz w:val="24"/>
          <w:szCs w:val="24"/>
        </w:rPr>
        <w:t xml:space="preserve">way ideas move between Theology, Law, and Politics, and the overarching ideology which is at play in the sonnets, enables us to see how the changes taking place in </w:t>
      </w:r>
      <w:r w:rsidR="00B962CA">
        <w:rPr>
          <w:rFonts w:ascii="Times New Roman" w:hAnsi="Times New Roman" w:cs="Times New Roman"/>
          <w:sz w:val="24"/>
          <w:szCs w:val="24"/>
        </w:rPr>
        <w:t>English</w:t>
      </w:r>
      <w:r w:rsidR="0012430B">
        <w:rPr>
          <w:rFonts w:ascii="Times New Roman" w:hAnsi="Times New Roman" w:cs="Times New Roman"/>
          <w:sz w:val="24"/>
          <w:szCs w:val="24"/>
        </w:rPr>
        <w:t xml:space="preserve"> </w:t>
      </w:r>
      <w:r w:rsidR="00B962CA">
        <w:rPr>
          <w:rFonts w:ascii="Times New Roman" w:hAnsi="Times New Roman" w:cs="Times New Roman"/>
          <w:sz w:val="24"/>
          <w:szCs w:val="24"/>
        </w:rPr>
        <w:t>s</w:t>
      </w:r>
      <w:r w:rsidR="0012430B">
        <w:rPr>
          <w:rFonts w:ascii="Times New Roman" w:hAnsi="Times New Roman" w:cs="Times New Roman"/>
          <w:sz w:val="24"/>
          <w:szCs w:val="24"/>
        </w:rPr>
        <w:t>ociety are congruent with the way Donne searches for an accommodation with God. In my view the Holy Sonnets demonstrate a movement towards a position characterised by Catherine Gimelli Martin</w:t>
      </w:r>
      <w:r w:rsidR="00B962CA">
        <w:rPr>
          <w:rFonts w:ascii="Times New Roman" w:hAnsi="Times New Roman" w:cs="Times New Roman"/>
          <w:sz w:val="24"/>
          <w:szCs w:val="24"/>
        </w:rPr>
        <w:t xml:space="preserve"> </w:t>
      </w:r>
      <w:r w:rsidR="0012430B">
        <w:rPr>
          <w:rFonts w:ascii="Times New Roman" w:hAnsi="Times New Roman" w:cs="Times New Roman"/>
          <w:sz w:val="24"/>
          <w:szCs w:val="24"/>
        </w:rPr>
        <w:t xml:space="preserve">in the following way; ‘Donne’s final angle of repose appears most vividly in his finest, relatively late sermons. […] – sermons that combine confident emotional appeal with broadly humanistic ecclesiastical and theological positions that come to form the core of the Anglican </w:t>
      </w:r>
      <w:r w:rsidR="0012430B" w:rsidRPr="0012430B">
        <w:rPr>
          <w:rFonts w:ascii="Times New Roman" w:hAnsi="Times New Roman" w:cs="Times New Roman"/>
          <w:i/>
          <w:sz w:val="24"/>
          <w:szCs w:val="24"/>
        </w:rPr>
        <w:t>via media</w:t>
      </w:r>
      <w:r w:rsidR="0012430B">
        <w:rPr>
          <w:rFonts w:ascii="Times New Roman" w:hAnsi="Times New Roman" w:cs="Times New Roman"/>
          <w:sz w:val="24"/>
          <w:szCs w:val="24"/>
        </w:rPr>
        <w:t xml:space="preserve"> for centuries to come.</w:t>
      </w:r>
      <w:r w:rsidR="0012430B" w:rsidRPr="00B962CA">
        <w:rPr>
          <w:rFonts w:ascii="Times New Roman" w:hAnsi="Times New Roman" w:cs="Times New Roman"/>
          <w:sz w:val="24"/>
          <w:szCs w:val="24"/>
        </w:rPr>
        <w:t>’</w:t>
      </w:r>
      <w:r w:rsidR="006E1B13">
        <w:rPr>
          <w:rFonts w:ascii="Times New Roman" w:hAnsi="Times New Roman" w:cs="Times New Roman"/>
          <w:sz w:val="24"/>
          <w:szCs w:val="24"/>
        </w:rPr>
        <w:t xml:space="preserve"> (p. 361).</w:t>
      </w:r>
      <w:r w:rsidR="00FF6B57" w:rsidRPr="00B962CA">
        <w:rPr>
          <w:rFonts w:ascii="Times New Roman" w:hAnsi="Times New Roman" w:cs="Times New Roman"/>
          <w:sz w:val="24"/>
          <w:szCs w:val="24"/>
        </w:rPr>
        <w:t xml:space="preserve"> </w:t>
      </w:r>
    </w:p>
    <w:p w:rsidR="00252490" w:rsidRDefault="00252490" w:rsidP="00FF6B57">
      <w:pPr>
        <w:rPr>
          <w:rFonts w:ascii="Times New Roman" w:hAnsi="Times New Roman" w:cs="Times New Roman"/>
          <w:sz w:val="24"/>
          <w:szCs w:val="24"/>
        </w:rPr>
      </w:pPr>
      <w:r>
        <w:rPr>
          <w:rFonts w:ascii="Times New Roman" w:hAnsi="Times New Roman" w:cs="Times New Roman"/>
          <w:sz w:val="24"/>
          <w:szCs w:val="24"/>
        </w:rPr>
        <w:t xml:space="preserve">I have tried to show the different ways in which the understanding of the context of a poem is important. In Shakespeare’s sonnets 44 and 45, an understanding of the renaissance view of the elemental composition of the world, with its humoral counterpart in the composition of the individual, together with an unstated but present assumption of the operation of microcosm – macrocosm; enables us to understand what would otherwise be a rather baffling pair of sonnets. In addition, armed with this knowledge, we </w:t>
      </w:r>
      <w:r w:rsidR="000C20A8">
        <w:rPr>
          <w:rFonts w:ascii="Times New Roman" w:hAnsi="Times New Roman" w:cs="Times New Roman"/>
          <w:sz w:val="24"/>
          <w:szCs w:val="24"/>
        </w:rPr>
        <w:t>c</w:t>
      </w:r>
      <w:r>
        <w:rPr>
          <w:rFonts w:ascii="Times New Roman" w:hAnsi="Times New Roman" w:cs="Times New Roman"/>
          <w:sz w:val="24"/>
          <w:szCs w:val="24"/>
        </w:rPr>
        <w:t xml:space="preserve">an begin to map the </w:t>
      </w:r>
      <w:r w:rsidR="000C20A8">
        <w:rPr>
          <w:rFonts w:ascii="Times New Roman" w:hAnsi="Times New Roman" w:cs="Times New Roman"/>
          <w:sz w:val="24"/>
          <w:szCs w:val="24"/>
        </w:rPr>
        <w:t>very</w:t>
      </w:r>
      <w:r>
        <w:rPr>
          <w:rFonts w:ascii="Times New Roman" w:hAnsi="Times New Roman" w:cs="Times New Roman"/>
          <w:sz w:val="24"/>
          <w:szCs w:val="24"/>
        </w:rPr>
        <w:t xml:space="preserve"> intricate way in which Shakespeare constructs a majestic metaphorical edifice which analyses an aspect of a relationship in terms of external constraints and behaviour</w:t>
      </w:r>
      <w:r w:rsidR="00EA68DF">
        <w:rPr>
          <w:rFonts w:ascii="Times New Roman" w:hAnsi="Times New Roman" w:cs="Times New Roman"/>
          <w:sz w:val="24"/>
          <w:szCs w:val="24"/>
        </w:rPr>
        <w:t>,</w:t>
      </w:r>
      <w:r>
        <w:rPr>
          <w:rFonts w:ascii="Times New Roman" w:hAnsi="Times New Roman" w:cs="Times New Roman"/>
          <w:sz w:val="24"/>
          <w:szCs w:val="24"/>
        </w:rPr>
        <w:t xml:space="preserve"> and </w:t>
      </w:r>
      <w:r w:rsidR="000C20A8">
        <w:rPr>
          <w:rFonts w:ascii="Times New Roman" w:hAnsi="Times New Roman" w:cs="Times New Roman"/>
          <w:sz w:val="24"/>
          <w:szCs w:val="24"/>
        </w:rPr>
        <w:t>as an internal crisis of the individual</w:t>
      </w:r>
      <w:r w:rsidR="00EA68DF">
        <w:rPr>
          <w:rFonts w:ascii="Times New Roman" w:hAnsi="Times New Roman" w:cs="Times New Roman"/>
          <w:sz w:val="24"/>
          <w:szCs w:val="24"/>
        </w:rPr>
        <w:t>,</w:t>
      </w:r>
      <w:r w:rsidR="000C20A8">
        <w:rPr>
          <w:rFonts w:ascii="Times New Roman" w:hAnsi="Times New Roman" w:cs="Times New Roman"/>
          <w:sz w:val="24"/>
          <w:szCs w:val="24"/>
        </w:rPr>
        <w:t xml:space="preserve"> </w:t>
      </w:r>
      <w:r>
        <w:rPr>
          <w:rFonts w:ascii="Times New Roman" w:hAnsi="Times New Roman" w:cs="Times New Roman"/>
          <w:sz w:val="24"/>
          <w:szCs w:val="24"/>
        </w:rPr>
        <w:t>simultaneously</w:t>
      </w:r>
      <w:r w:rsidR="000C20A8">
        <w:rPr>
          <w:rFonts w:ascii="Times New Roman" w:hAnsi="Times New Roman" w:cs="Times New Roman"/>
          <w:sz w:val="24"/>
          <w:szCs w:val="24"/>
        </w:rPr>
        <w:t>. At the same time</w:t>
      </w:r>
      <w:r w:rsidR="000A2313">
        <w:rPr>
          <w:rFonts w:ascii="Times New Roman" w:hAnsi="Times New Roman" w:cs="Times New Roman"/>
          <w:sz w:val="24"/>
          <w:szCs w:val="24"/>
        </w:rPr>
        <w:t>,</w:t>
      </w:r>
      <w:r w:rsidR="000C20A8">
        <w:rPr>
          <w:rFonts w:ascii="Times New Roman" w:hAnsi="Times New Roman" w:cs="Times New Roman"/>
          <w:sz w:val="24"/>
          <w:szCs w:val="24"/>
        </w:rPr>
        <w:t xml:space="preserve"> this understanding prompts us to reflect on the uneasy relationship which Shakespeare constructs between the tenor and vehicle in this extended metaphor. In these</w:t>
      </w:r>
      <w:r>
        <w:rPr>
          <w:rFonts w:ascii="Times New Roman" w:hAnsi="Times New Roman" w:cs="Times New Roman"/>
          <w:sz w:val="24"/>
          <w:szCs w:val="24"/>
        </w:rPr>
        <w:t xml:space="preserve"> </w:t>
      </w:r>
      <w:r w:rsidR="000C20A8">
        <w:rPr>
          <w:rFonts w:ascii="Times New Roman" w:hAnsi="Times New Roman" w:cs="Times New Roman"/>
          <w:sz w:val="24"/>
          <w:szCs w:val="24"/>
        </w:rPr>
        <w:t>sonnets</w:t>
      </w:r>
      <w:r w:rsidR="00BD6353">
        <w:rPr>
          <w:rFonts w:ascii="Times New Roman" w:hAnsi="Times New Roman" w:cs="Times New Roman"/>
          <w:sz w:val="24"/>
          <w:szCs w:val="24"/>
        </w:rPr>
        <w:t>,</w:t>
      </w:r>
      <w:r w:rsidR="000C20A8">
        <w:rPr>
          <w:rFonts w:ascii="Times New Roman" w:hAnsi="Times New Roman" w:cs="Times New Roman"/>
          <w:sz w:val="24"/>
          <w:szCs w:val="24"/>
        </w:rPr>
        <w:t xml:space="preserve"> </w:t>
      </w:r>
      <w:r w:rsidR="00BD6353">
        <w:rPr>
          <w:rFonts w:ascii="Times New Roman" w:hAnsi="Times New Roman" w:cs="Times New Roman"/>
          <w:sz w:val="24"/>
          <w:szCs w:val="24"/>
        </w:rPr>
        <w:t>context</w:t>
      </w:r>
      <w:r w:rsidR="000C20A8">
        <w:rPr>
          <w:rFonts w:ascii="Times New Roman" w:hAnsi="Times New Roman" w:cs="Times New Roman"/>
          <w:sz w:val="24"/>
          <w:szCs w:val="24"/>
        </w:rPr>
        <w:t xml:space="preserve">, which is cued by the text, is a vital tool in the appreciation of the artifice of the poem. If we accept </w:t>
      </w:r>
      <w:r w:rsidR="00CA3A30">
        <w:rPr>
          <w:rFonts w:ascii="Times New Roman" w:hAnsi="Times New Roman" w:cs="Times New Roman"/>
          <w:sz w:val="24"/>
          <w:szCs w:val="24"/>
        </w:rPr>
        <w:t>Vendler’s point that ‘The ethics of lyric writing lies in the accuracy of its representation of feelings felt and thoughts thought’</w:t>
      </w:r>
      <w:r w:rsidR="00BD6353">
        <w:rPr>
          <w:rFonts w:ascii="Times New Roman" w:hAnsi="Times New Roman" w:cs="Times New Roman"/>
          <w:sz w:val="24"/>
          <w:szCs w:val="24"/>
        </w:rPr>
        <w:t xml:space="preserve"> (p. 17),</w:t>
      </w:r>
      <w:r w:rsidR="00CA3A30">
        <w:rPr>
          <w:rFonts w:ascii="Times New Roman" w:hAnsi="Times New Roman" w:cs="Times New Roman"/>
          <w:sz w:val="24"/>
          <w:szCs w:val="24"/>
        </w:rPr>
        <w:t xml:space="preserve"> we come to see these two sonnets as brilliantly wrought, multi-layered examinations of precisely those topics.</w:t>
      </w:r>
    </w:p>
    <w:p w:rsidR="00CA3A30" w:rsidRDefault="00CA3A30" w:rsidP="00407D27">
      <w:pPr>
        <w:spacing w:before="240"/>
        <w:rPr>
          <w:rFonts w:ascii="Times New Roman" w:hAnsi="Times New Roman" w:cs="Times New Roman"/>
          <w:sz w:val="24"/>
          <w:szCs w:val="24"/>
        </w:rPr>
      </w:pPr>
      <w:r>
        <w:rPr>
          <w:rFonts w:ascii="Times New Roman" w:hAnsi="Times New Roman" w:cs="Times New Roman"/>
          <w:sz w:val="24"/>
          <w:szCs w:val="24"/>
        </w:rPr>
        <w:t>In sonnet 94, the situation is different. It does not reveal its hand</w:t>
      </w:r>
      <w:r w:rsidR="00E65C02">
        <w:rPr>
          <w:rFonts w:ascii="Times New Roman" w:hAnsi="Times New Roman" w:cs="Times New Roman"/>
          <w:sz w:val="24"/>
          <w:szCs w:val="24"/>
        </w:rPr>
        <w:t xml:space="preserve"> and say</w:t>
      </w:r>
      <w:r>
        <w:rPr>
          <w:rFonts w:ascii="Times New Roman" w:hAnsi="Times New Roman" w:cs="Times New Roman"/>
          <w:sz w:val="24"/>
          <w:szCs w:val="24"/>
        </w:rPr>
        <w:t xml:space="preserve"> what it is about. A close and exhaustive examination will lead the reader to the view that one topic is to value the artistry involved in writing sonnets, at the same time as positioning ‘others’ (who write) as morally superior to </w:t>
      </w:r>
      <w:r w:rsidR="00E65C02">
        <w:rPr>
          <w:rFonts w:ascii="Times New Roman" w:hAnsi="Times New Roman" w:cs="Times New Roman"/>
          <w:sz w:val="24"/>
          <w:szCs w:val="24"/>
        </w:rPr>
        <w:t>‘</w:t>
      </w:r>
      <w:r>
        <w:rPr>
          <w:rFonts w:ascii="Times New Roman" w:hAnsi="Times New Roman" w:cs="Times New Roman"/>
          <w:sz w:val="24"/>
          <w:szCs w:val="24"/>
        </w:rPr>
        <w:t>th</w:t>
      </w:r>
      <w:r w:rsidR="00E65C02">
        <w:rPr>
          <w:rFonts w:ascii="Times New Roman" w:hAnsi="Times New Roman" w:cs="Times New Roman"/>
          <w:sz w:val="24"/>
          <w:szCs w:val="24"/>
        </w:rPr>
        <w:t>ey’</w:t>
      </w:r>
      <w:r>
        <w:rPr>
          <w:rFonts w:ascii="Times New Roman" w:hAnsi="Times New Roman" w:cs="Times New Roman"/>
          <w:sz w:val="24"/>
          <w:szCs w:val="24"/>
        </w:rPr>
        <w:t xml:space="preserve"> </w:t>
      </w:r>
      <w:r w:rsidR="00E65C02">
        <w:rPr>
          <w:rFonts w:ascii="Times New Roman" w:hAnsi="Times New Roman" w:cs="Times New Roman"/>
          <w:sz w:val="24"/>
          <w:szCs w:val="24"/>
        </w:rPr>
        <w:t>(who have the power to hurt). This approach does not trouble Schoenfeldt, who is concerned to show that if we understand the renaissance approach to a number of ideas</w:t>
      </w:r>
      <w:r w:rsidR="0044464E">
        <w:rPr>
          <w:rFonts w:ascii="Times New Roman" w:hAnsi="Times New Roman" w:cs="Times New Roman"/>
          <w:sz w:val="24"/>
          <w:szCs w:val="24"/>
        </w:rPr>
        <w:t>;</w:t>
      </w:r>
      <w:r w:rsidR="00E65C02">
        <w:rPr>
          <w:rFonts w:ascii="Times New Roman" w:hAnsi="Times New Roman" w:cs="Times New Roman"/>
          <w:sz w:val="24"/>
          <w:szCs w:val="24"/>
        </w:rPr>
        <w:t xml:space="preserve"> buildings, temperance, harmony and moderation, we will understand the words in the sonnet in a different way. This is acceptable so far; it </w:t>
      </w:r>
      <w:r w:rsidR="00EA68DF">
        <w:rPr>
          <w:rFonts w:ascii="Times New Roman" w:hAnsi="Times New Roman" w:cs="Times New Roman"/>
          <w:sz w:val="24"/>
          <w:szCs w:val="24"/>
        </w:rPr>
        <w:t>agrees</w:t>
      </w:r>
      <w:r w:rsidR="00E65C02">
        <w:rPr>
          <w:rFonts w:ascii="Times New Roman" w:hAnsi="Times New Roman" w:cs="Times New Roman"/>
          <w:sz w:val="24"/>
          <w:szCs w:val="24"/>
        </w:rPr>
        <w:t xml:space="preserve"> with what I have just outlined in relation to sonnets 44 and 45. The difficulty is that Schoenfeldt hangs his argument on the words in the sonnet as words only. He does not address the way in which </w:t>
      </w:r>
      <w:r w:rsidR="00E65C02">
        <w:rPr>
          <w:rFonts w:ascii="Times New Roman" w:hAnsi="Times New Roman" w:cs="Times New Roman"/>
          <w:sz w:val="24"/>
          <w:szCs w:val="24"/>
        </w:rPr>
        <w:lastRenderedPageBreak/>
        <w:t>they operate in the poem and as part of the poem</w:t>
      </w:r>
      <w:r w:rsidR="006C30A0">
        <w:rPr>
          <w:rFonts w:ascii="Times New Roman" w:hAnsi="Times New Roman" w:cs="Times New Roman"/>
          <w:sz w:val="24"/>
          <w:szCs w:val="24"/>
        </w:rPr>
        <w:t>. This issue is concisely put by Helen Vendler.</w:t>
      </w:r>
      <w:r w:rsidR="0044464E">
        <w:rPr>
          <w:rFonts w:ascii="Times New Roman" w:hAnsi="Times New Roman" w:cs="Times New Roman"/>
          <w:sz w:val="24"/>
          <w:szCs w:val="24"/>
        </w:rPr>
        <w:t xml:space="preserve">  </w:t>
      </w:r>
      <w:r w:rsidR="00407D27">
        <w:rPr>
          <w:rFonts w:ascii="Times New Roman" w:hAnsi="Times New Roman" w:cs="Times New Roman"/>
          <w:sz w:val="24"/>
          <w:szCs w:val="24"/>
        </w:rPr>
        <w:t>(p. 40)</w:t>
      </w:r>
    </w:p>
    <w:p w:rsidR="006C30A0" w:rsidRDefault="006C30A0" w:rsidP="006C30A0">
      <w:pPr>
        <w:spacing w:after="0"/>
        <w:rPr>
          <w:rFonts w:ascii="Times New Roman" w:hAnsi="Times New Roman" w:cs="Times New Roman"/>
        </w:rPr>
      </w:pPr>
      <w:r>
        <w:rPr>
          <w:rFonts w:ascii="Times New Roman" w:hAnsi="Times New Roman" w:cs="Times New Roman"/>
          <w:sz w:val="24"/>
          <w:szCs w:val="24"/>
        </w:rPr>
        <w:t xml:space="preserve">       </w:t>
      </w:r>
      <w:r>
        <w:rPr>
          <w:rFonts w:ascii="Times New Roman" w:hAnsi="Times New Roman" w:cs="Times New Roman"/>
        </w:rPr>
        <w:t>A set of remarks on a poem which would be equally true of a prose paraphrase of a poem</w:t>
      </w:r>
    </w:p>
    <w:p w:rsidR="006C30A0" w:rsidRDefault="006C30A0" w:rsidP="006C30A0">
      <w:pPr>
        <w:spacing w:after="0"/>
        <w:rPr>
          <w:rFonts w:ascii="Times New Roman" w:hAnsi="Times New Roman" w:cs="Times New Roman"/>
        </w:rPr>
      </w:pPr>
      <w:r>
        <w:rPr>
          <w:rFonts w:ascii="Times New Roman" w:hAnsi="Times New Roman" w:cs="Times New Roman"/>
        </w:rPr>
        <w:t xml:space="preserve">        is not, by my standards, interpretation at all. Commentary on the propositional content of</w:t>
      </w:r>
    </w:p>
    <w:p w:rsidR="006C30A0" w:rsidRDefault="006C30A0" w:rsidP="006C30A0">
      <w:pPr>
        <w:spacing w:after="0"/>
        <w:rPr>
          <w:rFonts w:ascii="Times New Roman" w:hAnsi="Times New Roman" w:cs="Times New Roman"/>
        </w:rPr>
      </w:pPr>
      <w:r>
        <w:rPr>
          <w:rFonts w:ascii="Times New Roman" w:hAnsi="Times New Roman" w:cs="Times New Roman"/>
        </w:rPr>
        <w:t xml:space="preserve">        the poem is something entirely different from the interpretation of a poem, which must</w:t>
      </w:r>
    </w:p>
    <w:p w:rsidR="006C30A0" w:rsidRDefault="006C30A0" w:rsidP="006C30A0">
      <w:pPr>
        <w:spacing w:after="0"/>
        <w:rPr>
          <w:rFonts w:ascii="Times New Roman" w:hAnsi="Times New Roman" w:cs="Times New Roman"/>
        </w:rPr>
      </w:pPr>
      <w:r>
        <w:rPr>
          <w:rFonts w:ascii="Times New Roman" w:hAnsi="Times New Roman" w:cs="Times New Roman"/>
        </w:rPr>
        <w:t xml:space="preserve">        take into account the poem’s linguistic strategies as well as its propositional statements.</w:t>
      </w:r>
    </w:p>
    <w:p w:rsidR="00407D27" w:rsidRDefault="00407D27" w:rsidP="00407D27">
      <w:pPr>
        <w:spacing w:before="240"/>
        <w:rPr>
          <w:rFonts w:ascii="Times New Roman" w:hAnsi="Times New Roman" w:cs="Times New Roman"/>
          <w:sz w:val="24"/>
          <w:szCs w:val="24"/>
        </w:rPr>
      </w:pPr>
      <w:r w:rsidRPr="00407D27">
        <w:rPr>
          <w:rFonts w:ascii="Times New Roman" w:hAnsi="Times New Roman" w:cs="Times New Roman"/>
          <w:sz w:val="24"/>
          <w:szCs w:val="24"/>
        </w:rPr>
        <w:t>Schoenfeldt,</w:t>
      </w:r>
      <w:r>
        <w:rPr>
          <w:rFonts w:ascii="Times New Roman" w:hAnsi="Times New Roman" w:cs="Times New Roman"/>
          <w:sz w:val="24"/>
          <w:szCs w:val="24"/>
        </w:rPr>
        <w:t xml:space="preserve"> anxious to correct what he sees as misinterpretation of this sonnet, is right to draw attention to the way certain words may be understood, but his neglect of the machinery of the sonnet and the way it is moving the argument in the opposite direction to the one he assumes, gives far too much credence to the context he has constructed and ends up coming close to showing the sonnet as a version of his typification of renaissance society rather than </w:t>
      </w:r>
      <w:r w:rsidR="0044464E">
        <w:rPr>
          <w:rFonts w:ascii="Times New Roman" w:hAnsi="Times New Roman" w:cs="Times New Roman"/>
          <w:sz w:val="24"/>
          <w:szCs w:val="24"/>
        </w:rPr>
        <w:t xml:space="preserve">as </w:t>
      </w:r>
      <w:r w:rsidR="00D25567">
        <w:rPr>
          <w:rFonts w:ascii="Times New Roman" w:hAnsi="Times New Roman" w:cs="Times New Roman"/>
          <w:sz w:val="24"/>
          <w:szCs w:val="24"/>
        </w:rPr>
        <w:t>an attempt to undermine some of its assumptions.</w:t>
      </w:r>
    </w:p>
    <w:p w:rsidR="00407D27" w:rsidRPr="00CD7C0D" w:rsidRDefault="00407D27" w:rsidP="00407D27">
      <w:pPr>
        <w:spacing w:before="240"/>
        <w:rPr>
          <w:rFonts w:ascii="Times New Roman" w:hAnsi="Times New Roman" w:cs="Times New Roman"/>
          <w:sz w:val="24"/>
          <w:szCs w:val="24"/>
        </w:rPr>
      </w:pPr>
      <w:r>
        <w:rPr>
          <w:rFonts w:ascii="Times New Roman" w:hAnsi="Times New Roman" w:cs="Times New Roman"/>
          <w:sz w:val="24"/>
          <w:szCs w:val="24"/>
        </w:rPr>
        <w:t xml:space="preserve">Donne’s </w:t>
      </w:r>
      <w:r w:rsidRPr="00407D27">
        <w:rPr>
          <w:rFonts w:ascii="Times New Roman" w:hAnsi="Times New Roman" w:cs="Times New Roman"/>
          <w:i/>
          <w:sz w:val="24"/>
          <w:szCs w:val="24"/>
        </w:rPr>
        <w:t>Holy Sonnets</w:t>
      </w:r>
      <w:r>
        <w:rPr>
          <w:rFonts w:ascii="Times New Roman" w:hAnsi="Times New Roman" w:cs="Times New Roman"/>
          <w:sz w:val="24"/>
          <w:szCs w:val="24"/>
        </w:rPr>
        <w:t xml:space="preserve"> of 1633 pose different problems and show other ways in which context operates. In a sequence of poems, each poem constitutes a context for </w:t>
      </w:r>
      <w:r w:rsidR="002633C8">
        <w:rPr>
          <w:rFonts w:ascii="Times New Roman" w:hAnsi="Times New Roman" w:cs="Times New Roman"/>
          <w:sz w:val="24"/>
          <w:szCs w:val="24"/>
        </w:rPr>
        <w:t xml:space="preserve">its neighbour and for all other poems in the collection. The clearest example of this is </w:t>
      </w:r>
      <w:r w:rsidR="002633C8" w:rsidRPr="002633C8">
        <w:rPr>
          <w:rFonts w:ascii="Times New Roman" w:hAnsi="Times New Roman" w:cs="Times New Roman"/>
          <w:i/>
          <w:sz w:val="24"/>
          <w:szCs w:val="24"/>
        </w:rPr>
        <w:t>La Corona</w:t>
      </w:r>
      <w:r w:rsidR="002633C8">
        <w:rPr>
          <w:rFonts w:ascii="Times New Roman" w:hAnsi="Times New Roman" w:cs="Times New Roman"/>
          <w:sz w:val="24"/>
          <w:szCs w:val="24"/>
        </w:rPr>
        <w:t xml:space="preserve">, where the last line of one becomes the first line of the next. The ideas which are inescapably present in that line are then reproduced in the next sonnet, but their meaning is interrogated by what comes after, and so on. In the case of the first and last sonnet of the 1633 collection, the topics of the first and last sonnets act to provide anchors, bookends, a beginning and end to the matters discussed in the middle sonnets. </w:t>
      </w:r>
      <w:r w:rsidR="00D25567">
        <w:rPr>
          <w:rFonts w:ascii="Times New Roman" w:hAnsi="Times New Roman" w:cs="Times New Roman"/>
          <w:sz w:val="24"/>
          <w:szCs w:val="24"/>
        </w:rPr>
        <w:t>The question of the order of the sonnets of 1633 bridges the gap between the immediate context which the sonnets provide with each other, and the issue of the general ideological context of their production. As Richard Lanham points out, ‘What is the referential ‘’event’’ you need before you can begin to think about order?’.</w:t>
      </w:r>
      <w:r w:rsidR="00BD6353">
        <w:rPr>
          <w:rStyle w:val="FootnoteReference"/>
          <w:rFonts w:ascii="Times New Roman" w:hAnsi="Times New Roman" w:cs="Times New Roman"/>
          <w:sz w:val="24"/>
          <w:szCs w:val="24"/>
        </w:rPr>
        <w:footnoteReference w:id="28"/>
      </w:r>
      <w:r w:rsidR="00D25567">
        <w:rPr>
          <w:rFonts w:ascii="Times New Roman" w:hAnsi="Times New Roman" w:cs="Times New Roman"/>
          <w:sz w:val="24"/>
          <w:szCs w:val="24"/>
        </w:rPr>
        <w:t xml:space="preserve"> </w:t>
      </w:r>
      <w:r w:rsidR="002633C8">
        <w:rPr>
          <w:rFonts w:ascii="Times New Roman" w:hAnsi="Times New Roman" w:cs="Times New Roman"/>
          <w:sz w:val="24"/>
          <w:szCs w:val="24"/>
        </w:rPr>
        <w:t xml:space="preserve">The issue of the wider social, theological, philosophical and ideological context operates in a different way in the </w:t>
      </w:r>
      <w:r w:rsidR="002633C8" w:rsidRPr="002633C8">
        <w:rPr>
          <w:rFonts w:ascii="Times New Roman" w:hAnsi="Times New Roman" w:cs="Times New Roman"/>
          <w:i/>
          <w:sz w:val="24"/>
          <w:szCs w:val="24"/>
        </w:rPr>
        <w:t>Holy Sonnets</w:t>
      </w:r>
      <w:r w:rsidR="00CD7C0D">
        <w:rPr>
          <w:rFonts w:ascii="Times New Roman" w:hAnsi="Times New Roman" w:cs="Times New Roman"/>
          <w:sz w:val="24"/>
          <w:szCs w:val="24"/>
        </w:rPr>
        <w:t xml:space="preserve"> </w:t>
      </w:r>
      <w:r w:rsidR="00EA68DF">
        <w:rPr>
          <w:rFonts w:ascii="Times New Roman" w:hAnsi="Times New Roman" w:cs="Times New Roman"/>
          <w:sz w:val="24"/>
          <w:szCs w:val="24"/>
        </w:rPr>
        <w:t>than</w:t>
      </w:r>
      <w:r w:rsidR="00CD7C0D">
        <w:rPr>
          <w:rFonts w:ascii="Times New Roman" w:hAnsi="Times New Roman" w:cs="Times New Roman"/>
          <w:sz w:val="24"/>
          <w:szCs w:val="24"/>
        </w:rPr>
        <w:t xml:space="preserve"> in, for example</w:t>
      </w:r>
      <w:r w:rsidR="00D25567">
        <w:rPr>
          <w:rFonts w:ascii="Times New Roman" w:hAnsi="Times New Roman" w:cs="Times New Roman"/>
          <w:sz w:val="24"/>
          <w:szCs w:val="24"/>
        </w:rPr>
        <w:t>,</w:t>
      </w:r>
      <w:r w:rsidR="00CD7C0D">
        <w:rPr>
          <w:rFonts w:ascii="Times New Roman" w:hAnsi="Times New Roman" w:cs="Times New Roman"/>
          <w:sz w:val="24"/>
          <w:szCs w:val="24"/>
        </w:rPr>
        <w:t xml:space="preserve"> Shakespeare’s sonnets. The difference is that, as Helen Gardner puts it, the truths of most lyric poetry are the truths of the imagination. In religious poetry there is always a superior text, The Bible. ‘imagination […] is, to some extent, fettered.’ (p. xxxvii). The other effect of this is to make the poems less self-contained. Context, and the to and fro between the poem and its context, of whatever sort</w:t>
      </w:r>
      <w:r w:rsidR="00D25567">
        <w:rPr>
          <w:rFonts w:ascii="Times New Roman" w:hAnsi="Times New Roman" w:cs="Times New Roman"/>
          <w:sz w:val="24"/>
          <w:szCs w:val="24"/>
        </w:rPr>
        <w:t>,</w:t>
      </w:r>
      <w:r w:rsidR="00CD7C0D">
        <w:rPr>
          <w:rFonts w:ascii="Times New Roman" w:hAnsi="Times New Roman" w:cs="Times New Roman"/>
          <w:sz w:val="24"/>
          <w:szCs w:val="24"/>
        </w:rPr>
        <w:t xml:space="preserve"> is more important. Donne’s religious poems, despite their ostensibly otherworldly subject matter, live more firmly in</w:t>
      </w:r>
      <w:r w:rsidR="00D25567">
        <w:rPr>
          <w:rFonts w:ascii="Times New Roman" w:hAnsi="Times New Roman" w:cs="Times New Roman"/>
          <w:sz w:val="24"/>
          <w:szCs w:val="24"/>
        </w:rPr>
        <w:t>,</w:t>
      </w:r>
      <w:r w:rsidR="00CD7C0D">
        <w:rPr>
          <w:rFonts w:ascii="Times New Roman" w:hAnsi="Times New Roman" w:cs="Times New Roman"/>
          <w:sz w:val="24"/>
          <w:szCs w:val="24"/>
        </w:rPr>
        <w:t xml:space="preserve"> and partake more of, the world in which they were created. To treat them as such is not just permissible, it is an urgent necessity.</w:t>
      </w:r>
    </w:p>
    <w:p w:rsidR="006C30A0" w:rsidRPr="006C30A0" w:rsidRDefault="006C30A0" w:rsidP="006C30A0">
      <w:pPr>
        <w:spacing w:after="0"/>
        <w:rPr>
          <w:rFonts w:ascii="Times New Roman" w:hAnsi="Times New Roman" w:cs="Times New Roman"/>
        </w:rPr>
      </w:pPr>
    </w:p>
    <w:p w:rsidR="00B962CA" w:rsidRDefault="00B962CA" w:rsidP="00FF6B57">
      <w:pPr>
        <w:rPr>
          <w:rFonts w:ascii="Times New Roman" w:hAnsi="Times New Roman" w:cs="Times New Roman"/>
          <w:sz w:val="24"/>
          <w:szCs w:val="24"/>
        </w:rPr>
      </w:pPr>
    </w:p>
    <w:p w:rsidR="00FF6B57" w:rsidRPr="00487B04" w:rsidRDefault="00FF6B57" w:rsidP="00FF6B57">
      <w:pPr>
        <w:rPr>
          <w:rFonts w:ascii="Times New Roman" w:hAnsi="Times New Roman" w:cs="Times New Roman"/>
          <w:sz w:val="24"/>
          <w:szCs w:val="24"/>
        </w:rPr>
      </w:pPr>
      <w:r w:rsidRPr="00B962CA">
        <w:rPr>
          <w:rFonts w:ascii="Times New Roman" w:hAnsi="Times New Roman" w:cs="Times New Roman"/>
          <w:sz w:val="24"/>
          <w:szCs w:val="24"/>
        </w:rPr>
        <w:t xml:space="preserve">                                                                                                                   </w:t>
      </w:r>
    </w:p>
    <w:p w:rsidR="001019FC" w:rsidRDefault="001019FC">
      <w:pPr>
        <w:rPr>
          <w:rFonts w:ascii="Times New Roman" w:hAnsi="Times New Roman" w:cs="Times New Roman"/>
          <w:sz w:val="24"/>
          <w:szCs w:val="24"/>
        </w:rPr>
      </w:pPr>
    </w:p>
    <w:p w:rsidR="00EA2E4D" w:rsidRDefault="00EA2E4D">
      <w:pPr>
        <w:rPr>
          <w:rFonts w:ascii="Times New Roman" w:hAnsi="Times New Roman" w:cs="Times New Roman"/>
          <w:sz w:val="24"/>
          <w:szCs w:val="24"/>
        </w:rPr>
      </w:pPr>
    </w:p>
    <w:p w:rsidR="00EA2E4D" w:rsidRDefault="00EA2E4D">
      <w:pPr>
        <w:rPr>
          <w:rFonts w:ascii="Times New Roman" w:hAnsi="Times New Roman" w:cs="Times New Roman"/>
          <w:sz w:val="24"/>
          <w:szCs w:val="24"/>
        </w:rPr>
      </w:pPr>
    </w:p>
    <w:p w:rsidR="00EA2E4D" w:rsidRDefault="00EA2E4D">
      <w:pPr>
        <w:rPr>
          <w:rFonts w:ascii="Times New Roman" w:hAnsi="Times New Roman" w:cs="Times New Roman"/>
          <w:sz w:val="24"/>
          <w:szCs w:val="24"/>
        </w:rPr>
      </w:pPr>
    </w:p>
    <w:p w:rsidR="00F17279" w:rsidRDefault="00F17279">
      <w:pPr>
        <w:rPr>
          <w:rFonts w:ascii="Times New Roman" w:hAnsi="Times New Roman" w:cs="Times New Roman"/>
          <w:sz w:val="28"/>
          <w:szCs w:val="28"/>
          <w:u w:val="single"/>
        </w:rPr>
      </w:pPr>
    </w:p>
    <w:p w:rsidR="00F17279" w:rsidRDefault="00F17279">
      <w:pPr>
        <w:rPr>
          <w:rFonts w:ascii="Times New Roman" w:hAnsi="Times New Roman" w:cs="Times New Roman"/>
          <w:sz w:val="28"/>
          <w:szCs w:val="28"/>
          <w:u w:val="single"/>
        </w:rPr>
      </w:pPr>
    </w:p>
    <w:p w:rsidR="00F17279" w:rsidRDefault="00F17279">
      <w:pPr>
        <w:rPr>
          <w:rFonts w:ascii="Times New Roman" w:hAnsi="Times New Roman" w:cs="Times New Roman"/>
          <w:sz w:val="28"/>
          <w:szCs w:val="28"/>
          <w:u w:val="single"/>
        </w:rPr>
      </w:pPr>
    </w:p>
    <w:p w:rsidR="00F17279" w:rsidRDefault="00F17279">
      <w:pPr>
        <w:rPr>
          <w:rFonts w:ascii="Times New Roman" w:hAnsi="Times New Roman" w:cs="Times New Roman"/>
          <w:sz w:val="28"/>
          <w:szCs w:val="28"/>
          <w:u w:val="single"/>
        </w:rPr>
      </w:pPr>
    </w:p>
    <w:p w:rsidR="00EA2E4D" w:rsidRDefault="00EA2E4D">
      <w:pPr>
        <w:rPr>
          <w:rFonts w:ascii="Times New Roman" w:hAnsi="Times New Roman" w:cs="Times New Roman"/>
          <w:sz w:val="24"/>
          <w:szCs w:val="24"/>
        </w:rPr>
      </w:pPr>
      <w:r>
        <w:rPr>
          <w:rFonts w:ascii="Times New Roman" w:hAnsi="Times New Roman" w:cs="Times New Roman"/>
          <w:sz w:val="28"/>
          <w:szCs w:val="28"/>
          <w:u w:val="single"/>
        </w:rPr>
        <w:t>Bibliography</w:t>
      </w:r>
    </w:p>
    <w:p w:rsidR="00EA2E4D" w:rsidRDefault="00EA2E4D">
      <w:pPr>
        <w:rPr>
          <w:rFonts w:ascii="Times New Roman" w:hAnsi="Times New Roman" w:cs="Times New Roman"/>
          <w:sz w:val="24"/>
          <w:szCs w:val="24"/>
        </w:rPr>
      </w:pPr>
    </w:p>
    <w:p w:rsidR="00EA2E4D" w:rsidRDefault="00EA2E4D">
      <w:pPr>
        <w:rPr>
          <w:rFonts w:ascii="Times New Roman" w:hAnsi="Times New Roman" w:cs="Times New Roman"/>
          <w:sz w:val="24"/>
          <w:szCs w:val="24"/>
        </w:rPr>
      </w:pPr>
      <w:r>
        <w:rPr>
          <w:rFonts w:ascii="Times New Roman" w:hAnsi="Times New Roman" w:cs="Times New Roman"/>
          <w:sz w:val="24"/>
          <w:szCs w:val="24"/>
        </w:rPr>
        <w:t>Archer, Stanley. 1961. ‘Meditation and the Structure of Donne’s ‘’Holy Sonnets’’’,</w:t>
      </w:r>
      <w:r w:rsidRPr="00EA2E4D">
        <w:rPr>
          <w:rFonts w:ascii="Times New Roman" w:hAnsi="Times New Roman" w:cs="Times New Roman"/>
          <w:i/>
          <w:sz w:val="24"/>
          <w:szCs w:val="24"/>
        </w:rPr>
        <w:t xml:space="preserve"> ELH</w:t>
      </w:r>
      <w:r>
        <w:rPr>
          <w:rFonts w:ascii="Times New Roman" w:hAnsi="Times New Roman" w:cs="Times New Roman"/>
          <w:sz w:val="24"/>
          <w:szCs w:val="24"/>
        </w:rPr>
        <w:t>, 28, 2: 137 – 147</w:t>
      </w:r>
    </w:p>
    <w:p w:rsidR="00EA2E4D" w:rsidRDefault="00EA2E4D">
      <w:pPr>
        <w:rPr>
          <w:rFonts w:ascii="Times New Roman" w:hAnsi="Times New Roman" w:cs="Times New Roman"/>
          <w:sz w:val="24"/>
          <w:szCs w:val="24"/>
        </w:rPr>
      </w:pPr>
      <w:r>
        <w:rPr>
          <w:rFonts w:ascii="Times New Roman" w:hAnsi="Times New Roman" w:cs="Times New Roman"/>
          <w:sz w:val="24"/>
          <w:szCs w:val="24"/>
        </w:rPr>
        <w:t xml:space="preserve">Booth, Stephen. 2000. </w:t>
      </w:r>
      <w:r w:rsidRPr="00EA2E4D">
        <w:rPr>
          <w:rFonts w:ascii="Times New Roman" w:hAnsi="Times New Roman" w:cs="Times New Roman"/>
          <w:i/>
          <w:sz w:val="24"/>
          <w:szCs w:val="24"/>
        </w:rPr>
        <w:t>Shakespeare’s Sonnets</w:t>
      </w:r>
      <w:r>
        <w:rPr>
          <w:rFonts w:ascii="Times New Roman" w:hAnsi="Times New Roman" w:cs="Times New Roman"/>
          <w:sz w:val="24"/>
          <w:szCs w:val="24"/>
        </w:rPr>
        <w:t>, paperback edn (New Haven and London: Yale University Press)</w:t>
      </w:r>
    </w:p>
    <w:p w:rsidR="00EA2E4D" w:rsidRDefault="00EA2E4D">
      <w:pPr>
        <w:rPr>
          <w:rFonts w:ascii="Times New Roman" w:hAnsi="Times New Roman" w:cs="Times New Roman"/>
          <w:sz w:val="24"/>
          <w:szCs w:val="24"/>
        </w:rPr>
      </w:pPr>
      <w:r>
        <w:rPr>
          <w:rFonts w:ascii="Times New Roman" w:hAnsi="Times New Roman" w:cs="Times New Roman"/>
          <w:sz w:val="24"/>
          <w:szCs w:val="24"/>
        </w:rPr>
        <w:t xml:space="preserve">Cefalu, Paul. 2003. </w:t>
      </w:r>
      <w:r w:rsidR="00187897">
        <w:rPr>
          <w:rFonts w:ascii="Times New Roman" w:hAnsi="Times New Roman" w:cs="Times New Roman"/>
          <w:sz w:val="24"/>
          <w:szCs w:val="24"/>
        </w:rPr>
        <w:t xml:space="preserve">‘Godly Fear, Sanctification, and Calvinist Theology in the Sermons and ‘’Holy Sonnets’’ of John Donne’, </w:t>
      </w:r>
      <w:r w:rsidR="00187897" w:rsidRPr="00187897">
        <w:rPr>
          <w:rFonts w:ascii="Times New Roman" w:hAnsi="Times New Roman" w:cs="Times New Roman"/>
          <w:i/>
          <w:sz w:val="24"/>
          <w:szCs w:val="24"/>
        </w:rPr>
        <w:t>Studies in Philology</w:t>
      </w:r>
      <w:r w:rsidR="00187897">
        <w:rPr>
          <w:rFonts w:ascii="Times New Roman" w:hAnsi="Times New Roman" w:cs="Times New Roman"/>
          <w:sz w:val="24"/>
          <w:szCs w:val="24"/>
        </w:rPr>
        <w:t>, 100, 2: 71 – 81</w:t>
      </w:r>
    </w:p>
    <w:p w:rsidR="00187897" w:rsidRDefault="00187897">
      <w:pPr>
        <w:rPr>
          <w:rFonts w:ascii="Times New Roman" w:hAnsi="Times New Roman" w:cs="Times New Roman"/>
          <w:sz w:val="24"/>
          <w:szCs w:val="24"/>
        </w:rPr>
      </w:pPr>
      <w:r>
        <w:rPr>
          <w:rFonts w:ascii="Times New Roman" w:hAnsi="Times New Roman" w:cs="Times New Roman"/>
          <w:sz w:val="24"/>
          <w:szCs w:val="24"/>
        </w:rPr>
        <w:t xml:space="preserve">Clements, Arthur (ed.) 1992. </w:t>
      </w:r>
      <w:r w:rsidRPr="00187897">
        <w:rPr>
          <w:rFonts w:ascii="Times New Roman" w:hAnsi="Times New Roman" w:cs="Times New Roman"/>
          <w:i/>
          <w:sz w:val="24"/>
          <w:szCs w:val="24"/>
        </w:rPr>
        <w:t>John Donne’ Poetry</w:t>
      </w:r>
      <w:r>
        <w:rPr>
          <w:rFonts w:ascii="Times New Roman" w:hAnsi="Times New Roman" w:cs="Times New Roman"/>
          <w:sz w:val="24"/>
          <w:szCs w:val="24"/>
        </w:rPr>
        <w:t>, paperback edn (New York and London: Norton)</w:t>
      </w:r>
    </w:p>
    <w:p w:rsidR="00187897" w:rsidRDefault="00187897">
      <w:pPr>
        <w:rPr>
          <w:rFonts w:ascii="Times New Roman" w:hAnsi="Times New Roman" w:cs="Times New Roman"/>
          <w:sz w:val="24"/>
          <w:szCs w:val="24"/>
        </w:rPr>
      </w:pPr>
      <w:r>
        <w:rPr>
          <w:rFonts w:ascii="Times New Roman" w:hAnsi="Times New Roman" w:cs="Times New Roman"/>
          <w:sz w:val="24"/>
          <w:szCs w:val="24"/>
        </w:rPr>
        <w:t>Empson, William</w:t>
      </w:r>
      <w:r w:rsidR="00CD5589">
        <w:rPr>
          <w:rFonts w:ascii="Times New Roman" w:hAnsi="Times New Roman" w:cs="Times New Roman"/>
          <w:sz w:val="24"/>
          <w:szCs w:val="24"/>
        </w:rPr>
        <w:t>.</w:t>
      </w:r>
      <w:r>
        <w:rPr>
          <w:rFonts w:ascii="Times New Roman" w:hAnsi="Times New Roman" w:cs="Times New Roman"/>
          <w:sz w:val="24"/>
          <w:szCs w:val="24"/>
        </w:rPr>
        <w:t xml:space="preserve"> 1966. </w:t>
      </w:r>
      <w:r w:rsidRPr="00187897">
        <w:rPr>
          <w:rFonts w:ascii="Times New Roman" w:hAnsi="Times New Roman" w:cs="Times New Roman"/>
          <w:i/>
          <w:sz w:val="24"/>
          <w:szCs w:val="24"/>
        </w:rPr>
        <w:t>Some Versions of Pastoral</w:t>
      </w:r>
      <w:r>
        <w:rPr>
          <w:rFonts w:ascii="Times New Roman" w:hAnsi="Times New Roman" w:cs="Times New Roman"/>
          <w:sz w:val="24"/>
          <w:szCs w:val="24"/>
        </w:rPr>
        <w:t xml:space="preserve"> (Harmondsworth: Peregrine)</w:t>
      </w:r>
    </w:p>
    <w:p w:rsidR="00187897" w:rsidRDefault="00187897">
      <w:pPr>
        <w:rPr>
          <w:rFonts w:ascii="Times New Roman" w:hAnsi="Times New Roman" w:cs="Times New Roman"/>
          <w:sz w:val="24"/>
          <w:szCs w:val="24"/>
        </w:rPr>
      </w:pPr>
      <w:r>
        <w:rPr>
          <w:rFonts w:ascii="Times New Roman" w:hAnsi="Times New Roman" w:cs="Times New Roman"/>
          <w:sz w:val="24"/>
          <w:szCs w:val="24"/>
        </w:rPr>
        <w:t>Evans, Gillian</w:t>
      </w:r>
      <w:r w:rsidR="00223E94">
        <w:rPr>
          <w:rFonts w:ascii="Times New Roman" w:hAnsi="Times New Roman" w:cs="Times New Roman"/>
          <w:sz w:val="24"/>
          <w:szCs w:val="24"/>
        </w:rPr>
        <w:t>.</w:t>
      </w:r>
      <w:r>
        <w:rPr>
          <w:rFonts w:ascii="Times New Roman" w:hAnsi="Times New Roman" w:cs="Times New Roman"/>
          <w:sz w:val="24"/>
          <w:szCs w:val="24"/>
        </w:rPr>
        <w:t xml:space="preserve"> 1982. ‘John Donne and the Augustinian Paradox of Sin’, </w:t>
      </w:r>
      <w:r w:rsidRPr="00E941F6">
        <w:rPr>
          <w:rFonts w:ascii="Times New Roman" w:hAnsi="Times New Roman" w:cs="Times New Roman"/>
          <w:i/>
          <w:sz w:val="24"/>
          <w:szCs w:val="24"/>
        </w:rPr>
        <w:t>The Review of</w:t>
      </w:r>
      <w:r>
        <w:rPr>
          <w:rFonts w:ascii="Times New Roman" w:hAnsi="Times New Roman" w:cs="Times New Roman"/>
          <w:sz w:val="24"/>
          <w:szCs w:val="24"/>
        </w:rPr>
        <w:t xml:space="preserve"> </w:t>
      </w:r>
      <w:r w:rsidRPr="00E941F6">
        <w:rPr>
          <w:rFonts w:ascii="Times New Roman" w:hAnsi="Times New Roman" w:cs="Times New Roman"/>
          <w:i/>
          <w:sz w:val="24"/>
          <w:szCs w:val="24"/>
        </w:rPr>
        <w:t>English Studies</w:t>
      </w:r>
      <w:r>
        <w:rPr>
          <w:rFonts w:ascii="Times New Roman" w:hAnsi="Times New Roman" w:cs="Times New Roman"/>
          <w:sz w:val="24"/>
          <w:szCs w:val="24"/>
        </w:rPr>
        <w:t>, New Series</w:t>
      </w:r>
      <w:r w:rsidR="00E941F6">
        <w:rPr>
          <w:rFonts w:ascii="Times New Roman" w:hAnsi="Times New Roman" w:cs="Times New Roman"/>
          <w:sz w:val="24"/>
          <w:szCs w:val="24"/>
        </w:rPr>
        <w:t>, 33, 129: 1 – 22</w:t>
      </w:r>
    </w:p>
    <w:p w:rsidR="00E941F6" w:rsidRDefault="00E941F6">
      <w:pPr>
        <w:rPr>
          <w:rFonts w:ascii="Times New Roman" w:hAnsi="Times New Roman" w:cs="Times New Roman"/>
          <w:sz w:val="24"/>
          <w:szCs w:val="24"/>
        </w:rPr>
      </w:pPr>
      <w:r>
        <w:rPr>
          <w:rFonts w:ascii="Times New Roman" w:hAnsi="Times New Roman" w:cs="Times New Roman"/>
          <w:sz w:val="24"/>
          <w:szCs w:val="24"/>
        </w:rPr>
        <w:t>Fletcher, Angus</w:t>
      </w:r>
      <w:r w:rsidR="00223E94">
        <w:rPr>
          <w:rFonts w:ascii="Times New Roman" w:hAnsi="Times New Roman" w:cs="Times New Roman"/>
          <w:sz w:val="24"/>
          <w:szCs w:val="24"/>
        </w:rPr>
        <w:t>.</w:t>
      </w:r>
      <w:r>
        <w:rPr>
          <w:rFonts w:ascii="Times New Roman" w:hAnsi="Times New Roman" w:cs="Times New Roman"/>
          <w:sz w:val="24"/>
          <w:szCs w:val="24"/>
        </w:rPr>
        <w:t xml:space="preserve"> 2005. ‘Living Magnets, Paracelsian Corpses, and the Psychology of Grace in Donne’s Religious Verse’, </w:t>
      </w:r>
      <w:r w:rsidRPr="00E941F6">
        <w:rPr>
          <w:rFonts w:ascii="Times New Roman" w:hAnsi="Times New Roman" w:cs="Times New Roman"/>
          <w:i/>
          <w:sz w:val="24"/>
          <w:szCs w:val="24"/>
        </w:rPr>
        <w:t>ELH</w:t>
      </w:r>
      <w:r>
        <w:rPr>
          <w:rFonts w:ascii="Times New Roman" w:hAnsi="Times New Roman" w:cs="Times New Roman"/>
          <w:sz w:val="24"/>
          <w:szCs w:val="24"/>
        </w:rPr>
        <w:t>, 72, 1: 1 – 21</w:t>
      </w:r>
    </w:p>
    <w:p w:rsidR="00E941F6" w:rsidRDefault="00E941F6">
      <w:pPr>
        <w:rPr>
          <w:rFonts w:ascii="Times New Roman" w:hAnsi="Times New Roman" w:cs="Times New Roman"/>
          <w:sz w:val="24"/>
          <w:szCs w:val="24"/>
        </w:rPr>
      </w:pPr>
      <w:r>
        <w:rPr>
          <w:rFonts w:ascii="Times New Roman" w:hAnsi="Times New Roman" w:cs="Times New Roman"/>
          <w:sz w:val="24"/>
          <w:szCs w:val="24"/>
        </w:rPr>
        <w:t>Forceville, Charles</w:t>
      </w:r>
      <w:r w:rsidR="00223E94">
        <w:rPr>
          <w:rFonts w:ascii="Times New Roman" w:hAnsi="Times New Roman" w:cs="Times New Roman"/>
          <w:sz w:val="24"/>
          <w:szCs w:val="24"/>
        </w:rPr>
        <w:t>.</w:t>
      </w:r>
      <w:r>
        <w:rPr>
          <w:rFonts w:ascii="Times New Roman" w:hAnsi="Times New Roman" w:cs="Times New Roman"/>
          <w:sz w:val="24"/>
          <w:szCs w:val="24"/>
        </w:rPr>
        <w:t xml:space="preserve"> 1995. ‘(A)symmetry in Metaphor: The Importance of Extended Context’, </w:t>
      </w:r>
      <w:r w:rsidRPr="00E941F6">
        <w:rPr>
          <w:rFonts w:ascii="Times New Roman" w:hAnsi="Times New Roman" w:cs="Times New Roman"/>
          <w:i/>
          <w:sz w:val="24"/>
          <w:szCs w:val="24"/>
        </w:rPr>
        <w:t>Poetics Today</w:t>
      </w:r>
      <w:r>
        <w:rPr>
          <w:rFonts w:ascii="Times New Roman" w:hAnsi="Times New Roman" w:cs="Times New Roman"/>
          <w:sz w:val="24"/>
          <w:szCs w:val="24"/>
        </w:rPr>
        <w:t>, 16, 4: 677 – 708</w:t>
      </w:r>
    </w:p>
    <w:p w:rsidR="00E941F6" w:rsidRDefault="00E941F6">
      <w:pPr>
        <w:rPr>
          <w:rFonts w:ascii="Times New Roman" w:hAnsi="Times New Roman" w:cs="Times New Roman"/>
          <w:sz w:val="24"/>
          <w:szCs w:val="24"/>
        </w:rPr>
      </w:pPr>
      <w:r>
        <w:rPr>
          <w:rFonts w:ascii="Times New Roman" w:hAnsi="Times New Roman" w:cs="Times New Roman"/>
          <w:sz w:val="24"/>
          <w:szCs w:val="24"/>
        </w:rPr>
        <w:t>Forrest-Thomson, Veronica</w:t>
      </w:r>
      <w:r w:rsidR="00223E94">
        <w:rPr>
          <w:rFonts w:ascii="Times New Roman" w:hAnsi="Times New Roman" w:cs="Times New Roman"/>
          <w:sz w:val="24"/>
          <w:szCs w:val="24"/>
        </w:rPr>
        <w:t>.</w:t>
      </w:r>
      <w:r>
        <w:rPr>
          <w:rFonts w:ascii="Times New Roman" w:hAnsi="Times New Roman" w:cs="Times New Roman"/>
          <w:sz w:val="24"/>
          <w:szCs w:val="24"/>
        </w:rPr>
        <w:t xml:space="preserve"> 2016. </w:t>
      </w:r>
      <w:r w:rsidRPr="00E941F6">
        <w:rPr>
          <w:rFonts w:ascii="Times New Roman" w:hAnsi="Times New Roman" w:cs="Times New Roman"/>
          <w:i/>
          <w:sz w:val="24"/>
          <w:szCs w:val="24"/>
        </w:rPr>
        <w:t>Poetic Artifice</w:t>
      </w:r>
      <w:r>
        <w:rPr>
          <w:rFonts w:ascii="Times New Roman" w:hAnsi="Times New Roman" w:cs="Times New Roman"/>
          <w:sz w:val="24"/>
          <w:szCs w:val="24"/>
        </w:rPr>
        <w:t xml:space="preserve"> (Bristol: Shearsman Books)</w:t>
      </w:r>
    </w:p>
    <w:p w:rsidR="00E941F6" w:rsidRDefault="00E941F6">
      <w:pPr>
        <w:rPr>
          <w:rFonts w:ascii="Times New Roman" w:hAnsi="Times New Roman" w:cs="Times New Roman"/>
          <w:sz w:val="24"/>
          <w:szCs w:val="24"/>
        </w:rPr>
      </w:pPr>
      <w:r>
        <w:rPr>
          <w:rFonts w:ascii="Times New Roman" w:hAnsi="Times New Roman" w:cs="Times New Roman"/>
          <w:sz w:val="24"/>
          <w:szCs w:val="24"/>
        </w:rPr>
        <w:t>Gardner, Helen</w:t>
      </w:r>
      <w:r w:rsidR="00223E94">
        <w:rPr>
          <w:rFonts w:ascii="Times New Roman" w:hAnsi="Times New Roman" w:cs="Times New Roman"/>
          <w:sz w:val="24"/>
          <w:szCs w:val="24"/>
        </w:rPr>
        <w:t>.</w:t>
      </w:r>
      <w:r>
        <w:rPr>
          <w:rFonts w:ascii="Times New Roman" w:hAnsi="Times New Roman" w:cs="Times New Roman"/>
          <w:sz w:val="24"/>
          <w:szCs w:val="24"/>
        </w:rPr>
        <w:t xml:space="preserve"> </w:t>
      </w:r>
      <w:r w:rsidR="00012A61">
        <w:rPr>
          <w:rFonts w:ascii="Times New Roman" w:hAnsi="Times New Roman" w:cs="Times New Roman"/>
          <w:sz w:val="24"/>
          <w:szCs w:val="24"/>
        </w:rPr>
        <w:t xml:space="preserve">1952. </w:t>
      </w:r>
      <w:r w:rsidR="00012A61" w:rsidRPr="00012A61">
        <w:rPr>
          <w:rFonts w:ascii="Times New Roman" w:hAnsi="Times New Roman" w:cs="Times New Roman"/>
          <w:i/>
          <w:sz w:val="24"/>
          <w:szCs w:val="24"/>
        </w:rPr>
        <w:t>John Donne, the Divine Poems</w:t>
      </w:r>
      <w:r w:rsidR="00012A61">
        <w:rPr>
          <w:rFonts w:ascii="Times New Roman" w:hAnsi="Times New Roman" w:cs="Times New Roman"/>
          <w:sz w:val="24"/>
          <w:szCs w:val="24"/>
        </w:rPr>
        <w:t xml:space="preserve"> (Oxford: Clarendon Press)</w:t>
      </w:r>
    </w:p>
    <w:p w:rsidR="00012A61" w:rsidRDefault="00012A61">
      <w:pPr>
        <w:rPr>
          <w:rFonts w:ascii="Times New Roman" w:hAnsi="Times New Roman" w:cs="Times New Roman"/>
          <w:sz w:val="24"/>
          <w:szCs w:val="24"/>
        </w:rPr>
      </w:pPr>
      <w:r>
        <w:rPr>
          <w:rFonts w:ascii="Times New Roman" w:hAnsi="Times New Roman" w:cs="Times New Roman"/>
          <w:sz w:val="24"/>
          <w:szCs w:val="24"/>
        </w:rPr>
        <w:t>Grierson, H. J. C. (ed.)</w:t>
      </w:r>
      <w:r w:rsidR="00223E94">
        <w:rPr>
          <w:rFonts w:ascii="Times New Roman" w:hAnsi="Times New Roman" w:cs="Times New Roman"/>
          <w:sz w:val="24"/>
          <w:szCs w:val="24"/>
        </w:rPr>
        <w:t>.</w:t>
      </w:r>
      <w:r>
        <w:rPr>
          <w:rFonts w:ascii="Times New Roman" w:hAnsi="Times New Roman" w:cs="Times New Roman"/>
          <w:sz w:val="24"/>
          <w:szCs w:val="24"/>
        </w:rPr>
        <w:t xml:space="preserve"> 1921. </w:t>
      </w:r>
      <w:r w:rsidRPr="00012A61">
        <w:rPr>
          <w:rFonts w:ascii="Times New Roman" w:hAnsi="Times New Roman" w:cs="Times New Roman"/>
          <w:i/>
          <w:sz w:val="24"/>
          <w:szCs w:val="24"/>
        </w:rPr>
        <w:t>Metaphysical Lyrics and Poems of the Seventeenth Century:</w:t>
      </w:r>
      <w:r>
        <w:rPr>
          <w:rFonts w:ascii="Times New Roman" w:hAnsi="Times New Roman" w:cs="Times New Roman"/>
          <w:sz w:val="24"/>
          <w:szCs w:val="24"/>
        </w:rPr>
        <w:t xml:space="preserve"> </w:t>
      </w:r>
      <w:r w:rsidRPr="00012A61">
        <w:rPr>
          <w:rFonts w:ascii="Times New Roman" w:hAnsi="Times New Roman" w:cs="Times New Roman"/>
          <w:i/>
          <w:sz w:val="24"/>
          <w:szCs w:val="24"/>
        </w:rPr>
        <w:t>Donne to Butler</w:t>
      </w:r>
      <w:r>
        <w:rPr>
          <w:rFonts w:ascii="Times New Roman" w:hAnsi="Times New Roman" w:cs="Times New Roman"/>
          <w:sz w:val="24"/>
          <w:szCs w:val="24"/>
        </w:rPr>
        <w:t xml:space="preserve"> (Oxford: Clarendon Press)</w:t>
      </w:r>
    </w:p>
    <w:p w:rsidR="00012A61" w:rsidRDefault="00012A61">
      <w:pPr>
        <w:rPr>
          <w:rFonts w:ascii="Times New Roman" w:hAnsi="Times New Roman" w:cs="Times New Roman"/>
          <w:sz w:val="24"/>
          <w:szCs w:val="24"/>
        </w:rPr>
      </w:pPr>
      <w:r>
        <w:rPr>
          <w:rFonts w:ascii="Times New Roman" w:hAnsi="Times New Roman" w:cs="Times New Roman"/>
          <w:sz w:val="24"/>
          <w:szCs w:val="24"/>
        </w:rPr>
        <w:t>Hawkes, Terence</w:t>
      </w:r>
      <w:r w:rsidR="00223E94">
        <w:rPr>
          <w:rFonts w:ascii="Times New Roman" w:hAnsi="Times New Roman" w:cs="Times New Roman"/>
          <w:sz w:val="24"/>
          <w:szCs w:val="24"/>
        </w:rPr>
        <w:t>.</w:t>
      </w:r>
      <w:r>
        <w:rPr>
          <w:rFonts w:ascii="Times New Roman" w:hAnsi="Times New Roman" w:cs="Times New Roman"/>
          <w:sz w:val="24"/>
          <w:szCs w:val="24"/>
        </w:rPr>
        <w:t xml:space="preserve"> 1972. </w:t>
      </w:r>
      <w:r w:rsidRPr="00012A61">
        <w:rPr>
          <w:rFonts w:ascii="Times New Roman" w:hAnsi="Times New Roman" w:cs="Times New Roman"/>
          <w:i/>
          <w:sz w:val="24"/>
          <w:szCs w:val="24"/>
        </w:rPr>
        <w:t>Metaphor</w:t>
      </w:r>
      <w:r>
        <w:rPr>
          <w:rFonts w:ascii="Times New Roman" w:hAnsi="Times New Roman" w:cs="Times New Roman"/>
          <w:sz w:val="24"/>
          <w:szCs w:val="24"/>
        </w:rPr>
        <w:t xml:space="preserve"> (London: Methuen)</w:t>
      </w:r>
    </w:p>
    <w:p w:rsidR="00012A61" w:rsidRDefault="00012A61">
      <w:pPr>
        <w:rPr>
          <w:rFonts w:ascii="Times New Roman" w:hAnsi="Times New Roman" w:cs="Times New Roman"/>
          <w:sz w:val="24"/>
          <w:szCs w:val="24"/>
        </w:rPr>
      </w:pPr>
      <w:r>
        <w:rPr>
          <w:rFonts w:ascii="Times New Roman" w:hAnsi="Times New Roman" w:cs="Times New Roman"/>
          <w:sz w:val="24"/>
          <w:szCs w:val="24"/>
        </w:rPr>
        <w:t>Lanham, Richard</w:t>
      </w:r>
      <w:r w:rsidR="00223E94">
        <w:rPr>
          <w:rFonts w:ascii="Times New Roman" w:hAnsi="Times New Roman" w:cs="Times New Roman"/>
          <w:sz w:val="24"/>
          <w:szCs w:val="24"/>
        </w:rPr>
        <w:t>.</w:t>
      </w:r>
      <w:r>
        <w:rPr>
          <w:rFonts w:ascii="Times New Roman" w:hAnsi="Times New Roman" w:cs="Times New Roman"/>
          <w:sz w:val="24"/>
          <w:szCs w:val="24"/>
        </w:rPr>
        <w:t xml:space="preserve"> 1976. </w:t>
      </w:r>
      <w:r w:rsidRPr="00012A61">
        <w:rPr>
          <w:rFonts w:ascii="Times New Roman" w:hAnsi="Times New Roman" w:cs="Times New Roman"/>
          <w:i/>
          <w:sz w:val="24"/>
          <w:szCs w:val="24"/>
        </w:rPr>
        <w:t>The Motives of Eloquence</w:t>
      </w:r>
      <w:r>
        <w:rPr>
          <w:rFonts w:ascii="Times New Roman" w:hAnsi="Times New Roman" w:cs="Times New Roman"/>
          <w:sz w:val="24"/>
          <w:szCs w:val="24"/>
        </w:rPr>
        <w:t xml:space="preserve"> (New haven and London: Yale University Press)</w:t>
      </w:r>
    </w:p>
    <w:p w:rsidR="00012A61" w:rsidRDefault="00012A61">
      <w:pPr>
        <w:rPr>
          <w:rFonts w:ascii="Times New Roman" w:hAnsi="Times New Roman" w:cs="Times New Roman"/>
          <w:sz w:val="24"/>
          <w:szCs w:val="24"/>
        </w:rPr>
      </w:pPr>
      <w:r>
        <w:rPr>
          <w:rFonts w:ascii="Times New Roman" w:hAnsi="Times New Roman" w:cs="Times New Roman"/>
          <w:sz w:val="24"/>
          <w:szCs w:val="24"/>
        </w:rPr>
        <w:t>Martin, Catherine Gimelli</w:t>
      </w:r>
      <w:r w:rsidR="00223E94">
        <w:rPr>
          <w:rFonts w:ascii="Times New Roman" w:hAnsi="Times New Roman" w:cs="Times New Roman"/>
          <w:sz w:val="24"/>
          <w:szCs w:val="24"/>
        </w:rPr>
        <w:t>.</w:t>
      </w:r>
      <w:r>
        <w:rPr>
          <w:rFonts w:ascii="Times New Roman" w:hAnsi="Times New Roman" w:cs="Times New Roman"/>
          <w:sz w:val="24"/>
          <w:szCs w:val="24"/>
        </w:rPr>
        <w:t xml:space="preserve"> 2013. ‘</w:t>
      </w:r>
      <w:r w:rsidR="00F64DDD">
        <w:rPr>
          <w:rFonts w:ascii="Times New Roman" w:hAnsi="Times New Roman" w:cs="Times New Roman"/>
          <w:sz w:val="24"/>
          <w:szCs w:val="24"/>
        </w:rPr>
        <w:t xml:space="preserve">Experimental Predestination in Donne’s Holy Sonnets: Self Ministry and the Early Seventeenth-Century </w:t>
      </w:r>
      <w:r w:rsidR="00F64DDD" w:rsidRPr="00223E94">
        <w:rPr>
          <w:rFonts w:ascii="Times New Roman" w:hAnsi="Times New Roman" w:cs="Times New Roman"/>
          <w:i/>
          <w:sz w:val="24"/>
          <w:szCs w:val="24"/>
        </w:rPr>
        <w:t>Via Media’</w:t>
      </w:r>
      <w:r w:rsidR="00F64DDD">
        <w:rPr>
          <w:rFonts w:ascii="Times New Roman" w:hAnsi="Times New Roman" w:cs="Times New Roman"/>
          <w:sz w:val="24"/>
          <w:szCs w:val="24"/>
        </w:rPr>
        <w:t xml:space="preserve">, </w:t>
      </w:r>
      <w:r w:rsidR="00F64DDD" w:rsidRPr="00F64DDD">
        <w:rPr>
          <w:rFonts w:ascii="Times New Roman" w:hAnsi="Times New Roman" w:cs="Times New Roman"/>
          <w:i/>
          <w:sz w:val="24"/>
          <w:szCs w:val="24"/>
        </w:rPr>
        <w:t>Studies in Philology</w:t>
      </w:r>
      <w:r w:rsidR="00F64DDD">
        <w:rPr>
          <w:rFonts w:ascii="Times New Roman" w:hAnsi="Times New Roman" w:cs="Times New Roman"/>
          <w:sz w:val="24"/>
          <w:szCs w:val="24"/>
        </w:rPr>
        <w:t>, 110, 2: 350 – 381</w:t>
      </w:r>
    </w:p>
    <w:p w:rsidR="00F64DDD" w:rsidRDefault="00F64DDD">
      <w:pPr>
        <w:rPr>
          <w:rFonts w:ascii="Times New Roman" w:hAnsi="Times New Roman" w:cs="Times New Roman"/>
          <w:sz w:val="24"/>
          <w:szCs w:val="24"/>
        </w:rPr>
      </w:pPr>
      <w:r>
        <w:rPr>
          <w:rFonts w:ascii="Times New Roman" w:hAnsi="Times New Roman" w:cs="Times New Roman"/>
          <w:sz w:val="24"/>
          <w:szCs w:val="24"/>
        </w:rPr>
        <w:t xml:space="preserve">Macpherson, C. B. 1962. </w:t>
      </w:r>
      <w:r w:rsidRPr="00F64DDD">
        <w:rPr>
          <w:rFonts w:ascii="Times New Roman" w:hAnsi="Times New Roman" w:cs="Times New Roman"/>
          <w:i/>
          <w:sz w:val="24"/>
          <w:szCs w:val="24"/>
        </w:rPr>
        <w:t>The Political Theory of Possessive Individualism</w:t>
      </w:r>
      <w:r>
        <w:rPr>
          <w:rFonts w:ascii="Times New Roman" w:hAnsi="Times New Roman" w:cs="Times New Roman"/>
          <w:sz w:val="24"/>
          <w:szCs w:val="24"/>
        </w:rPr>
        <w:t xml:space="preserve"> (Oxford: Clarendon Press)</w:t>
      </w:r>
    </w:p>
    <w:p w:rsidR="00F64DDD" w:rsidRDefault="00F64DDD">
      <w:pPr>
        <w:rPr>
          <w:rFonts w:ascii="Times New Roman" w:hAnsi="Times New Roman" w:cs="Times New Roman"/>
          <w:sz w:val="24"/>
          <w:szCs w:val="24"/>
        </w:rPr>
      </w:pPr>
      <w:r>
        <w:rPr>
          <w:rFonts w:ascii="Times New Roman" w:hAnsi="Times New Roman" w:cs="Times New Roman"/>
          <w:sz w:val="24"/>
          <w:szCs w:val="24"/>
        </w:rPr>
        <w:lastRenderedPageBreak/>
        <w:t>Moore, Barrington Jr</w:t>
      </w:r>
      <w:r w:rsidR="00223E94">
        <w:rPr>
          <w:rFonts w:ascii="Times New Roman" w:hAnsi="Times New Roman" w:cs="Times New Roman"/>
          <w:sz w:val="24"/>
          <w:szCs w:val="24"/>
        </w:rPr>
        <w:t>.</w:t>
      </w:r>
      <w:r>
        <w:rPr>
          <w:rFonts w:ascii="Times New Roman" w:hAnsi="Times New Roman" w:cs="Times New Roman"/>
          <w:sz w:val="24"/>
          <w:szCs w:val="24"/>
        </w:rPr>
        <w:t xml:space="preserve"> 1973. </w:t>
      </w:r>
      <w:r w:rsidRPr="00F64DDD">
        <w:rPr>
          <w:rFonts w:ascii="Times New Roman" w:hAnsi="Times New Roman" w:cs="Times New Roman"/>
          <w:i/>
          <w:sz w:val="24"/>
          <w:szCs w:val="24"/>
        </w:rPr>
        <w:t>Social Origins of Dictatorship and Democracy</w:t>
      </w:r>
      <w:r>
        <w:rPr>
          <w:rFonts w:ascii="Times New Roman" w:hAnsi="Times New Roman" w:cs="Times New Roman"/>
          <w:sz w:val="24"/>
          <w:szCs w:val="24"/>
        </w:rPr>
        <w:t>, Paperback edn (Harmondsworth: penguin)</w:t>
      </w:r>
    </w:p>
    <w:p w:rsidR="00016328" w:rsidRDefault="00EE5A22">
      <w:pPr>
        <w:rPr>
          <w:rFonts w:ascii="Times New Roman" w:hAnsi="Times New Roman" w:cs="Times New Roman"/>
          <w:sz w:val="24"/>
          <w:szCs w:val="24"/>
        </w:rPr>
      </w:pPr>
      <w:r>
        <w:rPr>
          <w:rFonts w:ascii="Times New Roman" w:hAnsi="Times New Roman" w:cs="Times New Roman"/>
          <w:sz w:val="24"/>
          <w:szCs w:val="24"/>
        </w:rPr>
        <w:t>Reid, Charles J. Jr</w:t>
      </w:r>
      <w:r w:rsidR="00223E94">
        <w:rPr>
          <w:rFonts w:ascii="Times New Roman" w:hAnsi="Times New Roman" w:cs="Times New Roman"/>
          <w:sz w:val="24"/>
          <w:szCs w:val="24"/>
        </w:rPr>
        <w:t>.</w:t>
      </w:r>
      <w:r>
        <w:rPr>
          <w:rFonts w:ascii="Times New Roman" w:hAnsi="Times New Roman" w:cs="Times New Roman"/>
          <w:sz w:val="24"/>
          <w:szCs w:val="24"/>
        </w:rPr>
        <w:t xml:space="preserve"> 1995. ‘The Seventeenth-Century Revolution in English Land Law’, </w:t>
      </w:r>
      <w:r w:rsidRPr="00EE5A22">
        <w:rPr>
          <w:rFonts w:ascii="Times New Roman" w:hAnsi="Times New Roman" w:cs="Times New Roman"/>
          <w:i/>
          <w:sz w:val="24"/>
          <w:szCs w:val="24"/>
        </w:rPr>
        <w:t>Cleveland State Law Review,</w:t>
      </w:r>
      <w:r>
        <w:rPr>
          <w:rFonts w:ascii="Times New Roman" w:hAnsi="Times New Roman" w:cs="Times New Roman"/>
          <w:sz w:val="24"/>
          <w:szCs w:val="24"/>
        </w:rPr>
        <w:t xml:space="preserve"> 43, 2: 223 – 302</w:t>
      </w:r>
    </w:p>
    <w:p w:rsidR="00EE5A22" w:rsidRDefault="00EE5A22">
      <w:pPr>
        <w:rPr>
          <w:rFonts w:ascii="Times New Roman" w:hAnsi="Times New Roman" w:cs="Times New Roman"/>
          <w:sz w:val="24"/>
          <w:szCs w:val="24"/>
        </w:rPr>
      </w:pPr>
      <w:r>
        <w:rPr>
          <w:rFonts w:ascii="Times New Roman" w:hAnsi="Times New Roman" w:cs="Times New Roman"/>
          <w:sz w:val="24"/>
          <w:szCs w:val="24"/>
        </w:rPr>
        <w:t>Rhatigan, Emma</w:t>
      </w:r>
      <w:r w:rsidR="00223E94">
        <w:rPr>
          <w:rFonts w:ascii="Times New Roman" w:hAnsi="Times New Roman" w:cs="Times New Roman"/>
          <w:sz w:val="24"/>
          <w:szCs w:val="24"/>
        </w:rPr>
        <w:t>.</w:t>
      </w:r>
      <w:r>
        <w:rPr>
          <w:rFonts w:ascii="Times New Roman" w:hAnsi="Times New Roman" w:cs="Times New Roman"/>
          <w:sz w:val="24"/>
          <w:szCs w:val="24"/>
        </w:rPr>
        <w:t xml:space="preserve"> 2011. ‘Donne’s Readership at Lincoln’s Inn and the Doncaster Embassy’, in </w:t>
      </w:r>
      <w:r w:rsidRPr="00EE5A22">
        <w:rPr>
          <w:rFonts w:ascii="Times New Roman" w:hAnsi="Times New Roman" w:cs="Times New Roman"/>
          <w:i/>
          <w:sz w:val="24"/>
          <w:szCs w:val="24"/>
        </w:rPr>
        <w:t>The Oxford Handbook of John Donne</w:t>
      </w:r>
      <w:r>
        <w:rPr>
          <w:rFonts w:ascii="Times New Roman" w:hAnsi="Times New Roman" w:cs="Times New Roman"/>
          <w:sz w:val="24"/>
          <w:szCs w:val="24"/>
        </w:rPr>
        <w:t>, ed. by Jeanne Shami, Dennis Flynn, and M. Thomas Hester (Oxford: Oxford University Press) pp. 576 – 588</w:t>
      </w:r>
    </w:p>
    <w:p w:rsidR="00B12E9C" w:rsidRDefault="00B12E9C">
      <w:pPr>
        <w:rPr>
          <w:rFonts w:ascii="Times New Roman" w:hAnsi="Times New Roman" w:cs="Times New Roman"/>
          <w:sz w:val="24"/>
          <w:szCs w:val="24"/>
        </w:rPr>
      </w:pPr>
      <w:r>
        <w:rPr>
          <w:rFonts w:ascii="Times New Roman" w:hAnsi="Times New Roman" w:cs="Times New Roman"/>
          <w:sz w:val="24"/>
          <w:szCs w:val="24"/>
        </w:rPr>
        <w:t>Said, Edward</w:t>
      </w:r>
      <w:r w:rsidR="00F17279">
        <w:rPr>
          <w:rFonts w:ascii="Times New Roman" w:hAnsi="Times New Roman" w:cs="Times New Roman"/>
          <w:sz w:val="24"/>
          <w:szCs w:val="24"/>
        </w:rPr>
        <w:t xml:space="preserve">. 1982. ‘The Text, the World, the Critic’, in </w:t>
      </w:r>
      <w:r w:rsidR="00F17279" w:rsidRPr="00F17279">
        <w:rPr>
          <w:rFonts w:ascii="Times New Roman" w:hAnsi="Times New Roman" w:cs="Times New Roman"/>
          <w:i/>
          <w:sz w:val="24"/>
          <w:szCs w:val="24"/>
        </w:rPr>
        <w:t>The Horizon of Literature</w:t>
      </w:r>
      <w:r w:rsidR="00F17279">
        <w:rPr>
          <w:rFonts w:ascii="Times New Roman" w:hAnsi="Times New Roman" w:cs="Times New Roman"/>
          <w:sz w:val="24"/>
          <w:szCs w:val="24"/>
        </w:rPr>
        <w:t>, ed. by Paul Hernadi (Nebraska: Nebraska University Press) pp. 125 - 156</w:t>
      </w:r>
    </w:p>
    <w:p w:rsidR="00EE5A22" w:rsidRDefault="00EE5A22">
      <w:pPr>
        <w:rPr>
          <w:rFonts w:ascii="Times New Roman" w:hAnsi="Times New Roman" w:cs="Times New Roman"/>
          <w:sz w:val="24"/>
          <w:szCs w:val="24"/>
        </w:rPr>
      </w:pPr>
      <w:r>
        <w:rPr>
          <w:rFonts w:ascii="Times New Roman" w:hAnsi="Times New Roman" w:cs="Times New Roman"/>
          <w:sz w:val="24"/>
          <w:szCs w:val="24"/>
        </w:rPr>
        <w:t>Scho</w:t>
      </w:r>
      <w:r w:rsidRPr="00FF43E1">
        <w:rPr>
          <w:rFonts w:ascii="Times New Roman" w:hAnsi="Times New Roman" w:cs="Times New Roman"/>
          <w:sz w:val="24"/>
          <w:szCs w:val="24"/>
        </w:rPr>
        <w:t>e</w:t>
      </w:r>
      <w:r>
        <w:rPr>
          <w:rFonts w:ascii="Times New Roman" w:hAnsi="Times New Roman" w:cs="Times New Roman"/>
          <w:sz w:val="24"/>
          <w:szCs w:val="24"/>
        </w:rPr>
        <w:t>nfeldt, Michael</w:t>
      </w:r>
      <w:r w:rsidR="00223E94">
        <w:rPr>
          <w:rFonts w:ascii="Times New Roman" w:hAnsi="Times New Roman" w:cs="Times New Roman"/>
          <w:sz w:val="24"/>
          <w:szCs w:val="24"/>
        </w:rPr>
        <w:t>.</w:t>
      </w:r>
      <w:r>
        <w:rPr>
          <w:rFonts w:ascii="Times New Roman" w:hAnsi="Times New Roman" w:cs="Times New Roman"/>
          <w:sz w:val="24"/>
          <w:szCs w:val="24"/>
        </w:rPr>
        <w:t xml:space="preserve"> </w:t>
      </w:r>
      <w:r w:rsidR="00FF43E1">
        <w:rPr>
          <w:rFonts w:ascii="Times New Roman" w:hAnsi="Times New Roman" w:cs="Times New Roman"/>
          <w:sz w:val="24"/>
          <w:szCs w:val="24"/>
        </w:rPr>
        <w:t xml:space="preserve">1999. </w:t>
      </w:r>
      <w:r w:rsidR="00FF43E1" w:rsidRPr="00FF43E1">
        <w:rPr>
          <w:rFonts w:ascii="Times New Roman" w:hAnsi="Times New Roman" w:cs="Times New Roman"/>
          <w:i/>
          <w:sz w:val="24"/>
          <w:szCs w:val="24"/>
        </w:rPr>
        <w:t>Bodies and Selves in early Modern England</w:t>
      </w:r>
      <w:r w:rsidR="00FF43E1">
        <w:rPr>
          <w:rFonts w:ascii="Times New Roman" w:hAnsi="Times New Roman" w:cs="Times New Roman"/>
          <w:sz w:val="24"/>
          <w:szCs w:val="24"/>
        </w:rPr>
        <w:t xml:space="preserve"> (Cambridge: Cambridge University Press)</w:t>
      </w:r>
    </w:p>
    <w:p w:rsidR="00FF43E1" w:rsidRDefault="00FF43E1">
      <w:pPr>
        <w:rPr>
          <w:rFonts w:ascii="Times New Roman" w:hAnsi="Times New Roman" w:cs="Times New Roman"/>
          <w:sz w:val="24"/>
          <w:szCs w:val="24"/>
        </w:rPr>
      </w:pPr>
      <w:r>
        <w:rPr>
          <w:rFonts w:ascii="Times New Roman" w:hAnsi="Times New Roman" w:cs="Times New Roman"/>
          <w:sz w:val="24"/>
          <w:szCs w:val="24"/>
        </w:rPr>
        <w:t>Stachniewski, John</w:t>
      </w:r>
      <w:r w:rsidR="00223E94">
        <w:rPr>
          <w:rFonts w:ascii="Times New Roman" w:hAnsi="Times New Roman" w:cs="Times New Roman"/>
          <w:sz w:val="24"/>
          <w:szCs w:val="24"/>
        </w:rPr>
        <w:t>.</w:t>
      </w:r>
      <w:r>
        <w:rPr>
          <w:rFonts w:ascii="Times New Roman" w:hAnsi="Times New Roman" w:cs="Times New Roman"/>
          <w:sz w:val="24"/>
          <w:szCs w:val="24"/>
        </w:rPr>
        <w:t xml:space="preserve"> 1981. ‘The Despair of the ‘’Holy Sonnets’’’, </w:t>
      </w:r>
      <w:r w:rsidRPr="00FF43E1">
        <w:rPr>
          <w:rFonts w:ascii="Times New Roman" w:hAnsi="Times New Roman" w:cs="Times New Roman"/>
          <w:i/>
          <w:sz w:val="24"/>
          <w:szCs w:val="24"/>
        </w:rPr>
        <w:t>ELH,</w:t>
      </w:r>
      <w:r>
        <w:rPr>
          <w:rFonts w:ascii="Times New Roman" w:hAnsi="Times New Roman" w:cs="Times New Roman"/>
          <w:sz w:val="24"/>
          <w:szCs w:val="24"/>
        </w:rPr>
        <w:t xml:space="preserve"> 48, 4: 677 – 705</w:t>
      </w:r>
    </w:p>
    <w:p w:rsidR="00FF43E1" w:rsidRDefault="00FF43E1">
      <w:pPr>
        <w:rPr>
          <w:rFonts w:ascii="Times New Roman" w:hAnsi="Times New Roman" w:cs="Times New Roman"/>
          <w:sz w:val="24"/>
          <w:szCs w:val="24"/>
        </w:rPr>
      </w:pPr>
      <w:r>
        <w:rPr>
          <w:rFonts w:ascii="Times New Roman" w:hAnsi="Times New Roman" w:cs="Times New Roman"/>
          <w:sz w:val="24"/>
          <w:szCs w:val="24"/>
        </w:rPr>
        <w:t>Sudnow, David</w:t>
      </w:r>
      <w:r w:rsidR="00223E94">
        <w:rPr>
          <w:rFonts w:ascii="Times New Roman" w:hAnsi="Times New Roman" w:cs="Times New Roman"/>
          <w:sz w:val="24"/>
          <w:szCs w:val="24"/>
        </w:rPr>
        <w:t>.</w:t>
      </w:r>
      <w:r>
        <w:rPr>
          <w:rFonts w:ascii="Times New Roman" w:hAnsi="Times New Roman" w:cs="Times New Roman"/>
          <w:sz w:val="24"/>
          <w:szCs w:val="24"/>
        </w:rPr>
        <w:t xml:space="preserve"> 1967. </w:t>
      </w:r>
      <w:r w:rsidRPr="00FF43E1">
        <w:rPr>
          <w:rFonts w:ascii="Times New Roman" w:hAnsi="Times New Roman" w:cs="Times New Roman"/>
          <w:i/>
          <w:sz w:val="24"/>
          <w:szCs w:val="24"/>
        </w:rPr>
        <w:t>Passing on: The Social Organisation of Dying</w:t>
      </w:r>
      <w:r>
        <w:rPr>
          <w:rFonts w:ascii="Times New Roman" w:hAnsi="Times New Roman" w:cs="Times New Roman"/>
          <w:sz w:val="24"/>
          <w:szCs w:val="24"/>
        </w:rPr>
        <w:t>, (Englewood Cliffs, New Jersey: Prentice Hall)</w:t>
      </w:r>
    </w:p>
    <w:p w:rsidR="00FF43E1" w:rsidRDefault="00FF43E1">
      <w:pPr>
        <w:rPr>
          <w:rFonts w:ascii="Times New Roman" w:hAnsi="Times New Roman" w:cs="Times New Roman"/>
          <w:sz w:val="24"/>
          <w:szCs w:val="24"/>
        </w:rPr>
      </w:pPr>
      <w:r>
        <w:rPr>
          <w:rFonts w:ascii="Times New Roman" w:hAnsi="Times New Roman" w:cs="Times New Roman"/>
          <w:sz w:val="24"/>
          <w:szCs w:val="24"/>
        </w:rPr>
        <w:t>Vendler, Helen</w:t>
      </w:r>
      <w:r w:rsidR="00223E94">
        <w:rPr>
          <w:rFonts w:ascii="Times New Roman" w:hAnsi="Times New Roman" w:cs="Times New Roman"/>
          <w:sz w:val="24"/>
          <w:szCs w:val="24"/>
        </w:rPr>
        <w:t>.</w:t>
      </w:r>
      <w:r>
        <w:rPr>
          <w:rFonts w:ascii="Times New Roman" w:hAnsi="Times New Roman" w:cs="Times New Roman"/>
          <w:sz w:val="24"/>
          <w:szCs w:val="24"/>
        </w:rPr>
        <w:t xml:space="preserve"> 1997. The Art of Shakespeare’s Sonnets (Cambridge, Mass. and London: Harvard University Press)</w:t>
      </w:r>
    </w:p>
    <w:p w:rsidR="00FF43E1" w:rsidRDefault="00FF43E1">
      <w:pPr>
        <w:rPr>
          <w:rFonts w:ascii="Times New Roman" w:hAnsi="Times New Roman" w:cs="Times New Roman"/>
          <w:sz w:val="24"/>
          <w:szCs w:val="24"/>
        </w:rPr>
      </w:pPr>
      <w:r>
        <w:rPr>
          <w:rFonts w:ascii="Times New Roman" w:hAnsi="Times New Roman" w:cs="Times New Roman"/>
          <w:sz w:val="24"/>
          <w:szCs w:val="24"/>
        </w:rPr>
        <w:t>Young</w:t>
      </w:r>
      <w:r w:rsidR="00B92066">
        <w:rPr>
          <w:rFonts w:ascii="Times New Roman" w:hAnsi="Times New Roman" w:cs="Times New Roman"/>
          <w:sz w:val="24"/>
          <w:szCs w:val="24"/>
        </w:rPr>
        <w:t xml:space="preserve">, R. V. 2011. ‘The Religious Sonnet’, in </w:t>
      </w:r>
      <w:r w:rsidR="00B92066" w:rsidRPr="00EE5A22">
        <w:rPr>
          <w:rFonts w:ascii="Times New Roman" w:hAnsi="Times New Roman" w:cs="Times New Roman"/>
          <w:i/>
          <w:sz w:val="24"/>
          <w:szCs w:val="24"/>
        </w:rPr>
        <w:t>The Oxford Handbook of John Donne</w:t>
      </w:r>
      <w:r w:rsidR="00B92066">
        <w:rPr>
          <w:rFonts w:ascii="Times New Roman" w:hAnsi="Times New Roman" w:cs="Times New Roman"/>
          <w:sz w:val="24"/>
          <w:szCs w:val="24"/>
        </w:rPr>
        <w:t xml:space="preserve">, ed. by Jeanne Shami, Dennis Flynn, and M. Thomas Hester (Oxford: Oxford University Press) pp. </w:t>
      </w:r>
      <w:r w:rsidR="00223E94">
        <w:rPr>
          <w:rFonts w:ascii="Times New Roman" w:hAnsi="Times New Roman" w:cs="Times New Roman"/>
          <w:sz w:val="24"/>
          <w:szCs w:val="24"/>
        </w:rPr>
        <w:t>218</w:t>
      </w:r>
      <w:r w:rsidR="00B92066">
        <w:rPr>
          <w:rFonts w:ascii="Times New Roman" w:hAnsi="Times New Roman" w:cs="Times New Roman"/>
          <w:sz w:val="24"/>
          <w:szCs w:val="24"/>
        </w:rPr>
        <w:t xml:space="preserve"> – </w:t>
      </w:r>
      <w:r w:rsidR="00223E94">
        <w:rPr>
          <w:rFonts w:ascii="Times New Roman" w:hAnsi="Times New Roman" w:cs="Times New Roman"/>
          <w:sz w:val="24"/>
          <w:szCs w:val="24"/>
        </w:rPr>
        <w:t>232</w:t>
      </w:r>
    </w:p>
    <w:p w:rsidR="00B92066" w:rsidRDefault="00B92066">
      <w:pPr>
        <w:rPr>
          <w:rFonts w:ascii="Times New Roman" w:hAnsi="Times New Roman" w:cs="Times New Roman"/>
          <w:sz w:val="24"/>
          <w:szCs w:val="24"/>
        </w:rPr>
      </w:pPr>
      <w:r w:rsidRPr="00B92066">
        <w:rPr>
          <w:rFonts w:ascii="Times New Roman" w:hAnsi="Times New Roman" w:cs="Times New Roman"/>
          <w:sz w:val="28"/>
          <w:szCs w:val="28"/>
          <w:u w:val="single"/>
        </w:rPr>
        <w:t>Statutes</w:t>
      </w:r>
      <w:r>
        <w:rPr>
          <w:rFonts w:ascii="Times New Roman" w:hAnsi="Times New Roman" w:cs="Times New Roman"/>
          <w:sz w:val="28"/>
          <w:szCs w:val="28"/>
          <w:u w:val="single"/>
        </w:rPr>
        <w:t xml:space="preserve"> </w:t>
      </w:r>
    </w:p>
    <w:p w:rsidR="00B92066" w:rsidRDefault="00B92066">
      <w:r>
        <w:rPr>
          <w:rFonts w:ascii="Times New Roman" w:hAnsi="Times New Roman" w:cs="Times New Roman"/>
          <w:sz w:val="24"/>
          <w:szCs w:val="24"/>
        </w:rPr>
        <w:t xml:space="preserve">The Statute of Wills, </w:t>
      </w:r>
      <w:r w:rsidRPr="00B92066">
        <w:rPr>
          <w:rFonts w:ascii="Times New Roman" w:hAnsi="Times New Roman" w:cs="Times New Roman"/>
          <w:sz w:val="24"/>
          <w:szCs w:val="24"/>
        </w:rPr>
        <w:t>Hen. 8, 32 c.1</w:t>
      </w:r>
    </w:p>
    <w:p w:rsidR="00B92066" w:rsidRDefault="00B92066">
      <w:pPr>
        <w:rPr>
          <w:rFonts w:ascii="Times New Roman" w:hAnsi="Times New Roman" w:cs="Times New Roman"/>
          <w:sz w:val="24"/>
          <w:szCs w:val="24"/>
        </w:rPr>
      </w:pPr>
      <w:r>
        <w:rPr>
          <w:rFonts w:ascii="Times New Roman" w:hAnsi="Times New Roman" w:cs="Times New Roman"/>
          <w:sz w:val="24"/>
          <w:szCs w:val="24"/>
        </w:rPr>
        <w:t xml:space="preserve">The Act to Abolish the Star Chamber, </w:t>
      </w:r>
      <w:r w:rsidRPr="00B92066">
        <w:rPr>
          <w:rFonts w:ascii="Times New Roman" w:hAnsi="Times New Roman" w:cs="Times New Roman"/>
          <w:sz w:val="24"/>
          <w:szCs w:val="24"/>
        </w:rPr>
        <w:t xml:space="preserve">Car. I, 16 </w:t>
      </w:r>
      <w:r w:rsidR="00572006">
        <w:rPr>
          <w:rFonts w:ascii="Times New Roman" w:hAnsi="Times New Roman" w:cs="Times New Roman"/>
          <w:sz w:val="24"/>
          <w:szCs w:val="24"/>
        </w:rPr>
        <w:t>c</w:t>
      </w:r>
      <w:r w:rsidRPr="00B92066">
        <w:rPr>
          <w:rFonts w:ascii="Times New Roman" w:hAnsi="Times New Roman" w:cs="Times New Roman"/>
          <w:sz w:val="24"/>
          <w:szCs w:val="24"/>
        </w:rPr>
        <w:t>. 10</w:t>
      </w:r>
    </w:p>
    <w:p w:rsidR="00B92066" w:rsidRDefault="00B92066">
      <w:pPr>
        <w:rPr>
          <w:rFonts w:ascii="Times New Roman" w:hAnsi="Times New Roman" w:cs="Times New Roman"/>
          <w:sz w:val="24"/>
          <w:szCs w:val="24"/>
        </w:rPr>
      </w:pPr>
      <w:r>
        <w:rPr>
          <w:rFonts w:ascii="Times New Roman" w:hAnsi="Times New Roman" w:cs="Times New Roman"/>
          <w:sz w:val="24"/>
          <w:szCs w:val="24"/>
        </w:rPr>
        <w:t xml:space="preserve">The Act for the Prevention of Frauds and Perjuries, </w:t>
      </w:r>
      <w:r w:rsidRPr="00B92066">
        <w:rPr>
          <w:rFonts w:ascii="Times New Roman" w:hAnsi="Times New Roman" w:cs="Times New Roman"/>
          <w:sz w:val="24"/>
          <w:szCs w:val="24"/>
        </w:rPr>
        <w:t xml:space="preserve">Car. II, 29 </w:t>
      </w:r>
      <w:r w:rsidR="00572006">
        <w:rPr>
          <w:rFonts w:ascii="Times New Roman" w:hAnsi="Times New Roman" w:cs="Times New Roman"/>
          <w:sz w:val="24"/>
          <w:szCs w:val="24"/>
        </w:rPr>
        <w:t>c</w:t>
      </w:r>
      <w:r w:rsidRPr="00B92066">
        <w:rPr>
          <w:rFonts w:ascii="Times New Roman" w:hAnsi="Times New Roman" w:cs="Times New Roman"/>
          <w:sz w:val="24"/>
          <w:szCs w:val="24"/>
        </w:rPr>
        <w:t>. 3</w:t>
      </w:r>
    </w:p>
    <w:p w:rsidR="00B92066" w:rsidRDefault="00B92066">
      <w:pPr>
        <w:rPr>
          <w:rFonts w:ascii="Times New Roman" w:hAnsi="Times New Roman" w:cs="Times New Roman"/>
          <w:sz w:val="24"/>
          <w:szCs w:val="24"/>
        </w:rPr>
      </w:pPr>
      <w:r>
        <w:rPr>
          <w:rFonts w:ascii="Times New Roman" w:hAnsi="Times New Roman" w:cs="Times New Roman"/>
          <w:sz w:val="24"/>
          <w:szCs w:val="24"/>
        </w:rPr>
        <w:t xml:space="preserve">The Administration of Estates Act, </w:t>
      </w:r>
      <w:r w:rsidRPr="00B92066">
        <w:rPr>
          <w:rFonts w:ascii="Times New Roman" w:hAnsi="Times New Roman" w:cs="Times New Roman"/>
          <w:sz w:val="24"/>
          <w:szCs w:val="24"/>
        </w:rPr>
        <w:t>Geo. 5, 15 &amp; 16 c. 23</w:t>
      </w:r>
    </w:p>
    <w:p w:rsidR="00B92066" w:rsidRPr="00B92066" w:rsidRDefault="00B92066">
      <w:pPr>
        <w:rPr>
          <w:rFonts w:ascii="Times New Roman" w:hAnsi="Times New Roman" w:cs="Times New Roman"/>
          <w:sz w:val="24"/>
          <w:szCs w:val="24"/>
        </w:rPr>
      </w:pPr>
    </w:p>
    <w:p w:rsidR="00B92066" w:rsidRPr="00B92066" w:rsidRDefault="00B92066">
      <w:pPr>
        <w:rPr>
          <w:rFonts w:ascii="Times New Roman" w:hAnsi="Times New Roman" w:cs="Times New Roman"/>
          <w:sz w:val="24"/>
          <w:szCs w:val="24"/>
        </w:rPr>
      </w:pPr>
      <w:r>
        <w:rPr>
          <w:rFonts w:ascii="Times New Roman" w:hAnsi="Times New Roman" w:cs="Times New Roman"/>
          <w:sz w:val="24"/>
          <w:szCs w:val="24"/>
        </w:rPr>
        <w:t xml:space="preserve"> </w:t>
      </w:r>
    </w:p>
    <w:sectPr w:rsidR="00B92066" w:rsidRPr="00B920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3584" w:rsidRDefault="009C3584" w:rsidP="00A206D7">
      <w:pPr>
        <w:spacing w:after="0" w:line="240" w:lineRule="auto"/>
      </w:pPr>
      <w:r>
        <w:separator/>
      </w:r>
    </w:p>
  </w:endnote>
  <w:endnote w:type="continuationSeparator" w:id="0">
    <w:p w:rsidR="009C3584" w:rsidRDefault="009C3584" w:rsidP="00A20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3584" w:rsidRDefault="009C3584" w:rsidP="00A206D7">
      <w:pPr>
        <w:spacing w:after="0" w:line="240" w:lineRule="auto"/>
      </w:pPr>
      <w:r>
        <w:separator/>
      </w:r>
    </w:p>
  </w:footnote>
  <w:footnote w:type="continuationSeparator" w:id="0">
    <w:p w:rsidR="009C3584" w:rsidRDefault="009C3584" w:rsidP="00A206D7">
      <w:pPr>
        <w:spacing w:after="0" w:line="240" w:lineRule="auto"/>
      </w:pPr>
      <w:r>
        <w:continuationSeparator/>
      </w:r>
    </w:p>
  </w:footnote>
  <w:footnote w:id="1">
    <w:p w:rsidR="00B12E9C" w:rsidRDefault="00B12E9C">
      <w:pPr>
        <w:pStyle w:val="FootnoteText"/>
      </w:pPr>
      <w:r>
        <w:rPr>
          <w:rStyle w:val="FootnoteReference"/>
        </w:rPr>
        <w:footnoteRef/>
      </w:r>
      <w:r>
        <w:t xml:space="preserve"> See for example, Edward Said, ‘The Text, the World, the Critic’ in </w:t>
      </w:r>
      <w:r w:rsidRPr="00B12E9C">
        <w:rPr>
          <w:i/>
        </w:rPr>
        <w:t>The Horizon of Literature</w:t>
      </w:r>
      <w:r>
        <w:t>, ed. by Paul Hernadi (Nebraska: University of Nebraska Press 1982), pp. 125 – 156.</w:t>
      </w:r>
    </w:p>
  </w:footnote>
  <w:footnote w:id="2">
    <w:p w:rsidR="00A206D7" w:rsidRDefault="00A206D7">
      <w:pPr>
        <w:pStyle w:val="FootnoteText"/>
      </w:pPr>
      <w:r>
        <w:rPr>
          <w:rStyle w:val="FootnoteReference"/>
        </w:rPr>
        <w:footnoteRef/>
      </w:r>
      <w:r>
        <w:t xml:space="preserve"> Charles Forceville, ‘(A)symmetry in Metaphor: The Importance of Extended Context’, </w:t>
      </w:r>
      <w:r w:rsidRPr="00A206D7">
        <w:rPr>
          <w:i/>
        </w:rPr>
        <w:t>Poetics Today</w:t>
      </w:r>
      <w:r>
        <w:t>, 16 (1995), 677 – 708</w:t>
      </w:r>
    </w:p>
  </w:footnote>
  <w:footnote w:id="3">
    <w:p w:rsidR="00A206D7" w:rsidRDefault="00A206D7">
      <w:pPr>
        <w:pStyle w:val="FootnoteText"/>
      </w:pPr>
      <w:r>
        <w:rPr>
          <w:rStyle w:val="FootnoteReference"/>
        </w:rPr>
        <w:footnoteRef/>
      </w:r>
      <w:r w:rsidR="00372E7A">
        <w:t xml:space="preserve"> ‘Sense is both prospective and retrospective; it depends on what has passed and what is yet to come.’ </w:t>
      </w:r>
      <w:r>
        <w:t xml:space="preserve"> David Sudnow, </w:t>
      </w:r>
      <w:r w:rsidRPr="00A206D7">
        <w:rPr>
          <w:i/>
        </w:rPr>
        <w:t>Passing on: The Social Organisation of Dying</w:t>
      </w:r>
      <w:r>
        <w:t xml:space="preserve"> (New Jersey: Prentice Hall 1967), p. 84</w:t>
      </w:r>
    </w:p>
  </w:footnote>
  <w:footnote w:id="4">
    <w:p w:rsidR="00372E7A" w:rsidRDefault="00372E7A">
      <w:pPr>
        <w:pStyle w:val="FootnoteText"/>
      </w:pPr>
      <w:r>
        <w:rPr>
          <w:rStyle w:val="FootnoteReference"/>
        </w:rPr>
        <w:footnoteRef/>
      </w:r>
      <w:r>
        <w:t xml:space="preserve"> There is always a difficulty with this question. Any paraphrase is to some extent a travesty.</w:t>
      </w:r>
    </w:p>
  </w:footnote>
  <w:footnote w:id="5">
    <w:p w:rsidR="008B6CAF" w:rsidRDefault="008B6CAF">
      <w:pPr>
        <w:pStyle w:val="FootnoteText"/>
      </w:pPr>
      <w:r>
        <w:rPr>
          <w:rStyle w:val="FootnoteReference"/>
        </w:rPr>
        <w:footnoteRef/>
      </w:r>
      <w:r>
        <w:t xml:space="preserve"> Michael C. Schoenfeldt, </w:t>
      </w:r>
      <w:r w:rsidRPr="008B6CAF">
        <w:rPr>
          <w:i/>
        </w:rPr>
        <w:t>Bodies and Selves in Early Modern England</w:t>
      </w:r>
      <w:r>
        <w:t xml:space="preserve"> (Cambridge: Cambridge university Press 1999), pp. 2 – 3.</w:t>
      </w:r>
    </w:p>
  </w:footnote>
  <w:footnote w:id="6">
    <w:p w:rsidR="008B6CAF" w:rsidRDefault="008B6CAF">
      <w:pPr>
        <w:pStyle w:val="FootnoteText"/>
      </w:pPr>
      <w:r>
        <w:rPr>
          <w:rStyle w:val="FootnoteReference"/>
        </w:rPr>
        <w:footnoteRef/>
      </w:r>
      <w:r>
        <w:t xml:space="preserve"> Schoenfeldt quotes Burton as saying, ‘Such is the variety of palats, humors, and temperatures, let every man observe and be a law unto himself’. Schoenfeldt p. 21</w:t>
      </w:r>
      <w:r w:rsidR="00A26F7C">
        <w:t>.</w:t>
      </w:r>
    </w:p>
  </w:footnote>
  <w:footnote w:id="7">
    <w:p w:rsidR="008B6CAF" w:rsidRDefault="008B6CAF">
      <w:pPr>
        <w:pStyle w:val="FootnoteText"/>
      </w:pPr>
      <w:r>
        <w:rPr>
          <w:rStyle w:val="FootnoteReference"/>
        </w:rPr>
        <w:footnoteRef/>
      </w:r>
      <w:r>
        <w:t xml:space="preserve"> </w:t>
      </w:r>
      <w:r w:rsidR="00973D5D" w:rsidRPr="00973D5D">
        <w:rPr>
          <w:i/>
        </w:rPr>
        <w:t>Shakespeare’s Sonnets</w:t>
      </w:r>
      <w:r w:rsidR="00973D5D">
        <w:t>, ed. by Stephen Booth (New haven and London: Yale University Press 1977) all references are to the 2000 paperback edition. p. 207</w:t>
      </w:r>
      <w:r w:rsidR="00A26F7C">
        <w:t>.</w:t>
      </w:r>
    </w:p>
  </w:footnote>
  <w:footnote w:id="8">
    <w:p w:rsidR="00973D5D" w:rsidRDefault="00973D5D">
      <w:pPr>
        <w:pStyle w:val="FootnoteText"/>
      </w:pPr>
      <w:r>
        <w:rPr>
          <w:rStyle w:val="FootnoteReference"/>
        </w:rPr>
        <w:footnoteRef/>
      </w:r>
      <w:r>
        <w:t xml:space="preserve"> Helen Vendler, </w:t>
      </w:r>
      <w:r w:rsidRPr="00973D5D">
        <w:rPr>
          <w:i/>
        </w:rPr>
        <w:t>The Art of Shakespeare’s Sonnets</w:t>
      </w:r>
      <w:r>
        <w:t xml:space="preserve"> (Cambridge, Mass. and London: Harvard University Press 1997) p. 2</w:t>
      </w:r>
      <w:r w:rsidR="00A26F7C">
        <w:t>.</w:t>
      </w:r>
    </w:p>
  </w:footnote>
  <w:footnote w:id="9">
    <w:p w:rsidR="00A26F7C" w:rsidRDefault="00A26F7C">
      <w:pPr>
        <w:pStyle w:val="FootnoteText"/>
      </w:pPr>
      <w:r>
        <w:rPr>
          <w:rStyle w:val="FootnoteReference"/>
        </w:rPr>
        <w:footnoteRef/>
      </w:r>
      <w:r>
        <w:t xml:space="preserve"> Terence Hawkes, Metaphor (London: Methuen 1972) p. 18. Vendler’s approach challenges this view. See note </w:t>
      </w:r>
      <w:r w:rsidR="00B04B20">
        <w:t>7</w:t>
      </w:r>
      <w:r>
        <w:t xml:space="preserve"> above.</w:t>
      </w:r>
    </w:p>
  </w:footnote>
  <w:footnote w:id="10">
    <w:p w:rsidR="009D3162" w:rsidRDefault="009D3162">
      <w:pPr>
        <w:pStyle w:val="FootnoteText"/>
      </w:pPr>
      <w:r>
        <w:rPr>
          <w:rStyle w:val="FootnoteReference"/>
        </w:rPr>
        <w:footnoteRef/>
      </w:r>
      <w:r>
        <w:t xml:space="preserve"> For example, William Empson, </w:t>
      </w:r>
      <w:r w:rsidRPr="009D3162">
        <w:rPr>
          <w:i/>
        </w:rPr>
        <w:t>Some Versions of Pastoral</w:t>
      </w:r>
      <w:r>
        <w:t xml:space="preserve"> (Harmondsworth: Peregrine Books, 1966), pp. 77 – 79.</w:t>
      </w:r>
    </w:p>
  </w:footnote>
  <w:footnote w:id="11">
    <w:p w:rsidR="005F1087" w:rsidRDefault="005F1087">
      <w:pPr>
        <w:pStyle w:val="FootnoteText"/>
      </w:pPr>
      <w:r>
        <w:rPr>
          <w:rStyle w:val="FootnoteReference"/>
        </w:rPr>
        <w:footnoteRef/>
      </w:r>
      <w:r>
        <w:t xml:space="preserve"> Veronica Forrest-Thomson, </w:t>
      </w:r>
      <w:r w:rsidRPr="005F1087">
        <w:rPr>
          <w:i/>
        </w:rPr>
        <w:t>Poetic Artifice</w:t>
      </w:r>
      <w:r>
        <w:t xml:space="preserve">, ed. by Gareth Farmer, (Bristol: Shearsman Books, 2016), pp. 41 </w:t>
      </w:r>
      <w:r w:rsidR="00442D5C">
        <w:t>–</w:t>
      </w:r>
      <w:r>
        <w:t xml:space="preserve"> 57</w:t>
      </w:r>
      <w:r w:rsidR="008E097E">
        <w:t xml:space="preserve"> (</w:t>
      </w:r>
      <w:r w:rsidR="00442D5C">
        <w:t>p. 51</w:t>
      </w:r>
      <w:r w:rsidR="008E097E">
        <w:t>).</w:t>
      </w:r>
    </w:p>
  </w:footnote>
  <w:footnote w:id="12">
    <w:p w:rsidR="00E2357B" w:rsidRDefault="00E2357B">
      <w:pPr>
        <w:pStyle w:val="FootnoteText"/>
      </w:pPr>
      <w:r>
        <w:rPr>
          <w:rStyle w:val="FootnoteReference"/>
        </w:rPr>
        <w:footnoteRef/>
      </w:r>
      <w:r>
        <w:t xml:space="preserve"> This date refers to the date of first publication.</w:t>
      </w:r>
    </w:p>
  </w:footnote>
  <w:footnote w:id="13">
    <w:p w:rsidR="00442D5C" w:rsidRDefault="00442D5C">
      <w:pPr>
        <w:pStyle w:val="FootnoteText"/>
      </w:pPr>
      <w:r>
        <w:rPr>
          <w:rStyle w:val="FootnoteReference"/>
        </w:rPr>
        <w:footnoteRef/>
      </w:r>
      <w:r>
        <w:t xml:space="preserve"> Herbert Grierson, </w:t>
      </w:r>
      <w:r w:rsidRPr="00442D5C">
        <w:rPr>
          <w:i/>
        </w:rPr>
        <w:t>Metaphysical Lyrics and Poems of the Seventeenth Century: Donne to Butler</w:t>
      </w:r>
      <w:r>
        <w:t xml:space="preserve"> (Oxford: </w:t>
      </w:r>
      <w:r w:rsidR="001F6FDF">
        <w:t>Clarendon Press</w:t>
      </w:r>
      <w:r>
        <w:t>, 1921)</w:t>
      </w:r>
    </w:p>
  </w:footnote>
  <w:footnote w:id="14">
    <w:p w:rsidR="00442D5C" w:rsidRDefault="00442D5C">
      <w:pPr>
        <w:pStyle w:val="FootnoteText"/>
      </w:pPr>
      <w:r>
        <w:rPr>
          <w:rStyle w:val="FootnoteReference"/>
        </w:rPr>
        <w:footnoteRef/>
      </w:r>
      <w:r>
        <w:t xml:space="preserve"> Helen Gardner, </w:t>
      </w:r>
      <w:r w:rsidRPr="008E097E">
        <w:rPr>
          <w:i/>
        </w:rPr>
        <w:t>John Donne</w:t>
      </w:r>
      <w:r w:rsidR="008E097E">
        <w:rPr>
          <w:i/>
        </w:rPr>
        <w:t>:</w:t>
      </w:r>
      <w:r w:rsidRPr="008E097E">
        <w:rPr>
          <w:i/>
        </w:rPr>
        <w:t xml:space="preserve"> The Divine Poems</w:t>
      </w:r>
      <w:r w:rsidR="008E097E">
        <w:t xml:space="preserve"> (Oxford: The Clarendon Press, 1952)</w:t>
      </w:r>
    </w:p>
  </w:footnote>
  <w:footnote w:id="15">
    <w:p w:rsidR="008E097E" w:rsidRDefault="008E097E">
      <w:pPr>
        <w:pStyle w:val="FootnoteText"/>
      </w:pPr>
      <w:r>
        <w:rPr>
          <w:rStyle w:val="FootnoteReference"/>
        </w:rPr>
        <w:footnoteRef/>
      </w:r>
      <w:r>
        <w:t xml:space="preserve"> R. V. Young, ‘The Religious Sonnet’, in </w:t>
      </w:r>
      <w:r w:rsidRPr="008E097E">
        <w:rPr>
          <w:i/>
        </w:rPr>
        <w:t>The Oxford handbook of John Donne</w:t>
      </w:r>
      <w:r>
        <w:t>, ed. by Jeanne Shami, Dennis Flynn, and M. Thomas Hester (Oxford: Oxford University Press, 2011), pp. 218 – 232 (p. 226).</w:t>
      </w:r>
    </w:p>
  </w:footnote>
  <w:footnote w:id="16">
    <w:p w:rsidR="008E097E" w:rsidRDefault="008E097E">
      <w:pPr>
        <w:pStyle w:val="FootnoteText"/>
      </w:pPr>
      <w:r>
        <w:rPr>
          <w:rStyle w:val="FootnoteReference"/>
        </w:rPr>
        <w:footnoteRef/>
      </w:r>
      <w:r>
        <w:t xml:space="preserve"> This method of identification of the religious sonnets is adopted by Young and avoids any confusion.</w:t>
      </w:r>
    </w:p>
  </w:footnote>
  <w:footnote w:id="17">
    <w:p w:rsidR="00E2357B" w:rsidRDefault="00E2357B">
      <w:pPr>
        <w:pStyle w:val="FootnoteText"/>
      </w:pPr>
      <w:r>
        <w:rPr>
          <w:rStyle w:val="FootnoteReference"/>
        </w:rPr>
        <w:footnoteRef/>
      </w:r>
      <w:r>
        <w:t xml:space="preserve"> </w:t>
      </w:r>
      <w:r w:rsidRPr="00E2357B">
        <w:rPr>
          <w:i/>
        </w:rPr>
        <w:t>John Donne’s Poetry</w:t>
      </w:r>
      <w:r>
        <w:rPr>
          <w:i/>
        </w:rPr>
        <w:t>,</w:t>
      </w:r>
      <w:r>
        <w:t xml:space="preserve"> ed. by Arthur L. Clements, 2</w:t>
      </w:r>
      <w:r w:rsidRPr="00E2357B">
        <w:rPr>
          <w:vertAlign w:val="superscript"/>
        </w:rPr>
        <w:t>nd</w:t>
      </w:r>
      <w:r>
        <w:t xml:space="preserve"> edn (New York: Norton, 1966), note 2, p.112.</w:t>
      </w:r>
    </w:p>
  </w:footnote>
  <w:footnote w:id="18">
    <w:p w:rsidR="00B6487D" w:rsidRDefault="00B6487D">
      <w:pPr>
        <w:pStyle w:val="FootnoteText"/>
      </w:pPr>
      <w:r>
        <w:rPr>
          <w:rStyle w:val="FootnoteReference"/>
        </w:rPr>
        <w:footnoteRef/>
      </w:r>
      <w:r>
        <w:t xml:space="preserve"> Hen. 8, 32 c.1</w:t>
      </w:r>
    </w:p>
  </w:footnote>
  <w:footnote w:id="19">
    <w:p w:rsidR="00B6487D" w:rsidRDefault="00B6487D">
      <w:pPr>
        <w:pStyle w:val="FootnoteText"/>
      </w:pPr>
      <w:r>
        <w:rPr>
          <w:rStyle w:val="FootnoteReference"/>
        </w:rPr>
        <w:footnoteRef/>
      </w:r>
      <w:r>
        <w:t xml:space="preserve"> Geo. 5, 15 &amp; 16 c. 23</w:t>
      </w:r>
    </w:p>
  </w:footnote>
  <w:footnote w:id="20">
    <w:p w:rsidR="00B6487D" w:rsidRDefault="00B6487D">
      <w:pPr>
        <w:pStyle w:val="FootnoteText"/>
      </w:pPr>
      <w:r>
        <w:rPr>
          <w:rStyle w:val="FootnoteReference"/>
        </w:rPr>
        <w:footnoteRef/>
      </w:r>
      <w:r>
        <w:t xml:space="preserve"> Charles J. Reid Jr., ‘The Seventeenth Century Revolution in English Land Law’, </w:t>
      </w:r>
      <w:r w:rsidRPr="00B6487D">
        <w:rPr>
          <w:i/>
        </w:rPr>
        <w:t>Cleveland State Law Review,</w:t>
      </w:r>
      <w:r>
        <w:t xml:space="preserve"> 43, 2 (1995) pp. 223 – 302 (p.258).</w:t>
      </w:r>
    </w:p>
  </w:footnote>
  <w:footnote w:id="21">
    <w:p w:rsidR="00B6487D" w:rsidRDefault="00B6487D">
      <w:pPr>
        <w:pStyle w:val="FootnoteText"/>
      </w:pPr>
      <w:r>
        <w:rPr>
          <w:rStyle w:val="FootnoteReference"/>
        </w:rPr>
        <w:footnoteRef/>
      </w:r>
      <w:r>
        <w:t xml:space="preserve"> Car</w:t>
      </w:r>
      <w:r w:rsidR="00A12A34">
        <w:t>.</w:t>
      </w:r>
      <w:r>
        <w:t xml:space="preserve"> </w:t>
      </w:r>
      <w:r w:rsidR="00A12A34">
        <w:t xml:space="preserve">I, 16 </w:t>
      </w:r>
      <w:r w:rsidR="00F17279">
        <w:t>c</w:t>
      </w:r>
      <w:r w:rsidR="00A12A34">
        <w:t>. 10</w:t>
      </w:r>
    </w:p>
  </w:footnote>
  <w:footnote w:id="22">
    <w:p w:rsidR="00A12A34" w:rsidRDefault="00A12A34">
      <w:pPr>
        <w:pStyle w:val="FootnoteText"/>
      </w:pPr>
      <w:r>
        <w:rPr>
          <w:rStyle w:val="FootnoteReference"/>
        </w:rPr>
        <w:footnoteRef/>
      </w:r>
      <w:r>
        <w:t xml:space="preserve"> Car. II, 29 </w:t>
      </w:r>
      <w:r w:rsidR="00F17279">
        <w:t>c</w:t>
      </w:r>
      <w:r>
        <w:t>. 3</w:t>
      </w:r>
    </w:p>
  </w:footnote>
  <w:footnote w:id="23">
    <w:p w:rsidR="00A12A34" w:rsidRDefault="00A12A34">
      <w:pPr>
        <w:pStyle w:val="FootnoteText"/>
      </w:pPr>
      <w:r>
        <w:rPr>
          <w:rStyle w:val="FootnoteReference"/>
        </w:rPr>
        <w:footnoteRef/>
      </w:r>
      <w:r>
        <w:t xml:space="preserve"> Barrington Moore Jr., </w:t>
      </w:r>
      <w:r w:rsidRPr="00A12A34">
        <w:rPr>
          <w:i/>
        </w:rPr>
        <w:t>Social Origins of Dictatorship and Democracy</w:t>
      </w:r>
      <w:r>
        <w:t xml:space="preserve"> (Harmondsworth: Penguin Books, 1966), P. 19</w:t>
      </w:r>
    </w:p>
  </w:footnote>
  <w:footnote w:id="24">
    <w:p w:rsidR="00A12A34" w:rsidRDefault="00A12A34">
      <w:pPr>
        <w:pStyle w:val="FootnoteText"/>
      </w:pPr>
      <w:r>
        <w:rPr>
          <w:rStyle w:val="FootnoteReference"/>
        </w:rPr>
        <w:footnoteRef/>
      </w:r>
      <w:r>
        <w:t xml:space="preserve"> C. B. Macpherson, </w:t>
      </w:r>
      <w:r w:rsidRPr="00A12A34">
        <w:rPr>
          <w:i/>
        </w:rPr>
        <w:t>The Political Theory of Possessive Individualism</w:t>
      </w:r>
      <w:r>
        <w:t xml:space="preserve"> (Oxford: The Clarendon Press, 1962), p. 3.</w:t>
      </w:r>
    </w:p>
  </w:footnote>
  <w:footnote w:id="25">
    <w:p w:rsidR="00691FF4" w:rsidRDefault="00691FF4">
      <w:pPr>
        <w:pStyle w:val="FootnoteText"/>
      </w:pPr>
      <w:r>
        <w:rPr>
          <w:rStyle w:val="FootnoteReference"/>
        </w:rPr>
        <w:footnoteRef/>
      </w:r>
      <w:r>
        <w:t xml:space="preserve"> Emma Rhatigan, ‘Donne’s Readership at Lincoln’s Inn and The Doncaster Embassy’, in </w:t>
      </w:r>
      <w:r w:rsidRPr="00691FF4">
        <w:rPr>
          <w:i/>
        </w:rPr>
        <w:t>The Oxford Handbook</w:t>
      </w:r>
      <w:r>
        <w:t xml:space="preserve"> </w:t>
      </w:r>
      <w:r w:rsidRPr="00691FF4">
        <w:rPr>
          <w:i/>
        </w:rPr>
        <w:t>of John Donne</w:t>
      </w:r>
      <w:r>
        <w:t>, ed. by Jeanne Shami, Dennis Flynn, and M. Thomas Hester (Oxford: Oxford University Press, 2011), pp. 576 - 589</w:t>
      </w:r>
    </w:p>
  </w:footnote>
  <w:footnote w:id="26">
    <w:p w:rsidR="00112C6A" w:rsidRDefault="00112C6A">
      <w:pPr>
        <w:pStyle w:val="FootnoteText"/>
      </w:pPr>
      <w:r>
        <w:rPr>
          <w:rStyle w:val="FootnoteReference"/>
        </w:rPr>
        <w:footnoteRef/>
      </w:r>
      <w:r>
        <w:t xml:space="preserve"> </w:t>
      </w:r>
      <w:r w:rsidR="004D049C">
        <w:t xml:space="preserve">Stanley Archer, ‘Meditation and the Structure of Donne’s ‘’Holy Sonnets’’ ‘, </w:t>
      </w:r>
      <w:r w:rsidR="004D049C" w:rsidRPr="00C35233">
        <w:rPr>
          <w:i/>
        </w:rPr>
        <w:t>ELH</w:t>
      </w:r>
      <w:r w:rsidR="004D049C">
        <w:t>, 28, 2 (1961), 137 – 147</w:t>
      </w:r>
      <w:r w:rsidR="005E169E">
        <w:t>.</w:t>
      </w:r>
    </w:p>
    <w:p w:rsidR="005E169E" w:rsidRDefault="004D049C">
      <w:pPr>
        <w:pStyle w:val="FootnoteText"/>
      </w:pPr>
      <w:r>
        <w:t xml:space="preserve">    Paul Cefalu, ‘Godly Fear, Sanctification, and Calvinist Theology in the Sermons and ‘’Holy Sonnets’’ of John Donne’, </w:t>
      </w:r>
      <w:r w:rsidRPr="00C35233">
        <w:rPr>
          <w:i/>
        </w:rPr>
        <w:t>Studies in Philology</w:t>
      </w:r>
      <w:r>
        <w:t>, 110, 2 (2013</w:t>
      </w:r>
      <w:r w:rsidR="005E169E">
        <w:t xml:space="preserve">), 350 – 381 </w:t>
      </w:r>
    </w:p>
    <w:p w:rsidR="005E169E" w:rsidRDefault="005E169E">
      <w:pPr>
        <w:pStyle w:val="FootnoteText"/>
      </w:pPr>
      <w:r>
        <w:t xml:space="preserve">    Gillian R. Evans, ‘John Donne and the Augustinian Paradox of Sin’, </w:t>
      </w:r>
      <w:r w:rsidRPr="00C35233">
        <w:rPr>
          <w:i/>
        </w:rPr>
        <w:t>The Review of English Studies</w:t>
      </w:r>
      <w:r>
        <w:t>, New Series, 33, 129 (1982), 1 – 22.</w:t>
      </w:r>
    </w:p>
    <w:p w:rsidR="005E169E" w:rsidRDefault="005E169E">
      <w:pPr>
        <w:pStyle w:val="FootnoteText"/>
      </w:pPr>
      <w:r>
        <w:t xml:space="preserve">    Catherine Gimelli Martin, ‘Experimental Predestination in Donne’s Holy Sonnets: Self Ministry and the early Seventeenth-Century ‘’Via Media’’ ‘, </w:t>
      </w:r>
      <w:r w:rsidRPr="00C35233">
        <w:rPr>
          <w:i/>
        </w:rPr>
        <w:t>Studies in Philology</w:t>
      </w:r>
      <w:r w:rsidR="00C35233">
        <w:t>, 110, 2 (2013) 350 – 381.</w:t>
      </w:r>
    </w:p>
    <w:p w:rsidR="00C35233" w:rsidRDefault="00C35233">
      <w:pPr>
        <w:pStyle w:val="FootnoteText"/>
      </w:pPr>
      <w:r>
        <w:t xml:space="preserve">    John Stachniewski, ‘John Donne: The Despair of the </w:t>
      </w:r>
      <w:r w:rsidR="00BD6353">
        <w:t>‘’</w:t>
      </w:r>
      <w:r>
        <w:t>Holy Sonnets’’ ‘,</w:t>
      </w:r>
      <w:r w:rsidRPr="00C35233">
        <w:rPr>
          <w:i/>
        </w:rPr>
        <w:t xml:space="preserve"> ELH</w:t>
      </w:r>
      <w:r>
        <w:t>, 48, 4 (1981) 677 - 705</w:t>
      </w:r>
    </w:p>
    <w:p w:rsidR="005E169E" w:rsidRDefault="00C35233">
      <w:pPr>
        <w:pStyle w:val="FootnoteText"/>
      </w:pPr>
      <w:r>
        <w:t xml:space="preserve"> Further refences can be found in footnotes 35 &amp; 36 of Angus Fletcher (2005). See 26 below.</w:t>
      </w:r>
    </w:p>
  </w:footnote>
  <w:footnote w:id="27">
    <w:p w:rsidR="00C35233" w:rsidRDefault="00C35233">
      <w:pPr>
        <w:pStyle w:val="FootnoteText"/>
      </w:pPr>
      <w:r>
        <w:rPr>
          <w:rStyle w:val="FootnoteReference"/>
        </w:rPr>
        <w:footnoteRef/>
      </w:r>
      <w:r>
        <w:t xml:space="preserve"> Angus Fletcher, ‘Living Magnets, Paracelsian Corpses, and the Psychology of Grace in Donne’s Religious Verse’, </w:t>
      </w:r>
      <w:r w:rsidRPr="00BD6353">
        <w:rPr>
          <w:i/>
        </w:rPr>
        <w:t>ELH</w:t>
      </w:r>
      <w:r>
        <w:t>, 72, 1 (2005) 1 – 22, p. 12.</w:t>
      </w:r>
    </w:p>
  </w:footnote>
  <w:footnote w:id="28">
    <w:p w:rsidR="00BD6353" w:rsidRDefault="00BD6353">
      <w:pPr>
        <w:pStyle w:val="FootnoteText"/>
      </w:pPr>
      <w:r>
        <w:rPr>
          <w:rStyle w:val="FootnoteReference"/>
        </w:rPr>
        <w:footnoteRef/>
      </w:r>
      <w:r>
        <w:t xml:space="preserve"> Richard A. Lanham, </w:t>
      </w:r>
      <w:r w:rsidRPr="00BD6353">
        <w:rPr>
          <w:i/>
        </w:rPr>
        <w:t>The Motives of Eloquence</w:t>
      </w:r>
      <w:r>
        <w:t xml:space="preserve"> (New Haven and London: Yale University Press, 1976)</w:t>
      </w:r>
      <w:r w:rsidR="006E1B13">
        <w:t>,</w:t>
      </w:r>
      <w:r>
        <w:t xml:space="preserve"> p. 117.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2D1"/>
    <w:rsid w:val="00006B2A"/>
    <w:rsid w:val="00012A61"/>
    <w:rsid w:val="00016328"/>
    <w:rsid w:val="00075957"/>
    <w:rsid w:val="00080F98"/>
    <w:rsid w:val="000A2313"/>
    <w:rsid w:val="000A7261"/>
    <w:rsid w:val="000C20A8"/>
    <w:rsid w:val="000C277B"/>
    <w:rsid w:val="000E27C3"/>
    <w:rsid w:val="000F147A"/>
    <w:rsid w:val="001019FC"/>
    <w:rsid w:val="00112C6A"/>
    <w:rsid w:val="00116968"/>
    <w:rsid w:val="0012430B"/>
    <w:rsid w:val="00154471"/>
    <w:rsid w:val="00185B61"/>
    <w:rsid w:val="00187897"/>
    <w:rsid w:val="001A25C9"/>
    <w:rsid w:val="001B127C"/>
    <w:rsid w:val="001B3FE1"/>
    <w:rsid w:val="001C0F5E"/>
    <w:rsid w:val="001C71AB"/>
    <w:rsid w:val="001E60AC"/>
    <w:rsid w:val="001F6FDF"/>
    <w:rsid w:val="002137D0"/>
    <w:rsid w:val="00223E94"/>
    <w:rsid w:val="00231FE6"/>
    <w:rsid w:val="002344E9"/>
    <w:rsid w:val="00252490"/>
    <w:rsid w:val="002633C8"/>
    <w:rsid w:val="00273D49"/>
    <w:rsid w:val="0027503C"/>
    <w:rsid w:val="00295D62"/>
    <w:rsid w:val="002E2BA3"/>
    <w:rsid w:val="002F6FEF"/>
    <w:rsid w:val="003226B8"/>
    <w:rsid w:val="00324BCF"/>
    <w:rsid w:val="00372E7A"/>
    <w:rsid w:val="00375906"/>
    <w:rsid w:val="00376644"/>
    <w:rsid w:val="00407A43"/>
    <w:rsid w:val="00407D27"/>
    <w:rsid w:val="00412065"/>
    <w:rsid w:val="004303B2"/>
    <w:rsid w:val="00442D5C"/>
    <w:rsid w:val="0044464E"/>
    <w:rsid w:val="00487B04"/>
    <w:rsid w:val="004C1A09"/>
    <w:rsid w:val="004C6B3F"/>
    <w:rsid w:val="004D049C"/>
    <w:rsid w:val="004D0B32"/>
    <w:rsid w:val="004D14B7"/>
    <w:rsid w:val="004F3C6F"/>
    <w:rsid w:val="0050498D"/>
    <w:rsid w:val="00526216"/>
    <w:rsid w:val="005322DA"/>
    <w:rsid w:val="0053542A"/>
    <w:rsid w:val="00572006"/>
    <w:rsid w:val="0058261E"/>
    <w:rsid w:val="005B6B08"/>
    <w:rsid w:val="005B6DDB"/>
    <w:rsid w:val="005D0259"/>
    <w:rsid w:val="005D402D"/>
    <w:rsid w:val="005E169E"/>
    <w:rsid w:val="005F1087"/>
    <w:rsid w:val="00606E8A"/>
    <w:rsid w:val="00611B7A"/>
    <w:rsid w:val="00616085"/>
    <w:rsid w:val="0061726E"/>
    <w:rsid w:val="00637BD9"/>
    <w:rsid w:val="0064027F"/>
    <w:rsid w:val="00651F94"/>
    <w:rsid w:val="0068168C"/>
    <w:rsid w:val="00691FF4"/>
    <w:rsid w:val="006B078F"/>
    <w:rsid w:val="006C30A0"/>
    <w:rsid w:val="006C7089"/>
    <w:rsid w:val="006E1B13"/>
    <w:rsid w:val="0072518F"/>
    <w:rsid w:val="00732DAB"/>
    <w:rsid w:val="00736772"/>
    <w:rsid w:val="00753A34"/>
    <w:rsid w:val="007D03BC"/>
    <w:rsid w:val="00815C3A"/>
    <w:rsid w:val="00881D03"/>
    <w:rsid w:val="008B2346"/>
    <w:rsid w:val="008B6CAF"/>
    <w:rsid w:val="008B737D"/>
    <w:rsid w:val="008D0193"/>
    <w:rsid w:val="008D432B"/>
    <w:rsid w:val="008D6DF8"/>
    <w:rsid w:val="008E097E"/>
    <w:rsid w:val="00960354"/>
    <w:rsid w:val="00973D5D"/>
    <w:rsid w:val="00977ABB"/>
    <w:rsid w:val="009872D1"/>
    <w:rsid w:val="00987737"/>
    <w:rsid w:val="009A459F"/>
    <w:rsid w:val="009B55C3"/>
    <w:rsid w:val="009B6D80"/>
    <w:rsid w:val="009C3584"/>
    <w:rsid w:val="009D2AE4"/>
    <w:rsid w:val="009D3162"/>
    <w:rsid w:val="009E6E75"/>
    <w:rsid w:val="009F7DBC"/>
    <w:rsid w:val="00A06549"/>
    <w:rsid w:val="00A12A34"/>
    <w:rsid w:val="00A206D7"/>
    <w:rsid w:val="00A26F7C"/>
    <w:rsid w:val="00A44363"/>
    <w:rsid w:val="00A6256F"/>
    <w:rsid w:val="00AD2392"/>
    <w:rsid w:val="00AF084E"/>
    <w:rsid w:val="00B04B20"/>
    <w:rsid w:val="00B12E9C"/>
    <w:rsid w:val="00B201F6"/>
    <w:rsid w:val="00B6487D"/>
    <w:rsid w:val="00B67BE3"/>
    <w:rsid w:val="00B75772"/>
    <w:rsid w:val="00B844DA"/>
    <w:rsid w:val="00B92066"/>
    <w:rsid w:val="00B9592C"/>
    <w:rsid w:val="00B962CA"/>
    <w:rsid w:val="00BC3406"/>
    <w:rsid w:val="00BD0EA3"/>
    <w:rsid w:val="00BD29A7"/>
    <w:rsid w:val="00BD6353"/>
    <w:rsid w:val="00BE0F88"/>
    <w:rsid w:val="00BF2D56"/>
    <w:rsid w:val="00C029EC"/>
    <w:rsid w:val="00C35233"/>
    <w:rsid w:val="00C5743E"/>
    <w:rsid w:val="00C64BD5"/>
    <w:rsid w:val="00C70AC8"/>
    <w:rsid w:val="00C82711"/>
    <w:rsid w:val="00CA3A30"/>
    <w:rsid w:val="00CA4FBE"/>
    <w:rsid w:val="00CB373B"/>
    <w:rsid w:val="00CC23FC"/>
    <w:rsid w:val="00CC374F"/>
    <w:rsid w:val="00CD5589"/>
    <w:rsid w:val="00CD7C0D"/>
    <w:rsid w:val="00CE519D"/>
    <w:rsid w:val="00CF374A"/>
    <w:rsid w:val="00D25567"/>
    <w:rsid w:val="00D96CDC"/>
    <w:rsid w:val="00DD2BEC"/>
    <w:rsid w:val="00E073E4"/>
    <w:rsid w:val="00E11BBC"/>
    <w:rsid w:val="00E14784"/>
    <w:rsid w:val="00E1653C"/>
    <w:rsid w:val="00E2357B"/>
    <w:rsid w:val="00E41652"/>
    <w:rsid w:val="00E4425E"/>
    <w:rsid w:val="00E54D0E"/>
    <w:rsid w:val="00E65C02"/>
    <w:rsid w:val="00E941F6"/>
    <w:rsid w:val="00E954BC"/>
    <w:rsid w:val="00EA0BE6"/>
    <w:rsid w:val="00EA1357"/>
    <w:rsid w:val="00EA2E4D"/>
    <w:rsid w:val="00EA68DF"/>
    <w:rsid w:val="00EC4507"/>
    <w:rsid w:val="00ED59CF"/>
    <w:rsid w:val="00ED672D"/>
    <w:rsid w:val="00EE4111"/>
    <w:rsid w:val="00EE5A22"/>
    <w:rsid w:val="00EE5A78"/>
    <w:rsid w:val="00EE71D2"/>
    <w:rsid w:val="00EE73F6"/>
    <w:rsid w:val="00F06C0D"/>
    <w:rsid w:val="00F17279"/>
    <w:rsid w:val="00F22452"/>
    <w:rsid w:val="00F31FA4"/>
    <w:rsid w:val="00F52F60"/>
    <w:rsid w:val="00F64DDD"/>
    <w:rsid w:val="00F7646C"/>
    <w:rsid w:val="00F86F54"/>
    <w:rsid w:val="00F8778B"/>
    <w:rsid w:val="00F964DC"/>
    <w:rsid w:val="00FC68F7"/>
    <w:rsid w:val="00FF43E1"/>
    <w:rsid w:val="00FF6B57"/>
    <w:rsid w:val="00FF7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2FE56"/>
  <w15:chartTrackingRefBased/>
  <w15:docId w15:val="{1532BD34-F136-459D-94FA-389FFDD2F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qFormat/>
    <w:rsid w:val="00732DA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206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06D7"/>
    <w:rPr>
      <w:sz w:val="20"/>
      <w:szCs w:val="20"/>
    </w:rPr>
  </w:style>
  <w:style w:type="character" w:styleId="FootnoteReference">
    <w:name w:val="footnote reference"/>
    <w:basedOn w:val="DefaultParagraphFont"/>
    <w:uiPriority w:val="99"/>
    <w:semiHidden/>
    <w:unhideWhenUsed/>
    <w:rsid w:val="00A206D7"/>
    <w:rPr>
      <w:vertAlign w:val="superscript"/>
    </w:rPr>
  </w:style>
  <w:style w:type="character" w:customStyle="1" w:styleId="Heading3Char">
    <w:name w:val="Heading 3 Char"/>
    <w:basedOn w:val="DefaultParagraphFont"/>
    <w:link w:val="Heading3"/>
    <w:rsid w:val="00732DAB"/>
    <w:rPr>
      <w:rFonts w:ascii="Tahoma" w:eastAsia="SimSun" w:hAnsi="Tahoma" w:cs="Tahoma"/>
      <w:b/>
      <w:bCs/>
      <w:sz w:val="20"/>
      <w:szCs w:val="20"/>
      <w:lang w:eastAsia="zh-CN"/>
    </w:rPr>
  </w:style>
  <w:style w:type="paragraph" w:styleId="NormalWeb">
    <w:name w:val="Normal (Web)"/>
    <w:basedOn w:val="Normal"/>
    <w:rsid w:val="00732DAB"/>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12</Pages>
  <Words>4600</Words>
  <Characters>26225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Cooper</dc:creator>
  <cp:keywords/>
  <dc:description/>
  <cp:lastModifiedBy>Gerald Cooper</cp:lastModifiedBy>
  <cp:revision>10</cp:revision>
  <dcterms:created xsi:type="dcterms:W3CDTF">2018-01-04T19:34:00Z</dcterms:created>
  <dcterms:modified xsi:type="dcterms:W3CDTF">2018-01-12T19:49:00Z</dcterms:modified>
</cp:coreProperties>
</file>