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7F2968" w14:textId="75EA695B" w:rsidR="00CC5242" w:rsidRDefault="005C14A9">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noProof/>
          <w:sz w:val="32"/>
          <w:szCs w:val="32"/>
        </w:rPr>
        <w:drawing>
          <wp:inline distT="0" distB="0" distL="0" distR="0" wp14:anchorId="3CD8B90D" wp14:editId="613FFE43">
            <wp:extent cx="2621280" cy="1164590"/>
            <wp:effectExtent l="0" t="0" r="0" b="0"/>
            <wp:docPr id="289751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1280" cy="1164590"/>
                    </a:xfrm>
                    <a:prstGeom prst="rect">
                      <a:avLst/>
                    </a:prstGeom>
                    <a:noFill/>
                  </pic:spPr>
                </pic:pic>
              </a:graphicData>
            </a:graphic>
          </wp:inline>
        </w:drawing>
      </w:r>
    </w:p>
    <w:p w14:paraId="797F2969" w14:textId="77777777" w:rsidR="00CC5242" w:rsidRDefault="00CC5242">
      <w:pPr>
        <w:spacing w:line="360" w:lineRule="auto"/>
        <w:jc w:val="center"/>
        <w:rPr>
          <w:rFonts w:ascii="Times New Roman" w:eastAsia="Times New Roman" w:hAnsi="Times New Roman" w:cs="Times New Roman"/>
          <w:b/>
          <w:bCs/>
          <w:sz w:val="32"/>
          <w:szCs w:val="32"/>
        </w:rPr>
      </w:pPr>
    </w:p>
    <w:p w14:paraId="797F296A" w14:textId="3267E901" w:rsidR="00CC5242" w:rsidRDefault="00CC5242">
      <w:pPr>
        <w:spacing w:line="360" w:lineRule="auto"/>
        <w:jc w:val="center"/>
        <w:rPr>
          <w:rFonts w:ascii="Times New Roman" w:eastAsia="Times New Roman" w:hAnsi="Times New Roman" w:cs="Times New Roman"/>
          <w:b/>
          <w:bCs/>
          <w:sz w:val="32"/>
          <w:szCs w:val="32"/>
        </w:rPr>
      </w:pPr>
    </w:p>
    <w:p w14:paraId="797F296B" w14:textId="77777777" w:rsidR="00CC5242" w:rsidRDefault="00CC5242">
      <w:pPr>
        <w:spacing w:line="360" w:lineRule="auto"/>
        <w:jc w:val="center"/>
        <w:rPr>
          <w:rFonts w:ascii="Times New Roman" w:eastAsia="Times New Roman" w:hAnsi="Times New Roman" w:cs="Times New Roman"/>
          <w:b/>
          <w:bCs/>
          <w:sz w:val="32"/>
          <w:szCs w:val="32"/>
        </w:rPr>
      </w:pPr>
    </w:p>
    <w:p w14:paraId="797F296C" w14:textId="77777777" w:rsidR="00CC5242" w:rsidRDefault="00CC5242">
      <w:pPr>
        <w:spacing w:line="360" w:lineRule="auto"/>
        <w:jc w:val="center"/>
        <w:rPr>
          <w:rFonts w:ascii="Times New Roman" w:eastAsia="Times New Roman" w:hAnsi="Times New Roman" w:cs="Times New Roman"/>
          <w:b/>
          <w:bCs/>
          <w:sz w:val="32"/>
          <w:szCs w:val="32"/>
        </w:rPr>
      </w:pPr>
    </w:p>
    <w:p w14:paraId="797F2971" w14:textId="63970BE0" w:rsidR="00CC5242" w:rsidRPr="00537970" w:rsidRDefault="00CC5242" w:rsidP="00537970">
      <w:pPr>
        <w:spacing w:line="360" w:lineRule="auto"/>
        <w:jc w:val="center"/>
        <w:rPr>
          <w:rFonts w:ascii="Times New Roman" w:eastAsia="Times New Roman" w:hAnsi="Times New Roman" w:cs="Times New Roman"/>
          <w:b/>
          <w:bCs/>
          <w:sz w:val="24"/>
          <w:szCs w:val="24"/>
        </w:rPr>
      </w:pPr>
    </w:p>
    <w:p w14:paraId="797F2972" w14:textId="77777777" w:rsidR="00CC5242" w:rsidRPr="00A55AFE" w:rsidRDefault="00CC5242" w:rsidP="00537970">
      <w:pPr>
        <w:spacing w:line="360" w:lineRule="auto"/>
        <w:rPr>
          <w:rFonts w:ascii="Times New Roman" w:eastAsia="Times New Roman" w:hAnsi="Times New Roman" w:cs="Times New Roman"/>
          <w:b/>
          <w:bCs/>
          <w:sz w:val="24"/>
          <w:szCs w:val="24"/>
        </w:rPr>
      </w:pPr>
    </w:p>
    <w:p w14:paraId="797F2974" w14:textId="3457F93C" w:rsidR="00E93C26" w:rsidRDefault="00096E10" w:rsidP="00537970">
      <w:pPr>
        <w:spacing w:line="360" w:lineRule="auto"/>
        <w:jc w:val="center"/>
        <w:rPr>
          <w:rFonts w:ascii="Times New Roman" w:eastAsia="Georgia" w:hAnsi="Times New Roman" w:cs="Times New Roman"/>
          <w:b/>
          <w:bCs/>
          <w:sz w:val="24"/>
          <w:szCs w:val="24"/>
        </w:rPr>
      </w:pPr>
      <w:r w:rsidRPr="00A55AFE">
        <w:rPr>
          <w:rFonts w:ascii="Times New Roman" w:eastAsia="Times New Roman" w:hAnsi="Times New Roman" w:cs="Times New Roman"/>
          <w:b/>
          <w:bCs/>
          <w:sz w:val="24"/>
          <w:szCs w:val="24"/>
        </w:rPr>
        <w:t xml:space="preserve">COMPONENT 1 – BUSINESS RESEARCH PROPOSAL: </w:t>
      </w:r>
      <w:r w:rsidRPr="00A55AFE">
        <w:rPr>
          <w:rFonts w:ascii="Times New Roman" w:eastAsia="Georgia" w:hAnsi="Times New Roman" w:cs="Times New Roman"/>
          <w:b/>
          <w:bCs/>
          <w:sz w:val="24"/>
          <w:szCs w:val="24"/>
          <w:highlight w:val="white"/>
        </w:rPr>
        <w:t>THE CHALLENGE OF MEETING GROWING DEMAND FOR AI CHIPS WHILE MAINTAINING A SUSTAINABLE BUSINESS AT NVIDIA</w:t>
      </w:r>
    </w:p>
    <w:p w14:paraId="13640B5C" w14:textId="77777777" w:rsidR="004E3471" w:rsidRDefault="004E3471" w:rsidP="00537970">
      <w:pPr>
        <w:spacing w:line="360" w:lineRule="auto"/>
        <w:jc w:val="center"/>
        <w:rPr>
          <w:rFonts w:ascii="Times New Roman" w:eastAsia="Times New Roman" w:hAnsi="Times New Roman" w:cs="Times New Roman"/>
          <w:sz w:val="24"/>
          <w:szCs w:val="24"/>
        </w:rPr>
      </w:pPr>
    </w:p>
    <w:p w14:paraId="4B3C729D" w14:textId="16776BA1" w:rsidR="004E3471" w:rsidRPr="00A55AFE" w:rsidRDefault="004E3471" w:rsidP="004E3471">
      <w:pPr>
        <w:spacing w:line="360" w:lineRule="auto"/>
        <w:jc w:val="center"/>
        <w:rPr>
          <w:rFonts w:ascii="Times New Roman" w:eastAsia="Times New Roman" w:hAnsi="Times New Roman" w:cs="Times New Roman"/>
          <w:b/>
          <w:bCs/>
          <w:sz w:val="24"/>
          <w:szCs w:val="24"/>
        </w:rPr>
      </w:pPr>
      <w:r w:rsidRPr="00A55AFE">
        <w:rPr>
          <w:rFonts w:ascii="Times New Roman" w:eastAsia="Times New Roman" w:hAnsi="Times New Roman" w:cs="Times New Roman"/>
          <w:b/>
          <w:bCs/>
          <w:sz w:val="24"/>
          <w:szCs w:val="24"/>
        </w:rPr>
        <w:t>Name: Anderson Pereira Posse</w:t>
      </w:r>
    </w:p>
    <w:p w14:paraId="7E904CCE" w14:textId="6905D2D0" w:rsidR="00537970" w:rsidRPr="00537970" w:rsidRDefault="004E3471" w:rsidP="004E3471">
      <w:pPr>
        <w:spacing w:line="360" w:lineRule="auto"/>
        <w:jc w:val="center"/>
        <w:rPr>
          <w:rFonts w:ascii="Times New Roman" w:eastAsia="Times New Roman" w:hAnsi="Times New Roman" w:cs="Times New Roman"/>
          <w:sz w:val="24"/>
          <w:szCs w:val="24"/>
        </w:rPr>
      </w:pPr>
      <w:r w:rsidRPr="00A55AFE">
        <w:rPr>
          <w:rFonts w:ascii="Times New Roman" w:eastAsia="Times New Roman" w:hAnsi="Times New Roman" w:cs="Times New Roman"/>
          <w:b/>
          <w:bCs/>
          <w:sz w:val="24"/>
          <w:szCs w:val="24"/>
        </w:rPr>
        <w:t>Student ID: 2327606</w:t>
      </w:r>
    </w:p>
    <w:p w14:paraId="3D9F37DA" w14:textId="7E026777" w:rsidR="00FE1256" w:rsidRPr="00A55AFE" w:rsidRDefault="00FE1256" w:rsidP="004E3471">
      <w:pPr>
        <w:spacing w:after="160" w:line="259" w:lineRule="auto"/>
        <w:jc w:val="center"/>
        <w:rPr>
          <w:rFonts w:ascii="Times New Roman" w:eastAsia="Times New Roman" w:hAnsi="Times New Roman" w:cs="Times New Roman"/>
          <w:b/>
          <w:bCs/>
          <w:sz w:val="24"/>
          <w:szCs w:val="24"/>
        </w:rPr>
      </w:pPr>
      <w:bookmarkStart w:id="0" w:name="_8uufa4yr1n4k" w:colFirst="0" w:colLast="0"/>
      <w:bookmarkStart w:id="1" w:name="_d5kpz784wr5" w:colFirst="0" w:colLast="0"/>
      <w:bookmarkEnd w:id="0"/>
      <w:bookmarkEnd w:id="1"/>
      <w:r w:rsidRPr="00A55AFE">
        <w:rPr>
          <w:rFonts w:ascii="Times New Roman" w:eastAsia="Times New Roman" w:hAnsi="Times New Roman" w:cs="Times New Roman"/>
          <w:b/>
          <w:bCs/>
          <w:sz w:val="24"/>
          <w:szCs w:val="24"/>
        </w:rPr>
        <w:t xml:space="preserve">Module: </w:t>
      </w:r>
      <w:r w:rsidR="00E7406A">
        <w:rPr>
          <w:rFonts w:ascii="Times New Roman" w:eastAsia="Times New Roman" w:hAnsi="Times New Roman" w:cs="Times New Roman"/>
          <w:b/>
          <w:bCs/>
          <w:sz w:val="24"/>
          <w:szCs w:val="24"/>
        </w:rPr>
        <w:t>Research Methods for Business</w:t>
      </w:r>
    </w:p>
    <w:p w14:paraId="301B6BAA" w14:textId="5BC11C25" w:rsidR="00FE1256" w:rsidRPr="00A55AFE" w:rsidRDefault="00FE1256" w:rsidP="004E3471">
      <w:pPr>
        <w:spacing w:after="160" w:line="259" w:lineRule="auto"/>
        <w:jc w:val="center"/>
        <w:rPr>
          <w:rFonts w:ascii="Times New Roman" w:eastAsia="Times New Roman" w:hAnsi="Times New Roman" w:cs="Times New Roman"/>
          <w:b/>
          <w:bCs/>
          <w:sz w:val="24"/>
          <w:szCs w:val="24"/>
        </w:rPr>
      </w:pPr>
      <w:r w:rsidRPr="00A55AFE">
        <w:rPr>
          <w:rFonts w:ascii="Times New Roman" w:eastAsia="Times New Roman" w:hAnsi="Times New Roman" w:cs="Times New Roman"/>
          <w:b/>
          <w:bCs/>
          <w:sz w:val="24"/>
          <w:szCs w:val="24"/>
        </w:rPr>
        <w:t>Module code: LCLM</w:t>
      </w:r>
      <w:r w:rsidR="00537970">
        <w:rPr>
          <w:rFonts w:ascii="Times New Roman" w:eastAsia="Times New Roman" w:hAnsi="Times New Roman" w:cs="Times New Roman"/>
          <w:b/>
          <w:bCs/>
          <w:sz w:val="24"/>
          <w:szCs w:val="24"/>
        </w:rPr>
        <w:t>6004</w:t>
      </w:r>
    </w:p>
    <w:p w14:paraId="26FE129B" w14:textId="6D5F3941" w:rsidR="00FE1256" w:rsidRPr="00A55AFE" w:rsidRDefault="00FE1256" w:rsidP="004E3471">
      <w:pPr>
        <w:spacing w:after="160" w:line="259" w:lineRule="auto"/>
        <w:jc w:val="center"/>
        <w:rPr>
          <w:rFonts w:ascii="Times New Roman" w:eastAsia="Times New Roman" w:hAnsi="Times New Roman" w:cs="Times New Roman"/>
          <w:b/>
          <w:bCs/>
          <w:sz w:val="24"/>
          <w:szCs w:val="24"/>
        </w:rPr>
      </w:pPr>
      <w:r w:rsidRPr="00A55AFE">
        <w:rPr>
          <w:rFonts w:ascii="Times New Roman" w:eastAsia="Times New Roman" w:hAnsi="Times New Roman" w:cs="Times New Roman"/>
          <w:b/>
          <w:bCs/>
          <w:sz w:val="24"/>
          <w:szCs w:val="24"/>
        </w:rPr>
        <w:t xml:space="preserve">Lecturer: </w:t>
      </w:r>
      <w:r w:rsidR="00DF79B7">
        <w:rPr>
          <w:rFonts w:ascii="Times New Roman" w:eastAsia="Times New Roman" w:hAnsi="Times New Roman" w:cs="Times New Roman"/>
          <w:b/>
          <w:bCs/>
          <w:sz w:val="24"/>
          <w:szCs w:val="24"/>
        </w:rPr>
        <w:t>Dr. Rajee</w:t>
      </w:r>
      <w:r w:rsidR="001E6AC4">
        <w:rPr>
          <w:rFonts w:ascii="Times New Roman" w:eastAsia="Times New Roman" w:hAnsi="Times New Roman" w:cs="Times New Roman"/>
          <w:b/>
          <w:bCs/>
          <w:sz w:val="24"/>
          <w:szCs w:val="24"/>
        </w:rPr>
        <w:t>v Nath</w:t>
      </w:r>
    </w:p>
    <w:p w14:paraId="7A8EBFB7" w14:textId="77777777" w:rsidR="00A55AFE" w:rsidRDefault="00A55AFE" w:rsidP="00025C93">
      <w:pPr>
        <w:spacing w:after="160" w:line="259" w:lineRule="auto"/>
        <w:jc w:val="center"/>
        <w:rPr>
          <w:rFonts w:ascii="Times New Roman" w:eastAsia="Times New Roman" w:hAnsi="Times New Roman" w:cs="Times New Roman"/>
          <w:b/>
          <w:bCs/>
        </w:rPr>
      </w:pPr>
    </w:p>
    <w:p w14:paraId="14CD5728" w14:textId="77777777" w:rsidR="00A55AFE" w:rsidRDefault="00A55AFE" w:rsidP="00025C93">
      <w:pPr>
        <w:spacing w:after="160" w:line="259" w:lineRule="auto"/>
        <w:jc w:val="center"/>
        <w:rPr>
          <w:rFonts w:ascii="Times New Roman" w:eastAsia="Times New Roman" w:hAnsi="Times New Roman" w:cs="Times New Roman"/>
          <w:b/>
          <w:bCs/>
        </w:rPr>
      </w:pPr>
    </w:p>
    <w:p w14:paraId="0D8A44FB" w14:textId="77777777" w:rsidR="00A55AFE" w:rsidRDefault="00A55AFE" w:rsidP="00025C93">
      <w:pPr>
        <w:spacing w:after="160" w:line="259" w:lineRule="auto"/>
        <w:jc w:val="center"/>
        <w:rPr>
          <w:rFonts w:ascii="Times New Roman" w:eastAsia="Times New Roman" w:hAnsi="Times New Roman" w:cs="Times New Roman"/>
          <w:b/>
          <w:bCs/>
        </w:rPr>
      </w:pPr>
    </w:p>
    <w:p w14:paraId="4F1EE55C" w14:textId="77777777" w:rsidR="00537970" w:rsidRDefault="00537970" w:rsidP="00025C93">
      <w:pPr>
        <w:spacing w:after="160" w:line="259" w:lineRule="auto"/>
        <w:jc w:val="center"/>
        <w:rPr>
          <w:rFonts w:ascii="Times New Roman" w:eastAsia="Times New Roman" w:hAnsi="Times New Roman" w:cs="Times New Roman"/>
          <w:b/>
          <w:bCs/>
        </w:rPr>
      </w:pPr>
    </w:p>
    <w:p w14:paraId="31BEBAB6" w14:textId="77777777" w:rsidR="00537970" w:rsidRDefault="00537970" w:rsidP="00025C93">
      <w:pPr>
        <w:spacing w:after="160" w:line="259" w:lineRule="auto"/>
        <w:jc w:val="center"/>
        <w:rPr>
          <w:rFonts w:ascii="Times New Roman" w:eastAsia="Times New Roman" w:hAnsi="Times New Roman" w:cs="Times New Roman"/>
          <w:b/>
          <w:bCs/>
        </w:rPr>
      </w:pPr>
    </w:p>
    <w:p w14:paraId="333452D5" w14:textId="77777777" w:rsidR="004E3471" w:rsidRDefault="004E3471" w:rsidP="00025C93">
      <w:pPr>
        <w:spacing w:after="160" w:line="259" w:lineRule="auto"/>
        <w:jc w:val="center"/>
        <w:rPr>
          <w:rFonts w:ascii="Times New Roman" w:eastAsia="Times New Roman" w:hAnsi="Times New Roman" w:cs="Times New Roman"/>
          <w:b/>
          <w:bCs/>
        </w:rPr>
      </w:pPr>
    </w:p>
    <w:p w14:paraId="202440D0" w14:textId="77777777" w:rsidR="004E3471" w:rsidRDefault="004E3471" w:rsidP="00025C93">
      <w:pPr>
        <w:spacing w:after="160" w:line="259" w:lineRule="auto"/>
        <w:jc w:val="center"/>
        <w:rPr>
          <w:rFonts w:ascii="Times New Roman" w:eastAsia="Times New Roman" w:hAnsi="Times New Roman" w:cs="Times New Roman"/>
          <w:b/>
          <w:bCs/>
        </w:rPr>
      </w:pPr>
    </w:p>
    <w:p w14:paraId="4129E220" w14:textId="77777777" w:rsidR="004E3471" w:rsidRDefault="004E3471" w:rsidP="00025C93">
      <w:pPr>
        <w:spacing w:after="160" w:line="259" w:lineRule="auto"/>
        <w:jc w:val="center"/>
        <w:rPr>
          <w:rFonts w:ascii="Times New Roman" w:eastAsia="Times New Roman" w:hAnsi="Times New Roman" w:cs="Times New Roman"/>
          <w:b/>
          <w:bCs/>
        </w:rPr>
      </w:pPr>
    </w:p>
    <w:p w14:paraId="721870F5" w14:textId="77777777" w:rsidR="004E3471" w:rsidRDefault="004E3471" w:rsidP="00025C93">
      <w:pPr>
        <w:spacing w:after="160" w:line="259" w:lineRule="auto"/>
        <w:jc w:val="center"/>
        <w:rPr>
          <w:rFonts w:ascii="Times New Roman" w:eastAsia="Times New Roman" w:hAnsi="Times New Roman" w:cs="Times New Roman"/>
          <w:b/>
          <w:bCs/>
        </w:rPr>
      </w:pPr>
    </w:p>
    <w:p w14:paraId="2ED621BA" w14:textId="77777777" w:rsidR="004E3471" w:rsidRDefault="004E3471" w:rsidP="00025C93">
      <w:pPr>
        <w:spacing w:after="160" w:line="259" w:lineRule="auto"/>
        <w:jc w:val="center"/>
        <w:rPr>
          <w:rFonts w:ascii="Times New Roman" w:eastAsia="Times New Roman" w:hAnsi="Times New Roman" w:cs="Times New Roman"/>
          <w:b/>
          <w:bCs/>
        </w:rPr>
      </w:pPr>
    </w:p>
    <w:p w14:paraId="7BCFE802" w14:textId="77777777" w:rsidR="004E3471" w:rsidRDefault="004E3471" w:rsidP="00025C93">
      <w:pPr>
        <w:spacing w:after="160" w:line="259" w:lineRule="auto"/>
        <w:jc w:val="center"/>
        <w:rPr>
          <w:rFonts w:ascii="Times New Roman" w:eastAsia="Times New Roman" w:hAnsi="Times New Roman" w:cs="Times New Roman"/>
          <w:b/>
          <w:bCs/>
        </w:rPr>
      </w:pPr>
    </w:p>
    <w:p w14:paraId="679A6759" w14:textId="383A922A" w:rsidR="00A55AFE" w:rsidRPr="00B141AA" w:rsidRDefault="001E6AC4" w:rsidP="00025C93">
      <w:pPr>
        <w:spacing w:after="160" w:line="259" w:lineRule="auto"/>
        <w:jc w:val="center"/>
        <w:rPr>
          <w:b/>
        </w:rPr>
      </w:pPr>
      <w:r>
        <w:rPr>
          <w:b/>
        </w:rPr>
        <w:t>Submitted on 12</w:t>
      </w:r>
      <w:r w:rsidRPr="001E6AC4">
        <w:rPr>
          <w:b/>
          <w:vertAlign w:val="superscript"/>
        </w:rPr>
        <w:t>TH</w:t>
      </w:r>
      <w:r>
        <w:rPr>
          <w:b/>
        </w:rPr>
        <w:t xml:space="preserve"> of August 20</w:t>
      </w:r>
      <w:r w:rsidR="00E82AB8">
        <w:rPr>
          <w:b/>
        </w:rPr>
        <w:t>26</w:t>
      </w:r>
    </w:p>
    <w:p w14:paraId="797F2975" w14:textId="7C1C8079" w:rsidR="00C1442D" w:rsidRPr="00246A41" w:rsidRDefault="00C1442D" w:rsidP="00246A41">
      <w:pPr>
        <w:pStyle w:val="Heading1"/>
        <w:spacing w:line="360" w:lineRule="auto"/>
        <w:jc w:val="both"/>
      </w:pPr>
    </w:p>
    <w:sdt>
      <w:sdtPr>
        <w:rPr>
          <w:rFonts w:ascii="Arial" w:eastAsia="Arial" w:hAnsi="Arial" w:cs="Arial"/>
          <w:color w:val="auto"/>
          <w:sz w:val="22"/>
          <w:szCs w:val="22"/>
          <w:lang w:val="en-GB" w:eastAsia="en-IN"/>
        </w:rPr>
        <w:id w:val="214473657"/>
        <w:docPartObj>
          <w:docPartGallery w:val="Table of Contents"/>
          <w:docPartUnique/>
        </w:docPartObj>
      </w:sdtPr>
      <w:sdtEndPr>
        <w:rPr>
          <w:b/>
          <w:bCs/>
          <w:noProof/>
        </w:rPr>
      </w:sdtEndPr>
      <w:sdtContent>
        <w:p w14:paraId="797F2976" w14:textId="77777777" w:rsidR="00C1442D" w:rsidRPr="00C1442D" w:rsidRDefault="00C1442D" w:rsidP="008318D3">
          <w:pPr>
            <w:pStyle w:val="TOCHeading"/>
            <w:jc w:val="center"/>
            <w:rPr>
              <w:rFonts w:asciiTheme="majorBidi" w:hAnsiTheme="majorBidi"/>
              <w:b/>
              <w:bCs/>
              <w:color w:val="auto"/>
              <w:sz w:val="28"/>
              <w:szCs w:val="28"/>
            </w:rPr>
          </w:pPr>
          <w:r w:rsidRPr="00C1442D">
            <w:rPr>
              <w:rFonts w:asciiTheme="majorBidi" w:hAnsiTheme="majorBidi"/>
              <w:b/>
              <w:bCs/>
              <w:color w:val="auto"/>
              <w:sz w:val="28"/>
              <w:szCs w:val="28"/>
            </w:rPr>
            <w:t>Table of Contents</w:t>
          </w:r>
        </w:p>
        <w:p w14:paraId="797F2977" w14:textId="77777777" w:rsidR="00C1442D" w:rsidRPr="00C1442D" w:rsidRDefault="002E7F45" w:rsidP="00C1442D">
          <w:pPr>
            <w:pStyle w:val="TOC1"/>
            <w:tabs>
              <w:tab w:val="right" w:leader="dot" w:pos="9019"/>
            </w:tabs>
            <w:spacing w:line="360" w:lineRule="auto"/>
            <w:jc w:val="both"/>
            <w:rPr>
              <w:rFonts w:asciiTheme="majorBidi" w:hAnsiTheme="majorBidi" w:cstheme="majorBidi"/>
              <w:noProof/>
              <w:sz w:val="24"/>
              <w:szCs w:val="24"/>
            </w:rPr>
          </w:pPr>
          <w:r>
            <w:fldChar w:fldCharType="begin"/>
          </w:r>
          <w:r w:rsidR="00C1442D">
            <w:instrText xml:space="preserve"> TOC \o "1-3" \h \z \u </w:instrText>
          </w:r>
          <w:r>
            <w:fldChar w:fldCharType="separate"/>
          </w:r>
          <w:hyperlink w:anchor="_Toc235636246" w:history="1">
            <w:r w:rsidR="00C1442D" w:rsidRPr="00C1442D">
              <w:rPr>
                <w:rStyle w:val="Hyperlink"/>
                <w:rFonts w:asciiTheme="majorBidi" w:hAnsiTheme="majorBidi" w:cstheme="majorBidi"/>
                <w:noProof/>
                <w:sz w:val="24"/>
                <w:szCs w:val="24"/>
              </w:rPr>
              <w:t>1. Introduction of the business problem</w:t>
            </w:r>
            <w:r w:rsidR="00C1442D" w:rsidRPr="00C1442D">
              <w:rPr>
                <w:rFonts w:asciiTheme="majorBidi" w:hAnsiTheme="majorBidi" w:cstheme="majorBidi"/>
                <w:noProof/>
                <w:webHidden/>
                <w:sz w:val="24"/>
                <w:szCs w:val="24"/>
              </w:rPr>
              <w:tab/>
            </w:r>
            <w:r w:rsidRPr="00C1442D">
              <w:rPr>
                <w:rFonts w:asciiTheme="majorBidi" w:hAnsiTheme="majorBidi" w:cstheme="majorBidi"/>
                <w:noProof/>
                <w:webHidden/>
                <w:sz w:val="24"/>
                <w:szCs w:val="24"/>
              </w:rPr>
              <w:fldChar w:fldCharType="begin"/>
            </w:r>
            <w:r w:rsidR="00C1442D" w:rsidRPr="00C1442D">
              <w:rPr>
                <w:rFonts w:asciiTheme="majorBidi" w:hAnsiTheme="majorBidi" w:cstheme="majorBidi"/>
                <w:noProof/>
                <w:webHidden/>
                <w:sz w:val="24"/>
                <w:szCs w:val="24"/>
              </w:rPr>
              <w:instrText xml:space="preserve"> PAGEREF _Toc235636246 \h </w:instrText>
            </w:r>
            <w:r w:rsidRPr="00C1442D">
              <w:rPr>
                <w:rFonts w:asciiTheme="majorBidi" w:hAnsiTheme="majorBidi" w:cstheme="majorBidi"/>
                <w:noProof/>
                <w:webHidden/>
                <w:sz w:val="24"/>
                <w:szCs w:val="24"/>
              </w:rPr>
            </w:r>
            <w:r w:rsidRPr="00C1442D">
              <w:rPr>
                <w:rFonts w:asciiTheme="majorBidi" w:hAnsiTheme="majorBidi" w:cstheme="majorBidi"/>
                <w:noProof/>
                <w:webHidden/>
                <w:sz w:val="24"/>
                <w:szCs w:val="24"/>
              </w:rPr>
              <w:fldChar w:fldCharType="separate"/>
            </w:r>
            <w:r w:rsidR="00C1442D" w:rsidRPr="00C1442D">
              <w:rPr>
                <w:rFonts w:asciiTheme="majorBidi" w:hAnsiTheme="majorBidi" w:cstheme="majorBidi"/>
                <w:noProof/>
                <w:webHidden/>
                <w:sz w:val="24"/>
                <w:szCs w:val="24"/>
              </w:rPr>
              <w:t>2</w:t>
            </w:r>
            <w:r w:rsidRPr="00C1442D">
              <w:rPr>
                <w:rFonts w:asciiTheme="majorBidi" w:hAnsiTheme="majorBidi" w:cstheme="majorBidi"/>
                <w:noProof/>
                <w:webHidden/>
                <w:sz w:val="24"/>
                <w:szCs w:val="24"/>
              </w:rPr>
              <w:fldChar w:fldCharType="end"/>
            </w:r>
          </w:hyperlink>
        </w:p>
        <w:p w14:paraId="797F2978" w14:textId="77777777" w:rsidR="00C1442D" w:rsidRPr="00C1442D" w:rsidRDefault="00C1442D" w:rsidP="00C1442D">
          <w:pPr>
            <w:pStyle w:val="TOC1"/>
            <w:tabs>
              <w:tab w:val="right" w:leader="dot" w:pos="9019"/>
            </w:tabs>
            <w:spacing w:line="360" w:lineRule="auto"/>
            <w:jc w:val="both"/>
            <w:rPr>
              <w:rFonts w:asciiTheme="majorBidi" w:hAnsiTheme="majorBidi" w:cstheme="majorBidi"/>
              <w:noProof/>
              <w:sz w:val="24"/>
              <w:szCs w:val="24"/>
            </w:rPr>
          </w:pPr>
          <w:hyperlink w:anchor="_Toc235636247" w:history="1">
            <w:r w:rsidRPr="00C1442D">
              <w:rPr>
                <w:rStyle w:val="Hyperlink"/>
                <w:rFonts w:asciiTheme="majorBidi" w:hAnsiTheme="majorBidi" w:cstheme="majorBidi"/>
                <w:noProof/>
                <w:sz w:val="24"/>
                <w:szCs w:val="24"/>
              </w:rPr>
              <w:t>2. Research aim, objectives and questions</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_Toc235636247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2</w:t>
            </w:r>
            <w:r w:rsidR="002E7F45" w:rsidRPr="00C1442D">
              <w:rPr>
                <w:rFonts w:asciiTheme="majorBidi" w:hAnsiTheme="majorBidi" w:cstheme="majorBidi"/>
                <w:noProof/>
                <w:webHidden/>
                <w:sz w:val="24"/>
                <w:szCs w:val="24"/>
              </w:rPr>
              <w:fldChar w:fldCharType="end"/>
            </w:r>
          </w:hyperlink>
        </w:p>
        <w:p w14:paraId="797F2979" w14:textId="77777777" w:rsidR="00C1442D" w:rsidRPr="00C1442D" w:rsidRDefault="00C1442D" w:rsidP="00C1442D">
          <w:pPr>
            <w:pStyle w:val="TOC2"/>
            <w:tabs>
              <w:tab w:val="right" w:leader="dot" w:pos="9019"/>
            </w:tabs>
            <w:spacing w:line="360" w:lineRule="auto"/>
            <w:jc w:val="both"/>
            <w:rPr>
              <w:rFonts w:asciiTheme="majorBidi" w:hAnsiTheme="majorBidi" w:cstheme="majorBidi"/>
              <w:noProof/>
              <w:sz w:val="24"/>
              <w:szCs w:val="24"/>
            </w:rPr>
          </w:pPr>
          <w:hyperlink w:anchor="_Toc235636248" w:history="1">
            <w:r w:rsidRPr="00C1442D">
              <w:rPr>
                <w:rStyle w:val="Hyperlink"/>
                <w:rFonts w:asciiTheme="majorBidi" w:hAnsiTheme="majorBidi" w:cstheme="majorBidi"/>
                <w:noProof/>
                <w:sz w:val="24"/>
                <w:szCs w:val="24"/>
              </w:rPr>
              <w:t>Aim</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_Toc235636248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2</w:t>
            </w:r>
            <w:r w:rsidR="002E7F45" w:rsidRPr="00C1442D">
              <w:rPr>
                <w:rFonts w:asciiTheme="majorBidi" w:hAnsiTheme="majorBidi" w:cstheme="majorBidi"/>
                <w:noProof/>
                <w:webHidden/>
                <w:sz w:val="24"/>
                <w:szCs w:val="24"/>
              </w:rPr>
              <w:fldChar w:fldCharType="end"/>
            </w:r>
          </w:hyperlink>
        </w:p>
        <w:p w14:paraId="797F297A" w14:textId="77777777" w:rsidR="00C1442D" w:rsidRPr="00C1442D" w:rsidRDefault="00C1442D" w:rsidP="00C1442D">
          <w:pPr>
            <w:pStyle w:val="TOC2"/>
            <w:tabs>
              <w:tab w:val="right" w:leader="dot" w:pos="9019"/>
            </w:tabs>
            <w:spacing w:line="360" w:lineRule="auto"/>
            <w:jc w:val="both"/>
            <w:rPr>
              <w:rFonts w:asciiTheme="majorBidi" w:hAnsiTheme="majorBidi" w:cstheme="majorBidi"/>
              <w:noProof/>
              <w:sz w:val="24"/>
              <w:szCs w:val="24"/>
            </w:rPr>
          </w:pPr>
          <w:hyperlink w:anchor="_Toc235636249" w:history="1">
            <w:r w:rsidRPr="00C1442D">
              <w:rPr>
                <w:rStyle w:val="Hyperlink"/>
                <w:rFonts w:asciiTheme="majorBidi" w:hAnsiTheme="majorBidi" w:cstheme="majorBidi"/>
                <w:noProof/>
                <w:sz w:val="24"/>
                <w:szCs w:val="24"/>
              </w:rPr>
              <w:t>Objectives</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_Toc235636249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3</w:t>
            </w:r>
            <w:r w:rsidR="002E7F45" w:rsidRPr="00C1442D">
              <w:rPr>
                <w:rFonts w:asciiTheme="majorBidi" w:hAnsiTheme="majorBidi" w:cstheme="majorBidi"/>
                <w:noProof/>
                <w:webHidden/>
                <w:sz w:val="24"/>
                <w:szCs w:val="24"/>
              </w:rPr>
              <w:fldChar w:fldCharType="end"/>
            </w:r>
          </w:hyperlink>
        </w:p>
        <w:p w14:paraId="797F297B" w14:textId="77777777" w:rsidR="00C1442D" w:rsidRPr="00C1442D" w:rsidRDefault="00C1442D" w:rsidP="00C1442D">
          <w:pPr>
            <w:pStyle w:val="TOC2"/>
            <w:tabs>
              <w:tab w:val="right" w:leader="dot" w:pos="9019"/>
            </w:tabs>
            <w:spacing w:line="360" w:lineRule="auto"/>
            <w:jc w:val="both"/>
            <w:rPr>
              <w:rFonts w:asciiTheme="majorBidi" w:hAnsiTheme="majorBidi" w:cstheme="majorBidi"/>
              <w:noProof/>
              <w:sz w:val="24"/>
              <w:szCs w:val="24"/>
            </w:rPr>
          </w:pPr>
          <w:hyperlink w:anchor="_Toc235636250" w:history="1">
            <w:r w:rsidRPr="00C1442D">
              <w:rPr>
                <w:rStyle w:val="Hyperlink"/>
                <w:rFonts w:asciiTheme="majorBidi" w:hAnsiTheme="majorBidi" w:cstheme="majorBidi"/>
                <w:noProof/>
                <w:sz w:val="24"/>
                <w:szCs w:val="24"/>
              </w:rPr>
              <w:t>Research questions</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_Toc235636250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3</w:t>
            </w:r>
            <w:r w:rsidR="002E7F45" w:rsidRPr="00C1442D">
              <w:rPr>
                <w:rFonts w:asciiTheme="majorBidi" w:hAnsiTheme="majorBidi" w:cstheme="majorBidi"/>
                <w:noProof/>
                <w:webHidden/>
                <w:sz w:val="24"/>
                <w:szCs w:val="24"/>
              </w:rPr>
              <w:fldChar w:fldCharType="end"/>
            </w:r>
          </w:hyperlink>
        </w:p>
        <w:p w14:paraId="797F297C" w14:textId="77777777" w:rsidR="00C1442D" w:rsidRPr="00C1442D" w:rsidRDefault="00C1442D" w:rsidP="00C1442D">
          <w:pPr>
            <w:pStyle w:val="TOC1"/>
            <w:tabs>
              <w:tab w:val="right" w:leader="dot" w:pos="9019"/>
            </w:tabs>
            <w:spacing w:line="360" w:lineRule="auto"/>
            <w:jc w:val="both"/>
            <w:rPr>
              <w:rFonts w:asciiTheme="majorBidi" w:hAnsiTheme="majorBidi" w:cstheme="majorBidi"/>
              <w:noProof/>
              <w:sz w:val="24"/>
              <w:szCs w:val="24"/>
            </w:rPr>
          </w:pPr>
          <w:hyperlink w:anchor="_Toc235636251" w:history="1">
            <w:r w:rsidRPr="00C1442D">
              <w:rPr>
                <w:rStyle w:val="Hyperlink"/>
                <w:rFonts w:asciiTheme="majorBidi" w:hAnsiTheme="majorBidi" w:cstheme="majorBidi"/>
                <w:noProof/>
                <w:sz w:val="24"/>
                <w:szCs w:val="24"/>
              </w:rPr>
              <w:t>3. Critical literature review</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_Toc235636251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3</w:t>
            </w:r>
            <w:r w:rsidR="002E7F45" w:rsidRPr="00C1442D">
              <w:rPr>
                <w:rFonts w:asciiTheme="majorBidi" w:hAnsiTheme="majorBidi" w:cstheme="majorBidi"/>
                <w:noProof/>
                <w:webHidden/>
                <w:sz w:val="24"/>
                <w:szCs w:val="24"/>
              </w:rPr>
              <w:fldChar w:fldCharType="end"/>
            </w:r>
          </w:hyperlink>
        </w:p>
        <w:p w14:paraId="797F297D" w14:textId="77777777" w:rsidR="00C1442D" w:rsidRPr="00C1442D" w:rsidRDefault="00C1442D" w:rsidP="00C1442D">
          <w:pPr>
            <w:pStyle w:val="TOC2"/>
            <w:tabs>
              <w:tab w:val="right" w:leader="dot" w:pos="9019"/>
            </w:tabs>
            <w:spacing w:line="360" w:lineRule="auto"/>
            <w:jc w:val="both"/>
            <w:rPr>
              <w:rFonts w:asciiTheme="majorBidi" w:hAnsiTheme="majorBidi" w:cstheme="majorBidi"/>
              <w:noProof/>
              <w:sz w:val="24"/>
              <w:szCs w:val="24"/>
            </w:rPr>
          </w:pPr>
          <w:hyperlink w:anchor="_Toc235636252" w:history="1">
            <w:r w:rsidRPr="00C1442D">
              <w:rPr>
                <w:rStyle w:val="Hyperlink"/>
                <w:rFonts w:asciiTheme="majorBidi" w:hAnsiTheme="majorBidi" w:cstheme="majorBidi"/>
                <w:noProof/>
                <w:sz w:val="24"/>
                <w:szCs w:val="24"/>
              </w:rPr>
              <w:t>Empirical studies</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_Toc235636252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3</w:t>
            </w:r>
            <w:r w:rsidR="002E7F45" w:rsidRPr="00C1442D">
              <w:rPr>
                <w:rFonts w:asciiTheme="majorBidi" w:hAnsiTheme="majorBidi" w:cstheme="majorBidi"/>
                <w:noProof/>
                <w:webHidden/>
                <w:sz w:val="24"/>
                <w:szCs w:val="24"/>
              </w:rPr>
              <w:fldChar w:fldCharType="end"/>
            </w:r>
          </w:hyperlink>
        </w:p>
        <w:p w14:paraId="797F297E" w14:textId="77777777" w:rsidR="00C1442D" w:rsidRPr="00C1442D" w:rsidRDefault="00C1442D" w:rsidP="00C1442D">
          <w:pPr>
            <w:pStyle w:val="TOC2"/>
            <w:tabs>
              <w:tab w:val="right" w:leader="dot" w:pos="9019"/>
            </w:tabs>
            <w:spacing w:line="360" w:lineRule="auto"/>
            <w:jc w:val="both"/>
            <w:rPr>
              <w:rFonts w:asciiTheme="majorBidi" w:hAnsiTheme="majorBidi" w:cstheme="majorBidi"/>
              <w:noProof/>
              <w:sz w:val="24"/>
              <w:szCs w:val="24"/>
            </w:rPr>
          </w:pPr>
          <w:hyperlink w:anchor="_Toc235636253" w:history="1">
            <w:r w:rsidRPr="00C1442D">
              <w:rPr>
                <w:rStyle w:val="Hyperlink"/>
                <w:rFonts w:asciiTheme="majorBidi" w:hAnsiTheme="majorBidi" w:cstheme="majorBidi"/>
                <w:noProof/>
                <w:sz w:val="24"/>
                <w:szCs w:val="24"/>
              </w:rPr>
              <w:t>Theoretical framework</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_Toc235636253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4</w:t>
            </w:r>
            <w:r w:rsidR="002E7F45" w:rsidRPr="00C1442D">
              <w:rPr>
                <w:rFonts w:asciiTheme="majorBidi" w:hAnsiTheme="majorBidi" w:cstheme="majorBidi"/>
                <w:noProof/>
                <w:webHidden/>
                <w:sz w:val="24"/>
                <w:szCs w:val="24"/>
              </w:rPr>
              <w:fldChar w:fldCharType="end"/>
            </w:r>
          </w:hyperlink>
        </w:p>
        <w:p w14:paraId="797F297F" w14:textId="77777777" w:rsidR="00C1442D" w:rsidRPr="00C1442D" w:rsidRDefault="00C1442D" w:rsidP="00C1442D">
          <w:pPr>
            <w:pStyle w:val="TOC2"/>
            <w:tabs>
              <w:tab w:val="right" w:leader="dot" w:pos="9019"/>
            </w:tabs>
            <w:spacing w:line="360" w:lineRule="auto"/>
            <w:jc w:val="both"/>
            <w:rPr>
              <w:rFonts w:asciiTheme="majorBidi" w:hAnsiTheme="majorBidi" w:cstheme="majorBidi"/>
              <w:noProof/>
              <w:sz w:val="24"/>
              <w:szCs w:val="24"/>
            </w:rPr>
          </w:pPr>
          <w:hyperlink w:anchor="_Toc235636254" w:history="1">
            <w:r w:rsidRPr="00C1442D">
              <w:rPr>
                <w:rStyle w:val="Hyperlink"/>
                <w:rFonts w:asciiTheme="majorBidi" w:hAnsiTheme="majorBidi" w:cstheme="majorBidi"/>
                <w:noProof/>
                <w:sz w:val="24"/>
                <w:szCs w:val="24"/>
              </w:rPr>
              <w:t>Literature gaps and ways to address them</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_Toc235636254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5</w:t>
            </w:r>
            <w:r w:rsidR="002E7F45" w:rsidRPr="00C1442D">
              <w:rPr>
                <w:rFonts w:asciiTheme="majorBidi" w:hAnsiTheme="majorBidi" w:cstheme="majorBidi"/>
                <w:noProof/>
                <w:webHidden/>
                <w:sz w:val="24"/>
                <w:szCs w:val="24"/>
              </w:rPr>
              <w:fldChar w:fldCharType="end"/>
            </w:r>
          </w:hyperlink>
        </w:p>
        <w:p w14:paraId="797F2980" w14:textId="77777777" w:rsidR="00C1442D" w:rsidRPr="00C1442D" w:rsidRDefault="00C1442D" w:rsidP="00C1442D">
          <w:pPr>
            <w:pStyle w:val="TOC1"/>
            <w:tabs>
              <w:tab w:val="right" w:leader="dot" w:pos="9019"/>
            </w:tabs>
            <w:spacing w:line="360" w:lineRule="auto"/>
            <w:jc w:val="both"/>
            <w:rPr>
              <w:rFonts w:asciiTheme="majorBidi" w:hAnsiTheme="majorBidi" w:cstheme="majorBidi"/>
              <w:noProof/>
              <w:sz w:val="24"/>
              <w:szCs w:val="24"/>
            </w:rPr>
          </w:pPr>
          <w:hyperlink w:anchor="_Toc235636255" w:history="1">
            <w:r w:rsidRPr="00C1442D">
              <w:rPr>
                <w:rStyle w:val="Hyperlink"/>
                <w:rFonts w:asciiTheme="majorBidi" w:hAnsiTheme="majorBidi" w:cstheme="majorBidi"/>
                <w:noProof/>
                <w:sz w:val="24"/>
                <w:szCs w:val="24"/>
              </w:rPr>
              <w:t>4. Research methodology and design</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_Toc235636255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6</w:t>
            </w:r>
            <w:r w:rsidR="002E7F45" w:rsidRPr="00C1442D">
              <w:rPr>
                <w:rFonts w:asciiTheme="majorBidi" w:hAnsiTheme="majorBidi" w:cstheme="majorBidi"/>
                <w:noProof/>
                <w:webHidden/>
                <w:sz w:val="24"/>
                <w:szCs w:val="24"/>
              </w:rPr>
              <w:fldChar w:fldCharType="end"/>
            </w:r>
          </w:hyperlink>
        </w:p>
        <w:p w14:paraId="797F2981" w14:textId="77777777" w:rsidR="00C1442D" w:rsidRPr="00C1442D" w:rsidRDefault="00C1442D" w:rsidP="00C1442D">
          <w:pPr>
            <w:pStyle w:val="TOC2"/>
            <w:tabs>
              <w:tab w:val="right" w:leader="dot" w:pos="9019"/>
            </w:tabs>
            <w:spacing w:line="360" w:lineRule="auto"/>
            <w:jc w:val="both"/>
            <w:rPr>
              <w:rFonts w:asciiTheme="majorBidi" w:hAnsiTheme="majorBidi" w:cstheme="majorBidi"/>
              <w:noProof/>
              <w:sz w:val="24"/>
              <w:szCs w:val="24"/>
            </w:rPr>
          </w:pPr>
          <w:hyperlink w:anchor="_Toc235636256" w:history="1">
            <w:r w:rsidRPr="00C1442D">
              <w:rPr>
                <w:rStyle w:val="Hyperlink"/>
                <w:rFonts w:asciiTheme="majorBidi" w:hAnsiTheme="majorBidi" w:cstheme="majorBidi"/>
                <w:noProof/>
                <w:sz w:val="24"/>
                <w:szCs w:val="24"/>
              </w:rPr>
              <w:t>Research approach</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_Toc235636256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6</w:t>
            </w:r>
            <w:r w:rsidR="002E7F45" w:rsidRPr="00C1442D">
              <w:rPr>
                <w:rFonts w:asciiTheme="majorBidi" w:hAnsiTheme="majorBidi" w:cstheme="majorBidi"/>
                <w:noProof/>
                <w:webHidden/>
                <w:sz w:val="24"/>
                <w:szCs w:val="24"/>
              </w:rPr>
              <w:fldChar w:fldCharType="end"/>
            </w:r>
          </w:hyperlink>
        </w:p>
        <w:p w14:paraId="797F2982" w14:textId="77777777" w:rsidR="00C1442D" w:rsidRPr="00C1442D" w:rsidRDefault="00C1442D" w:rsidP="00C1442D">
          <w:pPr>
            <w:pStyle w:val="TOC2"/>
            <w:tabs>
              <w:tab w:val="right" w:leader="dot" w:pos="9019"/>
            </w:tabs>
            <w:spacing w:line="360" w:lineRule="auto"/>
            <w:jc w:val="both"/>
            <w:rPr>
              <w:rFonts w:asciiTheme="majorBidi" w:hAnsiTheme="majorBidi" w:cstheme="majorBidi"/>
              <w:noProof/>
              <w:sz w:val="24"/>
              <w:szCs w:val="24"/>
            </w:rPr>
          </w:pPr>
          <w:hyperlink w:anchor="_Toc235636257" w:history="1">
            <w:r w:rsidRPr="00C1442D">
              <w:rPr>
                <w:rStyle w:val="Hyperlink"/>
                <w:rFonts w:asciiTheme="majorBidi" w:hAnsiTheme="majorBidi" w:cstheme="majorBidi"/>
                <w:noProof/>
                <w:sz w:val="24"/>
                <w:szCs w:val="24"/>
              </w:rPr>
              <w:t>Data collection</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_Toc235636257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6</w:t>
            </w:r>
            <w:r w:rsidR="002E7F45" w:rsidRPr="00C1442D">
              <w:rPr>
                <w:rFonts w:asciiTheme="majorBidi" w:hAnsiTheme="majorBidi" w:cstheme="majorBidi"/>
                <w:noProof/>
                <w:webHidden/>
                <w:sz w:val="24"/>
                <w:szCs w:val="24"/>
              </w:rPr>
              <w:fldChar w:fldCharType="end"/>
            </w:r>
          </w:hyperlink>
        </w:p>
        <w:p w14:paraId="797F2983" w14:textId="77777777" w:rsidR="00C1442D" w:rsidRPr="00C1442D" w:rsidRDefault="00C1442D" w:rsidP="00C1442D">
          <w:pPr>
            <w:pStyle w:val="TOC2"/>
            <w:tabs>
              <w:tab w:val="right" w:leader="dot" w:pos="9019"/>
            </w:tabs>
            <w:spacing w:line="360" w:lineRule="auto"/>
            <w:jc w:val="both"/>
            <w:rPr>
              <w:rFonts w:asciiTheme="majorBidi" w:hAnsiTheme="majorBidi" w:cstheme="majorBidi"/>
              <w:noProof/>
              <w:sz w:val="24"/>
              <w:szCs w:val="24"/>
            </w:rPr>
          </w:pPr>
          <w:hyperlink w:anchor="_Toc235636258" w:history="1">
            <w:r w:rsidRPr="00C1442D">
              <w:rPr>
                <w:rStyle w:val="Hyperlink"/>
                <w:rFonts w:asciiTheme="majorBidi" w:hAnsiTheme="majorBidi" w:cstheme="majorBidi"/>
                <w:noProof/>
                <w:sz w:val="24"/>
                <w:szCs w:val="24"/>
              </w:rPr>
              <w:t>Data analysis</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_Toc235636258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6</w:t>
            </w:r>
            <w:r w:rsidR="002E7F45" w:rsidRPr="00C1442D">
              <w:rPr>
                <w:rFonts w:asciiTheme="majorBidi" w:hAnsiTheme="majorBidi" w:cstheme="majorBidi"/>
                <w:noProof/>
                <w:webHidden/>
                <w:sz w:val="24"/>
                <w:szCs w:val="24"/>
              </w:rPr>
              <w:fldChar w:fldCharType="end"/>
            </w:r>
          </w:hyperlink>
        </w:p>
        <w:p w14:paraId="797F2984" w14:textId="77777777" w:rsidR="00C1442D" w:rsidRPr="00C1442D" w:rsidRDefault="00C1442D" w:rsidP="00C1442D">
          <w:pPr>
            <w:pStyle w:val="TOC2"/>
            <w:tabs>
              <w:tab w:val="right" w:leader="dot" w:pos="9019"/>
            </w:tabs>
            <w:spacing w:line="360" w:lineRule="auto"/>
            <w:jc w:val="both"/>
            <w:rPr>
              <w:rFonts w:asciiTheme="majorBidi" w:hAnsiTheme="majorBidi" w:cstheme="majorBidi"/>
              <w:noProof/>
              <w:sz w:val="24"/>
              <w:szCs w:val="24"/>
            </w:rPr>
          </w:pPr>
          <w:hyperlink w:anchor="_Toc235636259" w:history="1">
            <w:r w:rsidRPr="00C1442D">
              <w:rPr>
                <w:rStyle w:val="Hyperlink"/>
                <w:rFonts w:asciiTheme="majorBidi" w:hAnsiTheme="majorBidi" w:cstheme="majorBidi"/>
                <w:noProof/>
                <w:sz w:val="24"/>
                <w:szCs w:val="24"/>
              </w:rPr>
              <w:t>Sampling</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_Toc235636259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6</w:t>
            </w:r>
            <w:r w:rsidR="002E7F45" w:rsidRPr="00C1442D">
              <w:rPr>
                <w:rFonts w:asciiTheme="majorBidi" w:hAnsiTheme="majorBidi" w:cstheme="majorBidi"/>
                <w:noProof/>
                <w:webHidden/>
                <w:sz w:val="24"/>
                <w:szCs w:val="24"/>
              </w:rPr>
              <w:fldChar w:fldCharType="end"/>
            </w:r>
          </w:hyperlink>
        </w:p>
        <w:p w14:paraId="797F2985" w14:textId="77777777" w:rsidR="00C1442D" w:rsidRPr="00C1442D" w:rsidRDefault="00C1442D" w:rsidP="00C1442D">
          <w:pPr>
            <w:pStyle w:val="TOC2"/>
            <w:tabs>
              <w:tab w:val="right" w:leader="dot" w:pos="9019"/>
            </w:tabs>
            <w:spacing w:line="360" w:lineRule="auto"/>
            <w:jc w:val="both"/>
            <w:rPr>
              <w:rFonts w:asciiTheme="majorBidi" w:hAnsiTheme="majorBidi" w:cstheme="majorBidi"/>
              <w:noProof/>
              <w:sz w:val="24"/>
              <w:szCs w:val="24"/>
            </w:rPr>
          </w:pPr>
          <w:hyperlink w:anchor="_Toc235636260" w:history="1">
            <w:r w:rsidRPr="00C1442D">
              <w:rPr>
                <w:rStyle w:val="Hyperlink"/>
                <w:rFonts w:asciiTheme="majorBidi" w:hAnsiTheme="majorBidi" w:cstheme="majorBidi"/>
                <w:noProof/>
                <w:sz w:val="24"/>
                <w:szCs w:val="24"/>
              </w:rPr>
              <w:t>Research ethics</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_Toc235636260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7</w:t>
            </w:r>
            <w:r w:rsidR="002E7F45" w:rsidRPr="00C1442D">
              <w:rPr>
                <w:rFonts w:asciiTheme="majorBidi" w:hAnsiTheme="majorBidi" w:cstheme="majorBidi"/>
                <w:noProof/>
                <w:webHidden/>
                <w:sz w:val="24"/>
                <w:szCs w:val="24"/>
              </w:rPr>
              <w:fldChar w:fldCharType="end"/>
            </w:r>
          </w:hyperlink>
        </w:p>
        <w:p w14:paraId="797F2986" w14:textId="77777777" w:rsidR="00C1442D" w:rsidRPr="00C1442D" w:rsidRDefault="00C1442D" w:rsidP="00C1442D">
          <w:pPr>
            <w:pStyle w:val="TOC2"/>
            <w:tabs>
              <w:tab w:val="right" w:leader="dot" w:pos="9019"/>
            </w:tabs>
            <w:spacing w:line="360" w:lineRule="auto"/>
            <w:jc w:val="both"/>
            <w:rPr>
              <w:rFonts w:asciiTheme="majorBidi" w:hAnsiTheme="majorBidi" w:cstheme="majorBidi"/>
              <w:noProof/>
              <w:sz w:val="24"/>
              <w:szCs w:val="24"/>
            </w:rPr>
          </w:pPr>
          <w:hyperlink w:anchor="_Toc235636261" w:history="1">
            <w:r w:rsidRPr="00C1442D">
              <w:rPr>
                <w:rStyle w:val="Hyperlink"/>
                <w:rFonts w:asciiTheme="majorBidi" w:hAnsiTheme="majorBidi" w:cstheme="majorBidi"/>
                <w:noProof/>
                <w:sz w:val="24"/>
                <w:szCs w:val="24"/>
              </w:rPr>
              <w:t>Reliability and Validity</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_Toc235636261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7</w:t>
            </w:r>
            <w:r w:rsidR="002E7F45" w:rsidRPr="00C1442D">
              <w:rPr>
                <w:rFonts w:asciiTheme="majorBidi" w:hAnsiTheme="majorBidi" w:cstheme="majorBidi"/>
                <w:noProof/>
                <w:webHidden/>
                <w:sz w:val="24"/>
                <w:szCs w:val="24"/>
              </w:rPr>
              <w:fldChar w:fldCharType="end"/>
            </w:r>
          </w:hyperlink>
        </w:p>
        <w:p w14:paraId="797F2987" w14:textId="77777777" w:rsidR="00C1442D" w:rsidRPr="00C1442D" w:rsidRDefault="00C1442D" w:rsidP="00C1442D">
          <w:pPr>
            <w:pStyle w:val="TOC1"/>
            <w:tabs>
              <w:tab w:val="right" w:leader="dot" w:pos="9019"/>
            </w:tabs>
            <w:spacing w:line="360" w:lineRule="auto"/>
            <w:jc w:val="both"/>
            <w:rPr>
              <w:rFonts w:asciiTheme="majorBidi" w:hAnsiTheme="majorBidi" w:cstheme="majorBidi"/>
              <w:noProof/>
              <w:sz w:val="24"/>
              <w:szCs w:val="24"/>
            </w:rPr>
          </w:pPr>
          <w:hyperlink w:anchor="_Toc235636262" w:history="1">
            <w:r w:rsidRPr="00C1442D">
              <w:rPr>
                <w:rStyle w:val="Hyperlink"/>
                <w:rFonts w:asciiTheme="majorBidi" w:hAnsiTheme="majorBidi" w:cstheme="majorBidi"/>
                <w:noProof/>
                <w:sz w:val="24"/>
                <w:szCs w:val="24"/>
              </w:rPr>
              <w:t>5. Business relevance and practical implications</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_Toc235636262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7</w:t>
            </w:r>
            <w:r w:rsidR="002E7F45" w:rsidRPr="00C1442D">
              <w:rPr>
                <w:rFonts w:asciiTheme="majorBidi" w:hAnsiTheme="majorBidi" w:cstheme="majorBidi"/>
                <w:noProof/>
                <w:webHidden/>
                <w:sz w:val="24"/>
                <w:szCs w:val="24"/>
              </w:rPr>
              <w:fldChar w:fldCharType="end"/>
            </w:r>
          </w:hyperlink>
        </w:p>
        <w:p w14:paraId="797F2988" w14:textId="77777777" w:rsidR="00C1442D" w:rsidRPr="00C1442D" w:rsidRDefault="00C1442D" w:rsidP="00C1442D">
          <w:pPr>
            <w:pStyle w:val="TOC1"/>
            <w:tabs>
              <w:tab w:val="right" w:leader="dot" w:pos="9019"/>
            </w:tabs>
            <w:spacing w:line="360" w:lineRule="auto"/>
            <w:jc w:val="both"/>
            <w:rPr>
              <w:rFonts w:asciiTheme="majorBidi" w:hAnsiTheme="majorBidi" w:cstheme="majorBidi"/>
              <w:noProof/>
              <w:sz w:val="24"/>
              <w:szCs w:val="24"/>
            </w:rPr>
          </w:pPr>
          <w:hyperlink w:anchor="_Toc235636263" w:history="1">
            <w:r w:rsidRPr="00C1442D">
              <w:rPr>
                <w:rStyle w:val="Hyperlink"/>
                <w:rFonts w:asciiTheme="majorBidi" w:hAnsiTheme="majorBidi" w:cstheme="majorBidi"/>
                <w:noProof/>
                <w:sz w:val="24"/>
                <w:szCs w:val="24"/>
              </w:rPr>
              <w:t>6. Reference list</w:t>
            </w:r>
            <w:r w:rsidRPr="00C1442D">
              <w:rPr>
                <w:rFonts w:asciiTheme="majorBidi" w:hAnsiTheme="majorBidi" w:cstheme="majorBidi"/>
                <w:noProof/>
                <w:webHidden/>
                <w:sz w:val="24"/>
                <w:szCs w:val="24"/>
              </w:rPr>
              <w:tab/>
            </w:r>
            <w:r w:rsidR="002E7F45" w:rsidRPr="00C1442D">
              <w:rPr>
                <w:rFonts w:asciiTheme="majorBidi" w:hAnsiTheme="majorBidi" w:cstheme="majorBidi"/>
                <w:noProof/>
                <w:webHidden/>
                <w:sz w:val="24"/>
                <w:szCs w:val="24"/>
              </w:rPr>
              <w:fldChar w:fldCharType="begin"/>
            </w:r>
            <w:r w:rsidRPr="00C1442D">
              <w:rPr>
                <w:rFonts w:asciiTheme="majorBidi" w:hAnsiTheme="majorBidi" w:cstheme="majorBidi"/>
                <w:noProof/>
                <w:webHidden/>
                <w:sz w:val="24"/>
                <w:szCs w:val="24"/>
              </w:rPr>
              <w:instrText xml:space="preserve"> PAGEREF _Toc235636263 \h </w:instrText>
            </w:r>
            <w:r w:rsidR="002E7F45" w:rsidRPr="00C1442D">
              <w:rPr>
                <w:rFonts w:asciiTheme="majorBidi" w:hAnsiTheme="majorBidi" w:cstheme="majorBidi"/>
                <w:noProof/>
                <w:webHidden/>
                <w:sz w:val="24"/>
                <w:szCs w:val="24"/>
              </w:rPr>
            </w:r>
            <w:r w:rsidR="002E7F45" w:rsidRPr="00C1442D">
              <w:rPr>
                <w:rFonts w:asciiTheme="majorBidi" w:hAnsiTheme="majorBidi" w:cstheme="majorBidi"/>
                <w:noProof/>
                <w:webHidden/>
                <w:sz w:val="24"/>
                <w:szCs w:val="24"/>
              </w:rPr>
              <w:fldChar w:fldCharType="separate"/>
            </w:r>
            <w:r w:rsidRPr="00C1442D">
              <w:rPr>
                <w:rFonts w:asciiTheme="majorBidi" w:hAnsiTheme="majorBidi" w:cstheme="majorBidi"/>
                <w:noProof/>
                <w:webHidden/>
                <w:sz w:val="24"/>
                <w:szCs w:val="24"/>
              </w:rPr>
              <w:t>9</w:t>
            </w:r>
            <w:r w:rsidR="002E7F45" w:rsidRPr="00C1442D">
              <w:rPr>
                <w:rFonts w:asciiTheme="majorBidi" w:hAnsiTheme="majorBidi" w:cstheme="majorBidi"/>
                <w:noProof/>
                <w:webHidden/>
                <w:sz w:val="24"/>
                <w:szCs w:val="24"/>
              </w:rPr>
              <w:fldChar w:fldCharType="end"/>
            </w:r>
          </w:hyperlink>
        </w:p>
        <w:p w14:paraId="797F2989" w14:textId="77777777" w:rsidR="00C1442D" w:rsidRDefault="002E7F45">
          <w:r>
            <w:rPr>
              <w:b/>
              <w:bCs/>
              <w:noProof/>
            </w:rPr>
            <w:fldChar w:fldCharType="end"/>
          </w:r>
        </w:p>
      </w:sdtContent>
    </w:sdt>
    <w:p w14:paraId="797F298A" w14:textId="77777777" w:rsidR="00C1442D" w:rsidRDefault="00C1442D">
      <w:pPr>
        <w:rPr>
          <w:rFonts w:ascii="Times New Roman" w:eastAsia="Times New Roman" w:hAnsi="Times New Roman" w:cs="Times New Roman"/>
          <w:b/>
          <w:bCs/>
          <w:sz w:val="28"/>
          <w:szCs w:val="28"/>
        </w:rPr>
      </w:pPr>
      <w:bookmarkStart w:id="2" w:name="_Toc235636246"/>
      <w:r>
        <w:br w:type="page"/>
      </w:r>
    </w:p>
    <w:p w14:paraId="797F298B" w14:textId="77777777" w:rsidR="00E93C26" w:rsidRDefault="00096E10">
      <w:pPr>
        <w:pStyle w:val="Heading1"/>
        <w:spacing w:line="360" w:lineRule="auto"/>
        <w:jc w:val="both"/>
      </w:pPr>
      <w:r>
        <w:lastRenderedPageBreak/>
        <w:t>1. Introduction of the business problem</w:t>
      </w:r>
      <w:bookmarkEnd w:id="2"/>
    </w:p>
    <w:p w14:paraId="797F298C"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NVIDIA has evolved from being a graphics processing unit (GPU) manufacturer to a global leader in accelerated artificial intelligence (AI) and computing infrastructure since its foundation in 1993 (Nvidia.com, 2026). The AI platforms of the organisation include power-generating AI applications, large language models, cloud computing, Hopper and Blackwell architectures, and many more, which are becoming increasingly popular in recent business environments driven by digital technologies. The rapid adoption of generative AI by technology organisations has increased the global demand for NVIDIA's AI chips while making its Data Centre business a primary growth engine of the organisation. In the year 2026, NVIDIA generated revenue of US$215.9 billion, representing a 65% increase, which is primarily driven by strong demand from customers for the Blackwell platform (Yahoo Finance, 2026).</w:t>
      </w:r>
    </w:p>
    <w:p w14:paraId="797F298D"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unprecedented demand, which has enhanced the competitive position of NVIDIA, a significant business challenge of meeting the rapidly growing demand for AI chips and at the same time maintaining a sustainable business model has been crucial for the company. It has been identified that the limited manufacturing capacity of semiconductors, geopolitical uncertainty, export restrictions and complex supply chains are responsible for increasing the risk of production and, at the same time constant the timely delivery of AI hardware (</w:t>
      </w:r>
      <w:r>
        <w:rPr>
          <w:rFonts w:ascii="Times New Roman" w:eastAsia="Times New Roman" w:hAnsi="Times New Roman" w:cs="Times New Roman"/>
          <w:color w:val="222222"/>
          <w:sz w:val="24"/>
          <w:szCs w:val="24"/>
          <w:highlight w:val="white"/>
        </w:rPr>
        <w:t xml:space="preserve">Xiong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2025)</w:t>
      </w:r>
      <w:r>
        <w:rPr>
          <w:rFonts w:ascii="Times New Roman" w:eastAsia="Times New Roman" w:hAnsi="Times New Roman" w:cs="Times New Roman"/>
          <w:sz w:val="24"/>
          <w:szCs w:val="24"/>
        </w:rPr>
        <w:t xml:space="preserve">. Alongside that, the deployment and production of AI infrastructure is able to consume a substantial </w:t>
      </w:r>
      <w:r w:rsidR="00CC5242">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of raw materials, water and energy, creating increasing pressure from investors, customers and regulators to meet environmental sustainability requirements.</w:t>
      </w:r>
    </w:p>
    <w:p w14:paraId="797F298E"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strategic significance of the issue is evident for NVIDIA as it is important for the organisation to maintain technological leadership, achieve sustainability commitments, and at the same time satisfy the expanding demand of customers. Therefore, understanding the strategy to meet the rising demand for AI chips while maintaining sustainable busines</w:t>
      </w:r>
      <w:r w:rsidR="00AA4250">
        <w:rPr>
          <w:rFonts w:ascii="Times New Roman" w:eastAsia="Times New Roman" w:hAnsi="Times New Roman" w:cs="Times New Roman"/>
          <w:sz w:val="24"/>
          <w:szCs w:val="24"/>
        </w:rPr>
        <w:t>s practices are</w:t>
      </w:r>
      <w:r>
        <w:rPr>
          <w:rFonts w:ascii="Times New Roman" w:eastAsia="Times New Roman" w:hAnsi="Times New Roman" w:cs="Times New Roman"/>
          <w:sz w:val="24"/>
          <w:szCs w:val="24"/>
        </w:rPr>
        <w:t xml:space="preserve"> important for NVIDIA and is a crucial business research problem. </w:t>
      </w:r>
    </w:p>
    <w:p w14:paraId="797F298F" w14:textId="77777777" w:rsidR="00E93C26" w:rsidRDefault="00096E10">
      <w:pPr>
        <w:pStyle w:val="Heading1"/>
        <w:spacing w:line="360" w:lineRule="auto"/>
        <w:jc w:val="both"/>
      </w:pPr>
      <w:bookmarkStart w:id="3" w:name="_ze9i4bjso2vr" w:colFirst="0" w:colLast="0"/>
      <w:bookmarkStart w:id="4" w:name="_Toc235636247"/>
      <w:bookmarkEnd w:id="3"/>
      <w:r>
        <w:lastRenderedPageBreak/>
        <w:t>2. Research aim, objectives and questions</w:t>
      </w:r>
      <w:bookmarkEnd w:id="4"/>
    </w:p>
    <w:p w14:paraId="797F2990" w14:textId="77777777" w:rsidR="00E93C26" w:rsidRDefault="00096E10">
      <w:pPr>
        <w:pStyle w:val="Heading2"/>
        <w:spacing w:line="360" w:lineRule="auto"/>
        <w:jc w:val="both"/>
      </w:pPr>
      <w:bookmarkStart w:id="5" w:name="_mken0orcyu9c" w:colFirst="0" w:colLast="0"/>
      <w:bookmarkStart w:id="6" w:name="_Toc235636248"/>
      <w:bookmarkEnd w:id="5"/>
      <w:r>
        <w:t>Aim</w:t>
      </w:r>
      <w:bookmarkEnd w:id="6"/>
    </w:p>
    <w:p w14:paraId="797F2991"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how NVIDIA can meet the growing global demand for AI chips while maintaining a sustainable business model through operational and sustainability strategies along with an effective supply chain</w:t>
      </w:r>
    </w:p>
    <w:p w14:paraId="797F2992" w14:textId="77777777" w:rsidR="00E93C26" w:rsidRDefault="00096E10">
      <w:pPr>
        <w:pStyle w:val="Heading2"/>
        <w:spacing w:line="360" w:lineRule="auto"/>
        <w:jc w:val="both"/>
      </w:pPr>
      <w:bookmarkStart w:id="7" w:name="_67mrt77eu05" w:colFirst="0" w:colLast="0"/>
      <w:bookmarkStart w:id="8" w:name="_Toc235636249"/>
      <w:bookmarkEnd w:id="7"/>
      <w:r>
        <w:t>Objectives</w:t>
      </w:r>
      <w:bookmarkEnd w:id="8"/>
    </w:p>
    <w:p w14:paraId="797F2993" w14:textId="77777777" w:rsidR="00E93C26" w:rsidRDefault="00096E1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examine various factors influencing the increasing demand for NVIDIA’s AI chips along with operational and sustainability challenges </w:t>
      </w:r>
    </w:p>
    <w:p w14:paraId="797F2994" w14:textId="77777777" w:rsidR="00E93C26" w:rsidRDefault="00096E1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investigate the current supply chain and sustainability strategy of </w:t>
      </w:r>
      <w:r w:rsidR="00CC5242">
        <w:rPr>
          <w:rFonts w:ascii="Times New Roman" w:eastAsia="Times New Roman" w:hAnsi="Times New Roman" w:cs="Times New Roman"/>
          <w:sz w:val="24"/>
          <w:szCs w:val="24"/>
        </w:rPr>
        <w:t>NVIDIA in</w:t>
      </w:r>
      <w:r>
        <w:rPr>
          <w:rFonts w:ascii="Times New Roman" w:eastAsia="Times New Roman" w:hAnsi="Times New Roman" w:cs="Times New Roman"/>
          <w:sz w:val="24"/>
          <w:szCs w:val="24"/>
        </w:rPr>
        <w:t xml:space="preserve"> balancing the production of AI chips with environmental and business objectives </w:t>
      </w:r>
    </w:p>
    <w:p w14:paraId="797F2995" w14:textId="77777777" w:rsidR="00E93C26" w:rsidRDefault="00096E1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highlight opportunities for enhancing the capability of NVIDIA to meet the AI demand for the future while supporting long-term sustainable business growth</w:t>
      </w:r>
    </w:p>
    <w:p w14:paraId="797F2996" w14:textId="77777777" w:rsidR="00E93C26" w:rsidRDefault="00096E10">
      <w:pPr>
        <w:pStyle w:val="Heading2"/>
        <w:spacing w:line="360" w:lineRule="auto"/>
        <w:jc w:val="both"/>
      </w:pPr>
      <w:bookmarkStart w:id="9" w:name="_qtljc73v36kd" w:colFirst="0" w:colLast="0"/>
      <w:bookmarkStart w:id="10" w:name="_Toc235636250"/>
      <w:bookmarkEnd w:id="9"/>
      <w:r>
        <w:t>Research questions</w:t>
      </w:r>
      <w:bookmarkEnd w:id="10"/>
    </w:p>
    <w:p w14:paraId="797F2997"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RQ</w:t>
      </w:r>
      <w:r w:rsidR="00CC5242">
        <w:rPr>
          <w:rFonts w:ascii="Times New Roman" w:eastAsia="Times New Roman" w:hAnsi="Times New Roman" w:cs="Times New Roman"/>
          <w:sz w:val="24"/>
          <w:szCs w:val="24"/>
        </w:rPr>
        <w:t>1: What</w:t>
      </w:r>
      <w:r>
        <w:rPr>
          <w:rFonts w:ascii="Times New Roman" w:eastAsia="Times New Roman" w:hAnsi="Times New Roman" w:cs="Times New Roman"/>
          <w:sz w:val="24"/>
          <w:szCs w:val="24"/>
        </w:rPr>
        <w:t xml:space="preserve"> are the key criteria contributing to the increasing demand for AI chips associated with challenges in terms of sustainable performance and the supply chain of NVIDIA? </w:t>
      </w:r>
    </w:p>
    <w:p w14:paraId="797F2998"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RQ2: Why is maintaining sustainability important for NVIDIA along with increasing AI production for meeting the market demand? </w:t>
      </w:r>
    </w:p>
    <w:p w14:paraId="797F2999"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RQ3: How can operational and sustainability strategies of NVIDIA be enhanced to satisfy AI demand for the future by meeting long-term sustainable growth?</w:t>
      </w:r>
    </w:p>
    <w:p w14:paraId="797F299A" w14:textId="77777777" w:rsidR="00E93C26" w:rsidRDefault="00096E10">
      <w:pPr>
        <w:pStyle w:val="Heading1"/>
        <w:spacing w:line="360" w:lineRule="auto"/>
        <w:jc w:val="both"/>
      </w:pPr>
      <w:bookmarkStart w:id="11" w:name="_e75xnbfhbi9u" w:colFirst="0" w:colLast="0"/>
      <w:bookmarkStart w:id="12" w:name="_Toc235636251"/>
      <w:bookmarkEnd w:id="11"/>
      <w:r>
        <w:t>3. Critical literature review</w:t>
      </w:r>
      <w:bookmarkEnd w:id="12"/>
    </w:p>
    <w:p w14:paraId="797F299B" w14:textId="77777777" w:rsidR="00E93C26" w:rsidRDefault="00096E10">
      <w:pPr>
        <w:pStyle w:val="Heading2"/>
      </w:pPr>
      <w:bookmarkStart w:id="13" w:name="_gd4suiljdgrx" w:colFirst="0" w:colLast="0"/>
      <w:bookmarkStart w:id="14" w:name="_Toc235636252"/>
      <w:bookmarkEnd w:id="13"/>
      <w:r>
        <w:t>Empirical studies</w:t>
      </w:r>
      <w:bookmarkEnd w:id="14"/>
    </w:p>
    <w:p w14:paraId="797F299C"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increasing commercialisation of generative AI has been effective for transforming the semiconductor industry in the process of placing NVIDIA at a critical position of global AI infrastructure. Besides, the widespread adoption of large language models, enterprise AI and cloud AI services has increased the demand for GPUs in a substantial way, which is particularly evident in terms of the Hopper and Blackwell platforms of NVIDIA. </w:t>
      </w:r>
      <w:r>
        <w:rPr>
          <w:rFonts w:ascii="Times New Roman" w:eastAsia="Times New Roman" w:hAnsi="Times New Roman" w:cs="Times New Roman"/>
          <w:color w:val="222222"/>
          <w:sz w:val="24"/>
          <w:szCs w:val="24"/>
          <w:highlight w:val="white"/>
        </w:rPr>
        <w:t>Darney (2022</w:t>
      </w:r>
      <w:r>
        <w:rPr>
          <w:rFonts w:ascii="Times New Roman" w:eastAsia="Times New Roman" w:hAnsi="Times New Roman" w:cs="Times New Roman"/>
          <w:sz w:val="24"/>
          <w:szCs w:val="24"/>
        </w:rPr>
        <w:t xml:space="preserve">) argued in this regard that the demand for AI chips is projected to continue increasing over the next decades. Considering this, TSMC, which is the primary manufacturing partner </w:t>
      </w:r>
      <w:r>
        <w:rPr>
          <w:rFonts w:ascii="Times New Roman" w:eastAsia="Times New Roman" w:hAnsi="Times New Roman" w:cs="Times New Roman"/>
          <w:sz w:val="24"/>
          <w:szCs w:val="24"/>
        </w:rPr>
        <w:lastRenderedPageBreak/>
        <w:t>of NVIDIA, is predicting a strong multi-year expansion in the demand for AI semiconductor chips and at the same time continuing to invest heavily in advanced fabrication facilities as well as packaging technology for supporting the demands of customers like NVIDIA (Nvidia Newsroom,</w:t>
      </w:r>
      <w:r w:rsidR="00AA425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2025). The organisation is noticed to increase its production capacity in Arizona, Taiwan, Europe and Japan by enhancing its advanced packaging capabilities, which portrays the fact that demand for AI is becoming structural rather than temporary.</w:t>
      </w:r>
    </w:p>
    <w:p w14:paraId="797F299D"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suggested by </w:t>
      </w:r>
      <w:r>
        <w:rPr>
          <w:rFonts w:ascii="Times New Roman" w:eastAsia="Times New Roman" w:hAnsi="Times New Roman" w:cs="Times New Roman"/>
          <w:color w:val="222222"/>
          <w:sz w:val="24"/>
          <w:szCs w:val="24"/>
          <w:highlight w:val="white"/>
        </w:rPr>
        <w:t>Kim (2022</w:t>
      </w:r>
      <w:r>
        <w:rPr>
          <w:rFonts w:ascii="Times New Roman" w:eastAsia="Times New Roman" w:hAnsi="Times New Roman" w:cs="Times New Roman"/>
          <w:sz w:val="24"/>
          <w:szCs w:val="24"/>
        </w:rPr>
        <w:t xml:space="preserve">) that the exclusive dependency on increasing product capacity is considered to be insufficient for satisfying market demand. For this, NVIDIA is following a fabless business model by outsourcing semiconductor manufacturing primarily to TSMC, along with depending on other suppliers for memory and networking components and advanced packaging facilities. The effectiveness of NVIDIA's business model is seen to concentrate on innovation but, at the same time, increases the vulnerability of the supply chain. According to </w:t>
      </w:r>
      <w:r>
        <w:rPr>
          <w:rFonts w:ascii="Times New Roman" w:eastAsia="Times New Roman" w:hAnsi="Times New Roman" w:cs="Times New Roman"/>
          <w:color w:val="222222"/>
          <w:sz w:val="24"/>
          <w:szCs w:val="24"/>
          <w:highlight w:val="white"/>
        </w:rPr>
        <w:t>Dhiman (2025</w:t>
      </w:r>
      <w:r>
        <w:rPr>
          <w:rFonts w:ascii="Times New Roman" w:eastAsia="Times New Roman" w:hAnsi="Times New Roman" w:cs="Times New Roman"/>
          <w:sz w:val="24"/>
          <w:szCs w:val="24"/>
        </w:rPr>
        <w:t>), shortages in advanced semiconductor manufacturing capacity, geopolitical tension, export restrictions, and limited CoWoS packaging availability have restricted the production of AI chips despite their significant global demand. As a consequence of this, the organisation is facing a significant operational risk in relation to supplier dependency, product scheduling and inventory management. It has been identified that the rising semiconductor manufacturing cost is also responsible for putting additional pressure on profits, along with investment in AI infrastructure continuing to increase globally (</w:t>
      </w:r>
      <w:proofErr w:type="spellStart"/>
      <w:r>
        <w:rPr>
          <w:rFonts w:ascii="Times New Roman" w:eastAsia="Times New Roman" w:hAnsi="Times New Roman" w:cs="Times New Roman"/>
          <w:color w:val="222222"/>
          <w:sz w:val="24"/>
          <w:szCs w:val="24"/>
          <w:highlight w:val="white"/>
        </w:rPr>
        <w:t>Dauvergne</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p w14:paraId="797F299E"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creating economic opportunities, AI technology also requires substantial investment in electricity power, raw materials and water throughout its life cycle. In the words of </w:t>
      </w:r>
      <w:r>
        <w:rPr>
          <w:rFonts w:ascii="Times New Roman" w:eastAsia="Times New Roman" w:hAnsi="Times New Roman" w:cs="Times New Roman"/>
          <w:color w:val="222222"/>
          <w:sz w:val="24"/>
          <w:szCs w:val="24"/>
          <w:highlight w:val="white"/>
        </w:rPr>
        <w:t xml:space="preserve">Morand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xml:space="preserve"> (2026</w:t>
      </w:r>
      <w:r>
        <w:rPr>
          <w:rFonts w:ascii="Times New Roman" w:eastAsia="Times New Roman" w:hAnsi="Times New Roman" w:cs="Times New Roman"/>
          <w:sz w:val="24"/>
          <w:szCs w:val="24"/>
        </w:rPr>
        <w:t xml:space="preserve">), the contribution of GPU manufacturing can be seen in resource depletion, electronic waste and carbon emissions, while the operation phase of AI model training is responsible for the majority of life cycle greenhouse gas emissions. In this context, NVIDIA faces challenges in balancing technology upgradation with responsible environmental management. It has been seen that the organisation has responded effectively to these challenges by integrating sustainability into its corporate strategy. </w:t>
      </w:r>
      <w:r w:rsidR="00CC5242">
        <w:rPr>
          <w:rFonts w:ascii="Times New Roman" w:eastAsia="Times New Roman" w:hAnsi="Times New Roman" w:cs="Times New Roman"/>
          <w:sz w:val="24"/>
          <w:szCs w:val="24"/>
        </w:rPr>
        <w:t>NVIDIA is</w:t>
      </w:r>
      <w:r>
        <w:rPr>
          <w:rFonts w:ascii="Times New Roman" w:eastAsia="Times New Roman" w:hAnsi="Times New Roman" w:cs="Times New Roman"/>
          <w:sz w:val="24"/>
          <w:szCs w:val="24"/>
        </w:rPr>
        <w:t xml:space="preserve"> seen to improve their product energy efficiency by utilising new GPU architecture and reducing embodied carbon across its huge AI platforms by almost 24% between HGXB200 and HGX H100 (Nvidia.com, 2025). Along with that, the organisation is continuing to publish independently regarding their verified product carbon footprints. Moreover, the organisation is also prioritising energy-efficient accelerated computing by powering many of the most energy-efficient supercomputers in the world. </w:t>
      </w:r>
    </w:p>
    <w:p w14:paraId="797F299F" w14:textId="77777777" w:rsidR="00E93C26" w:rsidRDefault="00096E10">
      <w:pPr>
        <w:pStyle w:val="Heading2"/>
      </w:pPr>
      <w:bookmarkStart w:id="15" w:name="_7fnzyjpc61r" w:colFirst="0" w:colLast="0"/>
      <w:bookmarkStart w:id="16" w:name="_Toc235636253"/>
      <w:bookmarkEnd w:id="15"/>
      <w:r>
        <w:lastRenderedPageBreak/>
        <w:t>Theoretical framework</w:t>
      </w:r>
      <w:bookmarkEnd w:id="16"/>
    </w:p>
    <w:p w14:paraId="797F29A0"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process of incorporating </w:t>
      </w:r>
      <w:r>
        <w:rPr>
          <w:rFonts w:ascii="Times New Roman" w:eastAsia="Times New Roman" w:hAnsi="Times New Roman" w:cs="Times New Roman"/>
          <w:i/>
          <w:iCs/>
          <w:sz w:val="24"/>
          <w:szCs w:val="24"/>
        </w:rPr>
        <w:t>Dynamic Capability theory</w:t>
      </w:r>
      <w:r>
        <w:rPr>
          <w:rFonts w:ascii="Times New Roman" w:eastAsia="Times New Roman" w:hAnsi="Times New Roman" w:cs="Times New Roman"/>
          <w:sz w:val="24"/>
          <w:szCs w:val="24"/>
        </w:rPr>
        <w:t>, it can be stated that organisations achieve sustainable competitive advantage in the process of continuous integration and at the same time reconfiguring internal and external resources in line with a rapidly changing business environment (</w:t>
      </w:r>
      <w:r>
        <w:rPr>
          <w:rFonts w:ascii="Times New Roman" w:eastAsia="Times New Roman" w:hAnsi="Times New Roman" w:cs="Times New Roman"/>
          <w:color w:val="222222"/>
          <w:sz w:val="24"/>
          <w:szCs w:val="24"/>
          <w:highlight w:val="white"/>
        </w:rPr>
        <w:t>Sun</w:t>
      </w:r>
      <w:r>
        <w:rPr>
          <w:rFonts w:ascii="Times New Roman" w:eastAsia="Times New Roman" w:hAnsi="Times New Roman" w:cs="Times New Roman"/>
          <w:i/>
          <w:iCs/>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2024)</w:t>
      </w:r>
      <w:r>
        <w:rPr>
          <w:rFonts w:ascii="Times New Roman" w:eastAsia="Times New Roman" w:hAnsi="Times New Roman" w:cs="Times New Roman"/>
          <w:sz w:val="24"/>
          <w:szCs w:val="24"/>
        </w:rPr>
        <w:t>. In the context of NVIDIA, the potential growth of AI demand needs continuous innovation in GPU architecture along with making strategic partnerships with various manufacturing organisations like TSMC, investment in next-generation computing technologies and at the same time supply chain adoption. An appropriate theoretical lens can be provided by dynamic capability to analyse NVIDIA’s responses in terms of technology disruptions and, at the same time, maintaining operational resilience.</w:t>
      </w:r>
    </w:p>
    <w:p w14:paraId="797F29A1"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i/>
          <w:iCs/>
          <w:sz w:val="24"/>
          <w:szCs w:val="24"/>
        </w:rPr>
        <w:t>Triple Bottom Line</w:t>
      </w:r>
      <w:r>
        <w:rPr>
          <w:rFonts w:ascii="Times New Roman" w:eastAsia="Times New Roman" w:hAnsi="Times New Roman" w:cs="Times New Roman"/>
          <w:sz w:val="24"/>
          <w:szCs w:val="24"/>
        </w:rPr>
        <w:t xml:space="preserve"> argues in this regard that the success of an organisation should be evaluated by considering environmental, economic and social performance rather than its financial profits alone (</w:t>
      </w:r>
      <w:r>
        <w:rPr>
          <w:rFonts w:ascii="Times New Roman" w:eastAsia="Times New Roman" w:hAnsi="Times New Roman" w:cs="Times New Roman"/>
          <w:color w:val="222222"/>
          <w:sz w:val="24"/>
          <w:szCs w:val="24"/>
          <w:highlight w:val="white"/>
        </w:rPr>
        <w:t>Cantele</w:t>
      </w:r>
      <w:r>
        <w:rPr>
          <w:rFonts w:ascii="Times New Roman" w:eastAsia="Times New Roman" w:hAnsi="Times New Roman" w:cs="Times New Roman"/>
          <w:i/>
          <w:iCs/>
          <w:color w:val="222222"/>
          <w:sz w:val="24"/>
          <w:szCs w:val="24"/>
          <w:highlight w:val="white"/>
        </w:rPr>
        <w:t xml:space="preserve"> et al</w:t>
      </w:r>
      <w:r>
        <w:rPr>
          <w:rFonts w:ascii="Times New Roman" w:eastAsia="Times New Roman" w:hAnsi="Times New Roman" w:cs="Times New Roman"/>
          <w:color w:val="222222"/>
          <w:sz w:val="24"/>
          <w:szCs w:val="24"/>
          <w:highlight w:val="white"/>
        </w:rPr>
        <w:t>., 2024)</w:t>
      </w:r>
      <w:r>
        <w:rPr>
          <w:rFonts w:ascii="Times New Roman" w:eastAsia="Times New Roman" w:hAnsi="Times New Roman" w:cs="Times New Roman"/>
          <w:sz w:val="24"/>
          <w:szCs w:val="24"/>
        </w:rPr>
        <w:t xml:space="preserve">. The challenge of the case study organisation deals with balancing strong financial growth with reduced carbon emissions, responsible supply chain management, stakeholders' expectations of environmental sustainability and, at the same time, improving energy efficiency. Utilising this theoretical framework can be beneficial in enabling evaluation of NVIDIA's business expansion to identify whether it is aligning with its broader sustainability objectives. </w:t>
      </w:r>
    </w:p>
    <w:p w14:paraId="797F29A2" w14:textId="77777777" w:rsidR="00E93C26" w:rsidRDefault="00096E10">
      <w:pPr>
        <w:pStyle w:val="Heading2"/>
      </w:pPr>
      <w:bookmarkStart w:id="17" w:name="_lu1lnd6elqkl" w:colFirst="0" w:colLast="0"/>
      <w:bookmarkStart w:id="18" w:name="_Toc235636254"/>
      <w:bookmarkEnd w:id="17"/>
      <w:r>
        <w:t>Literature gaps and ways to address them</w:t>
      </w:r>
      <w:bookmarkEnd w:id="18"/>
    </w:p>
    <w:p w14:paraId="797F29A3"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extensive examination of semiconductor competition, innovation and supply chain resilience, some significant research gaps can be seen. Empirical studies have analysed AI chip demands primarily from an economic or technology perspective, and limited research can be seen in the investigation of how semiconductor organisations are balancing environmental sustainability and production expansion. Additionally, existing literature has focused largely on the broader global semiconductor sector, restricting the detailed analysis of NVIDIA’s strategic responses for increasing demand for AI. This has made the overall information related to the company-specific details limited in terms of understanding manufacturing partnerships, supply chain alliances, and sustainability initiatives of NVIDIA. Furthermore, sustainability has been measured by existing literature through energy efficiency or carbon emissions alone in the process of overlooking broader considerations of product manufacturing, stakeholders' expectations and responsible sourcing. </w:t>
      </w:r>
    </w:p>
    <w:p w14:paraId="797F29A4" w14:textId="77777777" w:rsidR="00E93C26" w:rsidRDefault="00096E10">
      <w:pPr>
        <w:spacing w:line="360" w:lineRule="auto"/>
        <w:jc w:val="both"/>
      </w:pPr>
      <w:r>
        <w:rPr>
          <w:rFonts w:ascii="Times New Roman" w:eastAsia="Times New Roman" w:hAnsi="Times New Roman" w:cs="Times New Roman"/>
          <w:sz w:val="24"/>
          <w:szCs w:val="24"/>
        </w:rPr>
        <w:lastRenderedPageBreak/>
        <w:t>In order to deal with these gaps, the study has considered a secondary qualitative research approach where the annual report, sustainability report, and industry publications related to NVIDIA are going to be prioritised along with recent academic literature.</w:t>
      </w:r>
    </w:p>
    <w:p w14:paraId="797F29A5" w14:textId="77777777" w:rsidR="00E93C26" w:rsidRDefault="00096E10">
      <w:pPr>
        <w:pStyle w:val="Heading1"/>
        <w:spacing w:line="360" w:lineRule="auto"/>
        <w:jc w:val="both"/>
      </w:pPr>
      <w:bookmarkStart w:id="19" w:name="_kh2ip2agfc5a" w:colFirst="0" w:colLast="0"/>
      <w:bookmarkStart w:id="20" w:name="_Toc235636255"/>
      <w:bookmarkEnd w:id="19"/>
      <w:r>
        <w:t>4. Research methodology and design</w:t>
      </w:r>
      <w:bookmarkEnd w:id="20"/>
    </w:p>
    <w:p w14:paraId="797F29A6" w14:textId="77777777" w:rsidR="00E93C26" w:rsidRDefault="00096E10">
      <w:pPr>
        <w:pStyle w:val="Heading2"/>
        <w:spacing w:line="360" w:lineRule="auto"/>
        <w:jc w:val="both"/>
      </w:pPr>
      <w:bookmarkStart w:id="21" w:name="_fh0if5lzdixi" w:colFirst="0" w:colLast="0"/>
      <w:bookmarkStart w:id="22" w:name="_Toc235636256"/>
      <w:bookmarkEnd w:id="21"/>
      <w:r>
        <w:t>Research approach</w:t>
      </w:r>
      <w:bookmarkEnd w:id="22"/>
    </w:p>
    <w:p w14:paraId="797F29A7"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is going to adopt a qualitative research approach for investigating the strategy of NVIDIA for meeting the growing demand for AI chips while maintaining an effective sustainable business model. The appropriateness of this approach can be seen in interpreting existing evidence in relation to supply chain strategies and operational performance of the firm (</w:t>
      </w:r>
      <w:proofErr w:type="spellStart"/>
      <w:r>
        <w:rPr>
          <w:rFonts w:ascii="Times New Roman" w:eastAsia="Times New Roman" w:hAnsi="Times New Roman" w:cs="Times New Roman"/>
          <w:color w:val="222222"/>
          <w:sz w:val="24"/>
          <w:szCs w:val="24"/>
          <w:highlight w:val="white"/>
        </w:rPr>
        <w:t>Oranga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Matere</w:t>
      </w:r>
      <w:proofErr w:type="spellEnd"/>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w:t>
      </w:r>
    </w:p>
    <w:p w14:paraId="797F29A8" w14:textId="77777777" w:rsidR="00E93C26" w:rsidRDefault="00096E10">
      <w:pPr>
        <w:pStyle w:val="Heading2"/>
        <w:spacing w:line="360" w:lineRule="auto"/>
        <w:jc w:val="both"/>
      </w:pPr>
      <w:bookmarkStart w:id="23" w:name="_rfzeve10k400" w:colFirst="0" w:colLast="0"/>
      <w:bookmarkStart w:id="24" w:name="_Toc235636257"/>
      <w:bookmarkEnd w:id="23"/>
      <w:r>
        <w:t>Data collection</w:t>
      </w:r>
      <w:bookmarkEnd w:id="24"/>
    </w:p>
    <w:p w14:paraId="797F29A9"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exclusive consideration of secondary data collection procedures will be adopted for collecting information from publicly available credible sources (</w:t>
      </w:r>
      <w:r>
        <w:rPr>
          <w:rFonts w:ascii="Times New Roman" w:eastAsia="Times New Roman" w:hAnsi="Times New Roman" w:cs="Times New Roman"/>
          <w:color w:val="222222"/>
          <w:sz w:val="24"/>
          <w:szCs w:val="24"/>
          <w:highlight w:val="white"/>
        </w:rPr>
        <w:t xml:space="preserve">Cheong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Peer-reviewed articles, annual reports, sustainability reports and industry reports are going to be analysed. In addition to this, the recent peer-reviewed journal articles will be prioritised, which are published between 2021 and 2026. Consideration of these sources is beneficial for providing recent comprehensive evidence regarding semiconductor supply chain challenges, demand for AI chips, and sustainability initiatives without collecting primary data</w:t>
      </w:r>
      <w:r w:rsidR="00B57271">
        <w:rPr>
          <w:rFonts w:ascii="Times New Roman" w:eastAsia="Times New Roman" w:hAnsi="Times New Roman" w:cs="Times New Roman"/>
          <w:sz w:val="24"/>
          <w:szCs w:val="24"/>
        </w:rPr>
        <w:t xml:space="preserve"> (</w:t>
      </w:r>
      <w:proofErr w:type="spellStart"/>
      <w:r w:rsidR="00B57271" w:rsidRPr="00B57271">
        <w:rPr>
          <w:rFonts w:ascii="Times New Roman" w:eastAsia="Times New Roman" w:hAnsi="Times New Roman" w:cs="Times New Roman"/>
          <w:sz w:val="24"/>
          <w:szCs w:val="24"/>
        </w:rPr>
        <w:t>Saunders</w:t>
      </w:r>
      <w:r w:rsidR="00B57271" w:rsidRPr="00B57271">
        <w:rPr>
          <w:rFonts w:ascii="Times New Roman" w:eastAsia="Times New Roman" w:hAnsi="Times New Roman" w:cs="Times New Roman"/>
          <w:i/>
          <w:iCs/>
          <w:sz w:val="24"/>
          <w:szCs w:val="24"/>
        </w:rPr>
        <w:t>et</w:t>
      </w:r>
      <w:proofErr w:type="spellEnd"/>
      <w:r w:rsidR="00B57271" w:rsidRPr="00B57271">
        <w:rPr>
          <w:rFonts w:ascii="Times New Roman" w:eastAsia="Times New Roman" w:hAnsi="Times New Roman" w:cs="Times New Roman"/>
          <w:i/>
          <w:iCs/>
          <w:sz w:val="24"/>
          <w:szCs w:val="24"/>
        </w:rPr>
        <w:t xml:space="preserve"> al.,</w:t>
      </w:r>
      <w:r w:rsidR="00B57271" w:rsidRPr="00B57271">
        <w:rPr>
          <w:rFonts w:ascii="Times New Roman" w:eastAsia="Times New Roman" w:hAnsi="Times New Roman" w:cs="Times New Roman"/>
          <w:sz w:val="24"/>
          <w:szCs w:val="24"/>
        </w:rPr>
        <w:t>2019</w:t>
      </w:r>
      <w:r w:rsidR="00B57271">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14:paraId="797F29AA" w14:textId="77777777" w:rsidR="00E93C26" w:rsidRDefault="00096E10">
      <w:pPr>
        <w:pStyle w:val="Heading2"/>
        <w:spacing w:line="360" w:lineRule="auto"/>
        <w:jc w:val="both"/>
      </w:pPr>
      <w:bookmarkStart w:id="25" w:name="_5g4au3n77r6" w:colFirst="0" w:colLast="0"/>
      <w:bookmarkStart w:id="26" w:name="_Toc235636258"/>
      <w:bookmarkEnd w:id="25"/>
      <w:r>
        <w:t>Data analysis</w:t>
      </w:r>
      <w:bookmarkEnd w:id="26"/>
    </w:p>
    <w:p w14:paraId="797F29AB"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will be analysed by utilising a thematic analysis procedure by following a 6-stage process by Braun and Clarke (</w:t>
      </w:r>
      <w:r>
        <w:rPr>
          <w:rFonts w:ascii="Times New Roman" w:eastAsia="Times New Roman" w:hAnsi="Times New Roman" w:cs="Times New Roman"/>
          <w:color w:val="222222"/>
          <w:sz w:val="24"/>
          <w:szCs w:val="24"/>
          <w:highlight w:val="white"/>
        </w:rPr>
        <w:t xml:space="preserve">Naeem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xml:space="preserve">. Information collected from the secondary sources will be coded and then organised into key themes. After that, they will be compared with various academy studies, company reports and industry publications. This can be useful for enabling triangulation and, at the same time, the interpretation of evidence. </w:t>
      </w:r>
    </w:p>
    <w:p w14:paraId="797F29AC" w14:textId="77777777" w:rsidR="00E93C26" w:rsidRDefault="00096E10">
      <w:pPr>
        <w:pStyle w:val="Heading2"/>
      </w:pPr>
      <w:bookmarkStart w:id="27" w:name="_x3pa45kq36cs" w:colFirst="0" w:colLast="0"/>
      <w:bookmarkStart w:id="28" w:name="_Toc235636259"/>
      <w:bookmarkEnd w:id="27"/>
      <w:r>
        <w:t>Sampling</w:t>
      </w:r>
      <w:bookmarkEnd w:id="28"/>
    </w:p>
    <w:p w14:paraId="797F29AD"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fact that the study is using secondary qualitative data only, purposive sampling is going to be adopted where the sources will be selected depending on their credibility, </w:t>
      </w:r>
      <w:r>
        <w:rPr>
          <w:rFonts w:ascii="Times New Roman" w:eastAsia="Times New Roman" w:hAnsi="Times New Roman" w:cs="Times New Roman"/>
          <w:sz w:val="24"/>
          <w:szCs w:val="24"/>
        </w:rPr>
        <w:lastRenderedPageBreak/>
        <w:t>relevance and recency (</w:t>
      </w:r>
      <w:proofErr w:type="spellStart"/>
      <w:r w:rsidR="00CC5242">
        <w:rPr>
          <w:rFonts w:ascii="Times New Roman" w:eastAsia="Times New Roman" w:hAnsi="Times New Roman" w:cs="Times New Roman"/>
          <w:color w:val="222222"/>
          <w:sz w:val="24"/>
          <w:szCs w:val="24"/>
          <w:highlight w:val="white"/>
        </w:rPr>
        <w:t>Obilor</w:t>
      </w:r>
      <w:proofErr w:type="spellEnd"/>
      <w:r w:rsidR="00CC5242">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In addition to this, recent journal articles and websites have been used to ensure that the findings portray current developments regarding the AI semiconductor industry.</w:t>
      </w:r>
    </w:p>
    <w:p w14:paraId="797F29AE" w14:textId="77777777" w:rsidR="00E93C26" w:rsidRDefault="00096E10">
      <w:pPr>
        <w:pStyle w:val="Heading2"/>
      </w:pPr>
      <w:bookmarkStart w:id="29" w:name="_y1ogi02dqtoj" w:colFirst="0" w:colLast="0"/>
      <w:bookmarkStart w:id="30" w:name="_Toc235636260"/>
      <w:bookmarkEnd w:id="29"/>
      <w:r>
        <w:t>Research ethics</w:t>
      </w:r>
      <w:bookmarkEnd w:id="30"/>
    </w:p>
    <w:p w14:paraId="797F29AF"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limited number of ethical considerations are prioritised as there is no human participation involved. Therefore, the research is going to maintain academic integrity in the process of accurately representing the original findings of the authors, acknowledging sources by utilising Harvard referencing and avoiding plagiarism. Moreover, only the information which is publicly accessible is going to be used to ensure compliance with the data protection and copyright requirements.</w:t>
      </w:r>
    </w:p>
    <w:p w14:paraId="797F29B0" w14:textId="77777777" w:rsidR="00E93C26" w:rsidRDefault="00096E10">
      <w:pPr>
        <w:pStyle w:val="Heading2"/>
      </w:pPr>
      <w:bookmarkStart w:id="31" w:name="_hui59t6xb4bf" w:colFirst="0" w:colLast="0"/>
      <w:bookmarkStart w:id="32" w:name="_Toc235636261"/>
      <w:bookmarkEnd w:id="31"/>
      <w:r>
        <w:t>Reliability and Validity</w:t>
      </w:r>
      <w:bookmarkEnd w:id="32"/>
    </w:p>
    <w:p w14:paraId="797F29B1"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enhancing reliability, authoritative sources will be used for collecting data, reducing source bias and enabling cross-verification of findings. Additionally, the validity will be maintained by utilising reputable and recent evidence that is directly relevant to the research aim and objectives. Additionally, triangulating academic literature, company reports, and industry publications is beneficial for improving the overall credibility of the research and at the same time supporting the analysis with robust and evidence-based information in relation to NVIDIA. </w:t>
      </w:r>
    </w:p>
    <w:p w14:paraId="797F29B2" w14:textId="77777777" w:rsidR="00E93C26" w:rsidRDefault="00096E10">
      <w:pPr>
        <w:pStyle w:val="Heading1"/>
        <w:spacing w:line="360" w:lineRule="auto"/>
        <w:jc w:val="both"/>
      </w:pPr>
      <w:bookmarkStart w:id="33" w:name="_7swl1ml4xpv0" w:colFirst="0" w:colLast="0"/>
      <w:bookmarkStart w:id="34" w:name="_Toc235636262"/>
      <w:bookmarkEnd w:id="33"/>
      <w:r>
        <w:t>5. Business relevance and practical implications</w:t>
      </w:r>
      <w:bookmarkEnd w:id="34"/>
    </w:p>
    <w:p w14:paraId="797F29B3"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can largely support NVIDIA in the process of making informed strategic and operational decisions while identifying ways by which the company can effectively respond to the growing demand for AI chips and at the same time maintain sustainability commitments. Moreover, it will provide insights into the production capacity, supply chain resilience and sustainable business practices, which are crucial for NVIDIA for improving their operational efficiency in the rapidly evolving AI semiconductor industry. </w:t>
      </w:r>
    </w:p>
    <w:p w14:paraId="797F29B4"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overall findings, the research can recommend potential strategies like supplier networks, investing more in energy-efficient chip technology manufacturing, adopting circular economic initiatives, and enhancing collaboration with supply chain partners for minimising the increasing environment to impacts. These are going to be useful </w:t>
      </w:r>
      <w:r>
        <w:rPr>
          <w:rFonts w:ascii="Times New Roman" w:eastAsia="Times New Roman" w:hAnsi="Times New Roman" w:cs="Times New Roman"/>
          <w:sz w:val="24"/>
          <w:szCs w:val="24"/>
        </w:rPr>
        <w:lastRenderedPageBreak/>
        <w:t xml:space="preserve">for NVIDIA for balancing their business growth and environmental and social responsibilities. </w:t>
      </w:r>
    </w:p>
    <w:p w14:paraId="797F29B5" w14:textId="77777777" w:rsidR="00E93C26" w:rsidRDefault="00096E1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Conducting this project has been beneficial for me in contributing to my understanding of applied business research, which has helped me to gather knowledge regarding the collection of secondary qualitative data, investigating company reports, academic theories and industry evidence for analysing ideal world business challenges. Further, it has increased my overall ability to critically evaluate, along with developing my practical and evidence-based knowledge for supporting organisational decision-making and sustainability.</w:t>
      </w:r>
    </w:p>
    <w:p w14:paraId="797F29B6" w14:textId="77777777" w:rsidR="00E93C26" w:rsidRDefault="00E93C26"/>
    <w:p w14:paraId="797F29B7" w14:textId="77777777" w:rsidR="00E93C26" w:rsidRDefault="00E93C26"/>
    <w:p w14:paraId="797F29B8" w14:textId="77777777" w:rsidR="00E93C26" w:rsidRDefault="00096E10">
      <w:pPr>
        <w:pStyle w:val="Heading1"/>
        <w:spacing w:line="360" w:lineRule="auto"/>
        <w:jc w:val="both"/>
      </w:pPr>
      <w:bookmarkStart w:id="35" w:name="_z28b7tfzyg9u" w:colFirst="0" w:colLast="0"/>
      <w:bookmarkEnd w:id="35"/>
      <w:r>
        <w:br w:type="page"/>
      </w:r>
    </w:p>
    <w:p w14:paraId="797F29B9" w14:textId="77777777" w:rsidR="00CC5242" w:rsidRDefault="00096E10" w:rsidP="00CC5242">
      <w:pPr>
        <w:pStyle w:val="Heading1"/>
        <w:spacing w:line="360" w:lineRule="auto"/>
        <w:jc w:val="both"/>
      </w:pPr>
      <w:bookmarkStart w:id="36" w:name="_rtz5zfh3pn0n" w:colFirst="0" w:colLast="0"/>
      <w:bookmarkStart w:id="37" w:name="_Toc235636263"/>
      <w:bookmarkEnd w:id="36"/>
      <w:r>
        <w:lastRenderedPageBreak/>
        <w:t>6. Reference list</w:t>
      </w:r>
      <w:bookmarkEnd w:id="37"/>
    </w:p>
    <w:p w14:paraId="797F29BA" w14:textId="77777777" w:rsidR="00CC5242" w:rsidRDefault="00CC52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Cantele, S., Landi, S. and Vernizzi, S., </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2024</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Measuring corporate sustainability in its multidimensionality: A formative approach to integrate ESG and triple bottom line approaches. </w:t>
      </w:r>
      <w:r>
        <w:rPr>
          <w:rFonts w:ascii="Times New Roman" w:eastAsia="Times New Roman" w:hAnsi="Times New Roman" w:cs="Times New Roman"/>
          <w:i/>
          <w:iCs/>
          <w:color w:val="222222"/>
          <w:sz w:val="24"/>
          <w:szCs w:val="24"/>
          <w:highlight w:val="white"/>
        </w:rPr>
        <w:t>Business Strategy and the Environment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33</w:t>
      </w:r>
      <w:r>
        <w:rPr>
          <w:rFonts w:ascii="Times New Roman" w:eastAsia="Times New Roman" w:hAnsi="Times New Roman" w:cs="Times New Roman"/>
          <w:color w:val="222222"/>
          <w:sz w:val="24"/>
          <w:szCs w:val="24"/>
          <w:highlight w:val="white"/>
        </w:rPr>
        <w:t>(7), pp.7383-7408.</w:t>
      </w:r>
    </w:p>
    <w:p w14:paraId="797F29BB" w14:textId="77777777" w:rsidR="00CC5242" w:rsidRDefault="00CC52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Cheong, H.I., Lyons, A., Houghton, R. and Majumdar, A., </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2023</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Secondary qualitative research methodology using online data within the context of social sciences. </w:t>
      </w:r>
      <w:r>
        <w:rPr>
          <w:rFonts w:ascii="Times New Roman" w:eastAsia="Times New Roman" w:hAnsi="Times New Roman" w:cs="Times New Roman"/>
          <w:i/>
          <w:iCs/>
          <w:color w:val="222222"/>
          <w:sz w:val="24"/>
          <w:szCs w:val="24"/>
          <w:highlight w:val="white"/>
        </w:rPr>
        <w:t>International Journal of Qualitative Methods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22</w:t>
      </w:r>
      <w:r>
        <w:rPr>
          <w:rFonts w:ascii="Times New Roman" w:eastAsia="Times New Roman" w:hAnsi="Times New Roman" w:cs="Times New Roman"/>
          <w:color w:val="222222"/>
          <w:sz w:val="24"/>
          <w:szCs w:val="24"/>
          <w:highlight w:val="white"/>
        </w:rPr>
        <w:t>, p.16094069231180160.</w:t>
      </w:r>
    </w:p>
    <w:p w14:paraId="797F29BC" w14:textId="77777777" w:rsidR="00CC5242" w:rsidRDefault="00CC52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Darney, P.E., </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2022</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A Review on Artificial Intelligence Chip. </w:t>
      </w:r>
      <w:r>
        <w:rPr>
          <w:rFonts w:ascii="Times New Roman" w:eastAsia="Times New Roman" w:hAnsi="Times New Roman" w:cs="Times New Roman"/>
          <w:i/>
          <w:iCs/>
          <w:color w:val="222222"/>
          <w:sz w:val="24"/>
          <w:szCs w:val="24"/>
          <w:highlight w:val="white"/>
        </w:rPr>
        <w:t>Recent Research Reviews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(1), pp.99-109.</w:t>
      </w:r>
    </w:p>
    <w:p w14:paraId="797F29BD" w14:textId="77777777" w:rsidR="00CC5242" w:rsidRDefault="00CC524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Dauvergne</w:t>
      </w:r>
      <w:proofErr w:type="spellEnd"/>
      <w:r>
        <w:rPr>
          <w:rFonts w:ascii="Times New Roman" w:eastAsia="Times New Roman" w:hAnsi="Times New Roman" w:cs="Times New Roman"/>
          <w:color w:val="222222"/>
          <w:sz w:val="24"/>
          <w:szCs w:val="24"/>
          <w:highlight w:val="white"/>
        </w:rPr>
        <w:t xml:space="preserve">, P., </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2022</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Is artificial intelligence greening global supply chains? Exposing the political economy of environmental costs. </w:t>
      </w:r>
      <w:r>
        <w:rPr>
          <w:rFonts w:ascii="Times New Roman" w:eastAsia="Times New Roman" w:hAnsi="Times New Roman" w:cs="Times New Roman"/>
          <w:i/>
          <w:iCs/>
          <w:color w:val="222222"/>
          <w:sz w:val="24"/>
          <w:szCs w:val="24"/>
          <w:highlight w:val="white"/>
        </w:rPr>
        <w:t>Review of International Political Economy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29</w:t>
      </w:r>
      <w:r>
        <w:rPr>
          <w:rFonts w:ascii="Times New Roman" w:eastAsia="Times New Roman" w:hAnsi="Times New Roman" w:cs="Times New Roman"/>
          <w:color w:val="222222"/>
          <w:sz w:val="24"/>
          <w:szCs w:val="24"/>
          <w:highlight w:val="white"/>
        </w:rPr>
        <w:t>(3), pp.696-718.</w:t>
      </w:r>
    </w:p>
    <w:p w14:paraId="797F29BE" w14:textId="77777777" w:rsidR="00CC5242" w:rsidRDefault="00CC52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Dhiman, J.S., </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2025</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Semiconductor in Flux: Past Disruptions and Emerging Trends in Chip Industry. </w:t>
      </w:r>
      <w:r>
        <w:rPr>
          <w:rFonts w:ascii="Times New Roman" w:eastAsia="Times New Roman" w:hAnsi="Times New Roman" w:cs="Times New Roman"/>
          <w:i/>
          <w:iCs/>
          <w:color w:val="222222"/>
          <w:sz w:val="24"/>
          <w:szCs w:val="24"/>
          <w:highlight w:val="white"/>
        </w:rPr>
        <w:t>International Journal of Emerging Trends in Computer Science and Information Technology</w:t>
      </w:r>
      <w:r>
        <w:rPr>
          <w:rFonts w:ascii="Times New Roman" w:eastAsia="Times New Roman" w:hAnsi="Times New Roman" w:cs="Times New Roman"/>
          <w:color w:val="222222"/>
          <w:sz w:val="24"/>
          <w:szCs w:val="24"/>
          <w:highlight w:val="white"/>
        </w:rPr>
        <w:t>, pp.225-234.</w:t>
      </w:r>
    </w:p>
    <w:p w14:paraId="797F29BF" w14:textId="77777777" w:rsidR="00CC5242" w:rsidRDefault="00CC52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Kim, J.H., </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2022</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Grand challenges and opportunities in batteries and electrochemistry. </w:t>
      </w:r>
      <w:r>
        <w:rPr>
          <w:rFonts w:ascii="Times New Roman" w:eastAsia="Times New Roman" w:hAnsi="Times New Roman" w:cs="Times New Roman"/>
          <w:i/>
          <w:iCs/>
          <w:color w:val="222222"/>
          <w:sz w:val="24"/>
          <w:szCs w:val="24"/>
          <w:highlight w:val="white"/>
        </w:rPr>
        <w:t>Frontiers in Batteries and Electrochemistry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 p.1066276.</w:t>
      </w:r>
    </w:p>
    <w:p w14:paraId="797F29C0" w14:textId="77777777" w:rsidR="00CC5242" w:rsidRDefault="00CC52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Morand, C., </w:t>
      </w:r>
      <w:proofErr w:type="spellStart"/>
      <w:r>
        <w:rPr>
          <w:rFonts w:ascii="Times New Roman" w:eastAsia="Times New Roman" w:hAnsi="Times New Roman" w:cs="Times New Roman"/>
          <w:color w:val="222222"/>
          <w:sz w:val="24"/>
          <w:szCs w:val="24"/>
          <w:highlight w:val="white"/>
        </w:rPr>
        <w:t>Névéol</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Ligozat</w:t>
      </w:r>
      <w:proofErr w:type="spellEnd"/>
      <w:r>
        <w:rPr>
          <w:rFonts w:ascii="Times New Roman" w:eastAsia="Times New Roman" w:hAnsi="Times New Roman" w:cs="Times New Roman"/>
          <w:color w:val="222222"/>
          <w:sz w:val="24"/>
          <w:szCs w:val="24"/>
          <w:highlight w:val="white"/>
        </w:rPr>
        <w:t xml:space="preserve">, A.L., </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2026</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The Rising Unsustainability of AI Graphics Cards Production. </w:t>
      </w:r>
      <w:proofErr w:type="spellStart"/>
      <w:r>
        <w:rPr>
          <w:rFonts w:ascii="Times New Roman" w:eastAsia="Times New Roman" w:hAnsi="Times New Roman" w:cs="Times New Roman"/>
          <w:i/>
          <w:iCs/>
          <w:color w:val="222222"/>
          <w:sz w:val="24"/>
          <w:szCs w:val="24"/>
          <w:highlight w:val="white"/>
        </w:rPr>
        <w:t>arXiv</w:t>
      </w:r>
      <w:proofErr w:type="spellEnd"/>
      <w:r>
        <w:rPr>
          <w:rFonts w:ascii="Times New Roman" w:eastAsia="Times New Roman" w:hAnsi="Times New Roman" w:cs="Times New Roman"/>
          <w:i/>
          <w:iCs/>
          <w:color w:val="222222"/>
          <w:sz w:val="24"/>
          <w:szCs w:val="24"/>
          <w:highlight w:val="white"/>
        </w:rPr>
        <w:t xml:space="preserve"> preprint arXiv:2607.01258</w:t>
      </w:r>
      <w:r>
        <w:rPr>
          <w:rFonts w:ascii="Times New Roman" w:eastAsia="Times New Roman" w:hAnsi="Times New Roman" w:cs="Times New Roman"/>
          <w:color w:val="222222"/>
          <w:sz w:val="24"/>
          <w:szCs w:val="24"/>
          <w:highlight w:val="white"/>
        </w:rPr>
        <w:t>.</w:t>
      </w:r>
    </w:p>
    <w:p w14:paraId="797F29C1" w14:textId="77777777" w:rsidR="00CC5242" w:rsidRDefault="00CC52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Naeem, M., </w:t>
      </w:r>
      <w:proofErr w:type="spellStart"/>
      <w:r>
        <w:rPr>
          <w:rFonts w:ascii="Times New Roman" w:eastAsia="Times New Roman" w:hAnsi="Times New Roman" w:cs="Times New Roman"/>
          <w:color w:val="222222"/>
          <w:sz w:val="24"/>
          <w:szCs w:val="24"/>
          <w:highlight w:val="white"/>
        </w:rPr>
        <w:t>Ozuem</w:t>
      </w:r>
      <w:proofErr w:type="spellEnd"/>
      <w:r>
        <w:rPr>
          <w:rFonts w:ascii="Times New Roman" w:eastAsia="Times New Roman" w:hAnsi="Times New Roman" w:cs="Times New Roman"/>
          <w:color w:val="222222"/>
          <w:sz w:val="24"/>
          <w:szCs w:val="24"/>
          <w:highlight w:val="white"/>
        </w:rPr>
        <w:t xml:space="preserve">, W., Howell, K. and Ranfagni, S., </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2023</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A step-by-step process of thematic analysis to develop a conceptual model in qualitative research. </w:t>
      </w:r>
      <w:r>
        <w:rPr>
          <w:rFonts w:ascii="Times New Roman" w:eastAsia="Times New Roman" w:hAnsi="Times New Roman" w:cs="Times New Roman"/>
          <w:i/>
          <w:iCs/>
          <w:color w:val="222222"/>
          <w:sz w:val="24"/>
          <w:szCs w:val="24"/>
          <w:highlight w:val="white"/>
        </w:rPr>
        <w:t>International journal of qualitative methods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22</w:t>
      </w:r>
      <w:r>
        <w:rPr>
          <w:rFonts w:ascii="Times New Roman" w:eastAsia="Times New Roman" w:hAnsi="Times New Roman" w:cs="Times New Roman"/>
          <w:color w:val="222222"/>
          <w:sz w:val="24"/>
          <w:szCs w:val="24"/>
          <w:highlight w:val="white"/>
        </w:rPr>
        <w:t>, p.16094069231205789.</w:t>
      </w:r>
    </w:p>
    <w:p w14:paraId="797F29C2" w14:textId="77777777" w:rsidR="00CC5242" w:rsidRDefault="00CC52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iCs/>
          <w:sz w:val="24"/>
          <w:szCs w:val="24"/>
        </w:rPr>
        <w:t xml:space="preserve">Nvidia Newsroom </w:t>
      </w:r>
      <w:r>
        <w:rPr>
          <w:rFonts w:ascii="Times New Roman" w:eastAsia="Times New Roman" w:hAnsi="Times New Roman" w:cs="Times New Roman"/>
          <w:sz w:val="24"/>
          <w:szCs w:val="24"/>
        </w:rPr>
        <w:t xml:space="preserve">(2025) </w:t>
      </w:r>
      <w:r>
        <w:rPr>
          <w:rFonts w:ascii="Times New Roman" w:eastAsia="Times New Roman" w:hAnsi="Times New Roman" w:cs="Times New Roman"/>
          <w:i/>
          <w:iCs/>
          <w:sz w:val="24"/>
          <w:szCs w:val="24"/>
        </w:rPr>
        <w:t>Nvidia and TSMC bring ai into fabs to advance semiconductor design and manufacturing |</w:t>
      </w:r>
      <w:r>
        <w:rPr>
          <w:rFonts w:ascii="Times New Roman" w:eastAsia="Times New Roman" w:hAnsi="Times New Roman" w:cs="Times New Roman"/>
          <w:sz w:val="24"/>
          <w:szCs w:val="24"/>
        </w:rPr>
        <w:t xml:space="preserve">. Available at: </w:t>
      </w:r>
      <w:hyperlink r:id="rId9">
        <w:r>
          <w:rPr>
            <w:rFonts w:ascii="Times New Roman" w:eastAsia="Times New Roman" w:hAnsi="Times New Roman" w:cs="Times New Roman"/>
            <w:color w:val="1155CC"/>
            <w:sz w:val="24"/>
            <w:szCs w:val="24"/>
            <w:u w:val="single"/>
          </w:rPr>
          <w:t>https://nvidianews.nvidia.com/news/nvidia-and-tsmc-bring-ai-into-fabs-to-advance-semiconductor-design-and-manufacturing</w:t>
        </w:r>
      </w:hyperlink>
      <w:r>
        <w:rPr>
          <w:rFonts w:ascii="Times New Roman" w:eastAsia="Times New Roman" w:hAnsi="Times New Roman" w:cs="Times New Roman"/>
          <w:sz w:val="24"/>
          <w:szCs w:val="24"/>
        </w:rPr>
        <w:t xml:space="preserve"> (Accessed: 22 July 2026).</w:t>
      </w:r>
    </w:p>
    <w:p w14:paraId="797F29C3" w14:textId="77777777" w:rsidR="00CC5242" w:rsidRDefault="00CC52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Nvidia.com (2025) </w:t>
      </w:r>
      <w:r>
        <w:rPr>
          <w:rFonts w:ascii="Times New Roman" w:eastAsia="Times New Roman" w:hAnsi="Times New Roman" w:cs="Times New Roman"/>
          <w:i/>
          <w:iCs/>
          <w:sz w:val="24"/>
          <w:szCs w:val="24"/>
        </w:rPr>
        <w:t>Nvidia Sustainability Report Fiscal Year 2025</w:t>
      </w:r>
      <w:r>
        <w:rPr>
          <w:rFonts w:ascii="Times New Roman" w:eastAsia="Times New Roman" w:hAnsi="Times New Roman" w:cs="Times New Roman"/>
          <w:sz w:val="24"/>
          <w:szCs w:val="24"/>
        </w:rPr>
        <w:t xml:space="preserve">. Available at: </w:t>
      </w:r>
      <w:hyperlink r:id="rId10">
        <w:r>
          <w:rPr>
            <w:rFonts w:ascii="Times New Roman" w:eastAsia="Times New Roman" w:hAnsi="Times New Roman" w:cs="Times New Roman"/>
            <w:color w:val="1155CC"/>
            <w:sz w:val="24"/>
            <w:szCs w:val="24"/>
            <w:u w:val="single"/>
          </w:rPr>
          <w:t>https://images.nvidia.com/aem-dam/Solutions/documents/NVIDIA-Sustainability-Report-Fiscal-Year-2025.pdf</w:t>
        </w:r>
      </w:hyperlink>
      <w:r>
        <w:rPr>
          <w:rFonts w:ascii="Times New Roman" w:eastAsia="Times New Roman" w:hAnsi="Times New Roman" w:cs="Times New Roman"/>
          <w:sz w:val="24"/>
          <w:szCs w:val="24"/>
        </w:rPr>
        <w:t xml:space="preserve"> (Accessed: 22 July 2026).</w:t>
      </w:r>
    </w:p>
    <w:p w14:paraId="797F29C4" w14:textId="77777777" w:rsidR="00CC5242" w:rsidRDefault="00CC52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Nvidia.com (2026) </w:t>
      </w:r>
      <w:r>
        <w:rPr>
          <w:rFonts w:ascii="Times New Roman" w:eastAsia="Times New Roman" w:hAnsi="Times New Roman" w:cs="Times New Roman"/>
          <w:i/>
          <w:iCs/>
          <w:sz w:val="24"/>
          <w:szCs w:val="24"/>
        </w:rPr>
        <w:t>Nvidia company history: Innovations over the years</w:t>
      </w:r>
      <w:r>
        <w:rPr>
          <w:rFonts w:ascii="Times New Roman" w:eastAsia="Times New Roman" w:hAnsi="Times New Roman" w:cs="Times New Roman"/>
          <w:sz w:val="24"/>
          <w:szCs w:val="24"/>
        </w:rPr>
        <w:t xml:space="preserve">. Available at: </w:t>
      </w:r>
      <w:hyperlink r:id="rId11">
        <w:r>
          <w:rPr>
            <w:rFonts w:ascii="Times New Roman" w:eastAsia="Times New Roman" w:hAnsi="Times New Roman" w:cs="Times New Roman"/>
            <w:color w:val="1155CC"/>
            <w:sz w:val="24"/>
            <w:szCs w:val="24"/>
            <w:u w:val="single"/>
          </w:rPr>
          <w:t>https://www.nvidia.com/en-in/about-nvidia/corporate-timeline/</w:t>
        </w:r>
      </w:hyperlink>
      <w:r>
        <w:rPr>
          <w:rFonts w:ascii="Times New Roman" w:eastAsia="Times New Roman" w:hAnsi="Times New Roman" w:cs="Times New Roman"/>
          <w:sz w:val="24"/>
          <w:szCs w:val="24"/>
        </w:rPr>
        <w:t xml:space="preserve"> (Accessed: 22 July 2026).</w:t>
      </w:r>
    </w:p>
    <w:p w14:paraId="797F29C5" w14:textId="77777777" w:rsidR="00CC5242" w:rsidRDefault="00CC524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Obilor</w:t>
      </w:r>
      <w:proofErr w:type="spellEnd"/>
      <w:r>
        <w:rPr>
          <w:rFonts w:ascii="Times New Roman" w:eastAsia="Times New Roman" w:hAnsi="Times New Roman" w:cs="Times New Roman"/>
          <w:color w:val="222222"/>
          <w:sz w:val="24"/>
          <w:szCs w:val="24"/>
          <w:highlight w:val="white"/>
        </w:rPr>
        <w:t xml:space="preserve">, E.I., </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2023</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Convenience and purposive sampling techniques: Are they the same. </w:t>
      </w:r>
      <w:r>
        <w:rPr>
          <w:rFonts w:ascii="Times New Roman" w:eastAsia="Times New Roman" w:hAnsi="Times New Roman" w:cs="Times New Roman"/>
          <w:i/>
          <w:iCs/>
          <w:color w:val="222222"/>
          <w:sz w:val="24"/>
          <w:szCs w:val="24"/>
          <w:highlight w:val="white"/>
        </w:rPr>
        <w:t>International Journal of Innovative Social &amp; Science Education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11</w:t>
      </w:r>
      <w:r>
        <w:rPr>
          <w:rFonts w:ascii="Times New Roman" w:eastAsia="Times New Roman" w:hAnsi="Times New Roman" w:cs="Times New Roman"/>
          <w:color w:val="222222"/>
          <w:sz w:val="24"/>
          <w:szCs w:val="24"/>
          <w:highlight w:val="white"/>
        </w:rPr>
        <w:t>(1), pp.1-7.</w:t>
      </w:r>
    </w:p>
    <w:p w14:paraId="797F29C6" w14:textId="77777777" w:rsidR="00CC5242" w:rsidRDefault="00CC5242">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Oranga</w:t>
      </w:r>
      <w:proofErr w:type="spellEnd"/>
      <w:r>
        <w:rPr>
          <w:rFonts w:ascii="Times New Roman" w:eastAsia="Times New Roman" w:hAnsi="Times New Roman" w:cs="Times New Roman"/>
          <w:color w:val="222222"/>
          <w:sz w:val="24"/>
          <w:szCs w:val="24"/>
          <w:highlight w:val="white"/>
        </w:rPr>
        <w:t xml:space="preserve">, J. and </w:t>
      </w:r>
      <w:proofErr w:type="spellStart"/>
      <w:r>
        <w:rPr>
          <w:rFonts w:ascii="Times New Roman" w:eastAsia="Times New Roman" w:hAnsi="Times New Roman" w:cs="Times New Roman"/>
          <w:color w:val="222222"/>
          <w:sz w:val="24"/>
          <w:szCs w:val="24"/>
          <w:highlight w:val="white"/>
        </w:rPr>
        <w:t>Matere</w:t>
      </w:r>
      <w:proofErr w:type="spellEnd"/>
      <w:r>
        <w:rPr>
          <w:rFonts w:ascii="Times New Roman" w:eastAsia="Times New Roman" w:hAnsi="Times New Roman" w:cs="Times New Roman"/>
          <w:color w:val="222222"/>
          <w:sz w:val="24"/>
          <w:szCs w:val="24"/>
          <w:highlight w:val="white"/>
        </w:rPr>
        <w:t xml:space="preserve">, A., </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2023</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Qualitative research: Essence, types and advantages. </w:t>
      </w:r>
      <w:r>
        <w:rPr>
          <w:rFonts w:ascii="Times New Roman" w:eastAsia="Times New Roman" w:hAnsi="Times New Roman" w:cs="Times New Roman"/>
          <w:i/>
          <w:iCs/>
          <w:color w:val="222222"/>
          <w:sz w:val="24"/>
          <w:szCs w:val="24"/>
          <w:highlight w:val="white"/>
        </w:rPr>
        <w:t>Open Access Library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10</w:t>
      </w:r>
      <w:r>
        <w:rPr>
          <w:rFonts w:ascii="Times New Roman" w:eastAsia="Times New Roman" w:hAnsi="Times New Roman" w:cs="Times New Roman"/>
          <w:color w:val="222222"/>
          <w:sz w:val="24"/>
          <w:szCs w:val="24"/>
          <w:highlight w:val="white"/>
        </w:rPr>
        <w:t>(12), pp.1-9.</w:t>
      </w:r>
    </w:p>
    <w:p w14:paraId="797F29C7" w14:textId="77777777" w:rsidR="00B57271" w:rsidRDefault="00B57271" w:rsidP="00B57271">
      <w:pPr>
        <w:spacing w:before="240" w:after="240" w:line="360" w:lineRule="auto"/>
        <w:jc w:val="both"/>
        <w:rPr>
          <w:rFonts w:ascii="Times New Roman" w:eastAsia="Times New Roman" w:hAnsi="Times New Roman" w:cs="Times New Roman"/>
          <w:sz w:val="24"/>
          <w:szCs w:val="24"/>
        </w:rPr>
      </w:pPr>
      <w:r w:rsidRPr="00B57271">
        <w:rPr>
          <w:rFonts w:ascii="Times New Roman" w:eastAsia="Times New Roman" w:hAnsi="Times New Roman" w:cs="Times New Roman"/>
          <w:sz w:val="24"/>
          <w:szCs w:val="24"/>
        </w:rPr>
        <w:t>Saunders, M.N.K., Lewis, P., &amp; Thornhill, A. (2019</w:t>
      </w:r>
      <w:r>
        <w:rPr>
          <w:rFonts w:ascii="Times New Roman" w:eastAsia="Times New Roman" w:hAnsi="Times New Roman" w:cs="Times New Roman"/>
          <w:sz w:val="24"/>
          <w:szCs w:val="24"/>
        </w:rPr>
        <w:t>)</w:t>
      </w:r>
      <w:r w:rsidRPr="00B57271">
        <w:rPr>
          <w:rFonts w:ascii="Times New Roman" w:eastAsia="Times New Roman" w:hAnsi="Times New Roman" w:cs="Times New Roman"/>
          <w:sz w:val="24"/>
          <w:szCs w:val="24"/>
        </w:rPr>
        <w:t xml:space="preserve"> Research Methods for </w:t>
      </w:r>
      <w:proofErr w:type="spellStart"/>
      <w:r w:rsidRPr="00B57271">
        <w:rPr>
          <w:rFonts w:ascii="Times New Roman" w:eastAsia="Times New Roman" w:hAnsi="Times New Roman" w:cs="Times New Roman"/>
          <w:sz w:val="24"/>
          <w:szCs w:val="24"/>
        </w:rPr>
        <w:t>BusinessStudents</w:t>
      </w:r>
      <w:proofErr w:type="spellEnd"/>
      <w:r w:rsidRPr="00B57271">
        <w:rPr>
          <w:rFonts w:ascii="Times New Roman" w:eastAsia="Times New Roman" w:hAnsi="Times New Roman" w:cs="Times New Roman"/>
          <w:sz w:val="24"/>
          <w:szCs w:val="24"/>
        </w:rPr>
        <w:t>. 8th, Pearson, Harlow</w:t>
      </w:r>
    </w:p>
    <w:p w14:paraId="797F29C8" w14:textId="77777777" w:rsidR="00CC5242" w:rsidRDefault="00CC52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Sun, W., Chen, K. and Mei, J., </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2024</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Integrating the resource-based view and dynamic capabilities: a comprehensive framework for sustaining competitive advantage in dynamic markets. </w:t>
      </w:r>
      <w:r>
        <w:rPr>
          <w:rFonts w:ascii="Times New Roman" w:eastAsia="Times New Roman" w:hAnsi="Times New Roman" w:cs="Times New Roman"/>
          <w:i/>
          <w:iCs/>
          <w:color w:val="222222"/>
          <w:sz w:val="24"/>
          <w:szCs w:val="24"/>
          <w:highlight w:val="white"/>
        </w:rPr>
        <w:t>EPRA International Journal of Economic and Business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w:t>
      </w:r>
      <w:r>
        <w:rPr>
          <w:rFonts w:ascii="Times New Roman" w:eastAsia="Times New Roman" w:hAnsi="Times New Roman" w:cs="Times New Roman"/>
          <w:color w:val="222222"/>
          <w:sz w:val="24"/>
          <w:szCs w:val="24"/>
          <w:highlight w:val="white"/>
        </w:rPr>
        <w:t>(9), pp.1-8.</w:t>
      </w:r>
    </w:p>
    <w:p w14:paraId="797F29C9" w14:textId="77777777" w:rsidR="00CC5242" w:rsidRDefault="00CC52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Xiong, W., Wu, D.D. and Yeung, J.H., </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2025</w:t>
      </w:r>
      <w:r w:rsidR="00B57271">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Semiconductor supply chain resilience and disruption: insights, mitigation, and future directions. </w:t>
      </w:r>
      <w:r>
        <w:rPr>
          <w:rFonts w:ascii="Times New Roman" w:eastAsia="Times New Roman" w:hAnsi="Times New Roman" w:cs="Times New Roman"/>
          <w:i/>
          <w:iCs/>
          <w:color w:val="222222"/>
          <w:sz w:val="24"/>
          <w:szCs w:val="24"/>
          <w:highlight w:val="white"/>
        </w:rPr>
        <w:t>International Journal of Production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63</w:t>
      </w:r>
      <w:r>
        <w:rPr>
          <w:rFonts w:ascii="Times New Roman" w:eastAsia="Times New Roman" w:hAnsi="Times New Roman" w:cs="Times New Roman"/>
          <w:color w:val="222222"/>
          <w:sz w:val="24"/>
          <w:szCs w:val="24"/>
          <w:highlight w:val="white"/>
        </w:rPr>
        <w:t>(9), pp.3442-3465.</w:t>
      </w:r>
    </w:p>
    <w:p w14:paraId="797F29CA" w14:textId="77777777" w:rsidR="00CC5242" w:rsidRDefault="00CC5242">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Yahoo. Finance (2026) </w:t>
      </w:r>
      <w:r>
        <w:rPr>
          <w:rFonts w:ascii="Times New Roman" w:eastAsia="Times New Roman" w:hAnsi="Times New Roman" w:cs="Times New Roman"/>
          <w:i/>
          <w:iCs/>
          <w:sz w:val="24"/>
          <w:szCs w:val="24"/>
        </w:rPr>
        <w:t>These overlooked chip stocks are getting an AI boost</w:t>
      </w:r>
      <w:r>
        <w:rPr>
          <w:rFonts w:ascii="Times New Roman" w:eastAsia="Times New Roman" w:hAnsi="Times New Roman" w:cs="Times New Roman"/>
          <w:sz w:val="24"/>
          <w:szCs w:val="24"/>
        </w:rPr>
        <w:t xml:space="preserve">. Available at: </w:t>
      </w:r>
      <w:hyperlink r:id="rId12">
        <w:r>
          <w:rPr>
            <w:rFonts w:ascii="Times New Roman" w:eastAsia="Times New Roman" w:hAnsi="Times New Roman" w:cs="Times New Roman"/>
            <w:color w:val="1155CC"/>
            <w:sz w:val="24"/>
            <w:szCs w:val="24"/>
            <w:u w:val="single"/>
          </w:rPr>
          <w:t>https://finance.yahoo.com/markets/article/these-overlooked-chip-stocks-are-getting-an-ai-boost-170342519.html</w:t>
        </w:r>
      </w:hyperlink>
      <w:r>
        <w:rPr>
          <w:rFonts w:ascii="Times New Roman" w:eastAsia="Times New Roman" w:hAnsi="Times New Roman" w:cs="Times New Roman"/>
          <w:sz w:val="24"/>
          <w:szCs w:val="24"/>
        </w:rPr>
        <w:t xml:space="preserve"> (Accessed: 22 July 2026).</w:t>
      </w:r>
    </w:p>
    <w:p w14:paraId="797F29CB" w14:textId="77777777" w:rsidR="00E93C26" w:rsidRDefault="00E93C26">
      <w:pPr>
        <w:spacing w:line="360" w:lineRule="auto"/>
        <w:jc w:val="both"/>
        <w:rPr>
          <w:rFonts w:ascii="Times New Roman" w:eastAsia="Times New Roman" w:hAnsi="Times New Roman" w:cs="Times New Roman"/>
          <w:sz w:val="32"/>
          <w:szCs w:val="32"/>
        </w:rPr>
      </w:pPr>
    </w:p>
    <w:sectPr w:rsidR="00E93C26" w:rsidSect="00C1442D">
      <w:footerReference w:type="default" r:id="rId13"/>
      <w:footerReference w:type="first" r:id="rId14"/>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84A34" w14:textId="77777777" w:rsidR="003C7047" w:rsidRDefault="003C7047" w:rsidP="00CC5242">
      <w:pPr>
        <w:spacing w:line="240" w:lineRule="auto"/>
      </w:pPr>
      <w:r>
        <w:separator/>
      </w:r>
    </w:p>
  </w:endnote>
  <w:endnote w:type="continuationSeparator" w:id="0">
    <w:p w14:paraId="7A810E65" w14:textId="77777777" w:rsidR="003C7047" w:rsidRDefault="003C7047" w:rsidP="00CC52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91E1D9D-D2D6-4B1D-9469-B3B27449F5CC}"/>
  </w:font>
  <w:font w:name="Tahoma">
    <w:panose1 w:val="020B0604030504040204"/>
    <w:charset w:val="00"/>
    <w:family w:val="swiss"/>
    <w:pitch w:val="variable"/>
    <w:sig w:usb0="E1002EFF" w:usb1="C000605B" w:usb2="00000029" w:usb3="00000000" w:csb0="000101FF" w:csb1="00000000"/>
    <w:embedRegular r:id="rId2" w:fontKey="{FC23D22C-06C6-4C9D-9A24-055D1591DC37}"/>
  </w:font>
  <w:font w:name="Georgia">
    <w:panose1 w:val="02040502050405020303"/>
    <w:charset w:val="00"/>
    <w:family w:val="roman"/>
    <w:pitch w:val="variable"/>
    <w:sig w:usb0="00000287" w:usb1="00000000" w:usb2="00000000" w:usb3="00000000" w:csb0="0000009F" w:csb1="00000000"/>
    <w:embedBold r:id="rId3" w:fontKey="{13946D51-AC07-463D-ADD4-993F51DB66C0}"/>
  </w:font>
  <w:font w:name="Cambria">
    <w:panose1 w:val="02040503050406030204"/>
    <w:charset w:val="00"/>
    <w:family w:val="roman"/>
    <w:pitch w:val="variable"/>
    <w:sig w:usb0="E00006FF" w:usb1="420024FF" w:usb2="02000000" w:usb3="00000000" w:csb0="0000019F" w:csb1="00000000"/>
    <w:embedRegular r:id="rId4" w:fontKey="{557B4983-3AD8-4A5D-9032-EC9A45E5AE2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230179"/>
      <w:docPartObj>
        <w:docPartGallery w:val="Page Numbers (Bottom of Page)"/>
        <w:docPartUnique/>
      </w:docPartObj>
    </w:sdtPr>
    <w:sdtEndPr/>
    <w:sdtContent>
      <w:sdt>
        <w:sdtPr>
          <w:id w:val="-1769616900"/>
          <w:docPartObj>
            <w:docPartGallery w:val="Page Numbers (Top of Page)"/>
            <w:docPartUnique/>
          </w:docPartObj>
        </w:sdtPr>
        <w:sdtEndPr/>
        <w:sdtContent>
          <w:p w14:paraId="797F29D0" w14:textId="77777777" w:rsidR="00CC5242" w:rsidRDefault="00CC5242">
            <w:pPr>
              <w:pStyle w:val="Footer"/>
              <w:jc w:val="right"/>
            </w:pPr>
            <w:r w:rsidRPr="00CC5242">
              <w:rPr>
                <w:rFonts w:asciiTheme="majorBidi" w:hAnsiTheme="majorBidi" w:cstheme="majorBidi"/>
              </w:rPr>
              <w:t xml:space="preserve">Page </w:t>
            </w:r>
            <w:r w:rsidR="002E7F45" w:rsidRPr="00CC5242">
              <w:rPr>
                <w:rFonts w:asciiTheme="majorBidi" w:hAnsiTheme="majorBidi" w:cstheme="majorBidi"/>
              </w:rPr>
              <w:fldChar w:fldCharType="begin"/>
            </w:r>
            <w:r w:rsidRPr="00CC5242">
              <w:rPr>
                <w:rFonts w:asciiTheme="majorBidi" w:hAnsiTheme="majorBidi" w:cstheme="majorBidi"/>
              </w:rPr>
              <w:instrText xml:space="preserve"> PAGE </w:instrText>
            </w:r>
            <w:r w:rsidR="002E7F45" w:rsidRPr="00CC5242">
              <w:rPr>
                <w:rFonts w:asciiTheme="majorBidi" w:hAnsiTheme="majorBidi" w:cstheme="majorBidi"/>
              </w:rPr>
              <w:fldChar w:fldCharType="separate"/>
            </w:r>
            <w:r w:rsidR="00AA4250">
              <w:rPr>
                <w:rFonts w:asciiTheme="majorBidi" w:hAnsiTheme="majorBidi" w:cstheme="majorBidi"/>
                <w:noProof/>
              </w:rPr>
              <w:t>9</w:t>
            </w:r>
            <w:r w:rsidR="002E7F45" w:rsidRPr="00CC5242">
              <w:rPr>
                <w:rFonts w:asciiTheme="majorBidi" w:hAnsiTheme="majorBidi" w:cstheme="majorBidi"/>
              </w:rPr>
              <w:fldChar w:fldCharType="end"/>
            </w:r>
            <w:r w:rsidRPr="00CC5242">
              <w:rPr>
                <w:rFonts w:asciiTheme="majorBidi" w:hAnsiTheme="majorBidi" w:cstheme="majorBidi"/>
              </w:rPr>
              <w:t xml:space="preserve"> of </w:t>
            </w:r>
            <w:r w:rsidR="002E7F45" w:rsidRPr="00CC5242">
              <w:rPr>
                <w:rFonts w:asciiTheme="majorBidi" w:hAnsiTheme="majorBidi" w:cstheme="majorBidi"/>
              </w:rPr>
              <w:fldChar w:fldCharType="begin"/>
            </w:r>
            <w:r w:rsidRPr="00CC5242">
              <w:rPr>
                <w:rFonts w:asciiTheme="majorBidi" w:hAnsiTheme="majorBidi" w:cstheme="majorBidi"/>
              </w:rPr>
              <w:instrText xml:space="preserve"> NUMPAGES  </w:instrText>
            </w:r>
            <w:r w:rsidR="002E7F45" w:rsidRPr="00CC5242">
              <w:rPr>
                <w:rFonts w:asciiTheme="majorBidi" w:hAnsiTheme="majorBidi" w:cstheme="majorBidi"/>
              </w:rPr>
              <w:fldChar w:fldCharType="separate"/>
            </w:r>
            <w:r w:rsidR="00AA4250">
              <w:rPr>
                <w:rFonts w:asciiTheme="majorBidi" w:hAnsiTheme="majorBidi" w:cstheme="majorBidi"/>
                <w:noProof/>
              </w:rPr>
              <w:t>11</w:t>
            </w:r>
            <w:r w:rsidR="002E7F45" w:rsidRPr="00CC5242">
              <w:rPr>
                <w:rFonts w:asciiTheme="majorBidi" w:hAnsiTheme="majorBidi" w:cstheme="majorBidi"/>
              </w:rPr>
              <w:fldChar w:fldCharType="end"/>
            </w:r>
          </w:p>
        </w:sdtContent>
      </w:sdt>
    </w:sdtContent>
  </w:sdt>
  <w:p w14:paraId="797F29D1" w14:textId="77777777" w:rsidR="00CC5242" w:rsidRDefault="00CC52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7026163"/>
      <w:docPartObj>
        <w:docPartGallery w:val="Page Numbers (Bottom of Page)"/>
        <w:docPartUnique/>
      </w:docPartObj>
    </w:sdtPr>
    <w:sdtEndPr/>
    <w:sdtContent>
      <w:sdt>
        <w:sdtPr>
          <w:id w:val="475493529"/>
          <w:docPartObj>
            <w:docPartGallery w:val="Page Numbers (Top of Page)"/>
            <w:docPartUnique/>
          </w:docPartObj>
        </w:sdtPr>
        <w:sdtEndPr/>
        <w:sdtContent>
          <w:p w14:paraId="797F29D2" w14:textId="77777777" w:rsidR="00C1442D" w:rsidRDefault="00C1442D">
            <w:pPr>
              <w:pStyle w:val="Footer"/>
              <w:jc w:val="right"/>
            </w:pPr>
            <w:r w:rsidRPr="00C1442D">
              <w:rPr>
                <w:rFonts w:asciiTheme="majorBidi" w:hAnsiTheme="majorBidi" w:cstheme="majorBidi"/>
              </w:rPr>
              <w:t xml:space="preserve">Page </w:t>
            </w:r>
            <w:r w:rsidR="002E7F45" w:rsidRPr="00C1442D">
              <w:rPr>
                <w:rFonts w:asciiTheme="majorBidi" w:hAnsiTheme="majorBidi" w:cstheme="majorBidi"/>
              </w:rPr>
              <w:fldChar w:fldCharType="begin"/>
            </w:r>
            <w:r w:rsidRPr="00C1442D">
              <w:rPr>
                <w:rFonts w:asciiTheme="majorBidi" w:hAnsiTheme="majorBidi" w:cstheme="majorBidi"/>
              </w:rPr>
              <w:instrText xml:space="preserve"> PAGE </w:instrText>
            </w:r>
            <w:r w:rsidR="002E7F45" w:rsidRPr="00C1442D">
              <w:rPr>
                <w:rFonts w:asciiTheme="majorBidi" w:hAnsiTheme="majorBidi" w:cstheme="majorBidi"/>
              </w:rPr>
              <w:fldChar w:fldCharType="separate"/>
            </w:r>
            <w:r w:rsidR="00AA4250">
              <w:rPr>
                <w:rFonts w:asciiTheme="majorBidi" w:hAnsiTheme="majorBidi" w:cstheme="majorBidi"/>
                <w:noProof/>
              </w:rPr>
              <w:t>0</w:t>
            </w:r>
            <w:r w:rsidR="002E7F45" w:rsidRPr="00C1442D">
              <w:rPr>
                <w:rFonts w:asciiTheme="majorBidi" w:hAnsiTheme="majorBidi" w:cstheme="majorBidi"/>
              </w:rPr>
              <w:fldChar w:fldCharType="end"/>
            </w:r>
            <w:r w:rsidRPr="00C1442D">
              <w:rPr>
                <w:rFonts w:asciiTheme="majorBidi" w:hAnsiTheme="majorBidi" w:cstheme="majorBidi"/>
              </w:rPr>
              <w:t xml:space="preserve"> of </w:t>
            </w:r>
            <w:r w:rsidR="002E7F45" w:rsidRPr="00C1442D">
              <w:rPr>
                <w:rFonts w:asciiTheme="majorBidi" w:hAnsiTheme="majorBidi" w:cstheme="majorBidi"/>
              </w:rPr>
              <w:fldChar w:fldCharType="begin"/>
            </w:r>
            <w:r w:rsidRPr="00C1442D">
              <w:rPr>
                <w:rFonts w:asciiTheme="majorBidi" w:hAnsiTheme="majorBidi" w:cstheme="majorBidi"/>
              </w:rPr>
              <w:instrText xml:space="preserve"> NUMPAGES  </w:instrText>
            </w:r>
            <w:r w:rsidR="002E7F45" w:rsidRPr="00C1442D">
              <w:rPr>
                <w:rFonts w:asciiTheme="majorBidi" w:hAnsiTheme="majorBidi" w:cstheme="majorBidi"/>
              </w:rPr>
              <w:fldChar w:fldCharType="separate"/>
            </w:r>
            <w:r w:rsidR="00AA4250">
              <w:rPr>
                <w:rFonts w:asciiTheme="majorBidi" w:hAnsiTheme="majorBidi" w:cstheme="majorBidi"/>
                <w:noProof/>
              </w:rPr>
              <w:t>1</w:t>
            </w:r>
            <w:r w:rsidR="002E7F45" w:rsidRPr="00C1442D">
              <w:rPr>
                <w:rFonts w:asciiTheme="majorBidi" w:hAnsiTheme="majorBidi" w:cstheme="majorBidi"/>
              </w:rPr>
              <w:fldChar w:fldCharType="end"/>
            </w:r>
          </w:p>
        </w:sdtContent>
      </w:sdt>
    </w:sdtContent>
  </w:sdt>
  <w:p w14:paraId="797F29D3" w14:textId="77777777" w:rsidR="00C1442D" w:rsidRDefault="00C14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6536BF" w14:textId="77777777" w:rsidR="003C7047" w:rsidRDefault="003C7047" w:rsidP="00CC5242">
      <w:pPr>
        <w:spacing w:line="240" w:lineRule="auto"/>
      </w:pPr>
      <w:r>
        <w:separator/>
      </w:r>
    </w:p>
  </w:footnote>
  <w:footnote w:type="continuationSeparator" w:id="0">
    <w:p w14:paraId="597AFFE2" w14:textId="77777777" w:rsidR="003C7047" w:rsidRDefault="003C7047" w:rsidP="00CC52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821846"/>
    <w:multiLevelType w:val="multilevel"/>
    <w:tmpl w:val="264A52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16765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93C26"/>
    <w:rsid w:val="00025C93"/>
    <w:rsid w:val="00096E10"/>
    <w:rsid w:val="00192087"/>
    <w:rsid w:val="001E6AC4"/>
    <w:rsid w:val="0020255A"/>
    <w:rsid w:val="00246A41"/>
    <w:rsid w:val="002C6542"/>
    <w:rsid w:val="002E7F45"/>
    <w:rsid w:val="003C7047"/>
    <w:rsid w:val="00487D2C"/>
    <w:rsid w:val="004E3471"/>
    <w:rsid w:val="00537970"/>
    <w:rsid w:val="00542BD6"/>
    <w:rsid w:val="005C14A9"/>
    <w:rsid w:val="006231B4"/>
    <w:rsid w:val="0079101E"/>
    <w:rsid w:val="007972A2"/>
    <w:rsid w:val="008318D3"/>
    <w:rsid w:val="00894DA2"/>
    <w:rsid w:val="00964B77"/>
    <w:rsid w:val="00A55AFE"/>
    <w:rsid w:val="00AA4250"/>
    <w:rsid w:val="00B57271"/>
    <w:rsid w:val="00C1442D"/>
    <w:rsid w:val="00CC4229"/>
    <w:rsid w:val="00CC5242"/>
    <w:rsid w:val="00DF79B7"/>
    <w:rsid w:val="00E160C6"/>
    <w:rsid w:val="00E7406A"/>
    <w:rsid w:val="00E82AB8"/>
    <w:rsid w:val="00E93C26"/>
    <w:rsid w:val="00EB3FEF"/>
    <w:rsid w:val="00FE125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F2968"/>
  <w15:docId w15:val="{09AB3388-0150-4420-9684-2B7DF7829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F45"/>
  </w:style>
  <w:style w:type="paragraph" w:styleId="Heading1">
    <w:name w:val="heading 1"/>
    <w:basedOn w:val="Normal"/>
    <w:next w:val="Normal"/>
    <w:uiPriority w:val="9"/>
    <w:qFormat/>
    <w:rsid w:val="002E7F45"/>
    <w:pPr>
      <w:keepNext/>
      <w:keepLines/>
      <w:spacing w:before="400" w:after="120"/>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rsid w:val="002E7F45"/>
    <w:pPr>
      <w:keepNext/>
      <w:keepLines/>
      <w:spacing w:before="360" w:after="120"/>
      <w:outlineLvl w:val="1"/>
    </w:pPr>
    <w:rPr>
      <w:rFonts w:ascii="Times New Roman" w:eastAsia="Times New Roman" w:hAnsi="Times New Roman" w:cs="Times New Roman"/>
      <w:b/>
      <w:bCs/>
      <w:i/>
      <w:iCs/>
      <w:sz w:val="24"/>
      <w:szCs w:val="24"/>
    </w:rPr>
  </w:style>
  <w:style w:type="paragraph" w:styleId="Heading3">
    <w:name w:val="heading 3"/>
    <w:basedOn w:val="Normal"/>
    <w:next w:val="Normal"/>
    <w:uiPriority w:val="9"/>
    <w:semiHidden/>
    <w:unhideWhenUsed/>
    <w:qFormat/>
    <w:rsid w:val="002E7F4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2E7F45"/>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2E7F45"/>
    <w:pPr>
      <w:keepNext/>
      <w:keepLines/>
      <w:spacing w:before="240" w:after="80"/>
      <w:outlineLvl w:val="4"/>
    </w:pPr>
    <w:rPr>
      <w:color w:val="666666"/>
    </w:rPr>
  </w:style>
  <w:style w:type="paragraph" w:styleId="Heading6">
    <w:name w:val="heading 6"/>
    <w:basedOn w:val="Normal"/>
    <w:next w:val="Normal"/>
    <w:uiPriority w:val="9"/>
    <w:semiHidden/>
    <w:unhideWhenUsed/>
    <w:qFormat/>
    <w:rsid w:val="002E7F45"/>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E7F45"/>
    <w:tblPr>
      <w:tblCellMar>
        <w:top w:w="100" w:type="dxa"/>
        <w:left w:w="100" w:type="dxa"/>
        <w:bottom w:w="100" w:type="dxa"/>
        <w:right w:w="100" w:type="dxa"/>
      </w:tblCellMar>
    </w:tblPr>
  </w:style>
  <w:style w:type="paragraph" w:styleId="Title">
    <w:name w:val="Title"/>
    <w:basedOn w:val="Normal"/>
    <w:next w:val="Normal"/>
    <w:uiPriority w:val="10"/>
    <w:qFormat/>
    <w:rsid w:val="002E7F45"/>
    <w:pPr>
      <w:keepNext/>
      <w:keepLines/>
      <w:spacing w:after="60"/>
    </w:pPr>
    <w:rPr>
      <w:sz w:val="52"/>
      <w:szCs w:val="52"/>
    </w:rPr>
  </w:style>
  <w:style w:type="paragraph" w:styleId="Subtitle">
    <w:name w:val="Subtitle"/>
    <w:basedOn w:val="Normal"/>
    <w:next w:val="Normal"/>
    <w:uiPriority w:val="11"/>
    <w:qFormat/>
    <w:rsid w:val="002E7F45"/>
    <w:pPr>
      <w:keepNext/>
      <w:keepLines/>
      <w:spacing w:after="320"/>
    </w:pPr>
    <w:rPr>
      <w:color w:val="666666"/>
      <w:sz w:val="30"/>
      <w:szCs w:val="30"/>
    </w:rPr>
  </w:style>
  <w:style w:type="paragraph" w:styleId="Header">
    <w:name w:val="header"/>
    <w:basedOn w:val="Normal"/>
    <w:link w:val="HeaderChar"/>
    <w:uiPriority w:val="99"/>
    <w:unhideWhenUsed/>
    <w:rsid w:val="00CC5242"/>
    <w:pPr>
      <w:tabs>
        <w:tab w:val="center" w:pos="4513"/>
        <w:tab w:val="right" w:pos="9026"/>
      </w:tabs>
      <w:spacing w:line="240" w:lineRule="auto"/>
    </w:pPr>
  </w:style>
  <w:style w:type="character" w:customStyle="1" w:styleId="HeaderChar">
    <w:name w:val="Header Char"/>
    <w:basedOn w:val="DefaultParagraphFont"/>
    <w:link w:val="Header"/>
    <w:uiPriority w:val="99"/>
    <w:rsid w:val="00CC5242"/>
  </w:style>
  <w:style w:type="paragraph" w:styleId="Footer">
    <w:name w:val="footer"/>
    <w:basedOn w:val="Normal"/>
    <w:link w:val="FooterChar"/>
    <w:uiPriority w:val="99"/>
    <w:unhideWhenUsed/>
    <w:rsid w:val="00CC5242"/>
    <w:pPr>
      <w:tabs>
        <w:tab w:val="center" w:pos="4513"/>
        <w:tab w:val="right" w:pos="9026"/>
      </w:tabs>
      <w:spacing w:line="240" w:lineRule="auto"/>
    </w:pPr>
  </w:style>
  <w:style w:type="character" w:customStyle="1" w:styleId="FooterChar">
    <w:name w:val="Footer Char"/>
    <w:basedOn w:val="DefaultParagraphFont"/>
    <w:link w:val="Footer"/>
    <w:uiPriority w:val="99"/>
    <w:rsid w:val="00CC5242"/>
  </w:style>
  <w:style w:type="paragraph" w:styleId="TOCHeading">
    <w:name w:val="TOC Heading"/>
    <w:basedOn w:val="Heading1"/>
    <w:next w:val="Normal"/>
    <w:uiPriority w:val="39"/>
    <w:unhideWhenUsed/>
    <w:qFormat/>
    <w:rsid w:val="00C1442D"/>
    <w:pPr>
      <w:spacing w:before="240" w:after="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1442D"/>
    <w:pPr>
      <w:spacing w:after="100"/>
    </w:pPr>
  </w:style>
  <w:style w:type="paragraph" w:styleId="TOC2">
    <w:name w:val="toc 2"/>
    <w:basedOn w:val="Normal"/>
    <w:next w:val="Normal"/>
    <w:autoRedefine/>
    <w:uiPriority w:val="39"/>
    <w:unhideWhenUsed/>
    <w:rsid w:val="00C1442D"/>
    <w:pPr>
      <w:spacing w:after="100"/>
      <w:ind w:left="220"/>
    </w:pPr>
  </w:style>
  <w:style w:type="character" w:styleId="Hyperlink">
    <w:name w:val="Hyperlink"/>
    <w:basedOn w:val="DefaultParagraphFont"/>
    <w:uiPriority w:val="99"/>
    <w:unhideWhenUsed/>
    <w:rsid w:val="00C1442D"/>
    <w:rPr>
      <w:color w:val="0000FF" w:themeColor="hyperlink"/>
      <w:u w:val="single"/>
    </w:rPr>
  </w:style>
  <w:style w:type="paragraph" w:styleId="BalloonText">
    <w:name w:val="Balloon Text"/>
    <w:basedOn w:val="Normal"/>
    <w:link w:val="BalloonTextChar"/>
    <w:uiPriority w:val="99"/>
    <w:semiHidden/>
    <w:unhideWhenUsed/>
    <w:rsid w:val="00AA425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425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inance.yahoo.com/markets/article/these-overlooked-chip-stocks-are-getting-an-ai-boost-170342519.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vidia.com/en-in/about-nvidia/corporate-timelin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images.nvidia.com/aem-dam/Solutions/documents/NVIDIA-Sustainability-Report-Fiscal-Year-2025.pdf" TargetMode="External"/><Relationship Id="rId4" Type="http://schemas.openxmlformats.org/officeDocument/2006/relationships/settings" Target="settings.xml"/><Relationship Id="rId9" Type="http://schemas.openxmlformats.org/officeDocument/2006/relationships/hyperlink" Target="https://nvidianews.nvidia.com/news/nvidia-and-tsmc-bring-ai-into-fabs-to-advance-semiconductor-design-and-manufacturing" TargetMode="External"/><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997D5B-466C-40BA-B589-4689B13E6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3020</Words>
  <Characters>17216</Characters>
  <Application>Microsoft Office Word</Application>
  <DocSecurity>0</DocSecurity>
  <Lines>143</Lines>
  <Paragraphs>40</Paragraphs>
  <ScaleCrop>false</ScaleCrop>
  <Company/>
  <LinksUpToDate>false</LinksUpToDate>
  <CharactersWithSpaces>20196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Anderson Posse</dc:creator>
  <cp:lastModifiedBy>Anderson Posse</cp:lastModifiedBy>
  <cp:revision>15</cp:revision>
  <dcterms:created xsi:type="dcterms:W3CDTF">2026-07-22T11:00:00Z</dcterms:created>
  <dcterms:modified xsi:type="dcterms:W3CDTF">2026-08-12T11:48:00Z</dcterms:modified>
</cp:coreProperties>
</file>