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6A8965F5" w14:textId="13A7753E" w:rsidR="00F37B62" w:rsidRPr="006833D5" w:rsidRDefault="006833D5">
      <w:pPr>
        <w:rPr>
          <w:rFonts w:ascii="Arial" w:hAnsi="Arial" w:cs="Arial"/>
          <w:b/>
          <w:bCs/>
          <w:sz w:val="44"/>
          <w:szCs w:val="44"/>
        </w:rPr>
      </w:pPr>
      <w:r w:rsidRPr="006833D5">
        <w:rPr>
          <w:rFonts w:ascii="Arial" w:hAnsi="Arial" w:cs="Arial"/>
          <w:b/>
          <w:bCs/>
          <w:sz w:val="44"/>
          <w:szCs w:val="44"/>
        </w:rPr>
        <w:t xml:space="preserve">BA (Hons) Leadership and Management </w:t>
      </w:r>
    </w:p>
    <w:p w14:paraId="43FA50BC" w14:textId="77777777" w:rsidR="00F37B62" w:rsidRDefault="00F37B62" w:rsidP="00F37B62">
      <w:pPr>
        <w:spacing w:line="600" w:lineRule="auto"/>
        <w:rPr>
          <w:rFonts w:ascii="Arial" w:hAnsi="Arial" w:cs="Arial"/>
          <w:i/>
          <w:iCs/>
        </w:rPr>
      </w:pPr>
    </w:p>
    <w:p w14:paraId="1EE10BBF" w14:textId="2891BD10" w:rsidR="00F37B62" w:rsidRPr="00CD19E5" w:rsidRDefault="00F37B62" w:rsidP="00F37B62">
      <w:pPr>
        <w:spacing w:line="600" w:lineRule="auto"/>
        <w:rPr>
          <w:rFonts w:ascii="Arial" w:hAnsi="Arial" w:cs="Arial"/>
          <w:b/>
          <w:bCs/>
          <w:sz w:val="28"/>
          <w:szCs w:val="28"/>
        </w:rPr>
      </w:pPr>
      <w:r w:rsidRPr="00CD19E5">
        <w:rPr>
          <w:rFonts w:ascii="Arial" w:hAnsi="Arial" w:cs="Arial"/>
          <w:b/>
          <w:bCs/>
          <w:sz w:val="28"/>
          <w:szCs w:val="28"/>
        </w:rPr>
        <w:t>Student Name:</w:t>
      </w:r>
      <w:r w:rsidR="00CD19E5" w:rsidRPr="00CD19E5">
        <w:rPr>
          <w:rFonts w:ascii="Arial" w:hAnsi="Arial" w:cs="Arial"/>
          <w:b/>
          <w:bCs/>
          <w:sz w:val="28"/>
          <w:szCs w:val="28"/>
        </w:rPr>
        <w:t xml:space="preserve"> Khushbakht Mirzoev</w:t>
      </w:r>
    </w:p>
    <w:p w14:paraId="432CDF3F" w14:textId="4A9503E4" w:rsidR="00F37B62" w:rsidRPr="00CD19E5" w:rsidRDefault="00F37B62" w:rsidP="00F37B62">
      <w:pPr>
        <w:spacing w:line="600" w:lineRule="auto"/>
        <w:rPr>
          <w:rFonts w:ascii="Arial" w:hAnsi="Arial" w:cs="Arial"/>
          <w:b/>
          <w:bCs/>
          <w:sz w:val="28"/>
          <w:szCs w:val="28"/>
        </w:rPr>
      </w:pPr>
      <w:r w:rsidRPr="00CD19E5">
        <w:rPr>
          <w:rFonts w:ascii="Arial" w:hAnsi="Arial" w:cs="Arial"/>
          <w:b/>
          <w:bCs/>
          <w:sz w:val="28"/>
          <w:szCs w:val="28"/>
        </w:rPr>
        <w:t>Student Number:</w:t>
      </w:r>
      <w:r w:rsidR="00CD19E5" w:rsidRPr="00CD19E5">
        <w:rPr>
          <w:rFonts w:ascii="Arial" w:hAnsi="Arial" w:cs="Arial"/>
          <w:b/>
          <w:bCs/>
          <w:sz w:val="28"/>
          <w:szCs w:val="28"/>
        </w:rPr>
        <w:t xml:space="preserve"> 2417183</w:t>
      </w:r>
    </w:p>
    <w:p w14:paraId="777CB569" w14:textId="060883CB" w:rsidR="00F37B62" w:rsidRPr="00CD19E5" w:rsidRDefault="00F37B62" w:rsidP="19DF5ED4">
      <w:pPr>
        <w:spacing w:line="600" w:lineRule="auto"/>
        <w:rPr>
          <w:rFonts w:ascii="Arial" w:hAnsi="Arial" w:cs="Arial"/>
          <w:b/>
          <w:bCs/>
          <w:sz w:val="28"/>
          <w:szCs w:val="28"/>
        </w:rPr>
      </w:pPr>
      <w:r w:rsidRPr="00CD19E5">
        <w:rPr>
          <w:rFonts w:ascii="Arial" w:hAnsi="Arial" w:cs="Arial"/>
          <w:b/>
          <w:bCs/>
          <w:sz w:val="28"/>
          <w:szCs w:val="28"/>
        </w:rPr>
        <w:t xml:space="preserve">Course Name: </w:t>
      </w:r>
      <w:r w:rsidR="00CD19E5" w:rsidRPr="00CD19E5">
        <w:rPr>
          <w:rFonts w:ascii="Arial" w:hAnsi="Arial" w:cs="Arial"/>
          <w:b/>
          <w:bCs/>
          <w:sz w:val="28"/>
          <w:szCs w:val="28"/>
        </w:rPr>
        <w:t>LCLM5002</w:t>
      </w:r>
    </w:p>
    <w:p w14:paraId="556C6252" w14:textId="178AB46A" w:rsidR="00F37B62" w:rsidRPr="00CD19E5" w:rsidRDefault="00F37B62" w:rsidP="00F37B62">
      <w:pPr>
        <w:spacing w:line="600" w:lineRule="auto"/>
        <w:rPr>
          <w:rFonts w:ascii="Arial" w:hAnsi="Arial" w:cs="Arial"/>
          <w:b/>
          <w:bCs/>
          <w:sz w:val="28"/>
          <w:szCs w:val="28"/>
        </w:rPr>
      </w:pPr>
      <w:r w:rsidRPr="00CD19E5">
        <w:rPr>
          <w:rFonts w:ascii="Arial" w:hAnsi="Arial" w:cs="Arial"/>
          <w:b/>
          <w:bCs/>
          <w:sz w:val="28"/>
          <w:szCs w:val="28"/>
        </w:rPr>
        <w:t>Lecturer Name:</w:t>
      </w:r>
      <w:r w:rsidR="00CD19E5" w:rsidRPr="00CD19E5">
        <w:rPr>
          <w:rFonts w:ascii="Arial" w:hAnsi="Arial" w:cs="Arial"/>
          <w:b/>
          <w:bCs/>
          <w:sz w:val="28"/>
          <w:szCs w:val="28"/>
        </w:rPr>
        <w:t xml:space="preserve"> Amer </w:t>
      </w:r>
      <w:r w:rsidRPr="00CD19E5">
        <w:rPr>
          <w:rFonts w:ascii="Arial" w:hAnsi="Arial" w:cs="Arial"/>
          <w:b/>
          <w:bCs/>
          <w:sz w:val="28"/>
          <w:szCs w:val="28"/>
        </w:rPr>
        <w:t xml:space="preserve"> </w:t>
      </w:r>
      <w:r w:rsidR="00CD19E5" w:rsidRPr="00CD19E5">
        <w:rPr>
          <w:rFonts w:ascii="Arial" w:hAnsi="Arial" w:cs="Arial"/>
          <w:b/>
          <w:bCs/>
          <w:sz w:val="28"/>
          <w:szCs w:val="28"/>
        </w:rPr>
        <w:t>Kareem</w:t>
      </w:r>
    </w:p>
    <w:p w14:paraId="0CF901E6" w14:textId="02E81B6B" w:rsidR="00F37B62" w:rsidRPr="00CD19E5" w:rsidRDefault="00F37B62" w:rsidP="19DF5ED4">
      <w:pPr>
        <w:spacing w:line="600" w:lineRule="auto"/>
        <w:rPr>
          <w:rFonts w:ascii="Arial" w:hAnsi="Arial" w:cs="Arial"/>
          <w:b/>
          <w:bCs/>
          <w:sz w:val="28"/>
          <w:szCs w:val="28"/>
        </w:rPr>
      </w:pPr>
      <w:r w:rsidRPr="00CD19E5">
        <w:rPr>
          <w:rFonts w:ascii="Arial" w:hAnsi="Arial" w:cs="Arial"/>
          <w:b/>
          <w:bCs/>
          <w:sz w:val="28"/>
          <w:szCs w:val="28"/>
        </w:rPr>
        <w:t>Session:</w:t>
      </w:r>
      <w:r w:rsidR="008D1598" w:rsidRPr="00CD19E5">
        <w:rPr>
          <w:rFonts w:ascii="Arial" w:hAnsi="Arial" w:cs="Arial"/>
          <w:b/>
          <w:bCs/>
          <w:sz w:val="28"/>
          <w:szCs w:val="28"/>
        </w:rPr>
        <w:t xml:space="preserve"> Fe</w:t>
      </w:r>
      <w:r w:rsidR="006833D5" w:rsidRPr="00CD19E5">
        <w:rPr>
          <w:rFonts w:ascii="Arial" w:hAnsi="Arial" w:cs="Arial"/>
          <w:b/>
          <w:bCs/>
          <w:sz w:val="28"/>
          <w:szCs w:val="28"/>
        </w:rPr>
        <w:t>bruary</w:t>
      </w:r>
      <w:r w:rsidR="008D1598" w:rsidRPr="00CD19E5">
        <w:rPr>
          <w:rFonts w:ascii="Arial" w:hAnsi="Arial" w:cs="Arial"/>
          <w:b/>
          <w:bCs/>
          <w:sz w:val="28"/>
          <w:szCs w:val="28"/>
        </w:rPr>
        <w:t xml:space="preserve"> </w:t>
      </w:r>
      <w:r w:rsidRPr="00CD19E5">
        <w:rPr>
          <w:rFonts w:ascii="Arial" w:hAnsi="Arial" w:cs="Arial"/>
          <w:b/>
          <w:bCs/>
          <w:sz w:val="28"/>
          <w:szCs w:val="28"/>
        </w:rPr>
        <w:t>202</w:t>
      </w:r>
      <w:r w:rsidR="008D1598" w:rsidRPr="00CD19E5">
        <w:rPr>
          <w:rFonts w:ascii="Arial" w:hAnsi="Arial" w:cs="Arial"/>
          <w:b/>
          <w:bCs/>
          <w:sz w:val="28"/>
          <w:szCs w:val="28"/>
        </w:rPr>
        <w:t>5</w:t>
      </w:r>
      <w:r w:rsidRPr="00CD19E5">
        <w:rPr>
          <w:rFonts w:ascii="Arial" w:hAnsi="Arial" w:cs="Arial"/>
          <w:b/>
          <w:bCs/>
          <w:sz w:val="28"/>
          <w:szCs w:val="28"/>
        </w:rPr>
        <w:t xml:space="preserve"> Term </w:t>
      </w:r>
    </w:p>
    <w:p w14:paraId="5A7D7C48" w14:textId="45598E74" w:rsidR="19DF5ED4" w:rsidRDefault="19DF5ED4" w:rsidP="19DF5ED4">
      <w:pPr>
        <w:spacing w:line="600" w:lineRule="auto"/>
        <w:rPr>
          <w:rFonts w:ascii="Arial" w:hAnsi="Arial" w:cs="Arial"/>
          <w:b/>
          <w:bCs/>
          <w:i/>
          <w:iCs/>
        </w:rPr>
      </w:pPr>
    </w:p>
    <w:p w14:paraId="477D185C" w14:textId="77777777" w:rsidR="00C73BAE" w:rsidRDefault="00C73BAE" w:rsidP="00CD19E5">
      <w:pPr>
        <w:spacing w:line="600" w:lineRule="auto"/>
        <w:rPr>
          <w:rFonts w:ascii="Arial" w:hAnsi="Arial" w:cs="Arial"/>
          <w:b/>
          <w:bCs/>
          <w:i/>
          <w:iCs/>
        </w:rPr>
      </w:pPr>
    </w:p>
    <w:p w14:paraId="08AF098A" w14:textId="77777777" w:rsidR="00C73BAE" w:rsidRDefault="00C73BAE" w:rsidP="00CD19E5">
      <w:pPr>
        <w:spacing w:line="600" w:lineRule="auto"/>
        <w:rPr>
          <w:rFonts w:ascii="Arial" w:hAnsi="Arial" w:cs="Arial"/>
          <w:b/>
          <w:bCs/>
          <w:i/>
          <w:iCs/>
        </w:rPr>
      </w:pPr>
    </w:p>
    <w:p w14:paraId="2C3C262A" w14:textId="77777777" w:rsidR="00C73BAE" w:rsidRDefault="00C73BAE" w:rsidP="00CD19E5">
      <w:pPr>
        <w:spacing w:line="600" w:lineRule="auto"/>
        <w:rPr>
          <w:rFonts w:ascii="Arial" w:hAnsi="Arial" w:cs="Arial"/>
          <w:b/>
          <w:bCs/>
          <w:i/>
          <w:iCs/>
        </w:rPr>
      </w:pPr>
    </w:p>
    <w:p w14:paraId="44C54386" w14:textId="77777777" w:rsidR="00C73BAE" w:rsidRDefault="00C73BAE" w:rsidP="00CD19E5">
      <w:pPr>
        <w:spacing w:line="600" w:lineRule="auto"/>
        <w:rPr>
          <w:rFonts w:ascii="Arial" w:hAnsi="Arial" w:cs="Arial"/>
          <w:b/>
          <w:bCs/>
          <w:i/>
          <w:iCs/>
        </w:rPr>
      </w:pPr>
    </w:p>
    <w:p w14:paraId="775A7F9B" w14:textId="32EF21D9" w:rsidR="00C73BAE" w:rsidRPr="009B6F35" w:rsidRDefault="00C73BAE" w:rsidP="00CD19E5">
      <w:pPr>
        <w:spacing w:line="600" w:lineRule="auto"/>
        <w:rPr>
          <w:rFonts w:ascii="Arial" w:hAnsi="Arial" w:cs="Arial"/>
          <w:b/>
          <w:bCs/>
          <w:sz w:val="36"/>
          <w:szCs w:val="36"/>
        </w:rPr>
      </w:pPr>
      <w:r>
        <w:rPr>
          <w:rFonts w:ascii="Arial" w:hAnsi="Arial" w:cs="Arial"/>
          <w:b/>
          <w:bCs/>
          <w:i/>
          <w:iCs/>
        </w:rPr>
        <w:lastRenderedPageBreak/>
        <w:t xml:space="preserve">                      </w:t>
      </w:r>
      <w:r w:rsidRPr="009B6F35">
        <w:rPr>
          <w:rFonts w:ascii="Arial" w:hAnsi="Arial" w:cs="Arial"/>
          <w:b/>
          <w:bCs/>
        </w:rPr>
        <w:t xml:space="preserve"> </w:t>
      </w:r>
      <w:r w:rsidR="00CD19E5" w:rsidRPr="009B6F35">
        <w:rPr>
          <w:rFonts w:ascii="Arial" w:hAnsi="Arial" w:cs="Arial"/>
          <w:b/>
          <w:bCs/>
          <w:sz w:val="36"/>
          <w:szCs w:val="36"/>
        </w:rPr>
        <w:t>Table of Contents</w:t>
      </w:r>
    </w:p>
    <w:p w14:paraId="452EDC43" w14:textId="3E4BA735"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1</w:t>
      </w:r>
      <w:r w:rsidR="00CD19E5" w:rsidRPr="009B6F35">
        <w:rPr>
          <w:rFonts w:ascii="Arial" w:hAnsi="Arial" w:cs="Arial"/>
          <w:b/>
          <w:bCs/>
          <w:sz w:val="24"/>
          <w:szCs w:val="24"/>
        </w:rPr>
        <w:t>Introduction</w:t>
      </w:r>
    </w:p>
    <w:p w14:paraId="05AB9C3C" w14:textId="1A994049"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 xml:space="preserve">2 </w:t>
      </w:r>
      <w:r w:rsidR="00CD19E5" w:rsidRPr="009B6F35">
        <w:rPr>
          <w:rFonts w:ascii="Arial" w:hAnsi="Arial" w:cs="Arial"/>
          <w:b/>
          <w:bCs/>
          <w:sz w:val="24"/>
          <w:szCs w:val="24"/>
        </w:rPr>
        <w:t>Factors Affecting HR at Tesco</w:t>
      </w:r>
    </w:p>
    <w:p w14:paraId="23955CD3" w14:textId="3B82FFD4"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2</w:t>
      </w:r>
      <w:r w:rsidR="00CD19E5" w:rsidRPr="009B6F35">
        <w:rPr>
          <w:rFonts w:ascii="Arial" w:hAnsi="Arial" w:cs="Arial"/>
          <w:b/>
          <w:bCs/>
          <w:sz w:val="24"/>
          <w:szCs w:val="24"/>
        </w:rPr>
        <w:t>.1 Technological Advancement</w:t>
      </w:r>
    </w:p>
    <w:p w14:paraId="3416D8E1" w14:textId="479BA6C5"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2</w:t>
      </w:r>
      <w:r w:rsidR="00CD19E5" w:rsidRPr="009B6F35">
        <w:rPr>
          <w:rFonts w:ascii="Arial" w:hAnsi="Arial" w:cs="Arial"/>
          <w:b/>
          <w:bCs/>
          <w:sz w:val="24"/>
          <w:szCs w:val="24"/>
        </w:rPr>
        <w:t>.2 Talent Acquisition and Retention</w:t>
      </w:r>
    </w:p>
    <w:p w14:paraId="6B8AFB7D" w14:textId="405E4074"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2</w:t>
      </w:r>
      <w:r w:rsidR="00CD19E5" w:rsidRPr="009B6F35">
        <w:rPr>
          <w:rFonts w:ascii="Arial" w:hAnsi="Arial" w:cs="Arial"/>
          <w:b/>
          <w:bCs/>
          <w:sz w:val="24"/>
          <w:szCs w:val="24"/>
        </w:rPr>
        <w:t>.3 Diversity, Equity and Inclusion (DEI)</w:t>
      </w:r>
    </w:p>
    <w:p w14:paraId="4DDEDCC0" w14:textId="284FB89B"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 xml:space="preserve">3 </w:t>
      </w:r>
      <w:r w:rsidR="00CD19E5" w:rsidRPr="009B6F35">
        <w:rPr>
          <w:rFonts w:ascii="Arial" w:hAnsi="Arial" w:cs="Arial"/>
          <w:b/>
          <w:bCs/>
          <w:sz w:val="24"/>
          <w:szCs w:val="24"/>
        </w:rPr>
        <w:t>Evaluation of Contemporary HR Practices</w:t>
      </w:r>
    </w:p>
    <w:p w14:paraId="79C792C7" w14:textId="19817768"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3</w:t>
      </w:r>
      <w:r w:rsidR="00CD19E5" w:rsidRPr="009B6F35">
        <w:rPr>
          <w:rFonts w:ascii="Arial" w:hAnsi="Arial" w:cs="Arial"/>
          <w:b/>
          <w:bCs/>
          <w:sz w:val="24"/>
          <w:szCs w:val="24"/>
        </w:rPr>
        <w:t>.1 Addressing Technological Change</w:t>
      </w:r>
    </w:p>
    <w:p w14:paraId="7856E51C" w14:textId="0AE892D6"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3</w:t>
      </w:r>
      <w:r w:rsidR="00CD19E5" w:rsidRPr="009B6F35">
        <w:rPr>
          <w:rFonts w:ascii="Arial" w:hAnsi="Arial" w:cs="Arial"/>
          <w:b/>
          <w:bCs/>
          <w:sz w:val="24"/>
          <w:szCs w:val="24"/>
        </w:rPr>
        <w:t>.2 Talent Acquisition and Retention Practices</w:t>
      </w:r>
    </w:p>
    <w:p w14:paraId="38A05716" w14:textId="4FC5227E"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3.</w:t>
      </w:r>
      <w:r w:rsidR="00CD19E5" w:rsidRPr="009B6F35">
        <w:rPr>
          <w:rFonts w:ascii="Arial" w:hAnsi="Arial" w:cs="Arial"/>
          <w:b/>
          <w:bCs/>
          <w:sz w:val="24"/>
          <w:szCs w:val="24"/>
        </w:rPr>
        <w:t>3 DEI Practices</w:t>
      </w:r>
    </w:p>
    <w:p w14:paraId="7A39C0D4" w14:textId="5CFC47B9"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 xml:space="preserve">4 </w:t>
      </w:r>
      <w:r w:rsidR="00CD19E5" w:rsidRPr="009B6F35">
        <w:rPr>
          <w:rFonts w:ascii="Arial" w:hAnsi="Arial" w:cs="Arial"/>
          <w:b/>
          <w:bCs/>
          <w:sz w:val="24"/>
          <w:szCs w:val="24"/>
        </w:rPr>
        <w:t>Role of Departmental Managers</w:t>
      </w:r>
    </w:p>
    <w:p w14:paraId="14A77D0E" w14:textId="3CB1E649"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4.</w:t>
      </w:r>
      <w:r w:rsidR="00CD19E5" w:rsidRPr="009B6F35">
        <w:rPr>
          <w:rFonts w:ascii="Arial" w:hAnsi="Arial" w:cs="Arial"/>
          <w:b/>
          <w:bCs/>
          <w:sz w:val="24"/>
          <w:szCs w:val="24"/>
        </w:rPr>
        <w:t>1 Ensuring Technological Adoption</w:t>
      </w:r>
    </w:p>
    <w:p w14:paraId="78753542" w14:textId="14D48079"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4.</w:t>
      </w:r>
      <w:r w:rsidR="00CD19E5" w:rsidRPr="009B6F35">
        <w:rPr>
          <w:rFonts w:ascii="Arial" w:hAnsi="Arial" w:cs="Arial"/>
          <w:b/>
          <w:bCs/>
          <w:sz w:val="24"/>
          <w:szCs w:val="24"/>
        </w:rPr>
        <w:t>2 Supporting Talent Retention</w:t>
      </w:r>
    </w:p>
    <w:p w14:paraId="43892780" w14:textId="4943F298" w:rsidR="00CD19E5" w:rsidRPr="009B6F35" w:rsidRDefault="008D74A2" w:rsidP="00CD19E5">
      <w:pPr>
        <w:spacing w:line="600" w:lineRule="auto"/>
        <w:rPr>
          <w:rFonts w:ascii="Arial" w:hAnsi="Arial" w:cs="Arial"/>
          <w:b/>
          <w:bCs/>
          <w:sz w:val="24"/>
          <w:szCs w:val="24"/>
        </w:rPr>
      </w:pPr>
      <w:r w:rsidRPr="009B6F35">
        <w:rPr>
          <w:rFonts w:ascii="Arial" w:hAnsi="Arial" w:cs="Arial"/>
          <w:b/>
          <w:bCs/>
          <w:sz w:val="24"/>
          <w:szCs w:val="24"/>
        </w:rPr>
        <w:t>4.</w:t>
      </w:r>
      <w:r w:rsidR="00CD19E5" w:rsidRPr="009B6F35">
        <w:rPr>
          <w:rFonts w:ascii="Arial" w:hAnsi="Arial" w:cs="Arial"/>
          <w:b/>
          <w:bCs/>
          <w:sz w:val="24"/>
          <w:szCs w:val="24"/>
        </w:rPr>
        <w:t>3 Promoting DEI</w:t>
      </w:r>
    </w:p>
    <w:p w14:paraId="4AF2E458" w14:textId="77777777" w:rsidR="008D74A2" w:rsidRPr="009B6F35" w:rsidRDefault="00CD19E5" w:rsidP="00CD19E5">
      <w:pPr>
        <w:spacing w:line="600" w:lineRule="auto"/>
        <w:rPr>
          <w:rFonts w:ascii="Arial" w:hAnsi="Arial" w:cs="Arial"/>
          <w:b/>
          <w:bCs/>
          <w:sz w:val="24"/>
          <w:szCs w:val="24"/>
        </w:rPr>
      </w:pPr>
      <w:r w:rsidRPr="009B6F35">
        <w:rPr>
          <w:rFonts w:ascii="Arial" w:hAnsi="Arial" w:cs="Arial"/>
          <w:b/>
          <w:bCs/>
          <w:sz w:val="24"/>
          <w:szCs w:val="24"/>
        </w:rPr>
        <w:t>Conclusion</w:t>
      </w:r>
    </w:p>
    <w:p w14:paraId="1A3F56C7" w14:textId="5530C498" w:rsidR="008D74A2" w:rsidRPr="009B6F35" w:rsidRDefault="00CD19E5" w:rsidP="00CD19E5">
      <w:pPr>
        <w:spacing w:line="600" w:lineRule="auto"/>
        <w:rPr>
          <w:rFonts w:ascii="Arial" w:hAnsi="Arial" w:cs="Arial"/>
          <w:b/>
          <w:bCs/>
          <w:sz w:val="24"/>
          <w:szCs w:val="24"/>
        </w:rPr>
      </w:pPr>
      <w:r w:rsidRPr="009B6F35">
        <w:rPr>
          <w:rFonts w:ascii="Arial" w:hAnsi="Arial" w:cs="Arial"/>
          <w:b/>
          <w:bCs/>
          <w:sz w:val="24"/>
          <w:szCs w:val="24"/>
        </w:rPr>
        <w:t>Recommendations</w:t>
      </w:r>
    </w:p>
    <w:p w14:paraId="131C1ADC" w14:textId="77777777" w:rsidR="009B6F35" w:rsidRDefault="00CD19E5" w:rsidP="00115B07">
      <w:pPr>
        <w:spacing w:line="600" w:lineRule="auto"/>
        <w:rPr>
          <w:rFonts w:ascii="Arial" w:hAnsi="Arial" w:cs="Arial"/>
          <w:b/>
          <w:bCs/>
          <w:sz w:val="24"/>
          <w:szCs w:val="24"/>
        </w:rPr>
      </w:pPr>
      <w:r w:rsidRPr="009B6F35">
        <w:rPr>
          <w:rFonts w:ascii="Arial" w:hAnsi="Arial" w:cs="Arial"/>
          <w:b/>
          <w:bCs/>
          <w:sz w:val="24"/>
          <w:szCs w:val="24"/>
        </w:rPr>
        <w:t>Reference List</w:t>
      </w:r>
    </w:p>
    <w:p w14:paraId="53589CE5" w14:textId="1029D9CE" w:rsidR="00115B07" w:rsidRPr="009B6F35" w:rsidRDefault="009B6F35" w:rsidP="00115B07">
      <w:pPr>
        <w:spacing w:line="600" w:lineRule="auto"/>
        <w:rPr>
          <w:rFonts w:ascii="Arial" w:hAnsi="Arial" w:cs="Arial"/>
          <w:b/>
          <w:bCs/>
          <w:sz w:val="24"/>
          <w:szCs w:val="24"/>
        </w:rPr>
      </w:pPr>
      <w:r>
        <w:rPr>
          <w:rFonts w:ascii="Arial" w:hAnsi="Arial" w:cs="Arial"/>
          <w:b/>
          <w:bCs/>
          <w:sz w:val="24"/>
          <w:szCs w:val="24"/>
        </w:rPr>
        <w:lastRenderedPageBreak/>
        <w:t xml:space="preserve">                               </w:t>
      </w:r>
      <w:r w:rsidR="00FE5DCD">
        <w:rPr>
          <w:rFonts w:ascii="Arial" w:hAnsi="Arial" w:cs="Arial"/>
          <w:b/>
          <w:bCs/>
          <w:sz w:val="48"/>
          <w:szCs w:val="48"/>
        </w:rPr>
        <w:t xml:space="preserve">  </w:t>
      </w:r>
      <w:r w:rsidR="00115B07" w:rsidRPr="00115B07">
        <w:rPr>
          <w:rFonts w:ascii="Arial" w:hAnsi="Arial" w:cs="Arial"/>
          <w:b/>
          <w:bCs/>
          <w:sz w:val="48"/>
          <w:szCs w:val="48"/>
        </w:rPr>
        <w:t>Introduction</w:t>
      </w:r>
    </w:p>
    <w:p w14:paraId="0987EAAA" w14:textId="77777777" w:rsidR="00115B07" w:rsidRPr="00FE5DCD" w:rsidRDefault="00115B07" w:rsidP="00115B07">
      <w:pPr>
        <w:spacing w:line="600" w:lineRule="auto"/>
        <w:rPr>
          <w:rFonts w:ascii="Arial" w:hAnsi="Arial" w:cs="Arial"/>
          <w:sz w:val="28"/>
          <w:szCs w:val="28"/>
        </w:rPr>
      </w:pPr>
      <w:r w:rsidRPr="00FE5DCD">
        <w:rPr>
          <w:rFonts w:ascii="Arial" w:hAnsi="Arial" w:cs="Arial"/>
          <w:sz w:val="28"/>
          <w:szCs w:val="28"/>
        </w:rPr>
        <w:t>Tesco PLC, the United Kingdom's largest grocery retailer with over 330,000 employees, operates in a highly competitive and rapidly evolving retail environment (Tesco PLC 2024a). As a Human Resources practitioner, this report analyses three critical challenges facing Tesco's workforce management: meeting technological advancement, talent acquisition and retention, and Diversity, Equity and Inclusion (DEI). These factors have been identified as strategic priorities for the organisation, particularly as the retail sector undergoes digital transformation while facing labour shortages and changing employment legislation (Shoosmiths 2026). The report evaluates contemporary HR practices that address these challenges and critically examines how departmental managers can ensure effective implementation. Drawing on Tesco's publicly available data, industry research, and relevant legislation including the Employment Rights Act 2025, this analysis provides evidence-based recommendations for strengthening Tesco's HR strategy.</w:t>
      </w:r>
    </w:p>
    <w:p w14:paraId="3E423DB2" w14:textId="77777777" w:rsidR="00115B07" w:rsidRPr="00FE5DCD" w:rsidRDefault="00115B07" w:rsidP="00115B07">
      <w:pPr>
        <w:spacing w:line="600" w:lineRule="auto"/>
        <w:rPr>
          <w:rFonts w:ascii="Arial" w:hAnsi="Arial" w:cs="Arial"/>
          <w:sz w:val="24"/>
          <w:szCs w:val="24"/>
        </w:rPr>
      </w:pPr>
      <w:r w:rsidRPr="00FE5DCD">
        <w:rPr>
          <w:rFonts w:ascii="Arial" w:hAnsi="Arial" w:cs="Arial"/>
          <w:b/>
          <w:bCs/>
          <w:sz w:val="24"/>
          <w:szCs w:val="24"/>
        </w:rPr>
        <w:lastRenderedPageBreak/>
        <w:t>Table 1: Report Structure Overview</w:t>
      </w:r>
    </w:p>
    <w:tbl>
      <w:tblPr>
        <w:tblpPr w:leftFromText="180" w:rightFromText="180" w:horzAnchor="margin" w:tblpXSpec="center" w:tblpY="-1440"/>
        <w:tblW w:w="11524" w:type="dxa"/>
        <w:tblCellMar>
          <w:top w:w="15" w:type="dxa"/>
          <w:left w:w="15" w:type="dxa"/>
          <w:bottom w:w="15" w:type="dxa"/>
          <w:right w:w="15" w:type="dxa"/>
        </w:tblCellMar>
        <w:tblLook w:val="04A0" w:firstRow="1" w:lastRow="0" w:firstColumn="1" w:lastColumn="0" w:noHBand="0" w:noVBand="1"/>
      </w:tblPr>
      <w:tblGrid>
        <w:gridCol w:w="2970"/>
        <w:gridCol w:w="2999"/>
        <w:gridCol w:w="5555"/>
      </w:tblGrid>
      <w:tr w:rsidR="00115B07" w:rsidRPr="00FE5DCD" w14:paraId="3A2060E6" w14:textId="77777777" w:rsidTr="009B6F35">
        <w:trPr>
          <w:tblHeader/>
        </w:trPr>
        <w:tc>
          <w:tcPr>
            <w:tcW w:w="0" w:type="auto"/>
            <w:tcBorders>
              <w:top w:val="nil"/>
            </w:tcBorders>
            <w:shd w:val="clear" w:color="auto" w:fill="ACB9CA" w:themeFill="text2" w:themeFillTint="66"/>
            <w:tcMar>
              <w:top w:w="150" w:type="dxa"/>
              <w:left w:w="0" w:type="dxa"/>
              <w:bottom w:w="150" w:type="dxa"/>
              <w:right w:w="240" w:type="dxa"/>
            </w:tcMar>
            <w:vAlign w:val="center"/>
            <w:hideMark/>
          </w:tcPr>
          <w:p w14:paraId="0E45A983"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Section</w:t>
            </w:r>
          </w:p>
        </w:tc>
        <w:tc>
          <w:tcPr>
            <w:tcW w:w="0" w:type="auto"/>
            <w:tcBorders>
              <w:top w:val="nil"/>
            </w:tcBorders>
            <w:shd w:val="clear" w:color="auto" w:fill="ACB9CA" w:themeFill="text2" w:themeFillTint="66"/>
            <w:tcMar>
              <w:top w:w="150" w:type="dxa"/>
              <w:left w:w="240" w:type="dxa"/>
              <w:bottom w:w="150" w:type="dxa"/>
              <w:right w:w="240" w:type="dxa"/>
            </w:tcMar>
            <w:vAlign w:val="center"/>
            <w:hideMark/>
          </w:tcPr>
          <w:p w14:paraId="2184C3E2"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Focus</w:t>
            </w:r>
          </w:p>
        </w:tc>
        <w:tc>
          <w:tcPr>
            <w:tcW w:w="0" w:type="auto"/>
            <w:tcBorders>
              <w:top w:val="nil"/>
            </w:tcBorders>
            <w:shd w:val="clear" w:color="auto" w:fill="ACB9CA" w:themeFill="text2" w:themeFillTint="66"/>
            <w:tcMar>
              <w:top w:w="150" w:type="dxa"/>
              <w:left w:w="240" w:type="dxa"/>
              <w:bottom w:w="150" w:type="dxa"/>
              <w:right w:w="240" w:type="dxa"/>
            </w:tcMar>
            <w:vAlign w:val="center"/>
            <w:hideMark/>
          </w:tcPr>
          <w:p w14:paraId="7D5B7EE7"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Key Questions Addressed</w:t>
            </w:r>
          </w:p>
        </w:tc>
      </w:tr>
      <w:tr w:rsidR="00115B07" w:rsidRPr="00FE5DCD" w14:paraId="7B6A5823" w14:textId="77777777" w:rsidTr="009B6F35">
        <w:tc>
          <w:tcPr>
            <w:tcW w:w="0" w:type="auto"/>
            <w:shd w:val="clear" w:color="auto" w:fill="ACB9CA" w:themeFill="text2" w:themeFillTint="66"/>
            <w:tcMar>
              <w:top w:w="150" w:type="dxa"/>
              <w:left w:w="0" w:type="dxa"/>
              <w:bottom w:w="150" w:type="dxa"/>
              <w:right w:w="240" w:type="dxa"/>
            </w:tcMar>
            <w:vAlign w:val="center"/>
            <w:hideMark/>
          </w:tcPr>
          <w:p w14:paraId="07323080"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Factors Affecting HR</w:t>
            </w:r>
          </w:p>
        </w:tc>
        <w:tc>
          <w:tcPr>
            <w:tcW w:w="0" w:type="auto"/>
            <w:shd w:val="clear" w:color="auto" w:fill="ACB9CA" w:themeFill="text2" w:themeFillTint="66"/>
            <w:tcMar>
              <w:top w:w="150" w:type="dxa"/>
              <w:left w:w="240" w:type="dxa"/>
              <w:bottom w:w="150" w:type="dxa"/>
              <w:right w:w="240" w:type="dxa"/>
            </w:tcMar>
            <w:vAlign w:val="center"/>
            <w:hideMark/>
          </w:tcPr>
          <w:p w14:paraId="2B7B42EB"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Identification of challenges</w:t>
            </w:r>
          </w:p>
        </w:tc>
        <w:tc>
          <w:tcPr>
            <w:tcW w:w="0" w:type="auto"/>
            <w:shd w:val="clear" w:color="auto" w:fill="ACB9CA" w:themeFill="text2" w:themeFillTint="66"/>
            <w:tcMar>
              <w:top w:w="150" w:type="dxa"/>
              <w:left w:w="240" w:type="dxa"/>
              <w:bottom w:w="150" w:type="dxa"/>
              <w:right w:w="0" w:type="dxa"/>
            </w:tcMar>
            <w:vAlign w:val="center"/>
            <w:hideMark/>
          </w:tcPr>
          <w:p w14:paraId="32C2EF7D"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What external and internal pressures affect Tesco's workforce?</w:t>
            </w:r>
          </w:p>
        </w:tc>
      </w:tr>
      <w:tr w:rsidR="00115B07" w:rsidRPr="00FE5DCD" w14:paraId="3756B481" w14:textId="77777777" w:rsidTr="009B6F35">
        <w:tc>
          <w:tcPr>
            <w:tcW w:w="0" w:type="auto"/>
            <w:shd w:val="clear" w:color="auto" w:fill="ACB9CA" w:themeFill="text2" w:themeFillTint="66"/>
            <w:tcMar>
              <w:top w:w="150" w:type="dxa"/>
              <w:left w:w="0" w:type="dxa"/>
              <w:bottom w:w="150" w:type="dxa"/>
              <w:right w:w="240" w:type="dxa"/>
            </w:tcMar>
            <w:vAlign w:val="center"/>
            <w:hideMark/>
          </w:tcPr>
          <w:p w14:paraId="39C42CBA"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Contemporary HR Practices</w:t>
            </w:r>
          </w:p>
        </w:tc>
        <w:tc>
          <w:tcPr>
            <w:tcW w:w="0" w:type="auto"/>
            <w:shd w:val="clear" w:color="auto" w:fill="ACB9CA" w:themeFill="text2" w:themeFillTint="66"/>
            <w:tcMar>
              <w:top w:w="150" w:type="dxa"/>
              <w:left w:w="240" w:type="dxa"/>
              <w:bottom w:w="150" w:type="dxa"/>
              <w:right w:w="240" w:type="dxa"/>
            </w:tcMar>
            <w:vAlign w:val="center"/>
            <w:hideMark/>
          </w:tcPr>
          <w:p w14:paraId="35F4B8B5"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Evaluation of solutions</w:t>
            </w:r>
          </w:p>
        </w:tc>
        <w:tc>
          <w:tcPr>
            <w:tcW w:w="0" w:type="auto"/>
            <w:shd w:val="clear" w:color="auto" w:fill="ACB9CA" w:themeFill="text2" w:themeFillTint="66"/>
            <w:tcMar>
              <w:top w:w="150" w:type="dxa"/>
              <w:left w:w="240" w:type="dxa"/>
              <w:bottom w:w="150" w:type="dxa"/>
              <w:right w:w="0" w:type="dxa"/>
            </w:tcMar>
            <w:vAlign w:val="center"/>
            <w:hideMark/>
          </w:tcPr>
          <w:p w14:paraId="085EC921"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Which HR practices address these challenges effectively?</w:t>
            </w:r>
          </w:p>
        </w:tc>
      </w:tr>
      <w:tr w:rsidR="00115B07" w:rsidRPr="00FE5DCD" w14:paraId="573C1672" w14:textId="77777777" w:rsidTr="009B6F35">
        <w:tc>
          <w:tcPr>
            <w:tcW w:w="0" w:type="auto"/>
            <w:shd w:val="clear" w:color="auto" w:fill="ACB9CA" w:themeFill="text2" w:themeFillTint="66"/>
            <w:tcMar>
              <w:top w:w="150" w:type="dxa"/>
              <w:left w:w="0" w:type="dxa"/>
              <w:bottom w:w="150" w:type="dxa"/>
              <w:right w:w="240" w:type="dxa"/>
            </w:tcMar>
            <w:vAlign w:val="center"/>
            <w:hideMark/>
          </w:tcPr>
          <w:p w14:paraId="14579793"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Role of Managers</w:t>
            </w:r>
          </w:p>
        </w:tc>
        <w:tc>
          <w:tcPr>
            <w:tcW w:w="0" w:type="auto"/>
            <w:shd w:val="clear" w:color="auto" w:fill="ACB9CA" w:themeFill="text2" w:themeFillTint="66"/>
            <w:tcMar>
              <w:top w:w="150" w:type="dxa"/>
              <w:left w:w="240" w:type="dxa"/>
              <w:bottom w:w="150" w:type="dxa"/>
              <w:right w:w="240" w:type="dxa"/>
            </w:tcMar>
            <w:vAlign w:val="center"/>
            <w:hideMark/>
          </w:tcPr>
          <w:p w14:paraId="7F5EACA7"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Implementation urgency</w:t>
            </w:r>
          </w:p>
        </w:tc>
        <w:tc>
          <w:tcPr>
            <w:tcW w:w="0" w:type="auto"/>
            <w:shd w:val="clear" w:color="auto" w:fill="ACB9CA" w:themeFill="text2" w:themeFillTint="66"/>
            <w:tcMar>
              <w:top w:w="150" w:type="dxa"/>
              <w:left w:w="240" w:type="dxa"/>
              <w:bottom w:w="150" w:type="dxa"/>
              <w:right w:w="0" w:type="dxa"/>
            </w:tcMar>
            <w:vAlign w:val="center"/>
            <w:hideMark/>
          </w:tcPr>
          <w:p w14:paraId="6E128318"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How can managers ensure rapid and effective adoption?</w:t>
            </w:r>
          </w:p>
        </w:tc>
      </w:tr>
      <w:tr w:rsidR="00115B07" w:rsidRPr="00FE5DCD" w14:paraId="58EDA91D" w14:textId="77777777" w:rsidTr="009B6F35">
        <w:tc>
          <w:tcPr>
            <w:tcW w:w="0" w:type="auto"/>
            <w:shd w:val="clear" w:color="auto" w:fill="ACB9CA" w:themeFill="text2" w:themeFillTint="66"/>
            <w:tcMar>
              <w:top w:w="150" w:type="dxa"/>
              <w:left w:w="0" w:type="dxa"/>
              <w:bottom w:w="150" w:type="dxa"/>
              <w:right w:w="240" w:type="dxa"/>
            </w:tcMar>
            <w:vAlign w:val="center"/>
            <w:hideMark/>
          </w:tcPr>
          <w:p w14:paraId="3735EE74"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Recommendations</w:t>
            </w:r>
          </w:p>
        </w:tc>
        <w:tc>
          <w:tcPr>
            <w:tcW w:w="0" w:type="auto"/>
            <w:shd w:val="clear" w:color="auto" w:fill="ACB9CA" w:themeFill="text2" w:themeFillTint="66"/>
            <w:tcMar>
              <w:top w:w="150" w:type="dxa"/>
              <w:left w:w="240" w:type="dxa"/>
              <w:bottom w:w="150" w:type="dxa"/>
              <w:right w:w="240" w:type="dxa"/>
            </w:tcMar>
            <w:vAlign w:val="center"/>
            <w:hideMark/>
          </w:tcPr>
          <w:p w14:paraId="2B09A638"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Actionable outcomes</w:t>
            </w:r>
          </w:p>
        </w:tc>
        <w:tc>
          <w:tcPr>
            <w:tcW w:w="0" w:type="auto"/>
            <w:shd w:val="clear" w:color="auto" w:fill="ACB9CA" w:themeFill="text2" w:themeFillTint="66"/>
            <w:tcMar>
              <w:top w:w="150" w:type="dxa"/>
              <w:left w:w="240" w:type="dxa"/>
              <w:bottom w:w="150" w:type="dxa"/>
              <w:right w:w="0" w:type="dxa"/>
            </w:tcMar>
            <w:vAlign w:val="center"/>
            <w:hideMark/>
          </w:tcPr>
          <w:p w14:paraId="2C3A7029" w14:textId="77777777" w:rsidR="00115B07" w:rsidRPr="00FE5DCD" w:rsidRDefault="00115B07" w:rsidP="00FE5DCD">
            <w:pPr>
              <w:spacing w:line="600" w:lineRule="auto"/>
              <w:rPr>
                <w:rFonts w:ascii="Arial" w:hAnsi="Arial" w:cs="Arial"/>
                <w:sz w:val="24"/>
                <w:szCs w:val="24"/>
              </w:rPr>
            </w:pPr>
            <w:r w:rsidRPr="00FE5DCD">
              <w:rPr>
                <w:rFonts w:ascii="Arial" w:hAnsi="Arial" w:cs="Arial"/>
                <w:sz w:val="24"/>
                <w:szCs w:val="24"/>
              </w:rPr>
              <w:t>What specific steps should Tesco take next?</w:t>
            </w:r>
          </w:p>
        </w:tc>
      </w:tr>
    </w:tbl>
    <w:p w14:paraId="307D9DAB" w14:textId="207A3DD4" w:rsidR="00115B07" w:rsidRPr="00FE5DCD" w:rsidRDefault="00115B07" w:rsidP="00115B07">
      <w:pPr>
        <w:spacing w:line="600" w:lineRule="auto"/>
        <w:rPr>
          <w:rFonts w:ascii="Arial" w:hAnsi="Arial" w:cs="Arial"/>
          <w:b/>
          <w:bCs/>
          <w:sz w:val="28"/>
          <w:szCs w:val="28"/>
        </w:rPr>
      </w:pPr>
    </w:p>
    <w:p w14:paraId="5E1684AF" w14:textId="77777777" w:rsidR="00115B07" w:rsidRPr="00FE5DCD" w:rsidRDefault="00115B07" w:rsidP="00115B07">
      <w:pPr>
        <w:spacing w:line="600" w:lineRule="auto"/>
        <w:rPr>
          <w:rFonts w:ascii="Arial" w:hAnsi="Arial" w:cs="Arial"/>
          <w:b/>
          <w:bCs/>
          <w:sz w:val="28"/>
          <w:szCs w:val="28"/>
        </w:rPr>
      </w:pPr>
      <w:r w:rsidRPr="00FE5DCD">
        <w:rPr>
          <w:rFonts w:ascii="Arial" w:hAnsi="Arial" w:cs="Arial"/>
          <w:b/>
          <w:bCs/>
          <w:sz w:val="28"/>
          <w:szCs w:val="28"/>
        </w:rPr>
        <w:t>2. Factors Affecting HR at Tesco</w:t>
      </w:r>
    </w:p>
    <w:p w14:paraId="20ED0611" w14:textId="77777777" w:rsidR="00115B07" w:rsidRPr="00FE5DCD" w:rsidRDefault="00115B07" w:rsidP="00115B07">
      <w:pPr>
        <w:spacing w:line="600" w:lineRule="auto"/>
        <w:rPr>
          <w:rFonts w:ascii="Arial" w:hAnsi="Arial" w:cs="Arial"/>
          <w:b/>
          <w:bCs/>
          <w:sz w:val="28"/>
          <w:szCs w:val="28"/>
        </w:rPr>
      </w:pPr>
      <w:r w:rsidRPr="00FE5DCD">
        <w:rPr>
          <w:rFonts w:ascii="Arial" w:hAnsi="Arial" w:cs="Arial"/>
          <w:b/>
          <w:bCs/>
          <w:sz w:val="28"/>
          <w:szCs w:val="28"/>
        </w:rPr>
        <w:t>2.1 Technological Advancement</w:t>
      </w:r>
    </w:p>
    <w:p w14:paraId="400E8182" w14:textId="64DAA0BE"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Technological advancement presents both an opportunity and a challenge for Tesco's workforce. The company is currently piloting a conversational AI assistant with nearly 280,000 UK employees, embedded within its existing app to support meal planning and customer interactions (Retail Insight Network 2026). Tesco developed this tool in collaboration with </w:t>
      </w:r>
      <w:r w:rsidR="00FE5DCD" w:rsidRPr="00FE5DCD">
        <w:rPr>
          <w:rFonts w:ascii="Arial" w:hAnsi="Arial" w:cs="Arial"/>
          <w:sz w:val="24"/>
          <w:szCs w:val="24"/>
        </w:rPr>
        <w:t>Tomorrow</w:t>
      </w:r>
      <w:r w:rsidRPr="00FE5DCD">
        <w:rPr>
          <w:rFonts w:ascii="Arial" w:hAnsi="Arial" w:cs="Arial"/>
          <w:sz w:val="24"/>
          <w:szCs w:val="24"/>
        </w:rPr>
        <w:t xml:space="preserve"> AI and OpenAI, and it represents a significant shift in how frontline employees perform their roles. According to </w:t>
      </w:r>
      <w:r w:rsidRPr="00FE5DCD">
        <w:rPr>
          <w:rFonts w:ascii="Arial" w:hAnsi="Arial" w:cs="Arial"/>
          <w:sz w:val="24"/>
          <w:szCs w:val="24"/>
        </w:rPr>
        <w:lastRenderedPageBreak/>
        <w:t>International Supermarket News (2026), a collaboration between Tesco's internal app, data science, and engineering teams supported the tool's development under "strict" confidentiality arrangements.</w:t>
      </w:r>
    </w:p>
    <w:p w14:paraId="67C688C7" w14:textId="77777777" w:rsidR="00FE5DCD" w:rsidRDefault="00FE5DCD" w:rsidP="00115B07">
      <w:pPr>
        <w:spacing w:line="600" w:lineRule="auto"/>
        <w:rPr>
          <w:rFonts w:ascii="Arial" w:hAnsi="Arial" w:cs="Arial"/>
          <w:sz w:val="24"/>
          <w:szCs w:val="24"/>
        </w:rPr>
      </w:pPr>
    </w:p>
    <w:p w14:paraId="078B2F12" w14:textId="705AD5BC"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The challenge for HR lies in managing workforce adaptation to these technologies. Research by </w:t>
      </w:r>
      <w:r w:rsidR="00FE5DCD" w:rsidRPr="00FE5DCD">
        <w:rPr>
          <w:rFonts w:ascii="Arial" w:hAnsi="Arial" w:cs="Arial"/>
          <w:sz w:val="24"/>
          <w:szCs w:val="24"/>
        </w:rPr>
        <w:t>Varonis</w:t>
      </w:r>
      <w:r w:rsidRPr="00FE5DCD">
        <w:rPr>
          <w:rFonts w:ascii="Arial" w:hAnsi="Arial" w:cs="Arial"/>
          <w:sz w:val="24"/>
          <w:szCs w:val="24"/>
        </w:rPr>
        <w:t xml:space="preserve"> et al. (2022) indicates that AI introduction raises questions about labour force adaptability and potential role displacement. Tesco's technology headcount has doubled over the past five years, signalling a strategic shift toward automation and data-driven operations (Retail Insight Network 2026). However, the success of these investments depends on employee willingness to adopt new systems and the organisation's ability to provide adequate training and support (Brynjolfsson &amp; McAfee 2014).</w:t>
      </w:r>
    </w:p>
    <w:p w14:paraId="3EC6EC0F" w14:textId="77777777" w:rsidR="00FE5DCD" w:rsidRDefault="00FE5DCD" w:rsidP="00115B07">
      <w:pPr>
        <w:spacing w:line="600" w:lineRule="auto"/>
        <w:rPr>
          <w:rFonts w:ascii="Arial" w:hAnsi="Arial" w:cs="Arial"/>
          <w:sz w:val="24"/>
          <w:szCs w:val="24"/>
        </w:rPr>
      </w:pPr>
      <w:r>
        <w:rPr>
          <w:rFonts w:ascii="Arial" w:hAnsi="Arial" w:cs="Arial"/>
          <w:sz w:val="24"/>
          <w:szCs w:val="24"/>
        </w:rPr>
        <w:t xml:space="preserve"> </w:t>
      </w:r>
    </w:p>
    <w:p w14:paraId="01998D06" w14:textId="49DD02F2"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Furthermore, the pace of technological change creates skill obsolescence risks. As Tesco integrates AI across its Clubcard loyalty scheme, supply chain operations, and customer service functions, employees must continuously update their digital competencies (International Supermarket News 2026). Consequently, the HR function must address both the technical upskilling of existing staff and the recruitment of new talent with appropriate digital capabilities (CIPD 2023).</w:t>
      </w:r>
    </w:p>
    <w:p w14:paraId="7AC3DD97" w14:textId="0EE7DC7A" w:rsidR="00115B07" w:rsidRPr="00FE5DCD" w:rsidRDefault="00115B07" w:rsidP="00115B07">
      <w:pPr>
        <w:spacing w:line="600" w:lineRule="auto"/>
        <w:rPr>
          <w:rFonts w:ascii="Arial" w:hAnsi="Arial" w:cs="Arial"/>
          <w:b/>
          <w:bCs/>
          <w:sz w:val="28"/>
          <w:szCs w:val="28"/>
        </w:rPr>
      </w:pPr>
      <w:r w:rsidRPr="00FE5DCD">
        <w:rPr>
          <w:rFonts w:ascii="Arial" w:hAnsi="Arial" w:cs="Arial"/>
          <w:b/>
          <w:bCs/>
          <w:sz w:val="28"/>
          <w:szCs w:val="28"/>
        </w:rPr>
        <w:lastRenderedPageBreak/>
        <w:t>2.2 Talent Acquisition and Retention</w:t>
      </w:r>
    </w:p>
    <w:p w14:paraId="4718F5D3"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Talent acquisition and retention present persistent challenges for Tesco as a major retail employer. The retail sector experiences high turnover rates driven by wage pressure, tight labour markets, and the physical demands of frontline roles (Bratton &amp; Gold 2017). In response, Tesco has made substantial pay investments, increasing the hourly rate for store colleagues from £12.64 to £13.28 in March 2026. This 5.1% above-inflation increase represents a 43% cumulative rise over five years (Tesco PLC 2025a).</w:t>
      </w:r>
    </w:p>
    <w:p w14:paraId="239B6A5C"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Despite competitive pay, retention remains challenging. The removal of the two-year qualifying period for unfair dismissal claims under the Employment Rights Act 2025, effective from January 2027, will mean employees gain protection after only six months of service (Shoosmiths 2026). For Tesco, which employs significant numbers of seasonal and short-term workers, this legislative change increases the risk of employment tribunal claims and places greater emphasis on robust probation management (Taylor &amp; Emir 2023).</w:t>
      </w:r>
    </w:p>
    <w:p w14:paraId="1C4C0292"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Additionally, changing workforce expectations regarding flexibility, career development, and work-life balance require Tesco to evolve its employee value proposition (Purcell 2014). The company's "Every Voice Matters" survey indicates that 85% of colleagues recommend Tesco as a great place to work. Nevertheless, retention of young talent and career progression for frontline staff remain areas </w:t>
      </w:r>
      <w:r w:rsidRPr="00FE5DCD">
        <w:rPr>
          <w:rFonts w:ascii="Arial" w:hAnsi="Arial" w:cs="Arial"/>
          <w:sz w:val="24"/>
          <w:szCs w:val="24"/>
        </w:rPr>
        <w:lastRenderedPageBreak/>
        <w:t>requiring attention (Tesco PLC 2025b). The challenge for HR is to balance operational requirements with individual employee aspirations in a cost-competitive industry (Marchington et al. 2016).</w:t>
      </w:r>
    </w:p>
    <w:p w14:paraId="2B0B68E4" w14:textId="77777777" w:rsidR="00115B07" w:rsidRPr="00B20E32" w:rsidRDefault="00115B07" w:rsidP="00115B07">
      <w:pPr>
        <w:spacing w:line="600" w:lineRule="auto"/>
        <w:rPr>
          <w:rFonts w:ascii="Arial" w:hAnsi="Arial" w:cs="Arial"/>
          <w:b/>
          <w:bCs/>
          <w:sz w:val="28"/>
          <w:szCs w:val="28"/>
        </w:rPr>
      </w:pPr>
      <w:r w:rsidRPr="00B20E32">
        <w:rPr>
          <w:rFonts w:ascii="Arial" w:hAnsi="Arial" w:cs="Arial"/>
          <w:b/>
          <w:bCs/>
          <w:sz w:val="28"/>
          <w:szCs w:val="28"/>
        </w:rPr>
        <w:t>2.3 Diversity, Equity and Inclusion (DEI)</w:t>
      </w:r>
    </w:p>
    <w:p w14:paraId="6FC3C21A" w14:textId="0F9B36FB"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Diversity, Equity and Inclusion has become a strategic imperative for Tesco, driven by both ethical considerations and business performance evidence. Research by Hewlett, Marshall and </w:t>
      </w:r>
      <w:r w:rsidR="00B20E32" w:rsidRPr="00FE5DCD">
        <w:rPr>
          <w:rFonts w:ascii="Arial" w:hAnsi="Arial" w:cs="Arial"/>
          <w:sz w:val="24"/>
          <w:szCs w:val="24"/>
        </w:rPr>
        <w:t>Sherbini</w:t>
      </w:r>
      <w:r w:rsidRPr="00FE5DCD">
        <w:rPr>
          <w:rFonts w:ascii="Arial" w:hAnsi="Arial" w:cs="Arial"/>
          <w:sz w:val="24"/>
          <w:szCs w:val="24"/>
        </w:rPr>
        <w:t xml:space="preserve"> (2013) demonstrates that diverse thinking leads to 20% more innovation, and two-thirds of job seekers consider workplace diversity important when evaluating employers. Tesco has therefore established specific targets: increasing female representation among senior management to 42% by 2028, and representation from ethnically diverse backgrounds to 19% by the same year (Tesco PLC 2024b).</w:t>
      </w:r>
    </w:p>
    <w:p w14:paraId="43FA4007"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However, achieving these targets requires overcoming systemic barriers. Tesco has acknowledged this through its Black Action Plan, which addresses talent, commercial, community, and brand equity pillars (Tesco PLC 2025c). The plan focuses on attracting, retaining, and developing Black talent through mentoring programmes and sponsorship opportunities. Additionally, the company aims to become a Disability Confident Leader, focusing on recruitment and development of disabled colleagues (Tesco PLC 2024b).</w:t>
      </w:r>
    </w:p>
    <w:p w14:paraId="067FAF82" w14:textId="68AD8D47" w:rsidR="00B20E32" w:rsidRDefault="00115B07" w:rsidP="00B20E32">
      <w:pPr>
        <w:spacing w:line="600" w:lineRule="auto"/>
        <w:rPr>
          <w:rFonts w:ascii="Arial" w:hAnsi="Arial" w:cs="Arial"/>
          <w:b/>
          <w:bCs/>
          <w:sz w:val="24"/>
          <w:szCs w:val="24"/>
        </w:rPr>
      </w:pPr>
      <w:r w:rsidRPr="00FE5DCD">
        <w:rPr>
          <w:rFonts w:ascii="Arial" w:hAnsi="Arial" w:cs="Arial"/>
          <w:sz w:val="24"/>
          <w:szCs w:val="24"/>
        </w:rPr>
        <w:lastRenderedPageBreak/>
        <w:t xml:space="preserve">The challenge for HR is moving beyond representation metrics to genuine inclusion where employees feel they belong (Roberson 2019). While 86% of colleagues report feeling able to be themselves at Tesco without fear of judgement, disparities persist in progression rates for underrepresented groups (Tesco PLC 2025b). </w:t>
      </w:r>
    </w:p>
    <w:tbl>
      <w:tblPr>
        <w:tblpPr w:leftFromText="180" w:rightFromText="180" w:vertAnchor="text" w:horzAnchor="margin" w:tblpXSpec="center" w:tblpY="1124"/>
        <w:tblW w:w="11385" w:type="dxa"/>
        <w:tblCellMar>
          <w:top w:w="15" w:type="dxa"/>
          <w:left w:w="15" w:type="dxa"/>
          <w:bottom w:w="15" w:type="dxa"/>
          <w:right w:w="15" w:type="dxa"/>
        </w:tblCellMar>
        <w:tblLook w:val="04A0" w:firstRow="1" w:lastRow="0" w:firstColumn="1" w:lastColumn="0" w:noHBand="0" w:noVBand="1"/>
      </w:tblPr>
      <w:tblGrid>
        <w:gridCol w:w="2398"/>
        <w:gridCol w:w="3468"/>
        <w:gridCol w:w="5519"/>
      </w:tblGrid>
      <w:tr w:rsidR="00B20E32" w:rsidRPr="00FE5DCD" w14:paraId="3365640B" w14:textId="77777777" w:rsidTr="00471418">
        <w:trPr>
          <w:trHeight w:val="1101"/>
          <w:tblHeader/>
        </w:trPr>
        <w:tc>
          <w:tcPr>
            <w:tcW w:w="0" w:type="auto"/>
            <w:tcBorders>
              <w:top w:val="nil"/>
            </w:tcBorders>
            <w:shd w:val="clear" w:color="auto" w:fill="FBE4D5" w:themeFill="accent2" w:themeFillTint="33"/>
            <w:tcMar>
              <w:top w:w="150" w:type="dxa"/>
              <w:left w:w="0" w:type="dxa"/>
              <w:bottom w:w="150" w:type="dxa"/>
              <w:right w:w="240" w:type="dxa"/>
            </w:tcMar>
            <w:vAlign w:val="center"/>
            <w:hideMark/>
          </w:tcPr>
          <w:p w14:paraId="3D6C22F4"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Factor</w:t>
            </w:r>
          </w:p>
        </w:tc>
        <w:tc>
          <w:tcPr>
            <w:tcW w:w="0" w:type="auto"/>
            <w:tcBorders>
              <w:top w:val="nil"/>
            </w:tcBorders>
            <w:shd w:val="clear" w:color="auto" w:fill="FFF2CC" w:themeFill="accent4" w:themeFillTint="33"/>
            <w:tcMar>
              <w:top w:w="150" w:type="dxa"/>
              <w:left w:w="240" w:type="dxa"/>
              <w:bottom w:w="150" w:type="dxa"/>
              <w:right w:w="240" w:type="dxa"/>
            </w:tcMar>
            <w:vAlign w:val="center"/>
            <w:hideMark/>
          </w:tcPr>
          <w:p w14:paraId="7885D290"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Key Challenge</w:t>
            </w:r>
          </w:p>
        </w:tc>
        <w:tc>
          <w:tcPr>
            <w:tcW w:w="0" w:type="auto"/>
            <w:tcBorders>
              <w:top w:val="nil"/>
            </w:tcBorders>
            <w:shd w:val="clear" w:color="auto" w:fill="DEEAF6" w:themeFill="accent5" w:themeFillTint="33"/>
            <w:tcMar>
              <w:top w:w="150" w:type="dxa"/>
              <w:left w:w="240" w:type="dxa"/>
              <w:bottom w:w="150" w:type="dxa"/>
              <w:right w:w="240" w:type="dxa"/>
            </w:tcMar>
            <w:vAlign w:val="center"/>
            <w:hideMark/>
          </w:tcPr>
          <w:p w14:paraId="40EBDC0B"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Tesco's Current Position</w:t>
            </w:r>
          </w:p>
        </w:tc>
      </w:tr>
      <w:tr w:rsidR="00B20E32" w:rsidRPr="00FE5DCD" w14:paraId="28ECF409" w14:textId="77777777" w:rsidTr="00471418">
        <w:trPr>
          <w:trHeight w:val="2071"/>
        </w:trPr>
        <w:tc>
          <w:tcPr>
            <w:tcW w:w="0" w:type="auto"/>
            <w:shd w:val="clear" w:color="auto" w:fill="FBE4D5" w:themeFill="accent2" w:themeFillTint="33"/>
            <w:tcMar>
              <w:top w:w="150" w:type="dxa"/>
              <w:left w:w="0" w:type="dxa"/>
              <w:bottom w:w="150" w:type="dxa"/>
              <w:right w:w="240" w:type="dxa"/>
            </w:tcMar>
            <w:vAlign w:val="center"/>
            <w:hideMark/>
          </w:tcPr>
          <w:p w14:paraId="53BBCFDD"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Technological Advancement</w:t>
            </w:r>
          </w:p>
        </w:tc>
        <w:tc>
          <w:tcPr>
            <w:tcW w:w="0" w:type="auto"/>
            <w:shd w:val="clear" w:color="auto" w:fill="FFF2CC" w:themeFill="accent4" w:themeFillTint="33"/>
            <w:tcMar>
              <w:top w:w="150" w:type="dxa"/>
              <w:left w:w="240" w:type="dxa"/>
              <w:bottom w:w="150" w:type="dxa"/>
              <w:right w:w="240" w:type="dxa"/>
            </w:tcMar>
            <w:vAlign w:val="center"/>
            <w:hideMark/>
          </w:tcPr>
          <w:p w14:paraId="67223144"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Workforce adaptation to AI and automation</w:t>
            </w:r>
          </w:p>
        </w:tc>
        <w:tc>
          <w:tcPr>
            <w:tcW w:w="0" w:type="auto"/>
            <w:shd w:val="clear" w:color="auto" w:fill="DEEAF6" w:themeFill="accent5" w:themeFillTint="33"/>
            <w:tcMar>
              <w:top w:w="150" w:type="dxa"/>
              <w:left w:w="240" w:type="dxa"/>
              <w:bottom w:w="150" w:type="dxa"/>
              <w:right w:w="0" w:type="dxa"/>
            </w:tcMar>
            <w:vAlign w:val="center"/>
            <w:hideMark/>
          </w:tcPr>
          <w:p w14:paraId="25C8F1B2"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Piloting AI assistant for 280,000 employees; technology headcount doubled in 5 years</w:t>
            </w:r>
          </w:p>
        </w:tc>
      </w:tr>
      <w:tr w:rsidR="00B20E32" w:rsidRPr="00FE5DCD" w14:paraId="5578CB09" w14:textId="77777777" w:rsidTr="00471418">
        <w:trPr>
          <w:trHeight w:val="2071"/>
        </w:trPr>
        <w:tc>
          <w:tcPr>
            <w:tcW w:w="0" w:type="auto"/>
            <w:shd w:val="clear" w:color="auto" w:fill="FBE4D5" w:themeFill="accent2" w:themeFillTint="33"/>
            <w:tcMar>
              <w:top w:w="150" w:type="dxa"/>
              <w:left w:w="0" w:type="dxa"/>
              <w:bottom w:w="150" w:type="dxa"/>
              <w:right w:w="240" w:type="dxa"/>
            </w:tcMar>
            <w:vAlign w:val="center"/>
            <w:hideMark/>
          </w:tcPr>
          <w:p w14:paraId="255AC3DB"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Talent Acquisition &amp; Retention</w:t>
            </w:r>
          </w:p>
        </w:tc>
        <w:tc>
          <w:tcPr>
            <w:tcW w:w="0" w:type="auto"/>
            <w:shd w:val="clear" w:color="auto" w:fill="FFF2CC" w:themeFill="accent4" w:themeFillTint="33"/>
            <w:tcMar>
              <w:top w:w="150" w:type="dxa"/>
              <w:left w:w="240" w:type="dxa"/>
              <w:bottom w:w="150" w:type="dxa"/>
              <w:right w:w="240" w:type="dxa"/>
            </w:tcMar>
            <w:vAlign w:val="center"/>
            <w:hideMark/>
          </w:tcPr>
          <w:p w14:paraId="26186015"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High turnover and changing workforce expectations</w:t>
            </w:r>
          </w:p>
        </w:tc>
        <w:tc>
          <w:tcPr>
            <w:tcW w:w="0" w:type="auto"/>
            <w:shd w:val="clear" w:color="auto" w:fill="DEEAF6" w:themeFill="accent5" w:themeFillTint="33"/>
            <w:tcMar>
              <w:top w:w="150" w:type="dxa"/>
              <w:left w:w="240" w:type="dxa"/>
              <w:bottom w:w="150" w:type="dxa"/>
              <w:right w:w="0" w:type="dxa"/>
            </w:tcMar>
            <w:vAlign w:val="center"/>
            <w:hideMark/>
          </w:tcPr>
          <w:p w14:paraId="102ACFF6"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£13.28 hourly rate; 43% pay rise over 5 years; 85% colleague recommendation rate</w:t>
            </w:r>
          </w:p>
        </w:tc>
      </w:tr>
      <w:tr w:rsidR="00B20E32" w:rsidRPr="00FE5DCD" w14:paraId="2208DD78" w14:textId="77777777" w:rsidTr="00471418">
        <w:trPr>
          <w:trHeight w:val="3040"/>
        </w:trPr>
        <w:tc>
          <w:tcPr>
            <w:tcW w:w="0" w:type="auto"/>
            <w:shd w:val="clear" w:color="auto" w:fill="FBE4D5" w:themeFill="accent2" w:themeFillTint="33"/>
            <w:tcMar>
              <w:top w:w="150" w:type="dxa"/>
              <w:left w:w="0" w:type="dxa"/>
              <w:bottom w:w="150" w:type="dxa"/>
              <w:right w:w="240" w:type="dxa"/>
            </w:tcMar>
            <w:vAlign w:val="center"/>
            <w:hideMark/>
          </w:tcPr>
          <w:p w14:paraId="1611FABA"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Diversity, Equity &amp; Inclusion</w:t>
            </w:r>
          </w:p>
        </w:tc>
        <w:tc>
          <w:tcPr>
            <w:tcW w:w="0" w:type="auto"/>
            <w:shd w:val="clear" w:color="auto" w:fill="FFF2CC" w:themeFill="accent4" w:themeFillTint="33"/>
            <w:tcMar>
              <w:top w:w="150" w:type="dxa"/>
              <w:left w:w="240" w:type="dxa"/>
              <w:bottom w:w="150" w:type="dxa"/>
              <w:right w:w="240" w:type="dxa"/>
            </w:tcMar>
            <w:vAlign w:val="center"/>
            <w:hideMark/>
          </w:tcPr>
          <w:p w14:paraId="4ACC7EF9"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Systemic barriers and compliance requirements</w:t>
            </w:r>
          </w:p>
        </w:tc>
        <w:tc>
          <w:tcPr>
            <w:tcW w:w="0" w:type="auto"/>
            <w:shd w:val="clear" w:color="auto" w:fill="DEEAF6" w:themeFill="accent5" w:themeFillTint="33"/>
            <w:tcMar>
              <w:top w:w="150" w:type="dxa"/>
              <w:left w:w="240" w:type="dxa"/>
              <w:bottom w:w="150" w:type="dxa"/>
              <w:right w:w="0" w:type="dxa"/>
            </w:tcMar>
            <w:vAlign w:val="center"/>
            <w:hideMark/>
          </w:tcPr>
          <w:p w14:paraId="222FE249" w14:textId="77777777" w:rsidR="00B20E32" w:rsidRPr="00FE5DCD" w:rsidRDefault="00B20E32" w:rsidP="00B20E32">
            <w:pPr>
              <w:spacing w:line="600" w:lineRule="auto"/>
              <w:rPr>
                <w:rFonts w:ascii="Arial" w:hAnsi="Arial" w:cs="Arial"/>
                <w:sz w:val="24"/>
                <w:szCs w:val="24"/>
              </w:rPr>
            </w:pPr>
            <w:r w:rsidRPr="00FE5DCD">
              <w:rPr>
                <w:rFonts w:ascii="Arial" w:hAnsi="Arial" w:cs="Arial"/>
                <w:sz w:val="24"/>
                <w:szCs w:val="24"/>
              </w:rPr>
              <w:t>42% female senior management target by 2028; Black Action Plan; Disability Confident Leader target</w:t>
            </w:r>
          </w:p>
        </w:tc>
      </w:tr>
    </w:tbl>
    <w:p w14:paraId="5A068132" w14:textId="77777777" w:rsidR="00471418" w:rsidRDefault="00B20E32" w:rsidP="00B20E32">
      <w:pPr>
        <w:spacing w:line="600" w:lineRule="auto"/>
        <w:rPr>
          <w:rFonts w:ascii="Arial" w:hAnsi="Arial" w:cs="Arial"/>
          <w:b/>
          <w:bCs/>
          <w:sz w:val="24"/>
          <w:szCs w:val="24"/>
        </w:rPr>
      </w:pPr>
      <w:r>
        <w:rPr>
          <w:rFonts w:ascii="Arial" w:hAnsi="Arial" w:cs="Arial"/>
          <w:b/>
          <w:bCs/>
          <w:sz w:val="24"/>
          <w:szCs w:val="24"/>
        </w:rPr>
        <w:t xml:space="preserve">                                                                                                                             </w:t>
      </w:r>
    </w:p>
    <w:p w14:paraId="5D52C525" w14:textId="055CF3ED" w:rsidR="00B20E32" w:rsidRPr="00B20E32" w:rsidRDefault="00B20E32" w:rsidP="00B20E32">
      <w:pPr>
        <w:spacing w:line="600" w:lineRule="auto"/>
        <w:rPr>
          <w:rFonts w:ascii="Arial" w:hAnsi="Arial" w:cs="Arial"/>
          <w:b/>
          <w:bCs/>
          <w:sz w:val="24"/>
          <w:szCs w:val="24"/>
        </w:rPr>
      </w:pPr>
      <w:r w:rsidRPr="00B20E32">
        <w:rPr>
          <w:rFonts w:ascii="Arial" w:hAnsi="Arial" w:cs="Arial"/>
          <w:b/>
          <w:bCs/>
          <w:sz w:val="24"/>
          <w:szCs w:val="24"/>
        </w:rPr>
        <w:t>Table 2: Summary of Key HR Factors Affecting Tesco</w:t>
      </w:r>
    </w:p>
    <w:p w14:paraId="32ADEF77" w14:textId="77777777" w:rsidR="00471418" w:rsidRDefault="00471418" w:rsidP="00115B07">
      <w:pPr>
        <w:spacing w:line="600" w:lineRule="auto"/>
        <w:rPr>
          <w:rFonts w:ascii="Arial" w:hAnsi="Arial" w:cs="Arial"/>
          <w:b/>
          <w:bCs/>
          <w:sz w:val="28"/>
          <w:szCs w:val="28"/>
        </w:rPr>
      </w:pPr>
    </w:p>
    <w:p w14:paraId="51511DB9" w14:textId="46973A8C" w:rsidR="00115B07" w:rsidRPr="00B20E32" w:rsidRDefault="00115B07" w:rsidP="00115B07">
      <w:pPr>
        <w:spacing w:line="600" w:lineRule="auto"/>
        <w:rPr>
          <w:rFonts w:ascii="Arial" w:hAnsi="Arial" w:cs="Arial"/>
          <w:b/>
          <w:bCs/>
          <w:sz w:val="28"/>
          <w:szCs w:val="28"/>
        </w:rPr>
      </w:pPr>
      <w:r w:rsidRPr="00B20E32">
        <w:rPr>
          <w:rFonts w:ascii="Arial" w:hAnsi="Arial" w:cs="Arial"/>
          <w:b/>
          <w:bCs/>
          <w:sz w:val="28"/>
          <w:szCs w:val="28"/>
        </w:rPr>
        <w:lastRenderedPageBreak/>
        <w:t>3. Evaluation of Contemporary HR Practices</w:t>
      </w:r>
    </w:p>
    <w:p w14:paraId="2FEE15C1" w14:textId="77777777" w:rsidR="00115B07" w:rsidRPr="00B20E32" w:rsidRDefault="00115B07" w:rsidP="00115B07">
      <w:pPr>
        <w:spacing w:line="600" w:lineRule="auto"/>
        <w:rPr>
          <w:rFonts w:ascii="Arial" w:hAnsi="Arial" w:cs="Arial"/>
          <w:b/>
          <w:bCs/>
          <w:sz w:val="28"/>
          <w:szCs w:val="28"/>
        </w:rPr>
      </w:pPr>
      <w:r w:rsidRPr="00B20E32">
        <w:rPr>
          <w:rFonts w:ascii="Arial" w:hAnsi="Arial" w:cs="Arial"/>
          <w:b/>
          <w:bCs/>
          <w:sz w:val="28"/>
          <w:szCs w:val="28"/>
        </w:rPr>
        <w:t>3.1 Addressing Technological Change</w:t>
      </w:r>
    </w:p>
    <w:p w14:paraId="5BC554E5" w14:textId="7979209B"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Several contemporary HR practices can effectively address technological advancement challenges at Tesco. First, digital learning platforms represent a scalable solution for upskilling the workforce. Every Tesco colleague currently has access to online learning platforms offering self-led training, enabling employees to develop skills at their own pace (Tesco PLC 2025d). The "Workforce of The Future" programme supports this approach, having enabled colleagues to book 2.9 million extra shifts and complete training across Serve, Pick, and Fill modules (Tesco PLC 2024a). According to </w:t>
      </w:r>
      <w:r w:rsidR="00B20E32" w:rsidRPr="00FE5DCD">
        <w:rPr>
          <w:rFonts w:ascii="Arial" w:hAnsi="Arial" w:cs="Arial"/>
          <w:sz w:val="24"/>
          <w:szCs w:val="24"/>
        </w:rPr>
        <w:t>Garvan</w:t>
      </w:r>
      <w:r w:rsidRPr="00FE5DCD">
        <w:rPr>
          <w:rFonts w:ascii="Arial" w:hAnsi="Arial" w:cs="Arial"/>
          <w:sz w:val="24"/>
          <w:szCs w:val="24"/>
        </w:rPr>
        <w:t xml:space="preserve"> (2012), digital learning platforms prove most effective when integrated with performance management systems that recognise skill acquisition.</w:t>
      </w:r>
    </w:p>
    <w:p w14:paraId="3C56AF7B" w14:textId="060CB4FE"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Second, AI-embedded HR support systems offer another effective practice. Tesco's pilot AI assistant for employees serves as a just-in-time learning and support tool, reducing the time spent seeking information and enabling greater focus on customer interaction (International Supermarket News 2026). From an HR perspective, such tools can reduce cognitive load on employees during peak periods while simultaneously collecting data on common queries to inform training priorities </w:t>
      </w:r>
      <w:r w:rsidRPr="00FE5DCD">
        <w:rPr>
          <w:rFonts w:ascii="Arial" w:hAnsi="Arial" w:cs="Arial"/>
          <w:sz w:val="24"/>
          <w:szCs w:val="24"/>
        </w:rPr>
        <w:lastRenderedPageBreak/>
        <w:t>(</w:t>
      </w:r>
      <w:r w:rsidR="00B20E32" w:rsidRPr="00FE5DCD">
        <w:rPr>
          <w:rFonts w:ascii="Arial" w:hAnsi="Arial" w:cs="Arial"/>
          <w:sz w:val="24"/>
          <w:szCs w:val="24"/>
        </w:rPr>
        <w:t>Badhwar</w:t>
      </w:r>
      <w:r w:rsidRPr="00FE5DCD">
        <w:rPr>
          <w:rFonts w:ascii="Arial" w:hAnsi="Arial" w:cs="Arial"/>
          <w:sz w:val="24"/>
          <w:szCs w:val="24"/>
        </w:rPr>
        <w:t xml:space="preserve"> et al. 2022). However, as Tambe, Cappelli and Yakubovich (2019) caution, AI tools must incorporate employee privacy protections to maintain trust.</w:t>
      </w:r>
    </w:p>
    <w:p w14:paraId="09BB5D81" w14:textId="4BE8CEFA"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Third, strategic workforce planning that anticipates skill requirements represents a critical practice.</w:t>
      </w:r>
    </w:p>
    <w:tbl>
      <w:tblPr>
        <w:tblW w:w="11157" w:type="dxa"/>
        <w:tblInd w:w="-1121" w:type="dxa"/>
        <w:tblCellMar>
          <w:top w:w="15" w:type="dxa"/>
          <w:left w:w="15" w:type="dxa"/>
          <w:bottom w:w="15" w:type="dxa"/>
          <w:right w:w="15" w:type="dxa"/>
        </w:tblCellMar>
        <w:tblLook w:val="04A0" w:firstRow="1" w:lastRow="0" w:firstColumn="1" w:lastColumn="0" w:noHBand="0" w:noVBand="1"/>
      </w:tblPr>
      <w:tblGrid>
        <w:gridCol w:w="2332"/>
        <w:gridCol w:w="4183"/>
        <w:gridCol w:w="4642"/>
      </w:tblGrid>
      <w:tr w:rsidR="00115B07" w:rsidRPr="00FE5DCD" w14:paraId="302800D3" w14:textId="77777777" w:rsidTr="009B6F35">
        <w:trPr>
          <w:trHeight w:val="1018"/>
          <w:tblHeader/>
        </w:trPr>
        <w:tc>
          <w:tcPr>
            <w:tcW w:w="0" w:type="auto"/>
            <w:tcBorders>
              <w:top w:val="nil"/>
            </w:tcBorders>
            <w:shd w:val="clear" w:color="auto" w:fill="DEEAF6" w:themeFill="accent5" w:themeFillTint="33"/>
            <w:tcMar>
              <w:top w:w="150" w:type="dxa"/>
              <w:left w:w="0" w:type="dxa"/>
              <w:bottom w:w="150" w:type="dxa"/>
              <w:right w:w="240" w:type="dxa"/>
            </w:tcMar>
            <w:vAlign w:val="center"/>
            <w:hideMark/>
          </w:tcPr>
          <w:p w14:paraId="73FEC7F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Practice</w:t>
            </w:r>
          </w:p>
        </w:tc>
        <w:tc>
          <w:tcPr>
            <w:tcW w:w="0" w:type="auto"/>
            <w:tcBorders>
              <w:top w:val="nil"/>
            </w:tcBorders>
            <w:shd w:val="clear" w:color="auto" w:fill="E2EFD9" w:themeFill="accent6" w:themeFillTint="33"/>
            <w:tcMar>
              <w:top w:w="150" w:type="dxa"/>
              <w:left w:w="240" w:type="dxa"/>
              <w:bottom w:w="150" w:type="dxa"/>
              <w:right w:w="240" w:type="dxa"/>
            </w:tcMar>
            <w:vAlign w:val="center"/>
            <w:hideMark/>
          </w:tcPr>
          <w:p w14:paraId="104A7872"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Strengths</w:t>
            </w:r>
          </w:p>
        </w:tc>
        <w:tc>
          <w:tcPr>
            <w:tcW w:w="0" w:type="auto"/>
            <w:tcBorders>
              <w:top w:val="nil"/>
            </w:tcBorders>
            <w:shd w:val="clear" w:color="auto" w:fill="FFE599" w:themeFill="accent4" w:themeFillTint="66"/>
            <w:tcMar>
              <w:top w:w="150" w:type="dxa"/>
              <w:left w:w="240" w:type="dxa"/>
              <w:bottom w:w="150" w:type="dxa"/>
              <w:right w:w="240" w:type="dxa"/>
            </w:tcMar>
            <w:vAlign w:val="center"/>
            <w:hideMark/>
          </w:tcPr>
          <w:p w14:paraId="13FB70ED"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Limitations</w:t>
            </w:r>
          </w:p>
        </w:tc>
      </w:tr>
      <w:tr w:rsidR="00115B07" w:rsidRPr="00FE5DCD" w14:paraId="3CB00623" w14:textId="77777777" w:rsidTr="009B6F35">
        <w:trPr>
          <w:trHeight w:val="1914"/>
        </w:trPr>
        <w:tc>
          <w:tcPr>
            <w:tcW w:w="0" w:type="auto"/>
            <w:shd w:val="clear" w:color="auto" w:fill="DEEAF6" w:themeFill="accent5" w:themeFillTint="33"/>
            <w:tcMar>
              <w:top w:w="150" w:type="dxa"/>
              <w:left w:w="0" w:type="dxa"/>
              <w:bottom w:w="150" w:type="dxa"/>
              <w:right w:w="240" w:type="dxa"/>
            </w:tcMar>
            <w:vAlign w:val="center"/>
            <w:hideMark/>
          </w:tcPr>
          <w:p w14:paraId="09B4787F"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Digital learning platforms</w:t>
            </w:r>
          </w:p>
        </w:tc>
        <w:tc>
          <w:tcPr>
            <w:tcW w:w="0" w:type="auto"/>
            <w:shd w:val="clear" w:color="auto" w:fill="E2EFD9" w:themeFill="accent6" w:themeFillTint="33"/>
            <w:tcMar>
              <w:top w:w="150" w:type="dxa"/>
              <w:left w:w="240" w:type="dxa"/>
              <w:bottom w:w="150" w:type="dxa"/>
              <w:right w:w="240" w:type="dxa"/>
            </w:tcMar>
            <w:vAlign w:val="center"/>
            <w:hideMark/>
          </w:tcPr>
          <w:p w14:paraId="6B7F4B71"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Scalable; self-paced; accessible 24/7</w:t>
            </w:r>
          </w:p>
        </w:tc>
        <w:tc>
          <w:tcPr>
            <w:tcW w:w="0" w:type="auto"/>
            <w:shd w:val="clear" w:color="auto" w:fill="FFE599" w:themeFill="accent4" w:themeFillTint="66"/>
            <w:tcMar>
              <w:top w:w="150" w:type="dxa"/>
              <w:left w:w="240" w:type="dxa"/>
              <w:bottom w:w="150" w:type="dxa"/>
              <w:right w:w="0" w:type="dxa"/>
            </w:tcMar>
            <w:vAlign w:val="center"/>
            <w:hideMark/>
          </w:tcPr>
          <w:p w14:paraId="0D7E2DCF"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Assumes self-motivation; requires technology access</w:t>
            </w:r>
          </w:p>
        </w:tc>
      </w:tr>
      <w:tr w:rsidR="00115B07" w:rsidRPr="00FE5DCD" w14:paraId="4A8DC91C" w14:textId="77777777" w:rsidTr="009B6F35">
        <w:trPr>
          <w:trHeight w:val="1914"/>
        </w:trPr>
        <w:tc>
          <w:tcPr>
            <w:tcW w:w="0" w:type="auto"/>
            <w:shd w:val="clear" w:color="auto" w:fill="DEEAF6" w:themeFill="accent5" w:themeFillTint="33"/>
            <w:tcMar>
              <w:top w:w="150" w:type="dxa"/>
              <w:left w:w="0" w:type="dxa"/>
              <w:bottom w:w="150" w:type="dxa"/>
              <w:right w:w="240" w:type="dxa"/>
            </w:tcMar>
            <w:vAlign w:val="center"/>
            <w:hideMark/>
          </w:tcPr>
          <w:p w14:paraId="47E83F6F"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AI-embedded HR support</w:t>
            </w:r>
          </w:p>
        </w:tc>
        <w:tc>
          <w:tcPr>
            <w:tcW w:w="0" w:type="auto"/>
            <w:shd w:val="clear" w:color="auto" w:fill="E2EFD9" w:themeFill="accent6" w:themeFillTint="33"/>
            <w:tcMar>
              <w:top w:w="150" w:type="dxa"/>
              <w:left w:w="240" w:type="dxa"/>
              <w:bottom w:w="150" w:type="dxa"/>
              <w:right w:w="240" w:type="dxa"/>
            </w:tcMar>
            <w:vAlign w:val="center"/>
            <w:hideMark/>
          </w:tcPr>
          <w:p w14:paraId="33D6738B"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Just-in-time learning; reduces cognitive load</w:t>
            </w:r>
          </w:p>
        </w:tc>
        <w:tc>
          <w:tcPr>
            <w:tcW w:w="0" w:type="auto"/>
            <w:shd w:val="clear" w:color="auto" w:fill="FFE599" w:themeFill="accent4" w:themeFillTint="66"/>
            <w:tcMar>
              <w:top w:w="150" w:type="dxa"/>
              <w:left w:w="240" w:type="dxa"/>
              <w:bottom w:w="150" w:type="dxa"/>
              <w:right w:w="0" w:type="dxa"/>
            </w:tcMar>
            <w:vAlign w:val="center"/>
            <w:hideMark/>
          </w:tcPr>
          <w:p w14:paraId="451B7CC1"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Data privacy concerns; ongoing maintenance required</w:t>
            </w:r>
          </w:p>
        </w:tc>
      </w:tr>
      <w:tr w:rsidR="00115B07" w:rsidRPr="00FE5DCD" w14:paraId="17F29D5D" w14:textId="77777777" w:rsidTr="009B6F35">
        <w:trPr>
          <w:trHeight w:val="1914"/>
        </w:trPr>
        <w:tc>
          <w:tcPr>
            <w:tcW w:w="0" w:type="auto"/>
            <w:shd w:val="clear" w:color="auto" w:fill="DEEAF6" w:themeFill="accent5" w:themeFillTint="33"/>
            <w:tcMar>
              <w:top w:w="150" w:type="dxa"/>
              <w:left w:w="0" w:type="dxa"/>
              <w:bottom w:w="150" w:type="dxa"/>
              <w:right w:w="240" w:type="dxa"/>
            </w:tcMar>
            <w:vAlign w:val="center"/>
            <w:hideMark/>
          </w:tcPr>
          <w:p w14:paraId="3C691E93"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Strategic workforce planning</w:t>
            </w:r>
          </w:p>
        </w:tc>
        <w:tc>
          <w:tcPr>
            <w:tcW w:w="0" w:type="auto"/>
            <w:shd w:val="clear" w:color="auto" w:fill="E2EFD9" w:themeFill="accent6" w:themeFillTint="33"/>
            <w:tcMar>
              <w:top w:w="150" w:type="dxa"/>
              <w:left w:w="240" w:type="dxa"/>
              <w:bottom w:w="150" w:type="dxa"/>
              <w:right w:w="240" w:type="dxa"/>
            </w:tcMar>
            <w:vAlign w:val="center"/>
            <w:hideMark/>
          </w:tcPr>
          <w:p w14:paraId="27C6BA5B"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Anticipates future needs; aligns HR with business strategy</w:t>
            </w:r>
          </w:p>
        </w:tc>
        <w:tc>
          <w:tcPr>
            <w:tcW w:w="0" w:type="auto"/>
            <w:shd w:val="clear" w:color="auto" w:fill="FFE599" w:themeFill="accent4" w:themeFillTint="66"/>
            <w:tcMar>
              <w:top w:w="150" w:type="dxa"/>
              <w:left w:w="240" w:type="dxa"/>
              <w:bottom w:w="150" w:type="dxa"/>
              <w:right w:w="0" w:type="dxa"/>
            </w:tcMar>
            <w:vAlign w:val="center"/>
            <w:hideMark/>
          </w:tcPr>
          <w:p w14:paraId="0DE7FD71"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Requires sophisticated analytics; may exceed current HR capabilities</w:t>
            </w:r>
          </w:p>
        </w:tc>
      </w:tr>
    </w:tbl>
    <w:p w14:paraId="3FE18C45" w14:textId="77777777" w:rsidR="00471418" w:rsidRDefault="00471418" w:rsidP="00115B07">
      <w:pPr>
        <w:spacing w:line="600" w:lineRule="auto"/>
        <w:rPr>
          <w:rFonts w:ascii="Arial" w:hAnsi="Arial" w:cs="Arial"/>
          <w:b/>
          <w:bCs/>
          <w:sz w:val="24"/>
          <w:szCs w:val="24"/>
        </w:rPr>
      </w:pPr>
    </w:p>
    <w:p w14:paraId="52FD37CE" w14:textId="77777777" w:rsidR="009B6F35" w:rsidRDefault="009B6F35" w:rsidP="00115B07">
      <w:pPr>
        <w:spacing w:line="600" w:lineRule="auto"/>
        <w:rPr>
          <w:rFonts w:ascii="Arial" w:hAnsi="Arial" w:cs="Arial"/>
          <w:b/>
          <w:bCs/>
          <w:sz w:val="24"/>
          <w:szCs w:val="24"/>
        </w:rPr>
      </w:pPr>
    </w:p>
    <w:p w14:paraId="1C8FB0D4" w14:textId="77777777" w:rsidR="009B6F35" w:rsidRDefault="009B6F35" w:rsidP="00115B07">
      <w:pPr>
        <w:spacing w:line="600" w:lineRule="auto"/>
        <w:rPr>
          <w:rFonts w:ascii="Arial" w:hAnsi="Arial" w:cs="Arial"/>
          <w:b/>
          <w:bCs/>
          <w:sz w:val="24"/>
          <w:szCs w:val="24"/>
        </w:rPr>
      </w:pPr>
    </w:p>
    <w:p w14:paraId="6A73066B" w14:textId="77777777" w:rsidR="009B6F35" w:rsidRDefault="009B6F35" w:rsidP="00115B07">
      <w:pPr>
        <w:spacing w:line="600" w:lineRule="auto"/>
        <w:rPr>
          <w:rFonts w:ascii="Arial" w:hAnsi="Arial" w:cs="Arial"/>
          <w:b/>
          <w:bCs/>
          <w:sz w:val="24"/>
          <w:szCs w:val="24"/>
        </w:rPr>
      </w:pPr>
    </w:p>
    <w:p w14:paraId="518BACEF" w14:textId="07EEB4A7" w:rsidR="00115B07" w:rsidRPr="00B20E32" w:rsidRDefault="00115B07" w:rsidP="00115B07">
      <w:pPr>
        <w:spacing w:line="600" w:lineRule="auto"/>
        <w:rPr>
          <w:rFonts w:ascii="Arial" w:hAnsi="Arial" w:cs="Arial"/>
          <w:b/>
          <w:bCs/>
          <w:sz w:val="24"/>
          <w:szCs w:val="24"/>
        </w:rPr>
      </w:pPr>
      <w:r w:rsidRPr="00B20E32">
        <w:rPr>
          <w:rFonts w:ascii="Arial" w:hAnsi="Arial" w:cs="Arial"/>
          <w:b/>
          <w:bCs/>
          <w:sz w:val="24"/>
          <w:szCs w:val="24"/>
        </w:rPr>
        <w:lastRenderedPageBreak/>
        <w:t>3.2 Talent Acquisition and Retention Practices</w:t>
      </w:r>
    </w:p>
    <w:p w14:paraId="767636D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For talent acquisition and retention, Tesco has implemented several contemporary practices. Competitive total reward packages recognise that pay alone does not secure retention. Beyond the £13.28 hourly rate, Tesco offers colleague discount cards providing 10% off shopping (15% on payday weekends), 20% off F&amp;F clothing, and access to over 58,000 colleagues participating in Save As You Earn share schemes (Tesco PLC 2025e). In 2025, the company removed the discount allowance cap entirely, allowing unlimited savings for colleagues (Tesco PLC 2025a). According to Armstrong and Taylor (2020), total reward strategies prove most effective when employees understand and value the components offered.</w:t>
      </w:r>
    </w:p>
    <w:p w14:paraId="3022FD7F"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Second, internal mobility and career pathway development represent another effective practice. Tesco's apprenticeship programmes span levels from HGV training to Business Management degrees, enabling colleagues to progress without leaving the organisation (Tesco PLC 2025d). The graduate and internship programmes offer structured entry points for young talent, while the Kickstart scheme supports 16-24 year olds from areas with high youth unemployment (Tesco PLC 2025d). Research by Cappelli and Keller (2014) demonstrates that internal mobility reduces external hiring costs while improving retention of developed talent.</w:t>
      </w:r>
    </w:p>
    <w:p w14:paraId="1B85C3DC" w14:textId="77777777" w:rsidR="009B6F35" w:rsidRDefault="009B6F35" w:rsidP="00115B07">
      <w:pPr>
        <w:spacing w:line="600" w:lineRule="auto"/>
        <w:rPr>
          <w:rFonts w:ascii="Arial" w:hAnsi="Arial" w:cs="Arial"/>
          <w:b/>
          <w:bCs/>
          <w:sz w:val="24"/>
          <w:szCs w:val="24"/>
        </w:rPr>
      </w:pPr>
    </w:p>
    <w:p w14:paraId="54BD944A" w14:textId="77777777" w:rsidR="009B6F35" w:rsidRDefault="009B6F35" w:rsidP="00115B07">
      <w:pPr>
        <w:spacing w:line="600" w:lineRule="auto"/>
        <w:rPr>
          <w:rFonts w:ascii="Arial" w:hAnsi="Arial" w:cs="Arial"/>
          <w:b/>
          <w:bCs/>
          <w:sz w:val="24"/>
          <w:szCs w:val="24"/>
        </w:rPr>
      </w:pPr>
    </w:p>
    <w:p w14:paraId="13383876" w14:textId="44DC5BE1" w:rsidR="00115B07" w:rsidRPr="00471418" w:rsidRDefault="00115B07" w:rsidP="00115B07">
      <w:pPr>
        <w:spacing w:line="600" w:lineRule="auto"/>
        <w:rPr>
          <w:rFonts w:ascii="Arial" w:hAnsi="Arial" w:cs="Arial"/>
          <w:sz w:val="24"/>
          <w:szCs w:val="24"/>
        </w:rPr>
      </w:pPr>
      <w:r w:rsidRPr="00B20E32">
        <w:rPr>
          <w:rFonts w:ascii="Arial" w:hAnsi="Arial" w:cs="Arial"/>
          <w:b/>
          <w:bCs/>
          <w:sz w:val="24"/>
          <w:szCs w:val="24"/>
        </w:rPr>
        <w:lastRenderedPageBreak/>
        <w:t>Table 4: Evaluation of HR Practices for Talent Management</w:t>
      </w:r>
    </w:p>
    <w:tbl>
      <w:tblPr>
        <w:tblW w:w="11280" w:type="dxa"/>
        <w:tblInd w:w="-1121" w:type="dxa"/>
        <w:tblCellMar>
          <w:top w:w="15" w:type="dxa"/>
          <w:left w:w="15" w:type="dxa"/>
          <w:bottom w:w="15" w:type="dxa"/>
          <w:right w:w="15" w:type="dxa"/>
        </w:tblCellMar>
        <w:tblLook w:val="04A0" w:firstRow="1" w:lastRow="0" w:firstColumn="1" w:lastColumn="0" w:noHBand="0" w:noVBand="1"/>
      </w:tblPr>
      <w:tblGrid>
        <w:gridCol w:w="2626"/>
        <w:gridCol w:w="4117"/>
        <w:gridCol w:w="4537"/>
      </w:tblGrid>
      <w:tr w:rsidR="00115B07" w:rsidRPr="00FE5DCD" w14:paraId="7C963C8D" w14:textId="77777777" w:rsidTr="00471418">
        <w:trPr>
          <w:tblHeader/>
        </w:trPr>
        <w:tc>
          <w:tcPr>
            <w:tcW w:w="0" w:type="auto"/>
            <w:tcBorders>
              <w:top w:val="nil"/>
            </w:tcBorders>
            <w:shd w:val="clear" w:color="auto" w:fill="9CC2E5" w:themeFill="accent5" w:themeFillTint="99"/>
            <w:tcMar>
              <w:top w:w="150" w:type="dxa"/>
              <w:left w:w="0" w:type="dxa"/>
              <w:bottom w:w="150" w:type="dxa"/>
              <w:right w:w="240" w:type="dxa"/>
            </w:tcMar>
            <w:vAlign w:val="center"/>
            <w:hideMark/>
          </w:tcPr>
          <w:p w14:paraId="6EDAD0F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Practice</w:t>
            </w:r>
          </w:p>
        </w:tc>
        <w:tc>
          <w:tcPr>
            <w:tcW w:w="0" w:type="auto"/>
            <w:tcBorders>
              <w:top w:val="nil"/>
            </w:tcBorders>
            <w:shd w:val="clear" w:color="auto" w:fill="9CC2E5" w:themeFill="accent5" w:themeFillTint="99"/>
            <w:tcMar>
              <w:top w:w="150" w:type="dxa"/>
              <w:left w:w="240" w:type="dxa"/>
              <w:bottom w:w="150" w:type="dxa"/>
              <w:right w:w="240" w:type="dxa"/>
            </w:tcMar>
            <w:vAlign w:val="center"/>
            <w:hideMark/>
          </w:tcPr>
          <w:p w14:paraId="5B8FAC95"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Strengths</w:t>
            </w:r>
          </w:p>
        </w:tc>
        <w:tc>
          <w:tcPr>
            <w:tcW w:w="0" w:type="auto"/>
            <w:tcBorders>
              <w:top w:val="nil"/>
            </w:tcBorders>
            <w:shd w:val="clear" w:color="auto" w:fill="9CC2E5" w:themeFill="accent5" w:themeFillTint="99"/>
            <w:tcMar>
              <w:top w:w="150" w:type="dxa"/>
              <w:left w:w="240" w:type="dxa"/>
              <w:bottom w:w="150" w:type="dxa"/>
              <w:right w:w="240" w:type="dxa"/>
            </w:tcMar>
            <w:vAlign w:val="center"/>
            <w:hideMark/>
          </w:tcPr>
          <w:p w14:paraId="31DCBEF3"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Limitations</w:t>
            </w:r>
          </w:p>
        </w:tc>
      </w:tr>
      <w:tr w:rsidR="00115B07" w:rsidRPr="00FE5DCD" w14:paraId="3027074B" w14:textId="77777777" w:rsidTr="00471418">
        <w:tc>
          <w:tcPr>
            <w:tcW w:w="0" w:type="auto"/>
            <w:shd w:val="clear" w:color="auto" w:fill="9CC2E5" w:themeFill="accent5" w:themeFillTint="99"/>
            <w:tcMar>
              <w:top w:w="150" w:type="dxa"/>
              <w:left w:w="0" w:type="dxa"/>
              <w:bottom w:w="150" w:type="dxa"/>
              <w:right w:w="240" w:type="dxa"/>
            </w:tcMar>
            <w:vAlign w:val="center"/>
            <w:hideMark/>
          </w:tcPr>
          <w:p w14:paraId="2A9DE9FB"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Total reward packages</w:t>
            </w:r>
          </w:p>
        </w:tc>
        <w:tc>
          <w:tcPr>
            <w:tcW w:w="0" w:type="auto"/>
            <w:shd w:val="clear" w:color="auto" w:fill="9CC2E5" w:themeFill="accent5" w:themeFillTint="99"/>
            <w:tcMar>
              <w:top w:w="150" w:type="dxa"/>
              <w:left w:w="240" w:type="dxa"/>
              <w:bottom w:w="150" w:type="dxa"/>
              <w:right w:w="240" w:type="dxa"/>
            </w:tcMar>
            <w:vAlign w:val="center"/>
            <w:hideMark/>
          </w:tcPr>
          <w:p w14:paraId="0726064C"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Addresses financial wellbeing; builds loyalty</w:t>
            </w:r>
          </w:p>
        </w:tc>
        <w:tc>
          <w:tcPr>
            <w:tcW w:w="0" w:type="auto"/>
            <w:shd w:val="clear" w:color="auto" w:fill="9CC2E5" w:themeFill="accent5" w:themeFillTint="99"/>
            <w:tcMar>
              <w:top w:w="150" w:type="dxa"/>
              <w:left w:w="240" w:type="dxa"/>
              <w:bottom w:w="150" w:type="dxa"/>
              <w:right w:w="0" w:type="dxa"/>
            </w:tcMar>
            <w:vAlign w:val="center"/>
            <w:hideMark/>
          </w:tcPr>
          <w:p w14:paraId="58CC495B"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May be under-utilised if colleagues lack awareness</w:t>
            </w:r>
          </w:p>
        </w:tc>
      </w:tr>
      <w:tr w:rsidR="00115B07" w:rsidRPr="00FE5DCD" w14:paraId="3EECF80A" w14:textId="77777777" w:rsidTr="00471418">
        <w:tc>
          <w:tcPr>
            <w:tcW w:w="0" w:type="auto"/>
            <w:shd w:val="clear" w:color="auto" w:fill="9CC2E5" w:themeFill="accent5" w:themeFillTint="99"/>
            <w:tcMar>
              <w:top w:w="150" w:type="dxa"/>
              <w:left w:w="0" w:type="dxa"/>
              <w:bottom w:w="150" w:type="dxa"/>
              <w:right w:w="240" w:type="dxa"/>
            </w:tcMar>
            <w:vAlign w:val="center"/>
            <w:hideMark/>
          </w:tcPr>
          <w:p w14:paraId="644F9CEA"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Internal mobility programmes</w:t>
            </w:r>
          </w:p>
        </w:tc>
        <w:tc>
          <w:tcPr>
            <w:tcW w:w="0" w:type="auto"/>
            <w:shd w:val="clear" w:color="auto" w:fill="9CC2E5" w:themeFill="accent5" w:themeFillTint="99"/>
            <w:tcMar>
              <w:top w:w="150" w:type="dxa"/>
              <w:left w:w="240" w:type="dxa"/>
              <w:bottom w:w="150" w:type="dxa"/>
              <w:right w:w="240" w:type="dxa"/>
            </w:tcMar>
            <w:vAlign w:val="center"/>
            <w:hideMark/>
          </w:tcPr>
          <w:p w14:paraId="5D43A096"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Reduces external hiring costs; improves retention</w:t>
            </w:r>
          </w:p>
        </w:tc>
        <w:tc>
          <w:tcPr>
            <w:tcW w:w="0" w:type="auto"/>
            <w:shd w:val="clear" w:color="auto" w:fill="9CC2E5" w:themeFill="accent5" w:themeFillTint="99"/>
            <w:tcMar>
              <w:top w:w="150" w:type="dxa"/>
              <w:left w:w="240" w:type="dxa"/>
              <w:bottom w:w="150" w:type="dxa"/>
              <w:right w:w="0" w:type="dxa"/>
            </w:tcMar>
            <w:vAlign w:val="center"/>
            <w:hideMark/>
          </w:tcPr>
          <w:p w14:paraId="067483B2"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Requires manager support; may conflict with operational demands</w:t>
            </w:r>
          </w:p>
        </w:tc>
      </w:tr>
      <w:tr w:rsidR="00115B07" w:rsidRPr="00FE5DCD" w14:paraId="7D43A783" w14:textId="77777777" w:rsidTr="00471418">
        <w:tc>
          <w:tcPr>
            <w:tcW w:w="0" w:type="auto"/>
            <w:shd w:val="clear" w:color="auto" w:fill="9CC2E5" w:themeFill="accent5" w:themeFillTint="99"/>
            <w:tcMar>
              <w:top w:w="150" w:type="dxa"/>
              <w:left w:w="0" w:type="dxa"/>
              <w:bottom w:w="150" w:type="dxa"/>
              <w:right w:w="240" w:type="dxa"/>
            </w:tcMar>
            <w:vAlign w:val="center"/>
            <w:hideMark/>
          </w:tcPr>
          <w:p w14:paraId="23F47033"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Flexible working arrangements</w:t>
            </w:r>
          </w:p>
        </w:tc>
        <w:tc>
          <w:tcPr>
            <w:tcW w:w="0" w:type="auto"/>
            <w:shd w:val="clear" w:color="auto" w:fill="9CC2E5" w:themeFill="accent5" w:themeFillTint="99"/>
            <w:tcMar>
              <w:top w:w="150" w:type="dxa"/>
              <w:left w:w="240" w:type="dxa"/>
              <w:bottom w:w="150" w:type="dxa"/>
              <w:right w:w="240" w:type="dxa"/>
            </w:tcMar>
            <w:vAlign w:val="center"/>
            <w:hideMark/>
          </w:tcPr>
          <w:p w14:paraId="738122D3"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Responds to workforce expectations; reduces turnover</w:t>
            </w:r>
          </w:p>
        </w:tc>
        <w:tc>
          <w:tcPr>
            <w:tcW w:w="0" w:type="auto"/>
            <w:shd w:val="clear" w:color="auto" w:fill="9CC2E5" w:themeFill="accent5" w:themeFillTint="99"/>
            <w:tcMar>
              <w:top w:w="150" w:type="dxa"/>
              <w:left w:w="240" w:type="dxa"/>
              <w:bottom w:w="150" w:type="dxa"/>
              <w:right w:w="0" w:type="dxa"/>
            </w:tcMar>
            <w:vAlign w:val="center"/>
            <w:hideMark/>
          </w:tcPr>
          <w:p w14:paraId="3C21F1BD"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Increases administrative complexity for store management</w:t>
            </w:r>
          </w:p>
        </w:tc>
      </w:tr>
    </w:tbl>
    <w:p w14:paraId="06E05B75" w14:textId="77777777" w:rsidR="009B6F35" w:rsidRDefault="009B6F35" w:rsidP="00115B07">
      <w:pPr>
        <w:spacing w:line="600" w:lineRule="auto"/>
        <w:rPr>
          <w:rFonts w:ascii="Arial" w:hAnsi="Arial" w:cs="Arial"/>
          <w:b/>
          <w:bCs/>
          <w:sz w:val="24"/>
          <w:szCs w:val="24"/>
        </w:rPr>
      </w:pPr>
    </w:p>
    <w:p w14:paraId="277E5436" w14:textId="1E2EDCFB" w:rsidR="00115B07" w:rsidRPr="00B20E32" w:rsidRDefault="00115B07" w:rsidP="00115B07">
      <w:pPr>
        <w:spacing w:line="600" w:lineRule="auto"/>
        <w:rPr>
          <w:rFonts w:ascii="Arial" w:hAnsi="Arial" w:cs="Arial"/>
          <w:b/>
          <w:bCs/>
          <w:sz w:val="24"/>
          <w:szCs w:val="24"/>
        </w:rPr>
      </w:pPr>
      <w:r w:rsidRPr="00B20E32">
        <w:rPr>
          <w:rFonts w:ascii="Arial" w:hAnsi="Arial" w:cs="Arial"/>
          <w:b/>
          <w:bCs/>
          <w:sz w:val="24"/>
          <w:szCs w:val="24"/>
        </w:rPr>
        <w:t>3.3 DEI Practices</w:t>
      </w:r>
    </w:p>
    <w:p w14:paraId="34716CC4"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Tesco has adopted multiple contemporary DEI practices. First, the establishment of employee resource networks, including Armed Forces, Disability, LGBTQ+, Parents and Carers, Race and Ethnicity, and Gender Equality networks (Tesco PLC 2024b). According to Welbourne and McLaughlin (2022), these networks provide peer support while acting as strategic advisors to the business, ensuring that DEI initiatives are informed by lived experience rather than corporate assumption alone.</w:t>
      </w:r>
    </w:p>
    <w:p w14:paraId="3A042B6C" w14:textId="061D2B6C"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lastRenderedPageBreak/>
        <w:t>Second, inclusive leadership training represents another key practice. Tesco has launched the "Winning Managers" programme, which includes three face-to-face workshops and the "Winning Managers" guide, receiving 8,000 views since October 2023 (Tesco PLC 2025c). Additionally, the company is rolling out "Being an Inclusive Manager" training across the Group, achieving a Net Promoter Score averaging 79 across workshops (Tesco PLC 2025c). Research by Offermann and Basford (2014) confirms that inclusive leadership training positively impacts employee engagement when reinforced through ongoing accountability measures</w:t>
      </w:r>
      <w:r w:rsidR="00B20E32">
        <w:rPr>
          <w:rFonts w:ascii="Arial" w:hAnsi="Arial" w:cs="Arial"/>
          <w:sz w:val="24"/>
          <w:szCs w:val="24"/>
        </w:rPr>
        <w:t xml:space="preserve"> </w:t>
      </w:r>
      <w:r w:rsidRPr="00FE5DCD">
        <w:rPr>
          <w:rFonts w:ascii="Arial" w:hAnsi="Arial" w:cs="Arial"/>
          <w:sz w:val="24"/>
          <w:szCs w:val="24"/>
        </w:rPr>
        <w:t>.</w:t>
      </w:r>
    </w:p>
    <w:p w14:paraId="4D029770" w14:textId="77777777" w:rsidR="00115B07" w:rsidRPr="002C1B04" w:rsidRDefault="00115B07" w:rsidP="00115B07">
      <w:pPr>
        <w:spacing w:line="600" w:lineRule="auto"/>
        <w:rPr>
          <w:rFonts w:ascii="Arial" w:hAnsi="Arial" w:cs="Arial"/>
          <w:b/>
          <w:bCs/>
          <w:sz w:val="24"/>
          <w:szCs w:val="24"/>
        </w:rPr>
      </w:pPr>
      <w:r w:rsidRPr="002C1B04">
        <w:rPr>
          <w:rFonts w:ascii="Arial" w:hAnsi="Arial" w:cs="Arial"/>
          <w:b/>
          <w:bCs/>
          <w:sz w:val="24"/>
          <w:szCs w:val="24"/>
        </w:rPr>
        <w:t>Table 5: Evaluation of HR Practices for DEI</w:t>
      </w:r>
    </w:p>
    <w:tbl>
      <w:tblPr>
        <w:tblW w:w="11280" w:type="dxa"/>
        <w:tblInd w:w="-1121" w:type="dxa"/>
        <w:tblCellMar>
          <w:top w:w="15" w:type="dxa"/>
          <w:left w:w="15" w:type="dxa"/>
          <w:bottom w:w="15" w:type="dxa"/>
          <w:right w:w="15" w:type="dxa"/>
        </w:tblCellMar>
        <w:tblLook w:val="04A0" w:firstRow="1" w:lastRow="0" w:firstColumn="1" w:lastColumn="0" w:noHBand="0" w:noVBand="1"/>
      </w:tblPr>
      <w:tblGrid>
        <w:gridCol w:w="2337"/>
        <w:gridCol w:w="4472"/>
        <w:gridCol w:w="4471"/>
      </w:tblGrid>
      <w:tr w:rsidR="00115B07" w:rsidRPr="00FE5DCD" w14:paraId="2587472A" w14:textId="77777777" w:rsidTr="00B20E32">
        <w:trPr>
          <w:tblHeader/>
        </w:trPr>
        <w:tc>
          <w:tcPr>
            <w:tcW w:w="0" w:type="auto"/>
            <w:tcBorders>
              <w:top w:val="nil"/>
            </w:tcBorders>
            <w:shd w:val="clear" w:color="auto" w:fill="1F3864" w:themeFill="accent1" w:themeFillShade="80"/>
            <w:tcMar>
              <w:top w:w="150" w:type="dxa"/>
              <w:left w:w="0" w:type="dxa"/>
              <w:bottom w:w="150" w:type="dxa"/>
              <w:right w:w="240" w:type="dxa"/>
            </w:tcMar>
            <w:vAlign w:val="center"/>
            <w:hideMark/>
          </w:tcPr>
          <w:p w14:paraId="77788F4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Practice</w:t>
            </w:r>
          </w:p>
        </w:tc>
        <w:tc>
          <w:tcPr>
            <w:tcW w:w="0" w:type="auto"/>
            <w:tcBorders>
              <w:top w:val="nil"/>
            </w:tcBorders>
            <w:shd w:val="clear" w:color="auto" w:fill="1F3864" w:themeFill="accent1" w:themeFillShade="80"/>
            <w:tcMar>
              <w:top w:w="150" w:type="dxa"/>
              <w:left w:w="240" w:type="dxa"/>
              <w:bottom w:w="150" w:type="dxa"/>
              <w:right w:w="240" w:type="dxa"/>
            </w:tcMar>
            <w:vAlign w:val="center"/>
            <w:hideMark/>
          </w:tcPr>
          <w:p w14:paraId="671DB710"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Strengths</w:t>
            </w:r>
          </w:p>
        </w:tc>
        <w:tc>
          <w:tcPr>
            <w:tcW w:w="0" w:type="auto"/>
            <w:tcBorders>
              <w:top w:val="nil"/>
            </w:tcBorders>
            <w:shd w:val="clear" w:color="auto" w:fill="1F3864" w:themeFill="accent1" w:themeFillShade="80"/>
            <w:tcMar>
              <w:top w:w="150" w:type="dxa"/>
              <w:left w:w="240" w:type="dxa"/>
              <w:bottom w:w="150" w:type="dxa"/>
              <w:right w:w="240" w:type="dxa"/>
            </w:tcMar>
            <w:vAlign w:val="center"/>
            <w:hideMark/>
          </w:tcPr>
          <w:p w14:paraId="7A04CF07"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Limitations</w:t>
            </w:r>
          </w:p>
        </w:tc>
      </w:tr>
      <w:tr w:rsidR="00115B07" w:rsidRPr="00FE5DCD" w14:paraId="04911C92" w14:textId="77777777" w:rsidTr="00B20E32">
        <w:tc>
          <w:tcPr>
            <w:tcW w:w="0" w:type="auto"/>
            <w:shd w:val="clear" w:color="auto" w:fill="1F3864" w:themeFill="accent1" w:themeFillShade="80"/>
            <w:tcMar>
              <w:top w:w="150" w:type="dxa"/>
              <w:left w:w="0" w:type="dxa"/>
              <w:bottom w:w="150" w:type="dxa"/>
              <w:right w:w="240" w:type="dxa"/>
            </w:tcMar>
            <w:vAlign w:val="center"/>
            <w:hideMark/>
          </w:tcPr>
          <w:p w14:paraId="51C1E76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Employee resource networks</w:t>
            </w:r>
          </w:p>
        </w:tc>
        <w:tc>
          <w:tcPr>
            <w:tcW w:w="0" w:type="auto"/>
            <w:shd w:val="clear" w:color="auto" w:fill="1F3864" w:themeFill="accent1" w:themeFillShade="80"/>
            <w:tcMar>
              <w:top w:w="150" w:type="dxa"/>
              <w:left w:w="240" w:type="dxa"/>
              <w:bottom w:w="150" w:type="dxa"/>
              <w:right w:w="240" w:type="dxa"/>
            </w:tcMar>
            <w:vAlign w:val="center"/>
            <w:hideMark/>
          </w:tcPr>
          <w:p w14:paraId="16D74FC2"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Provides peer support; informs strategy with lived experience</w:t>
            </w:r>
          </w:p>
        </w:tc>
        <w:tc>
          <w:tcPr>
            <w:tcW w:w="0" w:type="auto"/>
            <w:shd w:val="clear" w:color="auto" w:fill="1F3864" w:themeFill="accent1" w:themeFillShade="80"/>
            <w:tcMar>
              <w:top w:w="150" w:type="dxa"/>
              <w:left w:w="240" w:type="dxa"/>
              <w:bottom w:w="150" w:type="dxa"/>
              <w:right w:w="0" w:type="dxa"/>
            </w:tcMar>
            <w:vAlign w:val="center"/>
            <w:hideMark/>
          </w:tcPr>
          <w:p w14:paraId="5D1B8A2F"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Requires resourcing and sponsorship to avoid tokenism</w:t>
            </w:r>
          </w:p>
        </w:tc>
      </w:tr>
      <w:tr w:rsidR="00115B07" w:rsidRPr="00FE5DCD" w14:paraId="72563B60" w14:textId="77777777" w:rsidTr="00B20E32">
        <w:tc>
          <w:tcPr>
            <w:tcW w:w="0" w:type="auto"/>
            <w:shd w:val="clear" w:color="auto" w:fill="1F3864" w:themeFill="accent1" w:themeFillShade="80"/>
            <w:tcMar>
              <w:top w:w="150" w:type="dxa"/>
              <w:left w:w="0" w:type="dxa"/>
              <w:bottom w:w="150" w:type="dxa"/>
              <w:right w:w="240" w:type="dxa"/>
            </w:tcMar>
            <w:vAlign w:val="center"/>
            <w:hideMark/>
          </w:tcPr>
          <w:p w14:paraId="4E01CB4E"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Inclusive leadership training</w:t>
            </w:r>
          </w:p>
        </w:tc>
        <w:tc>
          <w:tcPr>
            <w:tcW w:w="0" w:type="auto"/>
            <w:shd w:val="clear" w:color="auto" w:fill="1F3864" w:themeFill="accent1" w:themeFillShade="80"/>
            <w:tcMar>
              <w:top w:w="150" w:type="dxa"/>
              <w:left w:w="240" w:type="dxa"/>
              <w:bottom w:w="150" w:type="dxa"/>
              <w:right w:w="240" w:type="dxa"/>
            </w:tcMar>
            <w:vAlign w:val="center"/>
            <w:hideMark/>
          </w:tcPr>
          <w:p w14:paraId="35E14701"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Improves engagement; builds manager capability</w:t>
            </w:r>
          </w:p>
        </w:tc>
        <w:tc>
          <w:tcPr>
            <w:tcW w:w="0" w:type="auto"/>
            <w:shd w:val="clear" w:color="auto" w:fill="1F3864" w:themeFill="accent1" w:themeFillShade="80"/>
            <w:tcMar>
              <w:top w:w="150" w:type="dxa"/>
              <w:left w:w="240" w:type="dxa"/>
              <w:bottom w:w="150" w:type="dxa"/>
              <w:right w:w="0" w:type="dxa"/>
            </w:tcMar>
            <w:vAlign w:val="center"/>
            <w:hideMark/>
          </w:tcPr>
          <w:p w14:paraId="1E6DB8C6"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One-off workshops rarely change behaviour without reinforcement</w:t>
            </w:r>
          </w:p>
        </w:tc>
      </w:tr>
      <w:tr w:rsidR="00115B07" w:rsidRPr="00FE5DCD" w14:paraId="579842FF" w14:textId="77777777" w:rsidTr="00B20E32">
        <w:tc>
          <w:tcPr>
            <w:tcW w:w="0" w:type="auto"/>
            <w:shd w:val="clear" w:color="auto" w:fill="1F3864" w:themeFill="accent1" w:themeFillShade="80"/>
            <w:tcMar>
              <w:top w:w="150" w:type="dxa"/>
              <w:left w:w="0" w:type="dxa"/>
              <w:bottom w:w="150" w:type="dxa"/>
              <w:right w:w="240" w:type="dxa"/>
            </w:tcMar>
            <w:vAlign w:val="center"/>
            <w:hideMark/>
          </w:tcPr>
          <w:p w14:paraId="7130BB99"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Data-driven target setting</w:t>
            </w:r>
          </w:p>
        </w:tc>
        <w:tc>
          <w:tcPr>
            <w:tcW w:w="0" w:type="auto"/>
            <w:shd w:val="clear" w:color="auto" w:fill="1F3864" w:themeFill="accent1" w:themeFillShade="80"/>
            <w:tcMar>
              <w:top w:w="150" w:type="dxa"/>
              <w:left w:w="240" w:type="dxa"/>
              <w:bottom w:w="150" w:type="dxa"/>
              <w:right w:w="240" w:type="dxa"/>
            </w:tcMar>
            <w:vAlign w:val="center"/>
            <w:hideMark/>
          </w:tcPr>
          <w:p w14:paraId="7599C1CF"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Demonstrates accountability; enables measurable progress</w:t>
            </w:r>
          </w:p>
        </w:tc>
        <w:tc>
          <w:tcPr>
            <w:tcW w:w="0" w:type="auto"/>
            <w:shd w:val="clear" w:color="auto" w:fill="1F3864" w:themeFill="accent1" w:themeFillShade="80"/>
            <w:tcMar>
              <w:top w:w="150" w:type="dxa"/>
              <w:left w:w="240" w:type="dxa"/>
              <w:bottom w:w="150" w:type="dxa"/>
              <w:right w:w="0" w:type="dxa"/>
            </w:tcMar>
            <w:vAlign w:val="center"/>
            <w:hideMark/>
          </w:tcPr>
          <w:p w14:paraId="26AD0B53"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Requires transparent reporting to maintain credibility</w:t>
            </w:r>
          </w:p>
        </w:tc>
      </w:tr>
    </w:tbl>
    <w:p w14:paraId="074F144C"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pict w14:anchorId="31892EF4">
          <v:rect id="_x0000_i1063" style="width:0;height:.75pt" o:hralign="center" o:hrstd="t" o:hr="t" fillcolor="#a0a0a0" stroked="f"/>
        </w:pict>
      </w:r>
    </w:p>
    <w:p w14:paraId="7FCA4B0C" w14:textId="77777777" w:rsidR="00115B07" w:rsidRPr="00B20E32" w:rsidRDefault="00115B07" w:rsidP="00115B07">
      <w:pPr>
        <w:spacing w:line="600" w:lineRule="auto"/>
        <w:rPr>
          <w:rFonts w:ascii="Arial" w:hAnsi="Arial" w:cs="Arial"/>
          <w:b/>
          <w:bCs/>
          <w:sz w:val="28"/>
          <w:szCs w:val="28"/>
        </w:rPr>
      </w:pPr>
      <w:r w:rsidRPr="00B20E32">
        <w:rPr>
          <w:rFonts w:ascii="Arial" w:hAnsi="Arial" w:cs="Arial"/>
          <w:b/>
          <w:bCs/>
          <w:sz w:val="28"/>
          <w:szCs w:val="28"/>
        </w:rPr>
        <w:lastRenderedPageBreak/>
        <w:t>4. The Role of Departmental Managers in Implementation</w:t>
      </w:r>
    </w:p>
    <w:p w14:paraId="0EAE0858" w14:textId="77777777" w:rsidR="00115B07" w:rsidRPr="00B20E32" w:rsidRDefault="00115B07" w:rsidP="00115B07">
      <w:pPr>
        <w:spacing w:line="600" w:lineRule="auto"/>
        <w:rPr>
          <w:rFonts w:ascii="Arial" w:hAnsi="Arial" w:cs="Arial"/>
          <w:b/>
          <w:bCs/>
          <w:sz w:val="28"/>
          <w:szCs w:val="28"/>
        </w:rPr>
      </w:pPr>
      <w:r w:rsidRPr="00B20E32">
        <w:rPr>
          <w:rFonts w:ascii="Arial" w:hAnsi="Arial" w:cs="Arial"/>
          <w:b/>
          <w:bCs/>
          <w:sz w:val="28"/>
          <w:szCs w:val="28"/>
        </w:rPr>
        <w:t>4.1 Ensuring Technological Adoption</w:t>
      </w:r>
    </w:p>
    <w:p w14:paraId="4582CA8C"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Departmental managers play a critical role in ensuring that technological changes are adopted as a matter of urgency. Managers must first demonstrate personal commitment to new technologies, as employee adoption is strongly influenced by observed leadership behaviour (Venkatesh et al. 2003). When managers actively use AI tools and digital platforms, they signal that these are essential rather than optional. As Davis (1989) established in the Technology Acceptance Model, perceived usefulness and ease of use serve as the primary determinants of technology adoption, both of which managers can influence through modelling behaviour.</w:t>
      </w:r>
    </w:p>
    <w:p w14:paraId="45A127A3"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Second, managers must integrate technology training into regular team routines rather than treating it as a one-off event. Tesco's "Every Voice Matters" survey provides managers with team-level data that can identify where additional support is needed (Tesco PLC 2025b). Proactive managers use this data to coach individual employees who may be struggling with digital transitions (Parry &amp; Tyson 2011).</w:t>
      </w:r>
    </w:p>
    <w:p w14:paraId="2FCB8C63" w14:textId="77777777" w:rsidR="00B20E32" w:rsidRDefault="00115B07" w:rsidP="00115B07">
      <w:pPr>
        <w:spacing w:line="600" w:lineRule="auto"/>
        <w:rPr>
          <w:rFonts w:ascii="Arial" w:hAnsi="Arial" w:cs="Arial"/>
          <w:sz w:val="24"/>
          <w:szCs w:val="24"/>
        </w:rPr>
      </w:pPr>
      <w:r w:rsidRPr="00FE5DCD">
        <w:rPr>
          <w:rFonts w:ascii="Arial" w:hAnsi="Arial" w:cs="Arial"/>
          <w:sz w:val="24"/>
          <w:szCs w:val="24"/>
        </w:rPr>
        <w:t>Third, managers must address anxiety and resistance through transparent communication. The introduction of AI assistants raises legitimate concerns about job security and surveillance (</w:t>
      </w:r>
      <w:r w:rsidR="00B20E32" w:rsidRPr="00FE5DCD">
        <w:rPr>
          <w:rFonts w:ascii="Arial" w:hAnsi="Arial" w:cs="Arial"/>
          <w:sz w:val="24"/>
          <w:szCs w:val="24"/>
        </w:rPr>
        <w:t>Badhwar</w:t>
      </w:r>
      <w:r w:rsidRPr="00FE5DCD">
        <w:rPr>
          <w:rFonts w:ascii="Arial" w:hAnsi="Arial" w:cs="Arial"/>
          <w:sz w:val="24"/>
          <w:szCs w:val="24"/>
        </w:rPr>
        <w:t xml:space="preserve"> et al. 2022). Managers who explain how </w:t>
      </w:r>
      <w:r w:rsidRPr="00FE5DCD">
        <w:rPr>
          <w:rFonts w:ascii="Arial" w:hAnsi="Arial" w:cs="Arial"/>
          <w:sz w:val="24"/>
          <w:szCs w:val="24"/>
        </w:rPr>
        <w:lastRenderedPageBreak/>
        <w:t xml:space="preserve">technology augments rather than replaces human roles, and who demonstrate tangible benefits such as reduced administrative burden, can significantly accelerate adoption (Brynjolfsson &amp; McAfee 2014). Urgency is achieved when managers link technology adoption to team performance metrics and individual development goals. However, managers themselves require training to have these conversations </w:t>
      </w:r>
      <w:r w:rsidRPr="00B20E32">
        <w:rPr>
          <w:rFonts w:ascii="Arial" w:hAnsi="Arial" w:cs="Arial"/>
          <w:sz w:val="24"/>
          <w:szCs w:val="24"/>
        </w:rPr>
        <w:t>effectively, highlighting the need for cascaded capability development (CIPD 2023).</w:t>
      </w:r>
    </w:p>
    <w:p w14:paraId="4DF19715" w14:textId="77777777" w:rsidR="00B20E32" w:rsidRDefault="00B20E32" w:rsidP="00115B07">
      <w:pPr>
        <w:spacing w:line="600" w:lineRule="auto"/>
        <w:rPr>
          <w:rFonts w:ascii="Arial" w:hAnsi="Arial" w:cs="Arial"/>
          <w:sz w:val="24"/>
          <w:szCs w:val="24"/>
        </w:rPr>
      </w:pPr>
    </w:p>
    <w:p w14:paraId="400E8265" w14:textId="2ED574E1" w:rsidR="00115B07" w:rsidRPr="00B20E32" w:rsidRDefault="00115B07" w:rsidP="00115B07">
      <w:pPr>
        <w:spacing w:line="600" w:lineRule="auto"/>
        <w:rPr>
          <w:rFonts w:ascii="Arial" w:hAnsi="Arial" w:cs="Arial"/>
          <w:sz w:val="24"/>
          <w:szCs w:val="24"/>
        </w:rPr>
      </w:pPr>
      <w:r w:rsidRPr="00B20E32">
        <w:rPr>
          <w:rFonts w:ascii="Arial" w:hAnsi="Arial" w:cs="Arial"/>
          <w:b/>
          <w:bCs/>
          <w:sz w:val="24"/>
          <w:szCs w:val="24"/>
        </w:rPr>
        <w:t>4.2 Supporting Talent Retention</w:t>
      </w:r>
    </w:p>
    <w:p w14:paraId="07AD2C5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Departmental managers directly influence retention through the quality of day-to-day leadership. The three capabilities identified in Tesco's Winning Managers programme—"Be Inclusive, Care for your Team, and Drive High Performance"—provide a framework for manager action (Tesco PLC 2025c). Research by Purcell (2014) demonstrates that line manager behaviour serves as the single strongest predictor of employee retention, outweighing pay and benefits in many contexts. Managers who demonstrate these behaviours create psychological safety and belonging, which research consistently links to reduced turnover (Edmondson 2018).</w:t>
      </w:r>
    </w:p>
    <w:p w14:paraId="198AE2AB"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For retention urgency, managers must conduct proactive stay interviews rather than reactive exit interviews. Understanding what motivates individual team members—whether flexible scheduling, career progression, or specific benefits—enables targeted retention interventions before resignation occurs (Cappelli &amp; Keller 2014). </w:t>
      </w:r>
      <w:r w:rsidRPr="00FE5DCD">
        <w:rPr>
          <w:rFonts w:ascii="Arial" w:hAnsi="Arial" w:cs="Arial"/>
          <w:sz w:val="24"/>
          <w:szCs w:val="24"/>
        </w:rPr>
        <w:lastRenderedPageBreak/>
        <w:t>Tesco's flexible contract policies give managers tools to accommodate diverse needs, but only if managers actively use these provisions (Tesco PLC 2025a).</w:t>
      </w:r>
    </w:p>
    <w:p w14:paraId="00268487" w14:textId="0DF6595C"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Additionally, managers play a critical role in internal mobility. When employees express career aspirations, managers should facilitate exposure to different roles, support apprenticeship applications, and provide developmental assignments (</w:t>
      </w:r>
      <w:r w:rsidR="002C1B04" w:rsidRPr="00FE5DCD">
        <w:rPr>
          <w:rFonts w:ascii="Arial" w:hAnsi="Arial" w:cs="Arial"/>
          <w:sz w:val="24"/>
          <w:szCs w:val="24"/>
        </w:rPr>
        <w:t>Garvan</w:t>
      </w:r>
      <w:r w:rsidRPr="00FE5DCD">
        <w:rPr>
          <w:rFonts w:ascii="Arial" w:hAnsi="Arial" w:cs="Arial"/>
          <w:sz w:val="24"/>
          <w:szCs w:val="24"/>
        </w:rPr>
        <w:t xml:space="preserve"> 2012). </w:t>
      </w:r>
    </w:p>
    <w:p w14:paraId="60B6F0AE" w14:textId="594323E9" w:rsidR="00115B07" w:rsidRPr="002C1B04" w:rsidRDefault="00471418" w:rsidP="00115B07">
      <w:pPr>
        <w:spacing w:line="600" w:lineRule="auto"/>
        <w:rPr>
          <w:rFonts w:ascii="Arial" w:hAnsi="Arial" w:cs="Arial"/>
          <w:b/>
          <w:bCs/>
          <w:sz w:val="28"/>
          <w:szCs w:val="28"/>
        </w:rPr>
      </w:pPr>
      <w:r>
        <w:rPr>
          <w:rFonts w:ascii="Arial" w:hAnsi="Arial" w:cs="Arial"/>
          <w:b/>
          <w:bCs/>
          <w:sz w:val="28"/>
          <w:szCs w:val="28"/>
        </w:rPr>
        <w:t xml:space="preserve"> </w:t>
      </w:r>
      <w:r w:rsidR="00115B07" w:rsidRPr="002C1B04">
        <w:rPr>
          <w:rFonts w:ascii="Arial" w:hAnsi="Arial" w:cs="Arial"/>
          <w:b/>
          <w:bCs/>
          <w:sz w:val="28"/>
          <w:szCs w:val="28"/>
        </w:rPr>
        <w:t>4.3 Promoting DEI</w:t>
      </w:r>
    </w:p>
    <w:p w14:paraId="653C218C" w14:textId="05FF5908"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Departmental managers serve as the frontline ambassadors for DEI at Tesco. Their daily decisions about shift allocation, development opportunities, performance ratings, and informal feedback shape employee experiences more directly than corporate policies (Offermann &amp; Basford 2014). Managers must understand unconscious bias and actively counteract it in recruitment, promotion, and day-to-day interactions (Roberson 2019). Research by </w:t>
      </w:r>
      <w:r w:rsidR="002C1B04" w:rsidRPr="00FE5DCD">
        <w:rPr>
          <w:rFonts w:ascii="Arial" w:hAnsi="Arial" w:cs="Arial"/>
          <w:sz w:val="24"/>
          <w:szCs w:val="24"/>
        </w:rPr>
        <w:t>Kollen</w:t>
      </w:r>
      <w:r w:rsidRPr="00FE5DCD">
        <w:rPr>
          <w:rFonts w:ascii="Arial" w:hAnsi="Arial" w:cs="Arial"/>
          <w:sz w:val="24"/>
          <w:szCs w:val="24"/>
        </w:rPr>
        <w:t xml:space="preserve"> (2021) confirms that inclusive team climates are primarily determined by line manager behaviour rather than formal policy.</w:t>
      </w:r>
    </w:p>
    <w:p w14:paraId="1090A228" w14:textId="77777777" w:rsidR="00471418" w:rsidRDefault="00115B07" w:rsidP="00115B07">
      <w:pPr>
        <w:spacing w:line="600" w:lineRule="auto"/>
        <w:rPr>
          <w:rFonts w:ascii="Arial" w:hAnsi="Arial" w:cs="Arial"/>
          <w:sz w:val="24"/>
          <w:szCs w:val="24"/>
        </w:rPr>
      </w:pPr>
      <w:r w:rsidRPr="00FE5DCD">
        <w:rPr>
          <w:rFonts w:ascii="Arial" w:hAnsi="Arial" w:cs="Arial"/>
          <w:sz w:val="24"/>
          <w:szCs w:val="24"/>
        </w:rPr>
        <w:t xml:space="preserve">For urgent implementation, managers should use the structured tools Tesco has provided, including inclusive recruitment guides and the Diversity, Equity and Inclusion hiring platform (Tesco PLC 2024b). These tools reduce reliance on intuition </w:t>
      </w:r>
      <w:r w:rsidRPr="00FE5DCD">
        <w:rPr>
          <w:rFonts w:ascii="Arial" w:hAnsi="Arial" w:cs="Arial"/>
          <w:sz w:val="24"/>
          <w:szCs w:val="24"/>
        </w:rPr>
        <w:lastRenderedPageBreak/>
        <w:t xml:space="preserve">and network-based hiring, which historically disadvantages underrepresented groups (Hewlett, Marshall &amp; </w:t>
      </w:r>
      <w:r w:rsidR="002C1B04" w:rsidRPr="00FE5DCD">
        <w:rPr>
          <w:rFonts w:ascii="Arial" w:hAnsi="Arial" w:cs="Arial"/>
          <w:sz w:val="24"/>
          <w:szCs w:val="24"/>
        </w:rPr>
        <w:t>Sherbini</w:t>
      </w:r>
      <w:r w:rsidRPr="00FE5DCD">
        <w:rPr>
          <w:rFonts w:ascii="Arial" w:hAnsi="Arial" w:cs="Arial"/>
          <w:sz w:val="24"/>
          <w:szCs w:val="24"/>
        </w:rPr>
        <w:t xml:space="preserve"> 2013). </w:t>
      </w:r>
    </w:p>
    <w:p w14:paraId="5A0768B6" w14:textId="77777777" w:rsidR="009B6F35" w:rsidRDefault="009B6F35" w:rsidP="00115B07">
      <w:pPr>
        <w:spacing w:line="600" w:lineRule="auto"/>
        <w:rPr>
          <w:rFonts w:ascii="Arial" w:hAnsi="Arial" w:cs="Arial"/>
          <w:b/>
          <w:bCs/>
          <w:sz w:val="24"/>
          <w:szCs w:val="24"/>
        </w:rPr>
      </w:pPr>
    </w:p>
    <w:p w14:paraId="4F752C07" w14:textId="7FC5958E" w:rsidR="00115B07" w:rsidRPr="00471418" w:rsidRDefault="00115B07" w:rsidP="00115B07">
      <w:pPr>
        <w:spacing w:line="600" w:lineRule="auto"/>
        <w:rPr>
          <w:rFonts w:ascii="Arial" w:hAnsi="Arial" w:cs="Arial"/>
          <w:sz w:val="24"/>
          <w:szCs w:val="24"/>
        </w:rPr>
      </w:pPr>
      <w:r w:rsidRPr="002C1B04">
        <w:rPr>
          <w:rFonts w:ascii="Arial" w:hAnsi="Arial" w:cs="Arial"/>
          <w:b/>
          <w:bCs/>
          <w:sz w:val="24"/>
          <w:szCs w:val="24"/>
        </w:rPr>
        <w:t>Table 6: Manager Actions for Urgent Implementation</w:t>
      </w:r>
    </w:p>
    <w:tbl>
      <w:tblPr>
        <w:tblW w:w="11327" w:type="dxa"/>
        <w:tblInd w:w="-1121" w:type="dxa"/>
        <w:tblCellMar>
          <w:top w:w="15" w:type="dxa"/>
          <w:left w:w="15" w:type="dxa"/>
          <w:bottom w:w="15" w:type="dxa"/>
          <w:right w:w="15" w:type="dxa"/>
        </w:tblCellMar>
        <w:tblLook w:val="04A0" w:firstRow="1" w:lastRow="0" w:firstColumn="1" w:lastColumn="0" w:noHBand="0" w:noVBand="1"/>
      </w:tblPr>
      <w:tblGrid>
        <w:gridCol w:w="2355"/>
        <w:gridCol w:w="5642"/>
        <w:gridCol w:w="3330"/>
      </w:tblGrid>
      <w:tr w:rsidR="00115B07" w:rsidRPr="00FE5DCD" w14:paraId="37923784" w14:textId="77777777" w:rsidTr="009B6F35">
        <w:trPr>
          <w:trHeight w:val="1215"/>
          <w:tblHeader/>
        </w:trPr>
        <w:tc>
          <w:tcPr>
            <w:tcW w:w="0" w:type="auto"/>
            <w:tcBorders>
              <w:top w:val="nil"/>
            </w:tcBorders>
            <w:shd w:val="clear" w:color="auto" w:fill="C5E0B3" w:themeFill="accent6" w:themeFillTint="66"/>
            <w:tcMar>
              <w:top w:w="150" w:type="dxa"/>
              <w:left w:w="0" w:type="dxa"/>
              <w:bottom w:w="150" w:type="dxa"/>
              <w:right w:w="240" w:type="dxa"/>
            </w:tcMar>
            <w:vAlign w:val="center"/>
            <w:hideMark/>
          </w:tcPr>
          <w:p w14:paraId="5D26E261"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Challenge Area</w:t>
            </w:r>
          </w:p>
        </w:tc>
        <w:tc>
          <w:tcPr>
            <w:tcW w:w="0" w:type="auto"/>
            <w:tcBorders>
              <w:top w:val="nil"/>
            </w:tcBorders>
            <w:shd w:val="clear" w:color="auto" w:fill="C5E0B3" w:themeFill="accent6" w:themeFillTint="66"/>
            <w:tcMar>
              <w:top w:w="150" w:type="dxa"/>
              <w:left w:w="240" w:type="dxa"/>
              <w:bottom w:w="150" w:type="dxa"/>
              <w:right w:w="240" w:type="dxa"/>
            </w:tcMar>
            <w:vAlign w:val="center"/>
            <w:hideMark/>
          </w:tcPr>
          <w:p w14:paraId="37C79B46"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Manager Action</w:t>
            </w:r>
          </w:p>
        </w:tc>
        <w:tc>
          <w:tcPr>
            <w:tcW w:w="0" w:type="auto"/>
            <w:tcBorders>
              <w:top w:val="nil"/>
            </w:tcBorders>
            <w:shd w:val="clear" w:color="auto" w:fill="C5E0B3" w:themeFill="accent6" w:themeFillTint="66"/>
            <w:tcMar>
              <w:top w:w="150" w:type="dxa"/>
              <w:left w:w="240" w:type="dxa"/>
              <w:bottom w:w="150" w:type="dxa"/>
              <w:right w:w="240" w:type="dxa"/>
            </w:tcMar>
            <w:vAlign w:val="center"/>
            <w:hideMark/>
          </w:tcPr>
          <w:p w14:paraId="7F9CA5D1"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Expected Outcome</w:t>
            </w:r>
          </w:p>
        </w:tc>
      </w:tr>
      <w:tr w:rsidR="00115B07" w:rsidRPr="00FE5DCD" w14:paraId="6102BD2F" w14:textId="77777777" w:rsidTr="009B6F35">
        <w:trPr>
          <w:trHeight w:val="2282"/>
        </w:trPr>
        <w:tc>
          <w:tcPr>
            <w:tcW w:w="0" w:type="auto"/>
            <w:shd w:val="clear" w:color="auto" w:fill="C5E0B3" w:themeFill="accent6" w:themeFillTint="66"/>
            <w:tcMar>
              <w:top w:w="150" w:type="dxa"/>
              <w:left w:w="0" w:type="dxa"/>
              <w:bottom w:w="150" w:type="dxa"/>
              <w:right w:w="240" w:type="dxa"/>
            </w:tcMar>
            <w:vAlign w:val="center"/>
            <w:hideMark/>
          </w:tcPr>
          <w:p w14:paraId="7F688EB4"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Technological adoption</w:t>
            </w:r>
          </w:p>
        </w:tc>
        <w:tc>
          <w:tcPr>
            <w:tcW w:w="0" w:type="auto"/>
            <w:shd w:val="clear" w:color="auto" w:fill="C5E0B3" w:themeFill="accent6" w:themeFillTint="66"/>
            <w:tcMar>
              <w:top w:w="150" w:type="dxa"/>
              <w:left w:w="240" w:type="dxa"/>
              <w:bottom w:w="150" w:type="dxa"/>
              <w:right w:w="240" w:type="dxa"/>
            </w:tcMar>
            <w:vAlign w:val="center"/>
            <w:hideMark/>
          </w:tcPr>
          <w:p w14:paraId="693781BB"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Model AI tool use; integrate training into team routines</w:t>
            </w:r>
          </w:p>
        </w:tc>
        <w:tc>
          <w:tcPr>
            <w:tcW w:w="0" w:type="auto"/>
            <w:shd w:val="clear" w:color="auto" w:fill="C5E0B3" w:themeFill="accent6" w:themeFillTint="66"/>
            <w:tcMar>
              <w:top w:w="150" w:type="dxa"/>
              <w:left w:w="240" w:type="dxa"/>
              <w:bottom w:w="150" w:type="dxa"/>
              <w:right w:w="0" w:type="dxa"/>
            </w:tcMar>
            <w:vAlign w:val="center"/>
            <w:hideMark/>
          </w:tcPr>
          <w:p w14:paraId="1178C3F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Reduced resistance; faster proficiency</w:t>
            </w:r>
          </w:p>
        </w:tc>
      </w:tr>
      <w:tr w:rsidR="00115B07" w:rsidRPr="00FE5DCD" w14:paraId="6FB13753" w14:textId="77777777" w:rsidTr="009B6F35">
        <w:trPr>
          <w:trHeight w:val="2282"/>
        </w:trPr>
        <w:tc>
          <w:tcPr>
            <w:tcW w:w="0" w:type="auto"/>
            <w:shd w:val="clear" w:color="auto" w:fill="C5E0B3" w:themeFill="accent6" w:themeFillTint="66"/>
            <w:tcMar>
              <w:top w:w="150" w:type="dxa"/>
              <w:left w:w="0" w:type="dxa"/>
              <w:bottom w:w="150" w:type="dxa"/>
              <w:right w:w="240" w:type="dxa"/>
            </w:tcMar>
            <w:vAlign w:val="center"/>
            <w:hideMark/>
          </w:tcPr>
          <w:p w14:paraId="4120A7D7"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Talent retention</w:t>
            </w:r>
          </w:p>
        </w:tc>
        <w:tc>
          <w:tcPr>
            <w:tcW w:w="0" w:type="auto"/>
            <w:shd w:val="clear" w:color="auto" w:fill="C5E0B3" w:themeFill="accent6" w:themeFillTint="66"/>
            <w:tcMar>
              <w:top w:w="150" w:type="dxa"/>
              <w:left w:w="240" w:type="dxa"/>
              <w:bottom w:w="150" w:type="dxa"/>
              <w:right w:w="240" w:type="dxa"/>
            </w:tcMar>
            <w:vAlign w:val="center"/>
            <w:hideMark/>
          </w:tcPr>
          <w:p w14:paraId="1CD3AEEF"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Conduct stay interviews; facilitate internal mobility</w:t>
            </w:r>
          </w:p>
        </w:tc>
        <w:tc>
          <w:tcPr>
            <w:tcW w:w="0" w:type="auto"/>
            <w:shd w:val="clear" w:color="auto" w:fill="C5E0B3" w:themeFill="accent6" w:themeFillTint="66"/>
            <w:tcMar>
              <w:top w:w="150" w:type="dxa"/>
              <w:left w:w="240" w:type="dxa"/>
              <w:bottom w:w="150" w:type="dxa"/>
              <w:right w:w="0" w:type="dxa"/>
            </w:tcMar>
            <w:vAlign w:val="center"/>
            <w:hideMark/>
          </w:tcPr>
          <w:p w14:paraId="7FEAD9C4"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Lower turnover; higher engagement</w:t>
            </w:r>
          </w:p>
        </w:tc>
      </w:tr>
      <w:tr w:rsidR="00115B07" w:rsidRPr="00FE5DCD" w14:paraId="1478A92A" w14:textId="77777777" w:rsidTr="009B6F35">
        <w:trPr>
          <w:trHeight w:val="2282"/>
        </w:trPr>
        <w:tc>
          <w:tcPr>
            <w:tcW w:w="0" w:type="auto"/>
            <w:shd w:val="clear" w:color="auto" w:fill="C5E0B3" w:themeFill="accent6" w:themeFillTint="66"/>
            <w:tcMar>
              <w:top w:w="150" w:type="dxa"/>
              <w:left w:w="0" w:type="dxa"/>
              <w:bottom w:w="150" w:type="dxa"/>
              <w:right w:w="240" w:type="dxa"/>
            </w:tcMar>
            <w:vAlign w:val="center"/>
            <w:hideMark/>
          </w:tcPr>
          <w:p w14:paraId="7CA4668E"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DEI promotion</w:t>
            </w:r>
          </w:p>
        </w:tc>
        <w:tc>
          <w:tcPr>
            <w:tcW w:w="0" w:type="auto"/>
            <w:shd w:val="clear" w:color="auto" w:fill="C5E0B3" w:themeFill="accent6" w:themeFillTint="66"/>
            <w:tcMar>
              <w:top w:w="150" w:type="dxa"/>
              <w:left w:w="240" w:type="dxa"/>
              <w:bottom w:w="150" w:type="dxa"/>
              <w:right w:w="240" w:type="dxa"/>
            </w:tcMar>
            <w:vAlign w:val="center"/>
            <w:hideMark/>
          </w:tcPr>
          <w:p w14:paraId="49FF5C15"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Use structured hiring tools; respond visibly to exclusionary behaviour</w:t>
            </w:r>
          </w:p>
        </w:tc>
        <w:tc>
          <w:tcPr>
            <w:tcW w:w="0" w:type="auto"/>
            <w:shd w:val="clear" w:color="auto" w:fill="C5E0B3" w:themeFill="accent6" w:themeFillTint="66"/>
            <w:tcMar>
              <w:top w:w="150" w:type="dxa"/>
              <w:left w:w="240" w:type="dxa"/>
              <w:bottom w:w="150" w:type="dxa"/>
              <w:right w:w="0" w:type="dxa"/>
            </w:tcMar>
            <w:vAlign w:val="center"/>
            <w:hideMark/>
          </w:tcPr>
          <w:p w14:paraId="647C6D44"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Improved inclusion; legal compliance</w:t>
            </w:r>
          </w:p>
        </w:tc>
      </w:tr>
    </w:tbl>
    <w:p w14:paraId="73FE7377" w14:textId="55E8F430" w:rsidR="00115B07" w:rsidRPr="00FE5DCD" w:rsidRDefault="00115B07" w:rsidP="00115B07">
      <w:pPr>
        <w:spacing w:line="600" w:lineRule="auto"/>
        <w:rPr>
          <w:rFonts w:ascii="Arial" w:hAnsi="Arial" w:cs="Arial"/>
          <w:sz w:val="24"/>
          <w:szCs w:val="24"/>
        </w:rPr>
      </w:pPr>
    </w:p>
    <w:p w14:paraId="753AE5FE" w14:textId="77777777" w:rsidR="009B6F35" w:rsidRDefault="00B20E32" w:rsidP="00115B07">
      <w:pPr>
        <w:spacing w:line="600" w:lineRule="auto"/>
        <w:rPr>
          <w:rFonts w:ascii="Arial" w:hAnsi="Arial" w:cs="Arial"/>
          <w:sz w:val="40"/>
          <w:szCs w:val="40"/>
        </w:rPr>
      </w:pPr>
      <w:r w:rsidRPr="00B20E32">
        <w:rPr>
          <w:rFonts w:ascii="Arial" w:hAnsi="Arial" w:cs="Arial"/>
          <w:sz w:val="40"/>
          <w:szCs w:val="40"/>
        </w:rPr>
        <w:t xml:space="preserve">                </w:t>
      </w:r>
    </w:p>
    <w:p w14:paraId="53320038" w14:textId="77777777" w:rsidR="009B6F35" w:rsidRDefault="009B6F35" w:rsidP="00115B07">
      <w:pPr>
        <w:spacing w:line="600" w:lineRule="auto"/>
        <w:rPr>
          <w:rFonts w:ascii="Arial" w:hAnsi="Arial" w:cs="Arial"/>
          <w:sz w:val="40"/>
          <w:szCs w:val="40"/>
        </w:rPr>
      </w:pPr>
      <w:r>
        <w:rPr>
          <w:rFonts w:ascii="Arial" w:hAnsi="Arial" w:cs="Arial"/>
          <w:sz w:val="40"/>
          <w:szCs w:val="40"/>
        </w:rPr>
        <w:lastRenderedPageBreak/>
        <w:t xml:space="preserve">                         </w:t>
      </w:r>
    </w:p>
    <w:p w14:paraId="03A099D0" w14:textId="70F7001F" w:rsidR="00115B07" w:rsidRPr="00B20E32" w:rsidRDefault="009B6F35" w:rsidP="00115B07">
      <w:pPr>
        <w:spacing w:line="600" w:lineRule="auto"/>
        <w:rPr>
          <w:rFonts w:ascii="Arial" w:hAnsi="Arial" w:cs="Arial"/>
          <w:sz w:val="40"/>
          <w:szCs w:val="40"/>
        </w:rPr>
      </w:pPr>
      <w:r>
        <w:rPr>
          <w:rFonts w:ascii="Arial" w:hAnsi="Arial" w:cs="Arial"/>
          <w:sz w:val="40"/>
          <w:szCs w:val="40"/>
        </w:rPr>
        <w:t xml:space="preserve">                          </w:t>
      </w:r>
      <w:r w:rsidR="00471418">
        <w:rPr>
          <w:rFonts w:ascii="Arial" w:hAnsi="Arial" w:cs="Arial"/>
          <w:sz w:val="40"/>
          <w:szCs w:val="40"/>
        </w:rPr>
        <w:t xml:space="preserve"> </w:t>
      </w:r>
      <w:r w:rsidR="00115B07" w:rsidRPr="00B20E32">
        <w:rPr>
          <w:rFonts w:ascii="Arial" w:hAnsi="Arial" w:cs="Arial"/>
          <w:sz w:val="40"/>
          <w:szCs w:val="40"/>
        </w:rPr>
        <w:t>Conclusion</w:t>
      </w:r>
    </w:p>
    <w:p w14:paraId="43398486"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This report has analysed three critical HR challenges facing Tesco PLC: technological advancement, talent acquisition and retention, and Diversity, Equity and Inclusion. The company is actively addressing these through contemporary HR practices including digital learning platforms, AI-embedded support tools, competitive total reward packages, internal mobility programmes, employee resource networks, and inclusive leadership training (Tesco PLC 2024a; Tesco PLC 2024b; Tesco PLC 2025c). However, the effectiveness of these practices depends significantly on departmental managers who translate corporate strategy into daily team behaviours (Purcell 2014).</w:t>
      </w:r>
    </w:p>
    <w:p w14:paraId="109DD8DB" w14:textId="06F9CB5C"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The Employment Rights Act 2025 introduces new compliance requirements that increase the urgency of implementation, particularly regarding harassment prevention and unfair dismissal processes (Shoosmiths 2026). </w:t>
      </w:r>
    </w:p>
    <w:p w14:paraId="12950AAD" w14:textId="37FB3E72" w:rsidR="00115B07" w:rsidRPr="00FE5DCD" w:rsidRDefault="00115B07" w:rsidP="00115B07">
      <w:pPr>
        <w:spacing w:line="600" w:lineRule="auto"/>
        <w:rPr>
          <w:rFonts w:ascii="Arial" w:hAnsi="Arial" w:cs="Arial"/>
          <w:sz w:val="24"/>
          <w:szCs w:val="24"/>
        </w:rPr>
      </w:pPr>
    </w:p>
    <w:p w14:paraId="71DF94B3" w14:textId="77777777" w:rsidR="009B6F35" w:rsidRDefault="002C1B04" w:rsidP="00115B07">
      <w:pPr>
        <w:spacing w:line="600" w:lineRule="auto"/>
        <w:rPr>
          <w:rFonts w:ascii="Arial" w:hAnsi="Arial" w:cs="Arial"/>
          <w:b/>
          <w:bCs/>
          <w:sz w:val="32"/>
          <w:szCs w:val="32"/>
        </w:rPr>
      </w:pPr>
      <w:r w:rsidRPr="009B6F35">
        <w:rPr>
          <w:rFonts w:ascii="Arial" w:hAnsi="Arial" w:cs="Arial"/>
          <w:b/>
          <w:bCs/>
          <w:sz w:val="32"/>
          <w:szCs w:val="32"/>
        </w:rPr>
        <w:t xml:space="preserve">                                       </w:t>
      </w:r>
    </w:p>
    <w:p w14:paraId="47359E2D" w14:textId="77777777" w:rsidR="009B6F35" w:rsidRDefault="009B6F35" w:rsidP="00115B07">
      <w:pPr>
        <w:spacing w:line="600" w:lineRule="auto"/>
        <w:rPr>
          <w:rFonts w:ascii="Arial" w:hAnsi="Arial" w:cs="Arial"/>
          <w:b/>
          <w:bCs/>
          <w:sz w:val="32"/>
          <w:szCs w:val="32"/>
        </w:rPr>
      </w:pPr>
    </w:p>
    <w:p w14:paraId="3C3ED510" w14:textId="77777777" w:rsidR="009B6F35" w:rsidRDefault="009B6F35" w:rsidP="00115B07">
      <w:pPr>
        <w:spacing w:line="600" w:lineRule="auto"/>
        <w:rPr>
          <w:rFonts w:ascii="Arial" w:hAnsi="Arial" w:cs="Arial"/>
          <w:b/>
          <w:bCs/>
          <w:sz w:val="32"/>
          <w:szCs w:val="32"/>
        </w:rPr>
      </w:pPr>
    </w:p>
    <w:p w14:paraId="7AC73C67" w14:textId="2B9B163C" w:rsidR="00115B07" w:rsidRPr="009B6F35" w:rsidRDefault="009B6F35" w:rsidP="00115B07">
      <w:pPr>
        <w:spacing w:line="600" w:lineRule="auto"/>
        <w:rPr>
          <w:rFonts w:ascii="Arial" w:hAnsi="Arial" w:cs="Arial"/>
          <w:b/>
          <w:bCs/>
          <w:sz w:val="32"/>
          <w:szCs w:val="32"/>
        </w:rPr>
      </w:pPr>
      <w:r>
        <w:rPr>
          <w:rFonts w:ascii="Arial" w:hAnsi="Arial" w:cs="Arial"/>
          <w:b/>
          <w:bCs/>
          <w:sz w:val="32"/>
          <w:szCs w:val="32"/>
        </w:rPr>
        <w:t xml:space="preserve">                       </w:t>
      </w:r>
      <w:r w:rsidR="002C1B04" w:rsidRPr="009B6F35">
        <w:rPr>
          <w:rFonts w:ascii="Arial" w:hAnsi="Arial" w:cs="Arial"/>
          <w:b/>
          <w:bCs/>
          <w:sz w:val="32"/>
          <w:szCs w:val="32"/>
        </w:rPr>
        <w:t xml:space="preserve"> </w:t>
      </w:r>
      <w:r w:rsidR="00115B07" w:rsidRPr="009B6F35">
        <w:rPr>
          <w:rFonts w:ascii="Arial" w:hAnsi="Arial" w:cs="Arial"/>
          <w:b/>
          <w:bCs/>
          <w:sz w:val="32"/>
          <w:szCs w:val="32"/>
        </w:rPr>
        <w:t>Recommendations</w:t>
      </w:r>
    </w:p>
    <w:p w14:paraId="4865260A"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Based on the analysis presented, the following recommendations are made to Tesco's HR function:</w:t>
      </w:r>
    </w:p>
    <w:p w14:paraId="6B7139C1" w14:textId="77777777" w:rsidR="00115B07" w:rsidRPr="002C1B04" w:rsidRDefault="00115B07" w:rsidP="00115B07">
      <w:pPr>
        <w:spacing w:line="600" w:lineRule="auto"/>
        <w:rPr>
          <w:rFonts w:ascii="Arial" w:hAnsi="Arial" w:cs="Arial"/>
          <w:b/>
          <w:bCs/>
          <w:sz w:val="24"/>
          <w:szCs w:val="24"/>
        </w:rPr>
      </w:pPr>
      <w:r w:rsidRPr="002C1B04">
        <w:rPr>
          <w:rFonts w:ascii="Arial" w:hAnsi="Arial" w:cs="Arial"/>
          <w:b/>
          <w:bCs/>
          <w:sz w:val="24"/>
          <w:szCs w:val="24"/>
        </w:rPr>
        <w:t>Table 7: Summary of Recommendations</w:t>
      </w:r>
    </w:p>
    <w:tbl>
      <w:tblPr>
        <w:tblW w:w="0" w:type="auto"/>
        <w:tblCellMar>
          <w:top w:w="15" w:type="dxa"/>
          <w:left w:w="15" w:type="dxa"/>
          <w:bottom w:w="15" w:type="dxa"/>
          <w:right w:w="15" w:type="dxa"/>
        </w:tblCellMar>
        <w:tblLook w:val="04A0" w:firstRow="1" w:lastRow="0" w:firstColumn="1" w:lastColumn="0" w:noHBand="0" w:noVBand="1"/>
      </w:tblPr>
      <w:tblGrid>
        <w:gridCol w:w="3766"/>
        <w:gridCol w:w="2132"/>
        <w:gridCol w:w="1227"/>
        <w:gridCol w:w="1901"/>
      </w:tblGrid>
      <w:tr w:rsidR="00115B07" w:rsidRPr="00FE5DCD" w14:paraId="71AF2B7D" w14:textId="77777777" w:rsidTr="009B6F35">
        <w:trPr>
          <w:tblHeader/>
        </w:trPr>
        <w:tc>
          <w:tcPr>
            <w:tcW w:w="0" w:type="auto"/>
            <w:tcBorders>
              <w:top w:val="nil"/>
            </w:tcBorders>
            <w:shd w:val="clear" w:color="auto" w:fill="D0CECE" w:themeFill="background2" w:themeFillShade="E6"/>
            <w:tcMar>
              <w:top w:w="150" w:type="dxa"/>
              <w:left w:w="0" w:type="dxa"/>
              <w:bottom w:w="150" w:type="dxa"/>
              <w:right w:w="240" w:type="dxa"/>
            </w:tcMar>
            <w:vAlign w:val="center"/>
            <w:hideMark/>
          </w:tcPr>
          <w:p w14:paraId="71C17F12"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Recommendation</w:t>
            </w:r>
          </w:p>
        </w:tc>
        <w:tc>
          <w:tcPr>
            <w:tcW w:w="0" w:type="auto"/>
            <w:tcBorders>
              <w:top w:val="nil"/>
            </w:tcBorders>
            <w:shd w:val="clear" w:color="auto" w:fill="D0CECE" w:themeFill="background2" w:themeFillShade="E6"/>
            <w:tcMar>
              <w:top w:w="150" w:type="dxa"/>
              <w:left w:w="240" w:type="dxa"/>
              <w:bottom w:w="150" w:type="dxa"/>
              <w:right w:w="240" w:type="dxa"/>
            </w:tcMar>
            <w:vAlign w:val="center"/>
            <w:hideMark/>
          </w:tcPr>
          <w:p w14:paraId="2734CD5A"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Target Area</w:t>
            </w:r>
          </w:p>
        </w:tc>
        <w:tc>
          <w:tcPr>
            <w:tcW w:w="0" w:type="auto"/>
            <w:tcBorders>
              <w:top w:val="nil"/>
            </w:tcBorders>
            <w:shd w:val="clear" w:color="auto" w:fill="D0CECE" w:themeFill="background2" w:themeFillShade="E6"/>
            <w:tcMar>
              <w:top w:w="150" w:type="dxa"/>
              <w:left w:w="240" w:type="dxa"/>
              <w:bottom w:w="150" w:type="dxa"/>
              <w:right w:w="240" w:type="dxa"/>
            </w:tcMar>
            <w:vAlign w:val="center"/>
            <w:hideMark/>
          </w:tcPr>
          <w:p w14:paraId="2FB6BA42"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Priority</w:t>
            </w:r>
          </w:p>
        </w:tc>
        <w:tc>
          <w:tcPr>
            <w:tcW w:w="0" w:type="auto"/>
            <w:tcBorders>
              <w:top w:val="nil"/>
            </w:tcBorders>
            <w:shd w:val="clear" w:color="auto" w:fill="D0CECE" w:themeFill="background2" w:themeFillShade="E6"/>
            <w:tcMar>
              <w:top w:w="150" w:type="dxa"/>
              <w:left w:w="240" w:type="dxa"/>
              <w:bottom w:w="150" w:type="dxa"/>
              <w:right w:w="240" w:type="dxa"/>
            </w:tcMar>
            <w:vAlign w:val="center"/>
            <w:hideMark/>
          </w:tcPr>
          <w:p w14:paraId="1014312C"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Success Metric</w:t>
            </w:r>
          </w:p>
        </w:tc>
      </w:tr>
      <w:tr w:rsidR="00115B07" w:rsidRPr="00FE5DCD" w14:paraId="1E16A47C" w14:textId="77777777" w:rsidTr="009B6F35">
        <w:tc>
          <w:tcPr>
            <w:tcW w:w="0" w:type="auto"/>
            <w:shd w:val="clear" w:color="auto" w:fill="D0CECE" w:themeFill="background2" w:themeFillShade="E6"/>
            <w:tcMar>
              <w:top w:w="150" w:type="dxa"/>
              <w:left w:w="0" w:type="dxa"/>
              <w:bottom w:w="150" w:type="dxa"/>
              <w:right w:w="240" w:type="dxa"/>
            </w:tcMar>
            <w:vAlign w:val="center"/>
            <w:hideMark/>
          </w:tcPr>
          <w:p w14:paraId="682457B0"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Establish a peer coaching network for managers to share best practices in technology adoption, linking AI proficiency to line manager performance objectives</w:t>
            </w:r>
          </w:p>
        </w:tc>
        <w:tc>
          <w:tcPr>
            <w:tcW w:w="0" w:type="auto"/>
            <w:shd w:val="clear" w:color="auto" w:fill="D0CECE" w:themeFill="background2" w:themeFillShade="E6"/>
            <w:tcMar>
              <w:top w:w="150" w:type="dxa"/>
              <w:left w:w="240" w:type="dxa"/>
              <w:bottom w:w="150" w:type="dxa"/>
              <w:right w:w="240" w:type="dxa"/>
            </w:tcMar>
            <w:vAlign w:val="center"/>
            <w:hideMark/>
          </w:tcPr>
          <w:p w14:paraId="5544EFC0"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Technological Advancement</w:t>
            </w:r>
          </w:p>
        </w:tc>
        <w:tc>
          <w:tcPr>
            <w:tcW w:w="0" w:type="auto"/>
            <w:shd w:val="clear" w:color="auto" w:fill="D0CECE" w:themeFill="background2" w:themeFillShade="E6"/>
            <w:tcMar>
              <w:top w:w="150" w:type="dxa"/>
              <w:left w:w="240" w:type="dxa"/>
              <w:bottom w:w="150" w:type="dxa"/>
              <w:right w:w="240" w:type="dxa"/>
            </w:tcMar>
            <w:vAlign w:val="center"/>
            <w:hideMark/>
          </w:tcPr>
          <w:p w14:paraId="50AE796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High</w:t>
            </w:r>
          </w:p>
        </w:tc>
        <w:tc>
          <w:tcPr>
            <w:tcW w:w="0" w:type="auto"/>
            <w:shd w:val="clear" w:color="auto" w:fill="D0CECE" w:themeFill="background2" w:themeFillShade="E6"/>
            <w:tcMar>
              <w:top w:w="150" w:type="dxa"/>
              <w:left w:w="240" w:type="dxa"/>
              <w:bottom w:w="150" w:type="dxa"/>
              <w:right w:w="0" w:type="dxa"/>
            </w:tcMar>
            <w:vAlign w:val="center"/>
            <w:hideMark/>
          </w:tcPr>
          <w:p w14:paraId="507470C2"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80% manager participation within 6 months</w:t>
            </w:r>
          </w:p>
        </w:tc>
      </w:tr>
    </w:tbl>
    <w:p w14:paraId="7EE0C3A0" w14:textId="66D36F95" w:rsidR="00115B07" w:rsidRPr="00FE5DCD" w:rsidRDefault="00115B07" w:rsidP="00115B07">
      <w:pPr>
        <w:spacing w:line="600" w:lineRule="auto"/>
        <w:rPr>
          <w:rFonts w:ascii="Arial" w:hAnsi="Arial" w:cs="Arial"/>
          <w:sz w:val="24"/>
          <w:szCs w:val="24"/>
        </w:rPr>
      </w:pPr>
    </w:p>
    <w:p w14:paraId="4EDCCEDD" w14:textId="77777777" w:rsidR="002C1B04" w:rsidRDefault="002C1B04" w:rsidP="00115B07">
      <w:pPr>
        <w:spacing w:line="600" w:lineRule="auto"/>
        <w:rPr>
          <w:rFonts w:ascii="Arial" w:hAnsi="Arial" w:cs="Arial"/>
          <w:b/>
          <w:bCs/>
          <w:sz w:val="36"/>
          <w:szCs w:val="36"/>
        </w:rPr>
      </w:pPr>
      <w:r>
        <w:rPr>
          <w:rFonts w:ascii="Arial" w:hAnsi="Arial" w:cs="Arial"/>
          <w:b/>
          <w:bCs/>
          <w:sz w:val="36"/>
          <w:szCs w:val="36"/>
        </w:rPr>
        <w:t xml:space="preserve">       </w:t>
      </w:r>
    </w:p>
    <w:p w14:paraId="4CC58063" w14:textId="77777777" w:rsidR="009B6F35" w:rsidRDefault="002C1B04" w:rsidP="00115B07">
      <w:pPr>
        <w:spacing w:line="600" w:lineRule="auto"/>
        <w:rPr>
          <w:rFonts w:ascii="Arial" w:hAnsi="Arial" w:cs="Arial"/>
          <w:b/>
          <w:bCs/>
          <w:sz w:val="36"/>
          <w:szCs w:val="36"/>
        </w:rPr>
      </w:pPr>
      <w:r>
        <w:rPr>
          <w:rFonts w:ascii="Arial" w:hAnsi="Arial" w:cs="Arial"/>
          <w:b/>
          <w:bCs/>
          <w:sz w:val="36"/>
          <w:szCs w:val="36"/>
        </w:rPr>
        <w:t xml:space="preserve">                          </w:t>
      </w:r>
    </w:p>
    <w:p w14:paraId="0FBDCBDC" w14:textId="2413325A" w:rsidR="00115B07" w:rsidRPr="002C1B04" w:rsidRDefault="009B6F35" w:rsidP="00115B07">
      <w:pPr>
        <w:spacing w:line="600" w:lineRule="auto"/>
        <w:rPr>
          <w:rFonts w:ascii="Arial" w:hAnsi="Arial" w:cs="Arial"/>
          <w:b/>
          <w:bCs/>
          <w:sz w:val="36"/>
          <w:szCs w:val="36"/>
        </w:rPr>
      </w:pPr>
      <w:r>
        <w:rPr>
          <w:rFonts w:ascii="Arial" w:hAnsi="Arial" w:cs="Arial"/>
          <w:b/>
          <w:bCs/>
          <w:sz w:val="36"/>
          <w:szCs w:val="36"/>
        </w:rPr>
        <w:lastRenderedPageBreak/>
        <w:t xml:space="preserve">                        </w:t>
      </w:r>
      <w:r w:rsidR="002C1B04">
        <w:rPr>
          <w:rFonts w:ascii="Arial" w:hAnsi="Arial" w:cs="Arial"/>
          <w:b/>
          <w:bCs/>
          <w:sz w:val="36"/>
          <w:szCs w:val="36"/>
        </w:rPr>
        <w:t xml:space="preserve">  </w:t>
      </w:r>
      <w:r w:rsidR="00115B07" w:rsidRPr="002C1B04">
        <w:rPr>
          <w:rFonts w:ascii="Arial" w:hAnsi="Arial" w:cs="Arial"/>
          <w:b/>
          <w:bCs/>
          <w:sz w:val="36"/>
          <w:szCs w:val="36"/>
        </w:rPr>
        <w:t xml:space="preserve"> Reference List</w:t>
      </w:r>
    </w:p>
    <w:p w14:paraId="7F427EC6" w14:textId="454CFAEC"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Armstrong, M. &amp; Taylor, S. (2020) </w:t>
      </w:r>
      <w:r w:rsidRPr="00FE5DCD">
        <w:rPr>
          <w:rFonts w:ascii="Arial" w:hAnsi="Arial" w:cs="Arial"/>
          <w:i/>
          <w:iCs/>
          <w:sz w:val="24"/>
          <w:szCs w:val="24"/>
        </w:rPr>
        <w:t>Armstrong's Handbook of Human Resource Management Practice</w:t>
      </w:r>
      <w:r w:rsidRPr="00FE5DCD">
        <w:rPr>
          <w:rFonts w:ascii="Arial" w:hAnsi="Arial" w:cs="Arial"/>
          <w:sz w:val="24"/>
          <w:szCs w:val="24"/>
        </w:rPr>
        <w:t xml:space="preserve">. 15th </w:t>
      </w:r>
      <w:r w:rsidR="002C1B04" w:rsidRPr="00FE5DCD">
        <w:rPr>
          <w:rFonts w:ascii="Arial" w:hAnsi="Arial" w:cs="Arial"/>
          <w:sz w:val="24"/>
          <w:szCs w:val="24"/>
        </w:rPr>
        <w:t>edh</w:t>
      </w:r>
      <w:r w:rsidRPr="00FE5DCD">
        <w:rPr>
          <w:rFonts w:ascii="Arial" w:hAnsi="Arial" w:cs="Arial"/>
          <w:sz w:val="24"/>
          <w:szCs w:val="24"/>
        </w:rPr>
        <w:t>. London: Kogan Page.</w:t>
      </w:r>
    </w:p>
    <w:p w14:paraId="3506798D" w14:textId="6A14E414"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Bratton, J. &amp; Gold, J. (2017) </w:t>
      </w:r>
      <w:r w:rsidRPr="00FE5DCD">
        <w:rPr>
          <w:rFonts w:ascii="Arial" w:hAnsi="Arial" w:cs="Arial"/>
          <w:i/>
          <w:iCs/>
          <w:sz w:val="24"/>
          <w:szCs w:val="24"/>
        </w:rPr>
        <w:t>Human Resource Management: Theory and Practice</w:t>
      </w:r>
      <w:r w:rsidRPr="00FE5DCD">
        <w:rPr>
          <w:rFonts w:ascii="Arial" w:hAnsi="Arial" w:cs="Arial"/>
          <w:sz w:val="24"/>
          <w:szCs w:val="24"/>
        </w:rPr>
        <w:t xml:space="preserve">. 6th </w:t>
      </w:r>
      <w:r w:rsidR="002C1B04" w:rsidRPr="00FE5DCD">
        <w:rPr>
          <w:rFonts w:ascii="Arial" w:hAnsi="Arial" w:cs="Arial"/>
          <w:sz w:val="24"/>
          <w:szCs w:val="24"/>
        </w:rPr>
        <w:t>edh</w:t>
      </w:r>
      <w:r w:rsidRPr="00FE5DCD">
        <w:rPr>
          <w:rFonts w:ascii="Arial" w:hAnsi="Arial" w:cs="Arial"/>
          <w:sz w:val="24"/>
          <w:szCs w:val="24"/>
        </w:rPr>
        <w:t>. London: Palgrave Macmillan.</w:t>
      </w:r>
    </w:p>
    <w:p w14:paraId="5471E75E"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Brynjolfsson, E. &amp; McAfee, A. (2014) </w:t>
      </w:r>
      <w:r w:rsidRPr="00FE5DCD">
        <w:rPr>
          <w:rFonts w:ascii="Arial" w:hAnsi="Arial" w:cs="Arial"/>
          <w:i/>
          <w:iCs/>
          <w:sz w:val="24"/>
          <w:szCs w:val="24"/>
        </w:rPr>
        <w:t>The Second Machine Age: Work, Progress, and Prosperity in a Time of Brilliant Technologies</w:t>
      </w:r>
      <w:r w:rsidRPr="00FE5DCD">
        <w:rPr>
          <w:rFonts w:ascii="Arial" w:hAnsi="Arial" w:cs="Arial"/>
          <w:sz w:val="24"/>
          <w:szCs w:val="24"/>
        </w:rPr>
        <w:t>. New York: W.W. Norton &amp; Company.</w:t>
      </w:r>
    </w:p>
    <w:p w14:paraId="30C5F67D" w14:textId="14A84E4B" w:rsidR="00115B07" w:rsidRPr="00FE5DCD" w:rsidRDefault="002C1B04" w:rsidP="00115B07">
      <w:pPr>
        <w:spacing w:line="600" w:lineRule="auto"/>
        <w:rPr>
          <w:rFonts w:ascii="Arial" w:hAnsi="Arial" w:cs="Arial"/>
          <w:sz w:val="24"/>
          <w:szCs w:val="24"/>
        </w:rPr>
      </w:pPr>
      <w:r w:rsidRPr="00FE5DCD">
        <w:rPr>
          <w:rFonts w:ascii="Arial" w:hAnsi="Arial" w:cs="Arial"/>
          <w:sz w:val="24"/>
          <w:szCs w:val="24"/>
        </w:rPr>
        <w:t>Badhwar</w:t>
      </w:r>
      <w:r w:rsidR="00115B07" w:rsidRPr="00FE5DCD">
        <w:rPr>
          <w:rFonts w:ascii="Arial" w:hAnsi="Arial" w:cs="Arial"/>
          <w:sz w:val="24"/>
          <w:szCs w:val="24"/>
        </w:rPr>
        <w:t xml:space="preserve">, P., Malik, A., De Silva, M.T. &amp; </w:t>
      </w:r>
      <w:r w:rsidRPr="00FE5DCD">
        <w:rPr>
          <w:rFonts w:ascii="Arial" w:hAnsi="Arial" w:cs="Arial"/>
          <w:sz w:val="24"/>
          <w:szCs w:val="24"/>
        </w:rPr>
        <w:t>Trevathan</w:t>
      </w:r>
      <w:r w:rsidR="00115B07" w:rsidRPr="00FE5DCD">
        <w:rPr>
          <w:rFonts w:ascii="Arial" w:hAnsi="Arial" w:cs="Arial"/>
          <w:sz w:val="24"/>
          <w:szCs w:val="24"/>
        </w:rPr>
        <w:t>, P. (2022) 'Artificial intelligence – challenges and opportunities for international HRM: A review and research agenda', </w:t>
      </w:r>
      <w:r w:rsidR="00115B07" w:rsidRPr="00FE5DCD">
        <w:rPr>
          <w:rFonts w:ascii="Arial" w:hAnsi="Arial" w:cs="Arial"/>
          <w:i/>
          <w:iCs/>
          <w:sz w:val="24"/>
          <w:szCs w:val="24"/>
        </w:rPr>
        <w:t>International Journal of Human Resource Management</w:t>
      </w:r>
      <w:r w:rsidR="00115B07" w:rsidRPr="00FE5DCD">
        <w:rPr>
          <w:rFonts w:ascii="Arial" w:hAnsi="Arial" w:cs="Arial"/>
          <w:sz w:val="24"/>
          <w:szCs w:val="24"/>
        </w:rPr>
        <w:t>, 33(6), pp. 1065-1097.</w:t>
      </w:r>
    </w:p>
    <w:p w14:paraId="358DDE1F" w14:textId="3F533F3D"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Cappelli, P. &amp; Keller, J.R. (2014) 'Talent management: Conceptual approaches and practical challenges', </w:t>
      </w:r>
      <w:r w:rsidRPr="00FE5DCD">
        <w:rPr>
          <w:rFonts w:ascii="Arial" w:hAnsi="Arial" w:cs="Arial"/>
          <w:i/>
          <w:iCs/>
          <w:sz w:val="24"/>
          <w:szCs w:val="24"/>
        </w:rPr>
        <w:t xml:space="preserve">Annual Review of Organizational Psychology and Organizational </w:t>
      </w:r>
      <w:r w:rsidR="002C1B04" w:rsidRPr="00FE5DCD">
        <w:rPr>
          <w:rFonts w:ascii="Arial" w:hAnsi="Arial" w:cs="Arial"/>
          <w:i/>
          <w:iCs/>
          <w:sz w:val="24"/>
          <w:szCs w:val="24"/>
        </w:rPr>
        <w:t>Behaviour</w:t>
      </w:r>
      <w:r w:rsidRPr="00FE5DCD">
        <w:rPr>
          <w:rFonts w:ascii="Arial" w:hAnsi="Arial" w:cs="Arial"/>
          <w:sz w:val="24"/>
          <w:szCs w:val="24"/>
        </w:rPr>
        <w:t>, 1(1), pp. 305-331.</w:t>
      </w:r>
    </w:p>
    <w:p w14:paraId="1E8F1465"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CIPD (2023) </w:t>
      </w:r>
      <w:r w:rsidRPr="00FE5DCD">
        <w:rPr>
          <w:rFonts w:ascii="Arial" w:hAnsi="Arial" w:cs="Arial"/>
          <w:i/>
          <w:iCs/>
          <w:sz w:val="24"/>
          <w:szCs w:val="24"/>
        </w:rPr>
        <w:t>Human Resource Management in the UK: A Guide to Practice</w:t>
      </w:r>
      <w:r w:rsidRPr="00FE5DCD">
        <w:rPr>
          <w:rFonts w:ascii="Arial" w:hAnsi="Arial" w:cs="Arial"/>
          <w:sz w:val="24"/>
          <w:szCs w:val="24"/>
        </w:rPr>
        <w:t>. London: Chartered Institute of Personnel and Development.</w:t>
      </w:r>
    </w:p>
    <w:p w14:paraId="720E24F4"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Davis, F.D. (1989) 'Perceived usefulness, perceived ease of use, and user acceptance of information technology', </w:t>
      </w:r>
      <w:r w:rsidRPr="00FE5DCD">
        <w:rPr>
          <w:rFonts w:ascii="Arial" w:hAnsi="Arial" w:cs="Arial"/>
          <w:i/>
          <w:iCs/>
          <w:sz w:val="24"/>
          <w:szCs w:val="24"/>
        </w:rPr>
        <w:t>MIS Quarterly</w:t>
      </w:r>
      <w:r w:rsidRPr="00FE5DCD">
        <w:rPr>
          <w:rFonts w:ascii="Arial" w:hAnsi="Arial" w:cs="Arial"/>
          <w:sz w:val="24"/>
          <w:szCs w:val="24"/>
        </w:rPr>
        <w:t>, 13(3), pp. 319-340.</w:t>
      </w:r>
    </w:p>
    <w:p w14:paraId="23ACA2AC"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lastRenderedPageBreak/>
        <w:t>Edmondson, A.C. (2018) </w:t>
      </w:r>
      <w:r w:rsidRPr="00FE5DCD">
        <w:rPr>
          <w:rFonts w:ascii="Arial" w:hAnsi="Arial" w:cs="Arial"/>
          <w:i/>
          <w:iCs/>
          <w:sz w:val="24"/>
          <w:szCs w:val="24"/>
        </w:rPr>
        <w:t>The Fearless Organization: Creating Psychological Safety in the Workplace for Learning, Innovation, and Growth</w:t>
      </w:r>
      <w:r w:rsidRPr="00FE5DCD">
        <w:rPr>
          <w:rFonts w:ascii="Arial" w:hAnsi="Arial" w:cs="Arial"/>
          <w:sz w:val="24"/>
          <w:szCs w:val="24"/>
        </w:rPr>
        <w:t>. Hoboken, NJ: John Wiley &amp; Sons.</w:t>
      </w:r>
    </w:p>
    <w:p w14:paraId="30E9680B" w14:textId="19574CAE" w:rsidR="00115B07" w:rsidRPr="00FE5DCD" w:rsidRDefault="00471418" w:rsidP="00115B07">
      <w:pPr>
        <w:spacing w:line="600" w:lineRule="auto"/>
        <w:rPr>
          <w:rFonts w:ascii="Arial" w:hAnsi="Arial" w:cs="Arial"/>
          <w:sz w:val="24"/>
          <w:szCs w:val="24"/>
        </w:rPr>
      </w:pPr>
      <w:r w:rsidRPr="00FE5DCD">
        <w:rPr>
          <w:rFonts w:ascii="Arial" w:hAnsi="Arial" w:cs="Arial"/>
          <w:sz w:val="24"/>
          <w:szCs w:val="24"/>
        </w:rPr>
        <w:t>Garvan</w:t>
      </w:r>
      <w:r w:rsidR="00115B07" w:rsidRPr="00FE5DCD">
        <w:rPr>
          <w:rFonts w:ascii="Arial" w:hAnsi="Arial" w:cs="Arial"/>
          <w:sz w:val="24"/>
          <w:szCs w:val="24"/>
        </w:rPr>
        <w:t>, T. (2012) 'Global talent management: New directions for research and practice', </w:t>
      </w:r>
      <w:r w:rsidR="00115B07" w:rsidRPr="00FE5DCD">
        <w:rPr>
          <w:rFonts w:ascii="Arial" w:hAnsi="Arial" w:cs="Arial"/>
          <w:i/>
          <w:iCs/>
          <w:sz w:val="24"/>
          <w:szCs w:val="24"/>
        </w:rPr>
        <w:t>Human Resource Management Journal</w:t>
      </w:r>
      <w:r w:rsidR="00115B07" w:rsidRPr="00FE5DCD">
        <w:rPr>
          <w:rFonts w:ascii="Arial" w:hAnsi="Arial" w:cs="Arial"/>
          <w:sz w:val="24"/>
          <w:szCs w:val="24"/>
        </w:rPr>
        <w:t>, 22(4), pp. 339-343.</w:t>
      </w:r>
    </w:p>
    <w:p w14:paraId="05493362" w14:textId="4986863C"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Hewlett, S.A., Marshall, M. &amp; </w:t>
      </w:r>
      <w:r w:rsidR="00471418" w:rsidRPr="00FE5DCD">
        <w:rPr>
          <w:rFonts w:ascii="Arial" w:hAnsi="Arial" w:cs="Arial"/>
          <w:sz w:val="24"/>
          <w:szCs w:val="24"/>
        </w:rPr>
        <w:t>Serbin</w:t>
      </w:r>
      <w:r w:rsidRPr="00FE5DCD">
        <w:rPr>
          <w:rFonts w:ascii="Arial" w:hAnsi="Arial" w:cs="Arial"/>
          <w:sz w:val="24"/>
          <w:szCs w:val="24"/>
        </w:rPr>
        <w:t>, L. (2013) 'How diversity can drive innovation', </w:t>
      </w:r>
      <w:r w:rsidRPr="00FE5DCD">
        <w:rPr>
          <w:rFonts w:ascii="Arial" w:hAnsi="Arial" w:cs="Arial"/>
          <w:i/>
          <w:iCs/>
          <w:sz w:val="24"/>
          <w:szCs w:val="24"/>
        </w:rPr>
        <w:t>Harvard Business Review</w:t>
      </w:r>
      <w:r w:rsidRPr="00FE5DCD">
        <w:rPr>
          <w:rFonts w:ascii="Arial" w:hAnsi="Arial" w:cs="Arial"/>
          <w:sz w:val="24"/>
          <w:szCs w:val="24"/>
        </w:rPr>
        <w:t>, 91(12), pp. 30-31.</w:t>
      </w:r>
    </w:p>
    <w:p w14:paraId="6444F1B8" w14:textId="77777777"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International Supermarket News (2026) </w:t>
      </w:r>
      <w:r w:rsidRPr="00FE5DCD">
        <w:rPr>
          <w:rFonts w:ascii="Arial" w:hAnsi="Arial" w:cs="Arial"/>
          <w:i/>
          <w:iCs/>
          <w:sz w:val="24"/>
          <w:szCs w:val="24"/>
        </w:rPr>
        <w:t>Tesco unveils AI assistant trial to support store colleagues</w:t>
      </w:r>
      <w:r w:rsidRPr="00FE5DCD">
        <w:rPr>
          <w:rFonts w:ascii="Arial" w:hAnsi="Arial" w:cs="Arial"/>
          <w:sz w:val="24"/>
          <w:szCs w:val="24"/>
        </w:rPr>
        <w:t>. Available at: </w:t>
      </w:r>
      <w:hyperlink r:id="rId9" w:tgtFrame="_blank" w:history="1">
        <w:r w:rsidRPr="00FE5DCD">
          <w:rPr>
            <w:rStyle w:val="Hyperlink"/>
            <w:rFonts w:ascii="Arial" w:hAnsi="Arial" w:cs="Arial"/>
            <w:sz w:val="24"/>
            <w:szCs w:val="24"/>
          </w:rPr>
          <w:t>https://internationalsupermarketnews.com/tesco-unveils-ai-assistant-trial-to-support-store-colleagues</w:t>
        </w:r>
      </w:hyperlink>
      <w:r w:rsidRPr="00FE5DCD">
        <w:rPr>
          <w:rFonts w:ascii="Arial" w:hAnsi="Arial" w:cs="Arial"/>
          <w:sz w:val="24"/>
          <w:szCs w:val="24"/>
        </w:rPr>
        <w:t> (Accessed: 28 April 2026).</w:t>
      </w:r>
    </w:p>
    <w:p w14:paraId="43FA05BF" w14:textId="5427CC9F" w:rsidR="00115B07" w:rsidRPr="00FE5DCD" w:rsidRDefault="00471418" w:rsidP="00115B07">
      <w:pPr>
        <w:spacing w:line="600" w:lineRule="auto"/>
        <w:rPr>
          <w:rFonts w:ascii="Arial" w:hAnsi="Arial" w:cs="Arial"/>
          <w:sz w:val="24"/>
          <w:szCs w:val="24"/>
        </w:rPr>
      </w:pPr>
      <w:r w:rsidRPr="00FE5DCD">
        <w:rPr>
          <w:rFonts w:ascii="Arial" w:hAnsi="Arial" w:cs="Arial"/>
          <w:sz w:val="24"/>
          <w:szCs w:val="24"/>
        </w:rPr>
        <w:t>Kollen</w:t>
      </w:r>
      <w:r w:rsidR="00115B07" w:rsidRPr="00FE5DCD">
        <w:rPr>
          <w:rFonts w:ascii="Arial" w:hAnsi="Arial" w:cs="Arial"/>
          <w:sz w:val="24"/>
          <w:szCs w:val="24"/>
        </w:rPr>
        <w:t>, T. (2021) 'Diversity management: A critical review and agenda for the future', </w:t>
      </w:r>
      <w:r w:rsidR="00115B07" w:rsidRPr="00FE5DCD">
        <w:rPr>
          <w:rFonts w:ascii="Arial" w:hAnsi="Arial" w:cs="Arial"/>
          <w:i/>
          <w:iCs/>
          <w:sz w:val="24"/>
          <w:szCs w:val="24"/>
        </w:rPr>
        <w:t>German Journal of Human Resource Management</w:t>
      </w:r>
      <w:r w:rsidR="00115B07" w:rsidRPr="00FE5DCD">
        <w:rPr>
          <w:rFonts w:ascii="Arial" w:hAnsi="Arial" w:cs="Arial"/>
          <w:sz w:val="24"/>
          <w:szCs w:val="24"/>
        </w:rPr>
        <w:t>, 35(2), pp. 123-147.</w:t>
      </w:r>
    </w:p>
    <w:p w14:paraId="514962AC" w14:textId="2CC64CDE" w:rsidR="00115B07" w:rsidRPr="00FE5DCD" w:rsidRDefault="00115B07" w:rsidP="00115B07">
      <w:pPr>
        <w:spacing w:line="600" w:lineRule="auto"/>
        <w:rPr>
          <w:rFonts w:ascii="Arial" w:hAnsi="Arial" w:cs="Arial"/>
          <w:sz w:val="24"/>
          <w:szCs w:val="24"/>
        </w:rPr>
      </w:pPr>
      <w:r w:rsidRPr="00FE5DCD">
        <w:rPr>
          <w:rFonts w:ascii="Arial" w:hAnsi="Arial" w:cs="Arial"/>
          <w:sz w:val="24"/>
          <w:szCs w:val="24"/>
        </w:rPr>
        <w:t xml:space="preserve">Marchington, M., Wilkinson, A., Donnelly, R. &amp; </w:t>
      </w:r>
      <w:r w:rsidR="00471418" w:rsidRPr="00FE5DCD">
        <w:rPr>
          <w:rFonts w:ascii="Arial" w:hAnsi="Arial" w:cs="Arial"/>
          <w:sz w:val="24"/>
          <w:szCs w:val="24"/>
        </w:rPr>
        <w:t>Knighton</w:t>
      </w:r>
      <w:r w:rsidRPr="00FE5DCD">
        <w:rPr>
          <w:rFonts w:ascii="Arial" w:hAnsi="Arial" w:cs="Arial"/>
          <w:sz w:val="24"/>
          <w:szCs w:val="24"/>
        </w:rPr>
        <w:t>, A. (2016) </w:t>
      </w:r>
      <w:r w:rsidRPr="00FE5DCD">
        <w:rPr>
          <w:rFonts w:ascii="Arial" w:hAnsi="Arial" w:cs="Arial"/>
          <w:i/>
          <w:iCs/>
          <w:sz w:val="24"/>
          <w:szCs w:val="24"/>
        </w:rPr>
        <w:t>Human Resource Management at Work</w:t>
      </w:r>
      <w:r w:rsidRPr="00FE5DCD">
        <w:rPr>
          <w:rFonts w:ascii="Arial" w:hAnsi="Arial" w:cs="Arial"/>
          <w:sz w:val="24"/>
          <w:szCs w:val="24"/>
        </w:rPr>
        <w:t xml:space="preserve">. 6th </w:t>
      </w:r>
      <w:r w:rsidR="00471418" w:rsidRPr="00FE5DCD">
        <w:rPr>
          <w:rFonts w:ascii="Arial" w:hAnsi="Arial" w:cs="Arial"/>
          <w:sz w:val="24"/>
          <w:szCs w:val="24"/>
        </w:rPr>
        <w:t>edh</w:t>
      </w:r>
      <w:r w:rsidRPr="00FE5DCD">
        <w:rPr>
          <w:rFonts w:ascii="Arial" w:hAnsi="Arial" w:cs="Arial"/>
          <w:sz w:val="24"/>
          <w:szCs w:val="24"/>
        </w:rPr>
        <w:t>. London: Chartered Institute of Personnel and Development.</w:t>
      </w:r>
    </w:p>
    <w:sectPr w:rsidR="00115B07" w:rsidRPr="00FE5D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57C53" w14:textId="77777777" w:rsidR="008F38C5" w:rsidRDefault="008F38C5" w:rsidP="00F37B62">
      <w:pPr>
        <w:spacing w:after="0" w:line="240" w:lineRule="auto"/>
      </w:pPr>
      <w:r>
        <w:separator/>
      </w:r>
    </w:p>
  </w:endnote>
  <w:endnote w:type="continuationSeparator" w:id="0">
    <w:p w14:paraId="1ECC8293" w14:textId="77777777" w:rsidR="008F38C5" w:rsidRDefault="008F38C5"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CDB20" w14:textId="77777777" w:rsidR="008F38C5" w:rsidRDefault="008F38C5" w:rsidP="00F37B62">
      <w:pPr>
        <w:spacing w:after="0" w:line="240" w:lineRule="auto"/>
      </w:pPr>
      <w:r>
        <w:separator/>
      </w:r>
    </w:p>
  </w:footnote>
  <w:footnote w:type="continuationSeparator" w:id="0">
    <w:p w14:paraId="2FF8DDC9" w14:textId="77777777" w:rsidR="008F38C5" w:rsidRDefault="008F38C5" w:rsidP="00F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496595"/>
    <w:multiLevelType w:val="hybridMultilevel"/>
    <w:tmpl w:val="EFCC241C"/>
    <w:lvl w:ilvl="0" w:tplc="84A08594">
      <w:start w:val="1"/>
      <w:numFmt w:val="decimal"/>
      <w:lvlText w:val="%1."/>
      <w:lvlJc w:val="left"/>
      <w:pPr>
        <w:ind w:left="1788" w:hanging="72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num w:numId="1" w16cid:durableId="373969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B4E76"/>
    <w:rsid w:val="00115B07"/>
    <w:rsid w:val="001731AD"/>
    <w:rsid w:val="001F1673"/>
    <w:rsid w:val="002C1B04"/>
    <w:rsid w:val="003C42A2"/>
    <w:rsid w:val="003F3651"/>
    <w:rsid w:val="004147D5"/>
    <w:rsid w:val="00471418"/>
    <w:rsid w:val="004A3EEE"/>
    <w:rsid w:val="006833D5"/>
    <w:rsid w:val="0072707E"/>
    <w:rsid w:val="007D495F"/>
    <w:rsid w:val="008D1598"/>
    <w:rsid w:val="008D74A2"/>
    <w:rsid w:val="008F38C5"/>
    <w:rsid w:val="008F4215"/>
    <w:rsid w:val="009B6F35"/>
    <w:rsid w:val="00B20E32"/>
    <w:rsid w:val="00B465A0"/>
    <w:rsid w:val="00BF5CCA"/>
    <w:rsid w:val="00C73BAE"/>
    <w:rsid w:val="00CD19E5"/>
    <w:rsid w:val="00D41CE9"/>
    <w:rsid w:val="00E12960"/>
    <w:rsid w:val="00F37B62"/>
    <w:rsid w:val="00F5191F"/>
    <w:rsid w:val="00F67811"/>
    <w:rsid w:val="00FE5DCD"/>
    <w:rsid w:val="00FF2558"/>
    <w:rsid w:val="08F8BC97"/>
    <w:rsid w:val="0C4C9EEB"/>
    <w:rsid w:val="11C3AB27"/>
    <w:rsid w:val="19DF5ED4"/>
    <w:rsid w:val="4E55ACAF"/>
    <w:rsid w:val="53D01A0C"/>
    <w:rsid w:val="545F6007"/>
    <w:rsid w:val="69CB67C2"/>
    <w:rsid w:val="79F9E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BAE"/>
  </w:style>
  <w:style w:type="paragraph" w:styleId="Heading1">
    <w:name w:val="heading 1"/>
    <w:basedOn w:val="Normal"/>
    <w:next w:val="Normal"/>
    <w:link w:val="Heading1Char"/>
    <w:uiPriority w:val="9"/>
    <w:qFormat/>
    <w:rsid w:val="00C73BAE"/>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73BA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C73BAE"/>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C73BA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73BAE"/>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C73BAE"/>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C73BAE"/>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C73BAE"/>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C73BAE"/>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character" w:customStyle="1" w:styleId="Heading1Char">
    <w:name w:val="Heading 1 Char"/>
    <w:basedOn w:val="DefaultParagraphFont"/>
    <w:link w:val="Heading1"/>
    <w:uiPriority w:val="9"/>
    <w:rsid w:val="00C73B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73BAE"/>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C73BAE"/>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C73BA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73BAE"/>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C73BAE"/>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C73BAE"/>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C73BAE"/>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C73BAE"/>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C73BAE"/>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C73BAE"/>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C73BAE"/>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C73BA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73BAE"/>
    <w:rPr>
      <w:rFonts w:asciiTheme="majorHAnsi" w:eastAsiaTheme="majorEastAsia" w:hAnsiTheme="majorHAnsi" w:cstheme="majorBidi"/>
      <w:sz w:val="24"/>
      <w:szCs w:val="24"/>
    </w:rPr>
  </w:style>
  <w:style w:type="character" w:styleId="Strong">
    <w:name w:val="Strong"/>
    <w:basedOn w:val="DefaultParagraphFont"/>
    <w:uiPriority w:val="22"/>
    <w:qFormat/>
    <w:rsid w:val="00C73BAE"/>
    <w:rPr>
      <w:b/>
      <w:bCs/>
    </w:rPr>
  </w:style>
  <w:style w:type="character" w:styleId="Emphasis">
    <w:name w:val="Emphasis"/>
    <w:basedOn w:val="DefaultParagraphFont"/>
    <w:uiPriority w:val="20"/>
    <w:qFormat/>
    <w:rsid w:val="00C73BAE"/>
    <w:rPr>
      <w:i/>
      <w:iCs/>
    </w:rPr>
  </w:style>
  <w:style w:type="paragraph" w:styleId="NoSpacing">
    <w:name w:val="No Spacing"/>
    <w:uiPriority w:val="1"/>
    <w:qFormat/>
    <w:rsid w:val="00C73BAE"/>
    <w:pPr>
      <w:spacing w:after="0" w:line="240" w:lineRule="auto"/>
    </w:pPr>
  </w:style>
  <w:style w:type="paragraph" w:styleId="Quote">
    <w:name w:val="Quote"/>
    <w:basedOn w:val="Normal"/>
    <w:next w:val="Normal"/>
    <w:link w:val="QuoteChar"/>
    <w:uiPriority w:val="29"/>
    <w:qFormat/>
    <w:rsid w:val="00C73BA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73BAE"/>
    <w:rPr>
      <w:i/>
      <w:iCs/>
      <w:color w:val="404040" w:themeColor="text1" w:themeTint="BF"/>
    </w:rPr>
  </w:style>
  <w:style w:type="paragraph" w:styleId="IntenseQuote">
    <w:name w:val="Intense Quote"/>
    <w:basedOn w:val="Normal"/>
    <w:next w:val="Normal"/>
    <w:link w:val="IntenseQuoteChar"/>
    <w:uiPriority w:val="30"/>
    <w:qFormat/>
    <w:rsid w:val="00C73BAE"/>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C73BAE"/>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C73BAE"/>
    <w:rPr>
      <w:i/>
      <w:iCs/>
      <w:color w:val="404040" w:themeColor="text1" w:themeTint="BF"/>
    </w:rPr>
  </w:style>
  <w:style w:type="character" w:styleId="IntenseEmphasis">
    <w:name w:val="Intense Emphasis"/>
    <w:basedOn w:val="DefaultParagraphFont"/>
    <w:uiPriority w:val="21"/>
    <w:qFormat/>
    <w:rsid w:val="00C73BAE"/>
    <w:rPr>
      <w:b/>
      <w:bCs/>
      <w:i/>
      <w:iCs/>
    </w:rPr>
  </w:style>
  <w:style w:type="character" w:styleId="SubtleReference">
    <w:name w:val="Subtle Reference"/>
    <w:basedOn w:val="DefaultParagraphFont"/>
    <w:uiPriority w:val="31"/>
    <w:qFormat/>
    <w:rsid w:val="00C73BA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73BAE"/>
    <w:rPr>
      <w:b/>
      <w:bCs/>
      <w:smallCaps/>
      <w:spacing w:val="5"/>
      <w:u w:val="single"/>
    </w:rPr>
  </w:style>
  <w:style w:type="character" w:styleId="BookTitle">
    <w:name w:val="Book Title"/>
    <w:basedOn w:val="DefaultParagraphFont"/>
    <w:uiPriority w:val="33"/>
    <w:qFormat/>
    <w:rsid w:val="00C73BAE"/>
    <w:rPr>
      <w:b/>
      <w:bCs/>
      <w:smallCaps/>
    </w:rPr>
  </w:style>
  <w:style w:type="paragraph" w:styleId="TOCHeading">
    <w:name w:val="TOC Heading"/>
    <w:basedOn w:val="Heading1"/>
    <w:next w:val="Normal"/>
    <w:uiPriority w:val="39"/>
    <w:semiHidden/>
    <w:unhideWhenUsed/>
    <w:qFormat/>
    <w:rsid w:val="00C73BAE"/>
    <w:pPr>
      <w:outlineLvl w:val="9"/>
    </w:pPr>
  </w:style>
  <w:style w:type="paragraph" w:styleId="ListParagraph">
    <w:name w:val="List Paragraph"/>
    <w:basedOn w:val="Normal"/>
    <w:uiPriority w:val="34"/>
    <w:qFormat/>
    <w:rsid w:val="008D74A2"/>
    <w:pPr>
      <w:ind w:left="720"/>
      <w:contextualSpacing/>
    </w:pPr>
  </w:style>
  <w:style w:type="character" w:styleId="Hyperlink">
    <w:name w:val="Hyperlink"/>
    <w:basedOn w:val="DefaultParagraphFont"/>
    <w:uiPriority w:val="99"/>
    <w:unhideWhenUsed/>
    <w:rsid w:val="00115B07"/>
    <w:rPr>
      <w:color w:val="0563C1" w:themeColor="hyperlink"/>
      <w:u w:val="single"/>
    </w:rPr>
  </w:style>
  <w:style w:type="character" w:styleId="UnresolvedMention">
    <w:name w:val="Unresolved Mention"/>
    <w:basedOn w:val="DefaultParagraphFont"/>
    <w:uiPriority w:val="99"/>
    <w:semiHidden/>
    <w:unhideWhenUsed/>
    <w:rsid w:val="00115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ationalsupermarketnews.com/tesco-unveils-ai-assistant-trial-to-support-store-colleag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61872-BE9F-451C-A109-3B03D633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3248</Words>
  <Characters>18516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Khushbakht Mirzoev</cp:lastModifiedBy>
  <cp:revision>2</cp:revision>
  <dcterms:created xsi:type="dcterms:W3CDTF">2026-04-30T23:46:00Z</dcterms:created>
  <dcterms:modified xsi:type="dcterms:W3CDTF">2026-04-30T23:46:00Z</dcterms:modified>
</cp:coreProperties>
</file>