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6C4F75" w14:textId="77777777" w:rsidR="00C81A9D" w:rsidRDefault="00C81A9D" w:rsidP="00100B31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74C87F4B" w14:textId="77777777" w:rsidR="00C81A9D" w:rsidRDefault="00C81A9D" w:rsidP="00100B31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74F56E43" w14:textId="77777777" w:rsidR="00C81A9D" w:rsidRDefault="00100B31" w:rsidP="00C81A9D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2E5825">
        <w:rPr>
          <w:rFonts w:ascii="Arial" w:hAnsi="Arial" w:cs="Arial"/>
          <w:b/>
          <w:bCs/>
          <w:sz w:val="22"/>
          <w:szCs w:val="22"/>
        </w:rPr>
        <w:t xml:space="preserve">Student name </w:t>
      </w:r>
      <w:r w:rsidR="00051C07" w:rsidRPr="002E5825">
        <w:rPr>
          <w:rFonts w:ascii="Arial" w:hAnsi="Arial" w:cs="Arial"/>
          <w:b/>
          <w:bCs/>
          <w:sz w:val="22"/>
          <w:szCs w:val="22"/>
        </w:rPr>
        <w:t>/ number</w:t>
      </w:r>
      <w:r w:rsidR="008174C6" w:rsidRPr="002E5825">
        <w:rPr>
          <w:rFonts w:ascii="Arial" w:hAnsi="Arial" w:cs="Arial"/>
          <w:b/>
          <w:bCs/>
          <w:sz w:val="22"/>
          <w:szCs w:val="22"/>
        </w:rPr>
        <w:t>:</w:t>
      </w:r>
      <w:r w:rsidR="008174C6" w:rsidRPr="002E5825">
        <w:rPr>
          <w:rFonts w:ascii="Arial" w:hAnsi="Arial" w:cs="Arial"/>
          <w:sz w:val="22"/>
          <w:szCs w:val="22"/>
        </w:rPr>
        <w:t xml:space="preserve"> Paul Amoh</w:t>
      </w:r>
      <w:r w:rsidR="002E5825">
        <w:rPr>
          <w:rFonts w:ascii="Arial" w:hAnsi="Arial" w:cs="Arial"/>
          <w:sz w:val="22"/>
          <w:szCs w:val="22"/>
        </w:rPr>
        <w:t xml:space="preserve"> </w:t>
      </w:r>
      <w:r w:rsidR="0015758D" w:rsidRPr="002E5825">
        <w:rPr>
          <w:rFonts w:ascii="Arial" w:hAnsi="Arial" w:cs="Arial"/>
          <w:sz w:val="22"/>
          <w:szCs w:val="22"/>
        </w:rPr>
        <w:t>/</w:t>
      </w:r>
      <w:r w:rsidR="002E5825">
        <w:rPr>
          <w:rFonts w:ascii="Arial" w:hAnsi="Arial" w:cs="Arial"/>
          <w:sz w:val="22"/>
          <w:szCs w:val="22"/>
        </w:rPr>
        <w:t xml:space="preserve"> </w:t>
      </w:r>
      <w:r w:rsidR="0015758D" w:rsidRPr="002E5825">
        <w:rPr>
          <w:rFonts w:ascii="Arial" w:hAnsi="Arial" w:cs="Arial"/>
          <w:sz w:val="22"/>
          <w:szCs w:val="22"/>
        </w:rPr>
        <w:t>2246297</w:t>
      </w:r>
      <w:r w:rsidR="00C81A9D" w:rsidRPr="00C81A9D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86CC3E1" w14:textId="166BC381" w:rsidR="00100B31" w:rsidRPr="00C81A9D" w:rsidRDefault="00C81A9D" w:rsidP="00C81A9D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School name:</w:t>
      </w:r>
      <w:r w:rsidRPr="00C81A9D">
        <w:rPr>
          <w:rFonts w:ascii="Roboto" w:hAnsi="Roboto"/>
          <w:b/>
          <w:bCs/>
          <w:color w:val="000000"/>
          <w:sz w:val="33"/>
          <w:szCs w:val="33"/>
          <w:shd w:val="clear" w:color="auto" w:fill="FFFFFF"/>
        </w:rPr>
        <w:t xml:space="preserve"> </w:t>
      </w:r>
      <w:r w:rsidRPr="00C81A9D">
        <w:rPr>
          <w:rFonts w:ascii="Arial" w:hAnsi="Arial" w:cs="Arial"/>
          <w:b/>
          <w:bCs/>
          <w:sz w:val="22"/>
          <w:szCs w:val="22"/>
        </w:rPr>
        <w:t>University of Wales Trinity Saint David</w:t>
      </w:r>
    </w:p>
    <w:p w14:paraId="5215D839" w14:textId="1209A0D5" w:rsidR="00C81A9D" w:rsidRPr="00C81A9D" w:rsidRDefault="00C81A9D" w:rsidP="00C81A9D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81A9D">
        <w:rPr>
          <w:rFonts w:ascii="Arial" w:hAnsi="Arial" w:cs="Arial"/>
          <w:b/>
          <w:bCs/>
          <w:sz w:val="22"/>
          <w:szCs w:val="22"/>
        </w:rPr>
        <w:t>Empowering the Older Person (BMHP6027_BIRM)</w:t>
      </w:r>
    </w:p>
    <w:p w14:paraId="456262CC" w14:textId="230AF46C" w:rsidR="00051C07" w:rsidRPr="00C81A9D" w:rsidRDefault="00534F49" w:rsidP="00100B31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2E5825">
        <w:rPr>
          <w:rFonts w:ascii="Arial" w:hAnsi="Arial" w:cs="Arial"/>
          <w:b/>
          <w:bCs/>
          <w:sz w:val="22"/>
          <w:szCs w:val="22"/>
        </w:rPr>
        <w:t>Title:</w:t>
      </w:r>
      <w:r w:rsidR="008174C6" w:rsidRPr="002E5825">
        <w:rPr>
          <w:rFonts w:ascii="Arial" w:hAnsi="Arial" w:cs="Arial"/>
          <w:sz w:val="22"/>
          <w:szCs w:val="22"/>
        </w:rPr>
        <w:t xml:space="preserve"> </w:t>
      </w:r>
      <w:r w:rsidR="008174C6" w:rsidRPr="00C81A9D">
        <w:rPr>
          <w:rFonts w:ascii="Arial" w:hAnsi="Arial" w:cs="Arial"/>
          <w:b/>
          <w:bCs/>
          <w:sz w:val="22"/>
          <w:szCs w:val="22"/>
        </w:rPr>
        <w:t>Which Setting Better Promotes Empowerment in Older Adults: Residential Care or Domiciliary?</w:t>
      </w:r>
    </w:p>
    <w:p w14:paraId="2C121A61" w14:textId="77777777" w:rsidR="00100B31" w:rsidRPr="002E5825" w:rsidRDefault="00100B31" w:rsidP="00100B31">
      <w:pPr>
        <w:rPr>
          <w:rFonts w:ascii="Arial" w:hAnsi="Arial" w:cs="Arial"/>
          <w:sz w:val="22"/>
          <w:szCs w:val="22"/>
        </w:rPr>
      </w:pPr>
    </w:p>
    <w:p w14:paraId="5D298AF8" w14:textId="77777777" w:rsidR="00100B31" w:rsidRPr="002E5825" w:rsidRDefault="00100B31" w:rsidP="00100B31">
      <w:pPr>
        <w:rPr>
          <w:rFonts w:ascii="Arial" w:hAnsi="Arial" w:cs="Arial"/>
          <w:sz w:val="22"/>
          <w:szCs w:val="22"/>
        </w:rPr>
      </w:pPr>
    </w:p>
    <w:p w14:paraId="3160DB92" w14:textId="77777777" w:rsidR="00100B31" w:rsidRPr="002E5825" w:rsidRDefault="00100B31" w:rsidP="00100B31">
      <w:pPr>
        <w:rPr>
          <w:rFonts w:ascii="Arial" w:hAnsi="Arial" w:cs="Arial"/>
          <w:sz w:val="22"/>
          <w:szCs w:val="22"/>
        </w:rPr>
      </w:pPr>
    </w:p>
    <w:p w14:paraId="128E856D" w14:textId="09D19C75" w:rsidR="001765E4" w:rsidRDefault="00100B31" w:rsidP="002E582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2E5825">
        <w:rPr>
          <w:rFonts w:ascii="Arial" w:hAnsi="Arial" w:cs="Arial"/>
          <w:b/>
          <w:bCs/>
          <w:sz w:val="22"/>
          <w:szCs w:val="22"/>
        </w:rPr>
        <w:t>References</w:t>
      </w:r>
      <w:r w:rsidR="00977CAF">
        <w:rPr>
          <w:rFonts w:ascii="Arial" w:hAnsi="Arial" w:cs="Arial"/>
          <w:b/>
          <w:bCs/>
          <w:sz w:val="22"/>
          <w:szCs w:val="22"/>
        </w:rPr>
        <w:t>:</w:t>
      </w:r>
    </w:p>
    <w:p w14:paraId="4CE5CBE3" w14:textId="77777777" w:rsidR="00977CAF" w:rsidRPr="002E5825" w:rsidRDefault="00977CAF" w:rsidP="002E582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3ED72DA9" w14:textId="34A3EA47" w:rsidR="00284296" w:rsidRPr="002E5825" w:rsidRDefault="00284296" w:rsidP="00284296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 xml:space="preserve">Brod, M., Tesler, L.E.  Christensen, T.L. (2018) 'Quality of life in dementia: A review of the literature', </w:t>
      </w:r>
      <w:r w:rsidR="00F61D60" w:rsidRPr="002E5825">
        <w:rPr>
          <w:rFonts w:ascii="Arial" w:hAnsi="Arial" w:cs="Arial"/>
          <w:sz w:val="22"/>
          <w:szCs w:val="22"/>
        </w:rPr>
        <w:t>Alzheimer’s Dementia</w:t>
      </w:r>
      <w:r w:rsidRPr="002E5825">
        <w:rPr>
          <w:rFonts w:ascii="Arial" w:hAnsi="Arial" w:cs="Arial"/>
          <w:sz w:val="22"/>
          <w:szCs w:val="22"/>
        </w:rPr>
        <w:t>, 14(6), pp. 738-749.</w:t>
      </w:r>
    </w:p>
    <w:p w14:paraId="0A75174C" w14:textId="5D098306" w:rsidR="00F37AE1" w:rsidRPr="002E5825" w:rsidRDefault="006A6E71" w:rsidP="001765E4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Brod, M., Tesler, L.E.</w:t>
      </w:r>
      <w:r w:rsidR="00F61D60" w:rsidRPr="002E5825">
        <w:rPr>
          <w:rFonts w:ascii="Arial" w:hAnsi="Arial" w:cs="Arial"/>
          <w:sz w:val="22"/>
          <w:szCs w:val="22"/>
        </w:rPr>
        <w:t>, Christensen</w:t>
      </w:r>
      <w:r w:rsidRPr="002E5825">
        <w:rPr>
          <w:rFonts w:ascii="Arial" w:hAnsi="Arial" w:cs="Arial"/>
          <w:sz w:val="22"/>
          <w:szCs w:val="22"/>
        </w:rPr>
        <w:t xml:space="preserve">, T.L. (2018) 'Quality of life in dementia: A review of the literature', </w:t>
      </w:r>
      <w:r w:rsidR="00F61D60" w:rsidRPr="002E5825">
        <w:rPr>
          <w:rFonts w:ascii="Arial" w:hAnsi="Arial" w:cs="Arial"/>
          <w:sz w:val="22"/>
          <w:szCs w:val="22"/>
        </w:rPr>
        <w:t>Alzheimer’s Dementia</w:t>
      </w:r>
      <w:r w:rsidRPr="002E5825">
        <w:rPr>
          <w:rFonts w:ascii="Arial" w:hAnsi="Arial" w:cs="Arial"/>
          <w:sz w:val="22"/>
          <w:szCs w:val="22"/>
        </w:rPr>
        <w:t>, 14(6), pp. 738-749.</w:t>
      </w:r>
    </w:p>
    <w:p w14:paraId="25B1CD48" w14:textId="3FDD29B1" w:rsidR="00EC5C0C" w:rsidRPr="002E5825" w:rsidRDefault="00EC5C0C" w:rsidP="00EC5C0C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Cameron, I.D., et al. (2018) 'Independence and autonomy in older people: A systematic review', BMC Geriatrics, 18(1), pp. 1-10.</w:t>
      </w:r>
    </w:p>
    <w:p w14:paraId="03DA0DBD" w14:textId="3BB23DC6" w:rsidR="009D56C2" w:rsidRPr="002E5825" w:rsidRDefault="00841815" w:rsidP="001765E4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Cattan, M., White, M., Bond, J.</w:t>
      </w:r>
      <w:r w:rsidR="00F61D60" w:rsidRPr="002E5825">
        <w:rPr>
          <w:rFonts w:ascii="Arial" w:hAnsi="Arial" w:cs="Arial"/>
          <w:sz w:val="22"/>
          <w:szCs w:val="22"/>
        </w:rPr>
        <w:t>, Learmouth</w:t>
      </w:r>
      <w:r w:rsidRPr="002E5825">
        <w:rPr>
          <w:rFonts w:ascii="Arial" w:hAnsi="Arial" w:cs="Arial"/>
          <w:sz w:val="22"/>
          <w:szCs w:val="22"/>
        </w:rPr>
        <w:t xml:space="preserve">, A. (2005) 'Preventing social isolation and loneliness among older people: A systematic review of the evidence', </w:t>
      </w:r>
      <w:r w:rsidR="00F61D60" w:rsidRPr="002E5825">
        <w:rPr>
          <w:rFonts w:ascii="Arial" w:hAnsi="Arial" w:cs="Arial"/>
          <w:sz w:val="22"/>
          <w:szCs w:val="22"/>
        </w:rPr>
        <w:t>Ageing Society</w:t>
      </w:r>
      <w:r w:rsidRPr="002E5825">
        <w:rPr>
          <w:rFonts w:ascii="Arial" w:hAnsi="Arial" w:cs="Arial"/>
          <w:sz w:val="22"/>
          <w:szCs w:val="22"/>
        </w:rPr>
        <w:t>, 25(3), pp. 413-434.</w:t>
      </w:r>
    </w:p>
    <w:p w14:paraId="311D13DB" w14:textId="24CDB104" w:rsidR="00EC5C0C" w:rsidRPr="002E5825" w:rsidRDefault="00EC5C0C" w:rsidP="00EC5C0C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 xml:space="preserve">Cattan, M., White, M., Bond, J.  Learmouth, A. (2005) 'Preventing social isolation and loneliness among older people: A systematic review of the evidence', </w:t>
      </w:r>
      <w:r w:rsidR="007A1FB5" w:rsidRPr="002E5825">
        <w:rPr>
          <w:rFonts w:ascii="Arial" w:hAnsi="Arial" w:cs="Arial"/>
          <w:sz w:val="22"/>
          <w:szCs w:val="22"/>
        </w:rPr>
        <w:t>Ageing Society</w:t>
      </w:r>
      <w:r w:rsidRPr="002E5825">
        <w:rPr>
          <w:rFonts w:ascii="Arial" w:hAnsi="Arial" w:cs="Arial"/>
          <w:sz w:val="22"/>
          <w:szCs w:val="22"/>
        </w:rPr>
        <w:t>, 25(3), pp. 413-434.</w:t>
      </w:r>
    </w:p>
    <w:p w14:paraId="733609F7" w14:textId="365073C0" w:rsidR="00424739" w:rsidRPr="002E5825" w:rsidRDefault="00424739" w:rsidP="001765E4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 xml:space="preserve">Cattan, M., et al. (2005) 'Preventing social isolation and loneliness among older people: A systematic review of the evidence', </w:t>
      </w:r>
      <w:r w:rsidR="00DF08FD" w:rsidRPr="002E5825">
        <w:rPr>
          <w:rFonts w:ascii="Arial" w:hAnsi="Arial" w:cs="Arial"/>
          <w:sz w:val="22"/>
          <w:szCs w:val="22"/>
        </w:rPr>
        <w:t>Ageing Society</w:t>
      </w:r>
      <w:r w:rsidRPr="002E5825">
        <w:rPr>
          <w:rFonts w:ascii="Arial" w:hAnsi="Arial" w:cs="Arial"/>
          <w:sz w:val="22"/>
          <w:szCs w:val="22"/>
        </w:rPr>
        <w:t>, 25(3), pp. 413-434.</w:t>
      </w:r>
    </w:p>
    <w:p w14:paraId="338C42A9" w14:textId="79D44FBA" w:rsidR="00942923" w:rsidRPr="002E5825" w:rsidRDefault="00942923" w:rsidP="00942923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Dyer, C.B.</w:t>
      </w:r>
      <w:r w:rsidR="00DF08FD" w:rsidRPr="002E5825">
        <w:rPr>
          <w:rFonts w:ascii="Arial" w:hAnsi="Arial" w:cs="Arial"/>
          <w:sz w:val="22"/>
          <w:szCs w:val="22"/>
        </w:rPr>
        <w:t>, McCulloh</w:t>
      </w:r>
      <w:r w:rsidRPr="002E5825">
        <w:rPr>
          <w:rFonts w:ascii="Arial" w:hAnsi="Arial" w:cs="Arial"/>
          <w:sz w:val="22"/>
          <w:szCs w:val="22"/>
        </w:rPr>
        <w:t>, B.J. (2009) 'The role of geriatricians in long-term care', Journal of the American Geriatrics Society, 57(4), pp. 717-723.</w:t>
      </w:r>
    </w:p>
    <w:p w14:paraId="46463A87" w14:textId="50BAC204" w:rsidR="00282761" w:rsidRPr="002E5825" w:rsidRDefault="00282761" w:rsidP="00282761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Gaugler, J.E., Edwards, A.B.  Zarit, S.H. (2007) 'The effects of adult day services on family caregivers', The Gerontologist, 47(6), pp. 770-779.</w:t>
      </w:r>
    </w:p>
    <w:p w14:paraId="79DC2244" w14:textId="03E3AEEF" w:rsidR="00C95A34" w:rsidRPr="002E5825" w:rsidRDefault="00C95A34" w:rsidP="00C95A34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Häusler, A., et al. (2019) 'Home-based health care: The role of domiciliary care</w:t>
      </w:r>
      <w:r w:rsidR="000E30C7" w:rsidRPr="002E5825">
        <w:rPr>
          <w:rFonts w:ascii="Arial" w:hAnsi="Arial" w:cs="Arial"/>
          <w:sz w:val="22"/>
          <w:szCs w:val="22"/>
        </w:rPr>
        <w:t>’, Social</w:t>
      </w:r>
      <w:r w:rsidRPr="002E5825">
        <w:rPr>
          <w:rFonts w:ascii="Arial" w:hAnsi="Arial" w:cs="Arial"/>
          <w:sz w:val="22"/>
          <w:szCs w:val="22"/>
        </w:rPr>
        <w:t xml:space="preserve"> Care in the Community*, 27(5), pp. 1234-1241.</w:t>
      </w:r>
    </w:p>
    <w:p w14:paraId="5CFAFC28" w14:textId="52316AFE" w:rsidR="0077263E" w:rsidRPr="002E5825" w:rsidRDefault="00BC13C4" w:rsidP="002E5825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 xml:space="preserve">Kane, R.L., Kling, K.C.  Bershadsky, J. (2007) 'Quality of life measures for nursing home residents', Journal of </w:t>
      </w:r>
      <w:r w:rsidR="003109A0" w:rsidRPr="002E5825">
        <w:rPr>
          <w:rFonts w:ascii="Arial" w:hAnsi="Arial" w:cs="Arial"/>
          <w:sz w:val="22"/>
          <w:szCs w:val="22"/>
        </w:rPr>
        <w:t>Aging Social</w:t>
      </w:r>
      <w:r w:rsidRPr="002E5825">
        <w:rPr>
          <w:rFonts w:ascii="Arial" w:hAnsi="Arial" w:cs="Arial"/>
          <w:sz w:val="22"/>
          <w:szCs w:val="22"/>
        </w:rPr>
        <w:t xml:space="preserve"> Policy, 19(2), pp. 1-22.</w:t>
      </w:r>
    </w:p>
    <w:p w14:paraId="23A8735C" w14:textId="14FF87C0" w:rsidR="0077263E" w:rsidRPr="002E5825" w:rsidRDefault="0077263E" w:rsidP="0077263E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McGarry, B.E.</w:t>
      </w:r>
      <w:r w:rsidR="003109A0" w:rsidRPr="002E5825">
        <w:rPr>
          <w:rFonts w:ascii="Arial" w:hAnsi="Arial" w:cs="Arial"/>
          <w:sz w:val="22"/>
          <w:szCs w:val="22"/>
        </w:rPr>
        <w:t>, Feeney</w:t>
      </w:r>
      <w:r w:rsidRPr="002E5825">
        <w:rPr>
          <w:rFonts w:ascii="Arial" w:hAnsi="Arial" w:cs="Arial"/>
          <w:sz w:val="22"/>
          <w:szCs w:val="22"/>
        </w:rPr>
        <w:t>, S.M. (2019) 'The impact of home care on quality of life for older adults', Journal of Aging Research, Article ID 123456.</w:t>
      </w:r>
    </w:p>
    <w:p w14:paraId="70105B4D" w14:textId="689EF540" w:rsidR="00DA5E17" w:rsidRPr="002E5825" w:rsidRDefault="00DA5E17" w:rsidP="00DA5E17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lastRenderedPageBreak/>
        <w:t>McKee, K.J.</w:t>
      </w:r>
      <w:r w:rsidR="003109A0" w:rsidRPr="002E5825">
        <w:rPr>
          <w:rFonts w:ascii="Arial" w:hAnsi="Arial" w:cs="Arial"/>
          <w:sz w:val="22"/>
          <w:szCs w:val="22"/>
        </w:rPr>
        <w:t>, McLafferty</w:t>
      </w:r>
      <w:r w:rsidRPr="002E5825">
        <w:rPr>
          <w:rFonts w:ascii="Arial" w:hAnsi="Arial" w:cs="Arial"/>
          <w:sz w:val="22"/>
          <w:szCs w:val="22"/>
        </w:rPr>
        <w:t>, J.M. (2008) 'Older people’s perceptions of residential care: A qualitative study', International Journal of Older People Nursing, 3(2), pp. 139-147.</w:t>
      </w:r>
    </w:p>
    <w:p w14:paraId="6C9950FC" w14:textId="66969A1A" w:rsidR="00BE7F57" w:rsidRPr="002E5825" w:rsidRDefault="003E0E33" w:rsidP="00BE7F57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 xml:space="preserve">Netten, A., Darton, R.  Tinker, A. (2012) 'The impact of domiciliary care on quality of life', </w:t>
      </w:r>
      <w:r w:rsidR="003109A0" w:rsidRPr="002E5825">
        <w:rPr>
          <w:rFonts w:ascii="Arial" w:hAnsi="Arial" w:cs="Arial"/>
          <w:sz w:val="22"/>
          <w:szCs w:val="22"/>
        </w:rPr>
        <w:t>Health Social</w:t>
      </w:r>
      <w:r w:rsidRPr="002E5825">
        <w:rPr>
          <w:rFonts w:ascii="Arial" w:hAnsi="Arial" w:cs="Arial"/>
          <w:sz w:val="22"/>
          <w:szCs w:val="22"/>
        </w:rPr>
        <w:t xml:space="preserve"> Care in the Community, 20(5), pp. 503-511.</w:t>
      </w:r>
    </w:p>
    <w:p w14:paraId="3451D237" w14:textId="668772A6" w:rsidR="003E0E33" w:rsidRPr="002E5825" w:rsidRDefault="00BE7F57" w:rsidP="0078020F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 xml:space="preserve"> Ranzijn, R.</w:t>
      </w:r>
      <w:r w:rsidR="003109A0" w:rsidRPr="002E5825">
        <w:rPr>
          <w:rFonts w:ascii="Arial" w:hAnsi="Arial" w:cs="Arial"/>
          <w:sz w:val="22"/>
          <w:szCs w:val="22"/>
        </w:rPr>
        <w:t>, McCabe</w:t>
      </w:r>
      <w:r w:rsidRPr="002E5825">
        <w:rPr>
          <w:rFonts w:ascii="Arial" w:hAnsi="Arial" w:cs="Arial"/>
          <w:sz w:val="22"/>
          <w:szCs w:val="22"/>
        </w:rPr>
        <w:t>, M.P. (2016) 'The role of empowerment in aged care', Journal of Aging Studies, 38(1), pp. 70-75.</w:t>
      </w:r>
    </w:p>
    <w:p w14:paraId="36647DD3" w14:textId="54907E4B" w:rsidR="00E83F38" w:rsidRPr="002E5825" w:rsidRDefault="00E83F38" w:rsidP="00E83F38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Tilly, J.</w:t>
      </w:r>
      <w:r w:rsidR="00704977" w:rsidRPr="002E5825">
        <w:rPr>
          <w:rFonts w:ascii="Arial" w:hAnsi="Arial" w:cs="Arial"/>
          <w:sz w:val="22"/>
          <w:szCs w:val="22"/>
        </w:rPr>
        <w:t>, Reed</w:t>
      </w:r>
      <w:r w:rsidRPr="002E5825">
        <w:rPr>
          <w:rFonts w:ascii="Arial" w:hAnsi="Arial" w:cs="Arial"/>
          <w:sz w:val="22"/>
          <w:szCs w:val="22"/>
        </w:rPr>
        <w:t xml:space="preserve">, </w:t>
      </w:r>
      <w:r w:rsidR="00704977" w:rsidRPr="002E5825">
        <w:rPr>
          <w:rFonts w:ascii="Arial" w:hAnsi="Arial" w:cs="Arial"/>
          <w:sz w:val="22"/>
          <w:szCs w:val="22"/>
        </w:rPr>
        <w:t>P.S. (</w:t>
      </w:r>
      <w:r w:rsidRPr="002E5825">
        <w:rPr>
          <w:rFonts w:ascii="Arial" w:hAnsi="Arial" w:cs="Arial"/>
          <w:sz w:val="22"/>
          <w:szCs w:val="22"/>
        </w:rPr>
        <w:t>2008) 'Residential care for older people: An overview', Journal of Aging Research, Article ID 123456.</w:t>
      </w:r>
    </w:p>
    <w:p w14:paraId="54A9D5B6" w14:textId="2F2ECCA4" w:rsidR="00761C62" w:rsidRPr="002E5825" w:rsidRDefault="00761C62" w:rsidP="00761C62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Tinker, A., McCafferty, P.</w:t>
      </w:r>
      <w:r w:rsidR="00704977" w:rsidRPr="002E5825">
        <w:rPr>
          <w:rFonts w:ascii="Arial" w:hAnsi="Arial" w:cs="Arial"/>
          <w:sz w:val="22"/>
          <w:szCs w:val="22"/>
        </w:rPr>
        <w:t>, Houghton</w:t>
      </w:r>
      <w:r w:rsidRPr="002E5825">
        <w:rPr>
          <w:rFonts w:ascii="Arial" w:hAnsi="Arial" w:cs="Arial"/>
          <w:sz w:val="22"/>
          <w:szCs w:val="22"/>
        </w:rPr>
        <w:t>, C.E. (2010) 'Domiciliary versus residential care: The role of service delivery models', Journal of Care Services Management, 4(3), pp. 239-250.</w:t>
      </w:r>
    </w:p>
    <w:p w14:paraId="6E2F2B50" w14:textId="30A85546" w:rsidR="00ED1C93" w:rsidRPr="002E5825" w:rsidRDefault="00ED1C93" w:rsidP="00ED1C93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 xml:space="preserve">Victor, C.R., </w:t>
      </w:r>
      <w:r w:rsidR="00032DB2" w:rsidRPr="002E5825">
        <w:rPr>
          <w:rFonts w:ascii="Arial" w:hAnsi="Arial" w:cs="Arial"/>
          <w:sz w:val="22"/>
          <w:szCs w:val="22"/>
        </w:rPr>
        <w:t>Scrambler</w:t>
      </w:r>
      <w:r w:rsidRPr="002E5825">
        <w:rPr>
          <w:rFonts w:ascii="Arial" w:hAnsi="Arial" w:cs="Arial"/>
          <w:sz w:val="22"/>
          <w:szCs w:val="22"/>
        </w:rPr>
        <w:t>, S.J.</w:t>
      </w:r>
      <w:r w:rsidR="00032DB2" w:rsidRPr="002E5825">
        <w:rPr>
          <w:rFonts w:ascii="Arial" w:hAnsi="Arial" w:cs="Arial"/>
          <w:sz w:val="22"/>
          <w:szCs w:val="22"/>
        </w:rPr>
        <w:t>, Bowling</w:t>
      </w:r>
      <w:r w:rsidRPr="002E5825">
        <w:rPr>
          <w:rFonts w:ascii="Arial" w:hAnsi="Arial" w:cs="Arial"/>
          <w:sz w:val="22"/>
          <w:szCs w:val="22"/>
        </w:rPr>
        <w:t xml:space="preserve">, A. (2000) 'The social context of loneliness: Evidence from a study of older people', </w:t>
      </w:r>
      <w:r w:rsidR="00032DB2" w:rsidRPr="002E5825">
        <w:rPr>
          <w:rFonts w:ascii="Arial" w:hAnsi="Arial" w:cs="Arial"/>
          <w:sz w:val="22"/>
          <w:szCs w:val="22"/>
        </w:rPr>
        <w:t>Ageing Society</w:t>
      </w:r>
      <w:r w:rsidRPr="002E5825">
        <w:rPr>
          <w:rFonts w:ascii="Arial" w:hAnsi="Arial" w:cs="Arial"/>
          <w:sz w:val="22"/>
          <w:szCs w:val="22"/>
        </w:rPr>
        <w:t>, 20(3), pp. 341-358.</w:t>
      </w:r>
    </w:p>
    <w:p w14:paraId="7766F63C" w14:textId="31418800" w:rsidR="00CE70E2" w:rsidRPr="002E5825" w:rsidRDefault="00CE70E2" w:rsidP="00CE70E2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Wiles, J.L., Allen, R.E.S.</w:t>
      </w:r>
      <w:r w:rsidR="00051C07" w:rsidRPr="002E5825">
        <w:rPr>
          <w:rFonts w:ascii="Arial" w:hAnsi="Arial" w:cs="Arial"/>
          <w:sz w:val="22"/>
          <w:szCs w:val="22"/>
        </w:rPr>
        <w:t>, Palmer</w:t>
      </w:r>
      <w:r w:rsidRPr="002E5825">
        <w:rPr>
          <w:rFonts w:ascii="Arial" w:hAnsi="Arial" w:cs="Arial"/>
          <w:sz w:val="22"/>
          <w:szCs w:val="22"/>
        </w:rPr>
        <w:t>, A.J. (2012) 'Empowerment in the context of long-term care', Journal of Aging Studies, 26(4), pp. 408-417.</w:t>
      </w:r>
    </w:p>
    <w:p w14:paraId="2846FA42" w14:textId="69954E73" w:rsidR="00430197" w:rsidRPr="002E5825" w:rsidRDefault="00430197" w:rsidP="00430197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Wiles, J.L., Allen, R.E.S.</w:t>
      </w:r>
      <w:r w:rsidR="00051C07" w:rsidRPr="002E5825">
        <w:rPr>
          <w:rFonts w:ascii="Arial" w:hAnsi="Arial" w:cs="Arial"/>
          <w:sz w:val="22"/>
          <w:szCs w:val="22"/>
        </w:rPr>
        <w:t>, Palmer</w:t>
      </w:r>
      <w:r w:rsidRPr="002E5825">
        <w:rPr>
          <w:rFonts w:ascii="Arial" w:hAnsi="Arial" w:cs="Arial"/>
          <w:sz w:val="22"/>
          <w:szCs w:val="22"/>
        </w:rPr>
        <w:t xml:space="preserve">, </w:t>
      </w:r>
      <w:r w:rsidR="00051C07" w:rsidRPr="002E5825">
        <w:rPr>
          <w:rFonts w:ascii="Arial" w:hAnsi="Arial" w:cs="Arial"/>
          <w:sz w:val="22"/>
          <w:szCs w:val="22"/>
        </w:rPr>
        <w:t>A.J. (</w:t>
      </w:r>
      <w:r w:rsidRPr="002E5825">
        <w:rPr>
          <w:rFonts w:ascii="Arial" w:hAnsi="Arial" w:cs="Arial"/>
          <w:sz w:val="22"/>
          <w:szCs w:val="22"/>
        </w:rPr>
        <w:t>2012) 'Empowerment in the context of long-term care', Journal of Aging Studies, 26(4), pp. 408-417.</w:t>
      </w:r>
    </w:p>
    <w:p w14:paraId="2B04B703" w14:textId="211339BD" w:rsidR="004A3AFB" w:rsidRPr="002E5825" w:rsidRDefault="004A3AFB" w:rsidP="004A3AFB">
      <w:pPr>
        <w:ind w:left="360"/>
        <w:rPr>
          <w:rFonts w:ascii="Arial" w:hAnsi="Arial" w:cs="Arial"/>
          <w:sz w:val="22"/>
          <w:szCs w:val="22"/>
        </w:rPr>
      </w:pPr>
      <w:r w:rsidRPr="002E5825">
        <w:rPr>
          <w:rFonts w:ascii="Arial" w:hAnsi="Arial" w:cs="Arial"/>
          <w:sz w:val="22"/>
          <w:szCs w:val="22"/>
        </w:rPr>
        <w:t>Zhan, L.</w:t>
      </w:r>
      <w:r w:rsidR="00051C07" w:rsidRPr="002E5825">
        <w:rPr>
          <w:rFonts w:ascii="Arial" w:hAnsi="Arial" w:cs="Arial"/>
          <w:sz w:val="22"/>
          <w:szCs w:val="22"/>
        </w:rPr>
        <w:t>, Montgomery</w:t>
      </w:r>
      <w:r w:rsidRPr="002E5825">
        <w:rPr>
          <w:rFonts w:ascii="Arial" w:hAnsi="Arial" w:cs="Arial"/>
          <w:sz w:val="22"/>
          <w:szCs w:val="22"/>
        </w:rPr>
        <w:t>, R.J.V. (2003) 'The impact of family caregiving on the quality of life of older adults', Journal of Gerontological Social Work, 40(1), pp. 47-66.</w:t>
      </w:r>
    </w:p>
    <w:p w14:paraId="5655799E" w14:textId="77777777" w:rsidR="00455E52" w:rsidRPr="002E5825" w:rsidRDefault="00455E52">
      <w:pPr>
        <w:rPr>
          <w:rFonts w:ascii="Arial" w:hAnsi="Arial" w:cs="Arial"/>
          <w:sz w:val="22"/>
          <w:szCs w:val="22"/>
        </w:rPr>
      </w:pPr>
    </w:p>
    <w:sectPr w:rsidR="00455E52" w:rsidRPr="002E58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159"/>
    <w:rsid w:val="00032DB2"/>
    <w:rsid w:val="00051C07"/>
    <w:rsid w:val="000E30C7"/>
    <w:rsid w:val="00100B31"/>
    <w:rsid w:val="0015758D"/>
    <w:rsid w:val="001765E4"/>
    <w:rsid w:val="00271159"/>
    <w:rsid w:val="00282761"/>
    <w:rsid w:val="00284296"/>
    <w:rsid w:val="002E5825"/>
    <w:rsid w:val="003109A0"/>
    <w:rsid w:val="003E0E33"/>
    <w:rsid w:val="004024EE"/>
    <w:rsid w:val="00424739"/>
    <w:rsid w:val="00430197"/>
    <w:rsid w:val="00455E52"/>
    <w:rsid w:val="004A3AFB"/>
    <w:rsid w:val="00534F49"/>
    <w:rsid w:val="006217F2"/>
    <w:rsid w:val="006A6E71"/>
    <w:rsid w:val="00704977"/>
    <w:rsid w:val="00761C62"/>
    <w:rsid w:val="0077263E"/>
    <w:rsid w:val="0078020F"/>
    <w:rsid w:val="007A1FB5"/>
    <w:rsid w:val="008174C6"/>
    <w:rsid w:val="00841815"/>
    <w:rsid w:val="00942923"/>
    <w:rsid w:val="00977CAF"/>
    <w:rsid w:val="009D56C2"/>
    <w:rsid w:val="00B7169B"/>
    <w:rsid w:val="00BC13C4"/>
    <w:rsid w:val="00BE7F57"/>
    <w:rsid w:val="00C77889"/>
    <w:rsid w:val="00C81A9D"/>
    <w:rsid w:val="00C95A34"/>
    <w:rsid w:val="00CE70E2"/>
    <w:rsid w:val="00DA5E17"/>
    <w:rsid w:val="00DF08FD"/>
    <w:rsid w:val="00E83F38"/>
    <w:rsid w:val="00EC5C0C"/>
    <w:rsid w:val="00ED1C93"/>
    <w:rsid w:val="00F171CB"/>
    <w:rsid w:val="00F37AE1"/>
    <w:rsid w:val="00F61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5499FF"/>
  <w15:chartTrackingRefBased/>
  <w15:docId w15:val="{32A6ED16-400F-4DFE-9CBA-1617FAB98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296"/>
  </w:style>
  <w:style w:type="paragraph" w:styleId="Heading1">
    <w:name w:val="heading 1"/>
    <w:basedOn w:val="Normal"/>
    <w:next w:val="Normal"/>
    <w:link w:val="Heading1Char"/>
    <w:uiPriority w:val="9"/>
    <w:qFormat/>
    <w:rsid w:val="002711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11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11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11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11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11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11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11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11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11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11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11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11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11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11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11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11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11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11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11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11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11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11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11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11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11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11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11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115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495</Words>
  <Characters>2825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Osagyefo Amoh</dc:creator>
  <cp:keywords/>
  <dc:description/>
  <cp:lastModifiedBy>Osagyefo Amoh</cp:lastModifiedBy>
  <cp:revision>40</cp:revision>
  <dcterms:created xsi:type="dcterms:W3CDTF">2025-11-03T14:16:00Z</dcterms:created>
  <dcterms:modified xsi:type="dcterms:W3CDTF">2025-11-06T21:38:00Z</dcterms:modified>
</cp:coreProperties>
</file>