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A62D5C" w14:textId="43CE1376" w:rsidR="00A3174D" w:rsidRDefault="00A3174D" w:rsidP="00171606">
      <w:pPr>
        <w:pStyle w:val="Heading1"/>
        <w:jc w:val="center"/>
      </w:pPr>
      <w:r>
        <w:t>Dylan samuel</w:t>
      </w:r>
    </w:p>
    <w:p w14:paraId="3278B50D" w14:textId="53CD666A" w:rsidR="00A3174D" w:rsidRDefault="00A3174D" w:rsidP="00171606">
      <w:pPr>
        <w:pStyle w:val="Heading1"/>
        <w:jc w:val="center"/>
      </w:pPr>
      <w:r>
        <w:t>2119913</w:t>
      </w:r>
    </w:p>
    <w:p w14:paraId="06E7FA47" w14:textId="4BF3F35B" w:rsidR="00171606" w:rsidRDefault="00171606" w:rsidP="00171606">
      <w:pPr>
        <w:pStyle w:val="Heading1"/>
        <w:jc w:val="center"/>
      </w:pPr>
      <w:r>
        <w:t>Site management</w:t>
      </w:r>
      <w:r w:rsidR="00FE75A2">
        <w:t xml:space="preserve">  </w:t>
      </w:r>
    </w:p>
    <w:p w14:paraId="60AA5291" w14:textId="0D814DC6" w:rsidR="00C902ED" w:rsidRDefault="00C902ED"/>
    <w:p w14:paraId="34915004" w14:textId="77777777" w:rsidR="00C902ED" w:rsidRDefault="00C902ED">
      <w:r>
        <w:br w:type="page"/>
      </w:r>
    </w:p>
    <w:p w14:paraId="478838A3" w14:textId="2CF979F8" w:rsidR="00EF0409" w:rsidRPr="00EF0409" w:rsidRDefault="00EF0409" w:rsidP="00A006E7">
      <w:pPr>
        <w:pStyle w:val="Heading2"/>
        <w:rPr>
          <w:noProof/>
        </w:rPr>
      </w:pPr>
      <w:r w:rsidRPr="00EF0409">
        <w:rPr>
          <w:noProof/>
        </w:rPr>
        <w:lastRenderedPageBreak/>
        <w:t xml:space="preserve">Site layout plan </w:t>
      </w:r>
    </w:p>
    <w:p w14:paraId="2F38376F" w14:textId="4FF19F47" w:rsidR="00EF0409" w:rsidRDefault="00C902ED">
      <w:r>
        <w:rPr>
          <w:noProof/>
        </w:rPr>
        <w:drawing>
          <wp:inline distT="0" distB="0" distL="0" distR="0" wp14:anchorId="366A1EEC" wp14:editId="313E1E07">
            <wp:extent cx="5692140" cy="3110411"/>
            <wp:effectExtent l="0" t="0" r="3810" b="0"/>
            <wp:docPr id="1905608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608046" name="Picture 1905608046"/>
                    <pic:cNvPicPr/>
                  </pic:nvPicPr>
                  <pic:blipFill rotWithShape="1">
                    <a:blip r:embed="rId5" cstate="print">
                      <a:extLst>
                        <a:ext uri="{28A0092B-C50C-407E-A947-70E740481C1C}">
                          <a14:useLocalDpi xmlns:a14="http://schemas.microsoft.com/office/drawing/2010/main" val="0"/>
                        </a:ext>
                      </a:extLst>
                    </a:blip>
                    <a:srcRect l="7445" t="16133" r="6670" b="16069"/>
                    <a:stretch>
                      <a:fillRect/>
                    </a:stretch>
                  </pic:blipFill>
                  <pic:spPr bwMode="auto">
                    <a:xfrm>
                      <a:off x="0" y="0"/>
                      <a:ext cx="5700696" cy="3115086"/>
                    </a:xfrm>
                    <a:prstGeom prst="rect">
                      <a:avLst/>
                    </a:prstGeom>
                    <a:ln>
                      <a:noFill/>
                    </a:ln>
                    <a:extLst>
                      <a:ext uri="{53640926-AAD7-44D8-BBD7-CCE9431645EC}">
                        <a14:shadowObscured xmlns:a14="http://schemas.microsoft.com/office/drawing/2010/main"/>
                      </a:ext>
                    </a:extLst>
                  </pic:spPr>
                </pic:pic>
              </a:graphicData>
            </a:graphic>
          </wp:inline>
        </w:drawing>
      </w:r>
    </w:p>
    <w:p w14:paraId="6DEA463A" w14:textId="77777777" w:rsidR="00EF0409" w:rsidRDefault="00EF0409"/>
    <w:p w14:paraId="78E63734" w14:textId="70D55970" w:rsidR="001539AC" w:rsidRPr="001539AC" w:rsidRDefault="001539AC" w:rsidP="001539AC">
      <w:r>
        <w:t>This</w:t>
      </w:r>
      <w:r w:rsidRPr="001539AC">
        <w:t xml:space="preserve"> traffic management plan has been carefully developed to provide a safe, efficient, and legally compliant system for managing vehicle and pedestrian movements within the construction site. It reflects industry best practice and aligns with the requirements of the</w:t>
      </w:r>
      <w:r>
        <w:t xml:space="preserve"> </w:t>
      </w:r>
      <w:r w:rsidRPr="001539AC">
        <w:t>HSE, particularly guidance such as the Construction (Design and Management) Regulations 2015 (CDM 2015).</w:t>
      </w:r>
      <w:r w:rsidR="0071550D" w:rsidRPr="0071550D">
        <w:t xml:space="preserve"> </w:t>
      </w:r>
      <w:r w:rsidR="0071550D" w:rsidRPr="0071550D">
        <w:rPr>
          <w:i/>
          <w:iCs/>
        </w:rPr>
        <w:t>(HSE, 2015)</w:t>
      </w:r>
    </w:p>
    <w:p w14:paraId="32E0CAE4" w14:textId="79C8FAF4" w:rsidR="001539AC" w:rsidRPr="001539AC" w:rsidRDefault="001539AC" w:rsidP="001539AC"/>
    <w:p w14:paraId="74D45030" w14:textId="77777777" w:rsidR="001539AC" w:rsidRPr="001539AC" w:rsidRDefault="001539AC" w:rsidP="00A006E7">
      <w:pPr>
        <w:pStyle w:val="Heading3"/>
      </w:pPr>
      <w:r w:rsidRPr="001539AC">
        <w:t>1. Safe Traffic Flow and One-Way System</w:t>
      </w:r>
    </w:p>
    <w:p w14:paraId="10152698" w14:textId="77777777" w:rsidR="001539AC" w:rsidRPr="001539AC" w:rsidRDefault="001539AC" w:rsidP="001539AC">
      <w:r w:rsidRPr="001539AC">
        <w:t>A one-way traffic system has been implemented throughout the site compound to eliminate unnecessary reversing and conflicting vehicle movements. Reversing is recognised by the HSE as a major cause of fatal accidents involving workplace transport. By designing a continuous loop system:</w:t>
      </w:r>
    </w:p>
    <w:p w14:paraId="16765117" w14:textId="241ABFD5" w:rsidR="001539AC" w:rsidRPr="001539AC" w:rsidRDefault="001539AC" w:rsidP="001539AC">
      <w:pPr>
        <w:numPr>
          <w:ilvl w:val="0"/>
          <w:numId w:val="1"/>
        </w:numPr>
      </w:pPr>
      <w:r w:rsidRPr="001539AC">
        <w:t xml:space="preserve">Vehicles can enter, </w:t>
      </w:r>
      <w:r>
        <w:t>offload</w:t>
      </w:r>
      <w:r w:rsidRPr="001539AC">
        <w:t xml:space="preserve">, and exit without turning in confined areas </w:t>
      </w:r>
    </w:p>
    <w:p w14:paraId="541197DA" w14:textId="2D30C3E2" w:rsidR="001539AC" w:rsidRPr="001539AC" w:rsidRDefault="001539AC" w:rsidP="00D07241">
      <w:pPr>
        <w:numPr>
          <w:ilvl w:val="0"/>
          <w:numId w:val="1"/>
        </w:numPr>
      </w:pPr>
      <w:r w:rsidRPr="001539AC">
        <w:t xml:space="preserve">The risk of collisions between vehicles is significantly reduced </w:t>
      </w:r>
    </w:p>
    <w:p w14:paraId="13C37F59" w14:textId="68CBD341" w:rsidR="001539AC" w:rsidRPr="001539AC" w:rsidRDefault="001539AC" w:rsidP="001539AC"/>
    <w:p w14:paraId="4DF93F51" w14:textId="77777777" w:rsidR="001539AC" w:rsidRPr="001539AC" w:rsidRDefault="001539AC" w:rsidP="00A006E7">
      <w:pPr>
        <w:pStyle w:val="Heading3"/>
      </w:pPr>
      <w:r w:rsidRPr="001539AC">
        <w:t>2. Controlled Site Access and Egress</w:t>
      </w:r>
    </w:p>
    <w:p w14:paraId="1EFBDCD7" w14:textId="3233047E" w:rsidR="0071550D" w:rsidRPr="0071550D" w:rsidRDefault="00621413" w:rsidP="001539AC">
      <w:pPr>
        <w:rPr>
          <w:i/>
          <w:iCs/>
        </w:rPr>
      </w:pPr>
      <w:r w:rsidRPr="00621413">
        <w:t xml:space="preserve">The main site entrance has been strategically positioned to connect safely with the existing road network, ensuring minimal disruption to surrounding public traffic. The layout provides clear visibility for vehicles entering and exiting the site, allowing drivers to manoeuvre safely and make informed decisions when joining or leaving the road. In </w:t>
      </w:r>
      <w:r w:rsidRPr="00621413">
        <w:lastRenderedPageBreak/>
        <w:t>addition, the design helps to reduce queuing on public roads, which minimises congestion and lowers the risk of traffic-related incidents outside the site boundary. By controlling how vehicles access and exit the site, the likelihood of interaction between construction traffic and pedestrians in the surrounding area is significantly reduced. This approach supports compliance with the Construction (Design and Management) Regulations 2015, which require duty holders to ensure that construction activities do not pose risks to both site workers and members of the public.</w:t>
      </w:r>
      <w:r w:rsidR="0071550D" w:rsidRPr="0071550D">
        <w:t xml:space="preserve"> </w:t>
      </w:r>
      <w:r w:rsidR="0071550D" w:rsidRPr="0071550D">
        <w:t>Furthermore, it aligns with the Health and Safety at Work etc. Act 1974, which places a duty on employers to ensure, so far as is reasonably practicable, the health, safety, and welfare of employees and others who may be affected by their operations. (HSE, 2015)</w:t>
      </w:r>
    </w:p>
    <w:p w14:paraId="1ED49365" w14:textId="77777777" w:rsidR="001539AC" w:rsidRPr="001539AC" w:rsidRDefault="001539AC" w:rsidP="00A006E7">
      <w:pPr>
        <w:pStyle w:val="Heading3"/>
      </w:pPr>
      <w:r w:rsidRPr="001539AC">
        <w:t>3. Strategic Layout of Site Facilities</w:t>
      </w:r>
    </w:p>
    <w:p w14:paraId="5C2752AC" w14:textId="14610A5C" w:rsidR="001539AC" w:rsidRDefault="001539AC" w:rsidP="001539AC">
      <w:r w:rsidRPr="001539AC">
        <w:t>The positioning of key site elements has been carefully planned to minimise internal traffic movements and reduce risk exposure</w:t>
      </w:r>
      <w:r w:rsidR="006B5D36">
        <w:t xml:space="preserve"> to workers on site. </w:t>
      </w:r>
    </w:p>
    <w:p w14:paraId="17D0D321" w14:textId="1FFB40CC" w:rsidR="006B5D36" w:rsidRDefault="006B5D36" w:rsidP="001539AC">
      <w:r>
        <w:t xml:space="preserve">All materials and skips are close by and easily accessible from both ends of the area. This keeps a divide between the workers on site and any traffic that may need access the material storage area as best as possible. </w:t>
      </w:r>
    </w:p>
    <w:p w14:paraId="1999B26A" w14:textId="7B211553" w:rsidR="00B35CC8" w:rsidRPr="001539AC" w:rsidRDefault="00B35CC8" w:rsidP="001539AC">
      <w:r>
        <w:t xml:space="preserve">Site office and welfare are placed at the entry point of the site to ensure that workers </w:t>
      </w:r>
      <w:proofErr w:type="gramStart"/>
      <w:r>
        <w:t>are able to</w:t>
      </w:r>
      <w:proofErr w:type="gramEnd"/>
      <w:r>
        <w:t xml:space="preserve"> access PPE and sign in everyday before entering site further. </w:t>
      </w:r>
      <w:r w:rsidR="00C40180">
        <w:t xml:space="preserve">This allows for full control of workers on site ensuring there is no excuse for unknown access on site. This is important, particularly in the event of a fire. </w:t>
      </w:r>
    </w:p>
    <w:p w14:paraId="277A2C1D" w14:textId="46B106FD" w:rsidR="001539AC" w:rsidRPr="001539AC" w:rsidRDefault="001539AC" w:rsidP="001539AC"/>
    <w:p w14:paraId="14FB1D85" w14:textId="77777777" w:rsidR="001539AC" w:rsidRDefault="001539AC" w:rsidP="00A006E7">
      <w:pPr>
        <w:pStyle w:val="Heading3"/>
      </w:pPr>
      <w:r w:rsidRPr="001539AC">
        <w:t>4. Pedestrian and Vehicle Segregation</w:t>
      </w:r>
    </w:p>
    <w:p w14:paraId="5E347D50" w14:textId="2DA2F479" w:rsidR="00396AE7" w:rsidRPr="001539AC" w:rsidRDefault="00396AE7" w:rsidP="001539AC">
      <w:r w:rsidRPr="00396AE7">
        <w:t>A key principle of the traffic management plan is the segregation of pedestrians and vehicles, which is widely recognised as one of the most effective methods of preventing accidents on construction sites. This is achieved by separating pedestrian walkways from vehicle routes wherever practicable, thereby reducing the likelihood of contact between people and moving plant. In addition, welfare facilities and site offices have been positioned away from high-traffic and plant movement zones to limit unnecessary exposure of personnel to potential hazards. The design also aims to reduce the number of crossing points between pedestrians and vehicles, further minimising risk. In situations where interaction cannot be eliminated, the layout ensures that it is carefully controlled and kept to a minimum, reducing reliance on behavioural safety measures alone and instead prioritising safer site design.</w:t>
      </w:r>
    </w:p>
    <w:p w14:paraId="20C0F64B" w14:textId="1065E038" w:rsidR="001539AC" w:rsidRPr="001539AC" w:rsidRDefault="001539AC" w:rsidP="001539AC"/>
    <w:p w14:paraId="25B54E59" w14:textId="77777777" w:rsidR="001539AC" w:rsidRDefault="001539AC" w:rsidP="00A006E7">
      <w:pPr>
        <w:pStyle w:val="Heading3"/>
      </w:pPr>
      <w:r w:rsidRPr="001539AC">
        <w:lastRenderedPageBreak/>
        <w:t>5. Risk Reduction and Accident Prevention</w:t>
      </w:r>
    </w:p>
    <w:p w14:paraId="7EA52346" w14:textId="1D5D0172" w:rsidR="00015403" w:rsidRPr="001539AC" w:rsidRDefault="00015403" w:rsidP="001539AC">
      <w:r w:rsidRPr="00015403">
        <w:t>The layout has been developed using a risk-based approach, which identifies and addresses common hazards associated with construction traffic, such as vehicle collisions, struck-by incidents involving pedestrians, reversing accidents, and issues arising from congestion and restricted visibility. To mitigate these risks, a range of control measures have been embedded into the design. These include the implementation of a one-way traffic system to eliminate the need for reversing, the provision of open turning areas to improve driver visibility, and the creation of a logical flow of vehicles to prevent crossing paths. Additionally, travel distances within the site have been reduced to limit the amount of time workers and plant are exposed to potential hazards. Together, these measures align with the general principles of prevention outlined in the Construction (Design and Management) Regulations 2015, which emphasise the importance of eliminating and reducing risks at the planning and design stage rather than relying solely on control measures during construction.</w:t>
      </w:r>
    </w:p>
    <w:p w14:paraId="4D301CA2" w14:textId="140D4656" w:rsidR="001539AC" w:rsidRPr="001539AC" w:rsidRDefault="001539AC" w:rsidP="001539AC"/>
    <w:p w14:paraId="49C75BC0" w14:textId="77777777" w:rsidR="001539AC" w:rsidRPr="001539AC" w:rsidRDefault="001539AC" w:rsidP="00A006E7">
      <w:pPr>
        <w:pStyle w:val="Heading3"/>
      </w:pPr>
      <w:r w:rsidRPr="001539AC">
        <w:t>6. Environmental and Community Considerations</w:t>
      </w:r>
    </w:p>
    <w:p w14:paraId="72D3A186" w14:textId="5B0D5CF8" w:rsidR="001539AC" w:rsidRPr="001539AC" w:rsidRDefault="001D15F1" w:rsidP="001539AC">
      <w:r w:rsidRPr="001D15F1">
        <w:t>The traffic management plan has also been developed with consideration for its impact on the surrounding environment and local community. Vehicle routes within the site are carefully designed to minimise disruption to nearby roads and businesses, helping to maintain normal traffic flow and reduce inconvenience to the public. In addition, reduced internal travel distances contribute to lower fuel consumption and decreased vehicle emissions, supporting more sustainable construction practices. Controlled access points further help to limit noise levels and prevent congestion at the site boundary, improving overall site-neighbour relations. Collectively, these measures demonstrate a clear commitment to sustainable development and responsible site management.</w:t>
      </w:r>
    </w:p>
    <w:p w14:paraId="3BE87CAE" w14:textId="0703C3CD" w:rsidR="001539AC" w:rsidRPr="001539AC" w:rsidRDefault="001539AC" w:rsidP="001539AC"/>
    <w:p w14:paraId="6103E15F" w14:textId="77777777" w:rsidR="001539AC" w:rsidRDefault="001539AC" w:rsidP="00A006E7">
      <w:pPr>
        <w:pStyle w:val="Heading3"/>
      </w:pPr>
      <w:r w:rsidRPr="001539AC">
        <w:t>7. Operational Efficiency and Productivity</w:t>
      </w:r>
    </w:p>
    <w:p w14:paraId="77BBC8AD" w14:textId="77777777" w:rsidR="001D15F1" w:rsidRPr="001D15F1" w:rsidRDefault="001D15F1" w:rsidP="001D15F1">
      <w:r w:rsidRPr="001D15F1">
        <w:t>In addition to its safety benefits, the traffic management plan also enhances overall site efficiency by streamlining delivery and material handling processes. The logical layout allows vehicles to move smoothly through the site, reducing delays that are often caused by congestion or poorly planned routes. This improved flow of traffic enables better coordination between different construction activities, ensuring that materials, plant, and labour are available where and when they are needed. As a result, the site operates more effectively, supporting overall project performance by minimising time delays and reducing unnecessary costs.</w:t>
      </w:r>
    </w:p>
    <w:p w14:paraId="551AE479" w14:textId="77777777" w:rsidR="001D15F1" w:rsidRPr="001539AC" w:rsidRDefault="001D15F1" w:rsidP="001539AC">
      <w:pPr>
        <w:rPr>
          <w:b/>
          <w:bCs/>
        </w:rPr>
      </w:pPr>
    </w:p>
    <w:p w14:paraId="350109E9" w14:textId="5BC3D29C" w:rsidR="001539AC" w:rsidRPr="001539AC" w:rsidRDefault="001539AC" w:rsidP="00A006E7">
      <w:pPr>
        <w:pStyle w:val="Heading3"/>
      </w:pPr>
    </w:p>
    <w:p w14:paraId="03E60225" w14:textId="77777777" w:rsidR="001539AC" w:rsidRDefault="001539AC" w:rsidP="00A006E7">
      <w:pPr>
        <w:pStyle w:val="Heading3"/>
        <w:rPr>
          <w:b/>
          <w:bCs/>
        </w:rPr>
      </w:pPr>
      <w:r w:rsidRPr="001539AC">
        <w:rPr>
          <w:b/>
          <w:bCs/>
        </w:rPr>
        <w:t>8. Compliance with Industry Best Practice</w:t>
      </w:r>
    </w:p>
    <w:p w14:paraId="19956C21" w14:textId="77777777" w:rsidR="00333B10" w:rsidRPr="00333B10" w:rsidRDefault="00333B10" w:rsidP="00333B10">
      <w:r w:rsidRPr="00333B10">
        <w:t>This traffic management plan reflects established guidance and regulatory requirements, including that set out by the Health and Safety Executive in HSG136 – Workplace Transport Safety, as well as the Construction (Design and Management) Regulations 2015. It also incorporates wider industry best practice in construction logistics and site planning to ensure a structured and effective approach. By integrating these standards into the overall design, the plan not only ensures that all relevant legal duties are met, but also promotes a proactive safety culture on site, where risks are anticipated and controlled at the earliest possible stage.</w:t>
      </w:r>
    </w:p>
    <w:p w14:paraId="17EB9E85" w14:textId="518C6F14" w:rsidR="001539AC" w:rsidRPr="001539AC" w:rsidRDefault="001539AC" w:rsidP="001539AC"/>
    <w:p w14:paraId="4C66C79A" w14:textId="659A1A09" w:rsidR="001539AC" w:rsidRDefault="00A006E7" w:rsidP="00A006E7">
      <w:pPr>
        <w:pStyle w:val="Heading2"/>
      </w:pPr>
      <w:r>
        <w:rPr>
          <w:noProof/>
        </w:rPr>
        <w:drawing>
          <wp:anchor distT="0" distB="0" distL="114300" distR="114300" simplePos="0" relativeHeight="251658240" behindDoc="0" locked="0" layoutInCell="1" allowOverlap="1" wp14:anchorId="7B7BCFC3" wp14:editId="51ABE90E">
            <wp:simplePos x="0" y="0"/>
            <wp:positionH relativeFrom="margin">
              <wp:align>center</wp:align>
            </wp:positionH>
            <wp:positionV relativeFrom="paragraph">
              <wp:posOffset>678255</wp:posOffset>
            </wp:positionV>
            <wp:extent cx="7145020" cy="1612265"/>
            <wp:effectExtent l="0" t="0" r="0" b="6985"/>
            <wp:wrapSquare wrapText="bothSides"/>
            <wp:docPr id="1527985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985664" name=""/>
                    <pic:cNvPicPr/>
                  </pic:nvPicPr>
                  <pic:blipFill rotWithShape="1">
                    <a:blip r:embed="rId6">
                      <a:extLst>
                        <a:ext uri="{28A0092B-C50C-407E-A947-70E740481C1C}">
                          <a14:useLocalDpi xmlns:a14="http://schemas.microsoft.com/office/drawing/2010/main" val="0"/>
                        </a:ext>
                      </a:extLst>
                    </a:blip>
                    <a:srcRect l="3015" t="9719" r="13292" b="74316"/>
                    <a:stretch>
                      <a:fillRect/>
                    </a:stretch>
                  </pic:blipFill>
                  <pic:spPr bwMode="auto">
                    <a:xfrm>
                      <a:off x="0" y="0"/>
                      <a:ext cx="7145020" cy="1612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Risk register </w:t>
      </w:r>
    </w:p>
    <w:p w14:paraId="5FC6196C" w14:textId="77777777" w:rsidR="00A006E7" w:rsidRPr="00A006E7" w:rsidRDefault="00A006E7" w:rsidP="00A006E7"/>
    <w:p w14:paraId="5E131A7C" w14:textId="77777777" w:rsidR="00A006E7" w:rsidRPr="00A006E7" w:rsidRDefault="00A006E7" w:rsidP="00A006E7"/>
    <w:p w14:paraId="4D68A727" w14:textId="77777777" w:rsidR="00A006E7" w:rsidRDefault="00A006E7" w:rsidP="00A006E7">
      <w:pPr>
        <w:pStyle w:val="Heading2"/>
      </w:pPr>
      <w:r>
        <w:t>Risk Register Summary</w:t>
      </w:r>
    </w:p>
    <w:p w14:paraId="42E15F54" w14:textId="77777777" w:rsidR="00A006E7" w:rsidRDefault="00A006E7" w:rsidP="00A006E7"/>
    <w:p w14:paraId="5B130363" w14:textId="235694BA" w:rsidR="00A006E7" w:rsidRDefault="00A006E7" w:rsidP="00A006E7">
      <w:r>
        <w:t xml:space="preserve">The construction stage risk register for the development at Tontine Street, Waun Wen, Swansea identifies and assesses the key health, safety, and environmental risks associated with the project. The assessment highlights that the most significant hazards arise from typical high-risk construction activities, including site traffic and plant movement, working at height, lifting </w:t>
      </w:r>
      <w:r w:rsidR="008E2639">
        <w:t xml:space="preserve">  </w:t>
      </w:r>
      <w:r>
        <w:t>operations, excavations, and exposure to dust and hazardous substances.</w:t>
      </w:r>
    </w:p>
    <w:p w14:paraId="0375E00F" w14:textId="77777777" w:rsidR="00A006E7" w:rsidRDefault="00A006E7" w:rsidP="00A006E7"/>
    <w:p w14:paraId="5C2152EC" w14:textId="77777777" w:rsidR="00A006E7" w:rsidRDefault="00A006E7" w:rsidP="00A006E7">
      <w:r>
        <w:t xml:space="preserve">Initial risk ratings indicate that several activities fall within the medium-risk category, primarily due to the potential for serious injury if not properly controlled. These risks are effectively mitigated through the implementation of robust control measures, including engineered solutions such as one-way traffic systems, scaffolding and edge protection, and procedural controls such as permit-to-work systems, supervision, and training. As </w:t>
      </w:r>
      <w:r>
        <w:lastRenderedPageBreak/>
        <w:t xml:space="preserve">a result, </w:t>
      </w:r>
      <w:proofErr w:type="gramStart"/>
      <w:r>
        <w:t>the majority of</w:t>
      </w:r>
      <w:proofErr w:type="gramEnd"/>
      <w:r>
        <w:t xml:space="preserve"> risks are reduced to low residual levels, demonstrating that appropriate mitigation strategies have been applied.</w:t>
      </w:r>
    </w:p>
    <w:p w14:paraId="05771FC6" w14:textId="77777777" w:rsidR="00A006E7" w:rsidRDefault="00A006E7" w:rsidP="00A006E7"/>
    <w:p w14:paraId="460AA1F5" w14:textId="77777777" w:rsidR="00A006E7" w:rsidRDefault="00A006E7" w:rsidP="00A006E7">
      <w:r>
        <w:t>The register also considers risks to both site workers and members of the public, particularly in relation to site access, vehicle movements, and site boundaries. Measures such as secure hoarding, controlled access points, and clear segregation between pedestrians and vehicles ensure that risks beyond the site are minimised.</w:t>
      </w:r>
    </w:p>
    <w:p w14:paraId="20F4023B" w14:textId="77777777" w:rsidR="00A006E7" w:rsidRDefault="00A006E7" w:rsidP="00A006E7"/>
    <w:p w14:paraId="6E659AED" w14:textId="4C065D30" w:rsidR="00A006E7" w:rsidRPr="00A006E7" w:rsidRDefault="00A006E7" w:rsidP="00A006E7">
      <w:r>
        <w:t>Overall, the risk register demonstrates a structured and proactive approach to risk management in line with the Construction (Design and Management) Regulations 2015. It applies the hierarchy of control by prioritising the elimination and reduction of hazards at the planning stage, supported by safe systems of work and appropriate use of personal protective equipment. The register will be reviewed and updated throughout the construction phase to ensure it remains relevant and continues to support a safe working environment.</w:t>
      </w:r>
    </w:p>
    <w:p w14:paraId="436F74D3" w14:textId="77777777" w:rsidR="00A006E7" w:rsidRPr="00A006E7" w:rsidRDefault="00A006E7" w:rsidP="00A006E7"/>
    <w:p w14:paraId="5A1B0C82" w14:textId="7CA02201" w:rsidR="00A006E7" w:rsidRPr="00A006E7" w:rsidRDefault="00B14D60" w:rsidP="00B14D60">
      <w:pPr>
        <w:pStyle w:val="Heading3"/>
      </w:pPr>
      <w:r>
        <w:t xml:space="preserve">Traffic management plan </w:t>
      </w:r>
    </w:p>
    <w:p w14:paraId="6C961594" w14:textId="0DD0BE92" w:rsidR="00A006E7" w:rsidRDefault="00B14D60" w:rsidP="00A006E7">
      <w:pPr>
        <w:rPr>
          <w:noProof/>
        </w:rPr>
      </w:pPr>
      <w:r>
        <w:rPr>
          <w:noProof/>
        </w:rPr>
        <w:drawing>
          <wp:inline distT="0" distB="0" distL="0" distR="0" wp14:anchorId="1C2BAD06" wp14:editId="32245A16">
            <wp:extent cx="5731510" cy="3967480"/>
            <wp:effectExtent l="0" t="0" r="2540" b="0"/>
            <wp:docPr id="957076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076467" name="Picture 957076467"/>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967480"/>
                    </a:xfrm>
                    <a:prstGeom prst="rect">
                      <a:avLst/>
                    </a:prstGeom>
                  </pic:spPr>
                </pic:pic>
              </a:graphicData>
            </a:graphic>
          </wp:inline>
        </w:drawing>
      </w:r>
    </w:p>
    <w:p w14:paraId="2CF09D03" w14:textId="77777777" w:rsidR="00B14D60" w:rsidRDefault="00B14D60" w:rsidP="00B14D60">
      <w:pPr>
        <w:rPr>
          <w:noProof/>
        </w:rPr>
      </w:pPr>
    </w:p>
    <w:p w14:paraId="0656EE68" w14:textId="77777777" w:rsidR="00B14D60" w:rsidRDefault="00B14D60" w:rsidP="00B14D60"/>
    <w:p w14:paraId="5EBA54B6" w14:textId="77777777" w:rsidR="00B14D60" w:rsidRDefault="00B14D60" w:rsidP="00B14D60"/>
    <w:p w14:paraId="0B668BE4" w14:textId="77777777" w:rsidR="00B14D60" w:rsidRDefault="00B14D60" w:rsidP="00B14D60"/>
    <w:p w14:paraId="2E6DE9AD" w14:textId="2D50AF6C" w:rsidR="00B14D60" w:rsidRDefault="00B14D60" w:rsidP="00B14D60">
      <w:pPr>
        <w:pStyle w:val="Heading3"/>
      </w:pPr>
      <w:r>
        <w:t>Traffic Management Plan Summary</w:t>
      </w:r>
    </w:p>
    <w:p w14:paraId="49AA5DD3" w14:textId="77777777" w:rsidR="00B14D60" w:rsidRDefault="00B14D60" w:rsidP="00B14D60"/>
    <w:p w14:paraId="27DE4889" w14:textId="77777777" w:rsidR="00B14D60" w:rsidRDefault="00B14D60" w:rsidP="00B14D60">
      <w:r>
        <w:t>The traffic management plan for the construction site at Tontine Street, Waun Wen, Swansea has been designed to ensure the safe, efficient, and controlled movement of vehicles both within the site and on the surrounding road network. The plan clearly distinguishes between primary (main) delivery routes and secondary (smaller delivery) routes, improving organisation and reducing the risk of congestion and accidents.</w:t>
      </w:r>
    </w:p>
    <w:p w14:paraId="1591844B" w14:textId="77777777" w:rsidR="00B14D60" w:rsidRDefault="00B14D60" w:rsidP="00B14D60"/>
    <w:p w14:paraId="0A8CE088" w14:textId="77777777" w:rsidR="00B14D60" w:rsidRDefault="00B14D60" w:rsidP="00B14D60">
      <w:r>
        <w:t>The main delivery route, indicated by the black arrows, is designated for larger vehicles such as HGVs and bulk material deliveries. These vehicles access the site via the main entrance and follow a one-way system through the site compound, allowing them to circulate safely without the need for reversing. This route provides direct access to key operational areas, particularly the centrally located material storage zone, ensuring efficient unloading while minimising disruption to other site activities. The one-way system also improves visibility and reduces the likelihood of vehicle-to-vehicle collisions.</w:t>
      </w:r>
    </w:p>
    <w:p w14:paraId="598E661F" w14:textId="77777777" w:rsidR="00B14D60" w:rsidRDefault="00B14D60" w:rsidP="00B14D60"/>
    <w:p w14:paraId="46F08D40" w14:textId="77777777" w:rsidR="00B14D60" w:rsidRDefault="00B14D60" w:rsidP="00B14D60">
      <w:r>
        <w:t>The secondary delivery route, shown by the red arrows, is intended for smaller vehicles and lighter deliveries. This route operates along the surrounding road network, reducing the number of large vehicles entering confined site areas and helping to manage traffic flow externally. By separating larger and smaller deliveries, the plan reduces congestion at the site entrance and ensures smoother coordination of deliveries throughout the construction phase.</w:t>
      </w:r>
    </w:p>
    <w:p w14:paraId="1567AFDD" w14:textId="77777777" w:rsidR="00B14D60" w:rsidRDefault="00B14D60" w:rsidP="00B14D60"/>
    <w:p w14:paraId="45D25C12" w14:textId="77777777" w:rsidR="00B14D60" w:rsidRDefault="00B14D60" w:rsidP="00B14D60">
      <w:r>
        <w:t>Key site facilities, including the site office, welfare units, skips, and fuel storage, are strategically positioned to support this traffic system. High-traffic areas are kept separate from pedestrian zones, and waste collection points are located along the perimeter to allow easy access without disrupting internal operations.</w:t>
      </w:r>
    </w:p>
    <w:p w14:paraId="3222ED84" w14:textId="77777777" w:rsidR="00B14D60" w:rsidRDefault="00B14D60" w:rsidP="00B14D60"/>
    <w:p w14:paraId="7591FA9E" w14:textId="00FEA5AB" w:rsidR="00B14D60" w:rsidRDefault="00B14D60" w:rsidP="00B14D60">
      <w:r>
        <w:t xml:space="preserve">Overall, the plan prioritises safety through segregation and controlled movement, while also enhancing efficiency by streamlining delivery logistics. By reducing reversing, minimising congestion, and clearly defining vehicle routes, the traffic management plan </w:t>
      </w:r>
      <w:r>
        <w:lastRenderedPageBreak/>
        <w:t>supports compliance with the Construction (Design and Management) Regulations 2015 and promotes a safe working environment for both site personnel and the surrounding public.</w:t>
      </w:r>
    </w:p>
    <w:p w14:paraId="590BD9EE" w14:textId="77777777" w:rsidR="00D144B3" w:rsidRDefault="00D144B3" w:rsidP="00B14D60"/>
    <w:p w14:paraId="4236F519" w14:textId="23A7B9B2" w:rsidR="00D144B3" w:rsidRPr="00D144B3" w:rsidRDefault="00D144B3" w:rsidP="00D144B3">
      <w:pPr>
        <w:pStyle w:val="Heading2"/>
        <w:rPr>
          <w:u w:val="single"/>
        </w:rPr>
      </w:pPr>
      <w:r w:rsidRPr="00D144B3">
        <w:rPr>
          <w:u w:val="single"/>
        </w:rPr>
        <w:t xml:space="preserve">References </w:t>
      </w:r>
    </w:p>
    <w:p w14:paraId="4EB892C0" w14:textId="120E63EA" w:rsidR="00D144B3" w:rsidRDefault="00D144B3" w:rsidP="00D144B3">
      <w:r w:rsidRPr="00D144B3">
        <w:t xml:space="preserve">Health and safety Executive (2024). Health and safety at work act 1974. [online] Hse.gov.uk. Available at: </w:t>
      </w:r>
      <w:hyperlink r:id="rId8" w:history="1">
        <w:r w:rsidRPr="006B6C4F">
          <w:rPr>
            <w:rStyle w:val="Hyperlink"/>
          </w:rPr>
          <w:t>https://www.hse.gov.uk/legislation/hswa.htm</w:t>
        </w:r>
      </w:hyperlink>
      <w:r w:rsidRPr="00D144B3">
        <w:t>.</w:t>
      </w:r>
    </w:p>
    <w:p w14:paraId="6808310E" w14:textId="0AC12DFA" w:rsidR="00D144B3" w:rsidRPr="00D144B3" w:rsidRDefault="00D144B3" w:rsidP="00D144B3">
      <w:r w:rsidRPr="00D144B3">
        <w:t>HSE (2015). Construction - Construction Design and Management Regulations 2015. [online] Hse.gov.uk. Available at: https://www.hse.gov.uk/construction/cdm/2015/index.htm.</w:t>
      </w:r>
    </w:p>
    <w:sectPr w:rsidR="00D144B3" w:rsidRPr="00D144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A74AD0"/>
    <w:multiLevelType w:val="multilevel"/>
    <w:tmpl w:val="A4029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7B4C08"/>
    <w:multiLevelType w:val="multilevel"/>
    <w:tmpl w:val="4D1CA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9F5078"/>
    <w:multiLevelType w:val="multilevel"/>
    <w:tmpl w:val="94F89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554085"/>
    <w:multiLevelType w:val="multilevel"/>
    <w:tmpl w:val="CDCCA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6E6A9A"/>
    <w:multiLevelType w:val="multilevel"/>
    <w:tmpl w:val="BFB64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BD6012"/>
    <w:multiLevelType w:val="multilevel"/>
    <w:tmpl w:val="DCBCD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8563F4"/>
    <w:multiLevelType w:val="multilevel"/>
    <w:tmpl w:val="B7F6F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344E59"/>
    <w:multiLevelType w:val="multilevel"/>
    <w:tmpl w:val="CEB21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C0925EE"/>
    <w:multiLevelType w:val="multilevel"/>
    <w:tmpl w:val="9A1A3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2352097">
    <w:abstractNumId w:val="2"/>
  </w:num>
  <w:num w:numId="2" w16cid:durableId="1991404226">
    <w:abstractNumId w:val="7"/>
  </w:num>
  <w:num w:numId="3" w16cid:durableId="1066608559">
    <w:abstractNumId w:val="6"/>
  </w:num>
  <w:num w:numId="4" w16cid:durableId="437406589">
    <w:abstractNumId w:val="0"/>
  </w:num>
  <w:num w:numId="5" w16cid:durableId="2068412582">
    <w:abstractNumId w:val="1"/>
  </w:num>
  <w:num w:numId="6" w16cid:durableId="459960836">
    <w:abstractNumId w:val="3"/>
  </w:num>
  <w:num w:numId="7" w16cid:durableId="1386951992">
    <w:abstractNumId w:val="4"/>
  </w:num>
  <w:num w:numId="8" w16cid:durableId="712769945">
    <w:abstractNumId w:val="5"/>
  </w:num>
  <w:num w:numId="9" w16cid:durableId="151187607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74D"/>
    <w:rsid w:val="00015403"/>
    <w:rsid w:val="00047914"/>
    <w:rsid w:val="000629EF"/>
    <w:rsid w:val="001539AC"/>
    <w:rsid w:val="00171606"/>
    <w:rsid w:val="001D15F1"/>
    <w:rsid w:val="0033349B"/>
    <w:rsid w:val="00333B10"/>
    <w:rsid w:val="00396AE7"/>
    <w:rsid w:val="003E017B"/>
    <w:rsid w:val="00621413"/>
    <w:rsid w:val="006B5D36"/>
    <w:rsid w:val="0071550D"/>
    <w:rsid w:val="008E2639"/>
    <w:rsid w:val="00A006E7"/>
    <w:rsid w:val="00A215ED"/>
    <w:rsid w:val="00A3174D"/>
    <w:rsid w:val="00B14D60"/>
    <w:rsid w:val="00B35CC8"/>
    <w:rsid w:val="00BF4F93"/>
    <w:rsid w:val="00C40180"/>
    <w:rsid w:val="00C902ED"/>
    <w:rsid w:val="00D07241"/>
    <w:rsid w:val="00D144B3"/>
    <w:rsid w:val="00E37DE5"/>
    <w:rsid w:val="00EF0409"/>
    <w:rsid w:val="00FD6808"/>
    <w:rsid w:val="00FE7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10B96"/>
  <w15:chartTrackingRefBased/>
  <w15:docId w15:val="{49A1FAA3-6CDD-4DCE-8886-767F5334A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17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17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317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17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17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17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17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17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17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17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317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317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17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17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17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17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17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174D"/>
    <w:rPr>
      <w:rFonts w:eastAsiaTheme="majorEastAsia" w:cstheme="majorBidi"/>
      <w:color w:val="272727" w:themeColor="text1" w:themeTint="D8"/>
    </w:rPr>
  </w:style>
  <w:style w:type="paragraph" w:styleId="Title">
    <w:name w:val="Title"/>
    <w:basedOn w:val="Normal"/>
    <w:next w:val="Normal"/>
    <w:link w:val="TitleChar"/>
    <w:uiPriority w:val="10"/>
    <w:qFormat/>
    <w:rsid w:val="00A317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17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17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17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174D"/>
    <w:pPr>
      <w:spacing w:before="160"/>
      <w:jc w:val="center"/>
    </w:pPr>
    <w:rPr>
      <w:i/>
      <w:iCs/>
      <w:color w:val="404040" w:themeColor="text1" w:themeTint="BF"/>
    </w:rPr>
  </w:style>
  <w:style w:type="character" w:customStyle="1" w:styleId="QuoteChar">
    <w:name w:val="Quote Char"/>
    <w:basedOn w:val="DefaultParagraphFont"/>
    <w:link w:val="Quote"/>
    <w:uiPriority w:val="29"/>
    <w:rsid w:val="00A3174D"/>
    <w:rPr>
      <w:i/>
      <w:iCs/>
      <w:color w:val="404040" w:themeColor="text1" w:themeTint="BF"/>
    </w:rPr>
  </w:style>
  <w:style w:type="paragraph" w:styleId="ListParagraph">
    <w:name w:val="List Paragraph"/>
    <w:basedOn w:val="Normal"/>
    <w:uiPriority w:val="34"/>
    <w:qFormat/>
    <w:rsid w:val="00A3174D"/>
    <w:pPr>
      <w:ind w:left="720"/>
      <w:contextualSpacing/>
    </w:pPr>
  </w:style>
  <w:style w:type="character" w:styleId="IntenseEmphasis">
    <w:name w:val="Intense Emphasis"/>
    <w:basedOn w:val="DefaultParagraphFont"/>
    <w:uiPriority w:val="21"/>
    <w:qFormat/>
    <w:rsid w:val="00A3174D"/>
    <w:rPr>
      <w:i/>
      <w:iCs/>
      <w:color w:val="0F4761" w:themeColor="accent1" w:themeShade="BF"/>
    </w:rPr>
  </w:style>
  <w:style w:type="paragraph" w:styleId="IntenseQuote">
    <w:name w:val="Intense Quote"/>
    <w:basedOn w:val="Normal"/>
    <w:next w:val="Normal"/>
    <w:link w:val="IntenseQuoteChar"/>
    <w:uiPriority w:val="30"/>
    <w:qFormat/>
    <w:rsid w:val="00A317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174D"/>
    <w:rPr>
      <w:i/>
      <w:iCs/>
      <w:color w:val="0F4761" w:themeColor="accent1" w:themeShade="BF"/>
    </w:rPr>
  </w:style>
  <w:style w:type="character" w:styleId="IntenseReference">
    <w:name w:val="Intense Reference"/>
    <w:basedOn w:val="DefaultParagraphFont"/>
    <w:uiPriority w:val="32"/>
    <w:qFormat/>
    <w:rsid w:val="00A3174D"/>
    <w:rPr>
      <w:b/>
      <w:bCs/>
      <w:smallCaps/>
      <w:color w:val="0F4761" w:themeColor="accent1" w:themeShade="BF"/>
      <w:spacing w:val="5"/>
    </w:rPr>
  </w:style>
  <w:style w:type="character" w:styleId="Hyperlink">
    <w:name w:val="Hyperlink"/>
    <w:basedOn w:val="DefaultParagraphFont"/>
    <w:uiPriority w:val="99"/>
    <w:unhideWhenUsed/>
    <w:rsid w:val="00D144B3"/>
    <w:rPr>
      <w:color w:val="467886" w:themeColor="hyperlink"/>
      <w:u w:val="single"/>
    </w:rPr>
  </w:style>
  <w:style w:type="character" w:styleId="UnresolvedMention">
    <w:name w:val="Unresolved Mention"/>
    <w:basedOn w:val="DefaultParagraphFont"/>
    <w:uiPriority w:val="99"/>
    <w:semiHidden/>
    <w:unhideWhenUsed/>
    <w:rsid w:val="00D144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legislation/hswa.htm"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1759</Words>
  <Characters>10030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Samuel (2119913)</dc:creator>
  <cp:keywords/>
  <dc:description/>
  <cp:lastModifiedBy>Dylan Samuel (2119913)</cp:lastModifiedBy>
  <cp:revision>2</cp:revision>
  <dcterms:created xsi:type="dcterms:W3CDTF">2026-05-01T13:45:00Z</dcterms:created>
  <dcterms:modified xsi:type="dcterms:W3CDTF">2026-05-01T13:45:00Z</dcterms:modified>
</cp:coreProperties>
</file>