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2A1F9" w14:textId="77777777" w:rsidR="00BB1513" w:rsidRPr="001F2C6C" w:rsidRDefault="00BB1513" w:rsidP="001F2C6C">
      <w:pPr>
        <w:spacing w:line="360" w:lineRule="auto"/>
        <w:jc w:val="both"/>
        <w:rPr>
          <w:rFonts w:ascii="Times New Roman" w:hAnsi="Times New Roman" w:cs="Times New Roman"/>
          <w:b/>
          <w:sz w:val="48"/>
          <w:szCs w:val="24"/>
        </w:rPr>
      </w:pPr>
    </w:p>
    <w:p w14:paraId="13FCB469" w14:textId="77777777" w:rsidR="00BB1513" w:rsidRPr="001F2C6C" w:rsidRDefault="00BB1513" w:rsidP="001F2C6C">
      <w:pPr>
        <w:spacing w:line="360" w:lineRule="auto"/>
        <w:jc w:val="both"/>
        <w:rPr>
          <w:rFonts w:ascii="Times New Roman" w:hAnsi="Times New Roman" w:cs="Times New Roman"/>
          <w:b/>
          <w:sz w:val="48"/>
          <w:szCs w:val="24"/>
        </w:rPr>
      </w:pPr>
    </w:p>
    <w:p w14:paraId="60A1E9A6" w14:textId="77777777" w:rsidR="00BB1513" w:rsidRPr="001F2C6C" w:rsidRDefault="00BB1513" w:rsidP="001F2C6C">
      <w:pPr>
        <w:spacing w:line="360" w:lineRule="auto"/>
        <w:jc w:val="both"/>
        <w:rPr>
          <w:rFonts w:ascii="Times New Roman" w:hAnsi="Times New Roman" w:cs="Times New Roman"/>
          <w:b/>
          <w:sz w:val="48"/>
          <w:szCs w:val="24"/>
        </w:rPr>
      </w:pPr>
    </w:p>
    <w:p w14:paraId="3E8D666A" w14:textId="77777777" w:rsidR="00BB1513" w:rsidRPr="001F2C6C" w:rsidRDefault="00BB1513" w:rsidP="001F2C6C">
      <w:pPr>
        <w:spacing w:line="360" w:lineRule="auto"/>
        <w:jc w:val="both"/>
        <w:rPr>
          <w:rFonts w:ascii="Times New Roman" w:hAnsi="Times New Roman" w:cs="Times New Roman"/>
          <w:b/>
          <w:sz w:val="48"/>
          <w:szCs w:val="24"/>
        </w:rPr>
      </w:pPr>
    </w:p>
    <w:p w14:paraId="519EB391" w14:textId="77777777" w:rsidR="00BB1513" w:rsidRPr="001F2C6C" w:rsidRDefault="00BB1513" w:rsidP="001F2C6C">
      <w:pPr>
        <w:spacing w:line="360" w:lineRule="auto"/>
        <w:jc w:val="both"/>
        <w:rPr>
          <w:rFonts w:ascii="Times New Roman" w:hAnsi="Times New Roman" w:cs="Times New Roman"/>
          <w:b/>
          <w:sz w:val="48"/>
          <w:szCs w:val="24"/>
        </w:rPr>
      </w:pPr>
    </w:p>
    <w:p w14:paraId="505BB151" w14:textId="77777777" w:rsidR="00BB1513" w:rsidRPr="001F2C6C" w:rsidRDefault="00BB1513" w:rsidP="001F2C6C">
      <w:pPr>
        <w:spacing w:line="360" w:lineRule="auto"/>
        <w:jc w:val="both"/>
        <w:rPr>
          <w:rFonts w:ascii="Times New Roman" w:hAnsi="Times New Roman" w:cs="Times New Roman"/>
          <w:b/>
          <w:sz w:val="48"/>
          <w:szCs w:val="24"/>
        </w:rPr>
      </w:pPr>
    </w:p>
    <w:p w14:paraId="68AE62FD" w14:textId="77777777" w:rsidR="00BB1513" w:rsidRPr="001F2C6C" w:rsidRDefault="00BB1513" w:rsidP="001F2C6C">
      <w:pPr>
        <w:spacing w:line="360" w:lineRule="auto"/>
        <w:jc w:val="both"/>
        <w:rPr>
          <w:rFonts w:ascii="Times New Roman" w:hAnsi="Times New Roman" w:cs="Times New Roman"/>
          <w:b/>
          <w:sz w:val="48"/>
          <w:szCs w:val="24"/>
        </w:rPr>
      </w:pPr>
    </w:p>
    <w:p w14:paraId="051879B4" w14:textId="77777777" w:rsidR="00E43FED" w:rsidRPr="001F2C6C" w:rsidRDefault="00BB1513" w:rsidP="001F2C6C">
      <w:pPr>
        <w:spacing w:line="360" w:lineRule="auto"/>
        <w:jc w:val="center"/>
        <w:rPr>
          <w:rFonts w:ascii="Times New Roman" w:hAnsi="Times New Roman" w:cs="Times New Roman"/>
          <w:b/>
          <w:sz w:val="48"/>
          <w:szCs w:val="24"/>
        </w:rPr>
      </w:pPr>
      <w:r w:rsidRPr="001F2C6C">
        <w:rPr>
          <w:rFonts w:ascii="Times New Roman" w:hAnsi="Times New Roman" w:cs="Times New Roman"/>
          <w:b/>
          <w:sz w:val="48"/>
          <w:szCs w:val="24"/>
        </w:rPr>
        <w:t>Accounting Fundamentals Assessment 1</w:t>
      </w:r>
    </w:p>
    <w:p w14:paraId="17019030" w14:textId="77777777" w:rsidR="00E43FED" w:rsidRPr="001F2C6C" w:rsidRDefault="00E43FED"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881749450"/>
        <w:docPartObj>
          <w:docPartGallery w:val="Table of Contents"/>
          <w:docPartUnique/>
        </w:docPartObj>
      </w:sdtPr>
      <w:sdtEndPr>
        <w:rPr>
          <w:b/>
          <w:bCs/>
          <w:noProof/>
        </w:rPr>
      </w:sdtEndPr>
      <w:sdtContent>
        <w:p w14:paraId="320531D8" w14:textId="77777777" w:rsidR="00BB1513" w:rsidRPr="00C2190E" w:rsidRDefault="00BB1513" w:rsidP="00F815F3">
          <w:pPr>
            <w:pStyle w:val="TOCHeading"/>
            <w:spacing w:line="360" w:lineRule="auto"/>
            <w:rPr>
              <w:rFonts w:ascii="Times New Roman" w:hAnsi="Times New Roman" w:cs="Times New Roman"/>
              <w:sz w:val="24"/>
              <w:szCs w:val="24"/>
            </w:rPr>
          </w:pPr>
          <w:r w:rsidRPr="00C2190E">
            <w:rPr>
              <w:rFonts w:ascii="Times New Roman" w:hAnsi="Times New Roman" w:cs="Times New Roman"/>
              <w:sz w:val="24"/>
              <w:szCs w:val="24"/>
            </w:rPr>
            <w:t>Contents</w:t>
          </w:r>
        </w:p>
        <w:p w14:paraId="0C55EBFC" w14:textId="77777777" w:rsidR="00C2190E" w:rsidRPr="00C2190E" w:rsidRDefault="00BB1513">
          <w:pPr>
            <w:pStyle w:val="TOC1"/>
            <w:tabs>
              <w:tab w:val="right" w:leader="dot" w:pos="9350"/>
            </w:tabs>
            <w:rPr>
              <w:rFonts w:ascii="Times New Roman" w:eastAsiaTheme="minorEastAsia" w:hAnsi="Times New Roman" w:cs="Times New Roman"/>
              <w:noProof/>
              <w:sz w:val="24"/>
              <w:szCs w:val="24"/>
            </w:rPr>
          </w:pPr>
          <w:r w:rsidRPr="00C2190E">
            <w:rPr>
              <w:rFonts w:ascii="Times New Roman" w:hAnsi="Times New Roman" w:cs="Times New Roman"/>
              <w:sz w:val="24"/>
              <w:szCs w:val="24"/>
            </w:rPr>
            <w:fldChar w:fldCharType="begin"/>
          </w:r>
          <w:r w:rsidRPr="00C2190E">
            <w:rPr>
              <w:rFonts w:ascii="Times New Roman" w:hAnsi="Times New Roman" w:cs="Times New Roman"/>
              <w:sz w:val="24"/>
              <w:szCs w:val="24"/>
            </w:rPr>
            <w:instrText xml:space="preserve"> TOC \o "1-3" \h \z \u </w:instrText>
          </w:r>
          <w:r w:rsidRPr="00C2190E">
            <w:rPr>
              <w:rFonts w:ascii="Times New Roman" w:hAnsi="Times New Roman" w:cs="Times New Roman"/>
              <w:sz w:val="24"/>
              <w:szCs w:val="24"/>
            </w:rPr>
            <w:fldChar w:fldCharType="separate"/>
          </w:r>
          <w:hyperlink w:anchor="_Toc59023776" w:history="1">
            <w:r w:rsidR="00C2190E" w:rsidRPr="00C2190E">
              <w:rPr>
                <w:rStyle w:val="Hyperlink"/>
                <w:rFonts w:ascii="Times New Roman" w:hAnsi="Times New Roman" w:cs="Times New Roman"/>
                <w:noProof/>
                <w:sz w:val="24"/>
                <w:szCs w:val="24"/>
              </w:rPr>
              <w:t>Executive Summary:</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_Toc59023776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3</w:t>
            </w:r>
            <w:r w:rsidR="00C2190E" w:rsidRPr="00C2190E">
              <w:rPr>
                <w:rFonts w:ascii="Times New Roman" w:hAnsi="Times New Roman" w:cs="Times New Roman"/>
                <w:noProof/>
                <w:webHidden/>
                <w:sz w:val="24"/>
                <w:szCs w:val="24"/>
              </w:rPr>
              <w:fldChar w:fldCharType="end"/>
            </w:r>
          </w:hyperlink>
        </w:p>
        <w:p w14:paraId="574AE515" w14:textId="77777777" w:rsidR="00C2190E" w:rsidRPr="00C2190E" w:rsidRDefault="00555B17">
          <w:pPr>
            <w:pStyle w:val="TOC1"/>
            <w:tabs>
              <w:tab w:val="right" w:leader="dot" w:pos="9350"/>
            </w:tabs>
            <w:rPr>
              <w:rFonts w:ascii="Times New Roman" w:eastAsiaTheme="minorEastAsia" w:hAnsi="Times New Roman" w:cs="Times New Roman"/>
              <w:noProof/>
              <w:sz w:val="24"/>
              <w:szCs w:val="24"/>
            </w:rPr>
          </w:pPr>
          <w:hyperlink w:anchor="_Toc59023777" w:history="1">
            <w:r w:rsidR="00C2190E" w:rsidRPr="00C2190E">
              <w:rPr>
                <w:rStyle w:val="Hyperlink"/>
                <w:rFonts w:ascii="Times New Roman" w:hAnsi="Times New Roman" w:cs="Times New Roman"/>
                <w:noProof/>
                <w:sz w:val="24"/>
                <w:szCs w:val="24"/>
              </w:rPr>
              <w:t>Introduction:</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_Toc59023777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4</w:t>
            </w:r>
            <w:r w:rsidR="00C2190E" w:rsidRPr="00C2190E">
              <w:rPr>
                <w:rFonts w:ascii="Times New Roman" w:hAnsi="Times New Roman" w:cs="Times New Roman"/>
                <w:noProof/>
                <w:webHidden/>
                <w:sz w:val="24"/>
                <w:szCs w:val="24"/>
              </w:rPr>
              <w:fldChar w:fldCharType="end"/>
            </w:r>
          </w:hyperlink>
        </w:p>
        <w:p w14:paraId="6F433BDB" w14:textId="77777777" w:rsidR="00C2190E" w:rsidRPr="00C2190E" w:rsidRDefault="00555B17">
          <w:pPr>
            <w:pStyle w:val="TOC1"/>
            <w:tabs>
              <w:tab w:val="right" w:leader="dot" w:pos="9350"/>
            </w:tabs>
            <w:rPr>
              <w:rFonts w:ascii="Times New Roman" w:eastAsiaTheme="minorEastAsia" w:hAnsi="Times New Roman" w:cs="Times New Roman"/>
              <w:noProof/>
              <w:sz w:val="24"/>
              <w:szCs w:val="24"/>
            </w:rPr>
          </w:pPr>
          <w:hyperlink w:anchor="_Toc59023778" w:history="1">
            <w:r w:rsidR="00C2190E" w:rsidRPr="00C2190E">
              <w:rPr>
                <w:rStyle w:val="Hyperlink"/>
                <w:rFonts w:ascii="Times New Roman" w:hAnsi="Times New Roman" w:cs="Times New Roman"/>
                <w:noProof/>
                <w:sz w:val="24"/>
                <w:szCs w:val="24"/>
              </w:rPr>
              <w:t>Question 1</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_Toc59023778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4</w:t>
            </w:r>
            <w:r w:rsidR="00C2190E" w:rsidRPr="00C2190E">
              <w:rPr>
                <w:rFonts w:ascii="Times New Roman" w:hAnsi="Times New Roman" w:cs="Times New Roman"/>
                <w:noProof/>
                <w:webHidden/>
                <w:sz w:val="24"/>
                <w:szCs w:val="24"/>
              </w:rPr>
              <w:fldChar w:fldCharType="end"/>
            </w:r>
          </w:hyperlink>
        </w:p>
        <w:p w14:paraId="015C299D" w14:textId="77777777" w:rsidR="00C2190E" w:rsidRPr="00C2190E" w:rsidRDefault="00555B17">
          <w:pPr>
            <w:pStyle w:val="TOC2"/>
            <w:tabs>
              <w:tab w:val="right" w:leader="dot" w:pos="9350"/>
            </w:tabs>
            <w:rPr>
              <w:rFonts w:ascii="Times New Roman" w:eastAsiaTheme="minorEastAsia" w:hAnsi="Times New Roman" w:cs="Times New Roman"/>
              <w:noProof/>
              <w:sz w:val="24"/>
              <w:szCs w:val="24"/>
            </w:rPr>
          </w:pPr>
          <w:hyperlink w:anchor="_Toc59023779" w:history="1">
            <w:r w:rsidR="00C2190E" w:rsidRPr="00C2190E">
              <w:rPr>
                <w:rStyle w:val="Hyperlink"/>
                <w:rFonts w:ascii="Times New Roman" w:hAnsi="Times New Roman" w:cs="Times New Roman"/>
                <w:noProof/>
                <w:sz w:val="24"/>
                <w:szCs w:val="24"/>
              </w:rPr>
              <w:t>(a) Preparing Income statement and Statement of Financial Position</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_Toc59023779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4</w:t>
            </w:r>
            <w:r w:rsidR="00C2190E" w:rsidRPr="00C2190E">
              <w:rPr>
                <w:rFonts w:ascii="Times New Roman" w:hAnsi="Times New Roman" w:cs="Times New Roman"/>
                <w:noProof/>
                <w:webHidden/>
                <w:sz w:val="24"/>
                <w:szCs w:val="24"/>
              </w:rPr>
              <w:fldChar w:fldCharType="end"/>
            </w:r>
          </w:hyperlink>
        </w:p>
        <w:p w14:paraId="47B512A0" w14:textId="77777777" w:rsidR="00C2190E" w:rsidRPr="00C2190E" w:rsidRDefault="00555B17">
          <w:pPr>
            <w:pStyle w:val="TOC2"/>
            <w:tabs>
              <w:tab w:val="right" w:leader="dot" w:pos="9350"/>
            </w:tabs>
            <w:rPr>
              <w:rFonts w:ascii="Times New Roman" w:eastAsiaTheme="minorEastAsia" w:hAnsi="Times New Roman" w:cs="Times New Roman"/>
              <w:noProof/>
              <w:sz w:val="24"/>
              <w:szCs w:val="24"/>
            </w:rPr>
          </w:pPr>
          <w:hyperlink w:anchor="_Toc59023780" w:history="1">
            <w:r w:rsidR="00C2190E" w:rsidRPr="00C2190E">
              <w:rPr>
                <w:rStyle w:val="Hyperlink"/>
                <w:rFonts w:ascii="Times New Roman" w:hAnsi="Times New Roman" w:cs="Times New Roman"/>
                <w:noProof/>
                <w:sz w:val="24"/>
                <w:szCs w:val="24"/>
              </w:rPr>
              <w:t>(b) Why statement of financial position balances</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_Toc59023780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8</w:t>
            </w:r>
            <w:r w:rsidR="00C2190E" w:rsidRPr="00C2190E">
              <w:rPr>
                <w:rFonts w:ascii="Times New Roman" w:hAnsi="Times New Roman" w:cs="Times New Roman"/>
                <w:noProof/>
                <w:webHidden/>
                <w:sz w:val="24"/>
                <w:szCs w:val="24"/>
              </w:rPr>
              <w:fldChar w:fldCharType="end"/>
            </w:r>
          </w:hyperlink>
        </w:p>
        <w:p w14:paraId="08984C83" w14:textId="77777777" w:rsidR="00C2190E" w:rsidRPr="00C2190E" w:rsidRDefault="00555B17">
          <w:pPr>
            <w:pStyle w:val="TOC1"/>
            <w:tabs>
              <w:tab w:val="right" w:leader="dot" w:pos="9350"/>
            </w:tabs>
            <w:rPr>
              <w:rFonts w:ascii="Times New Roman" w:eastAsiaTheme="minorEastAsia" w:hAnsi="Times New Roman" w:cs="Times New Roman"/>
              <w:noProof/>
              <w:sz w:val="24"/>
              <w:szCs w:val="24"/>
            </w:rPr>
          </w:pPr>
          <w:hyperlink w:anchor="_Toc59023781" w:history="1">
            <w:r w:rsidR="00C2190E" w:rsidRPr="00C2190E">
              <w:rPr>
                <w:rStyle w:val="Hyperlink"/>
                <w:rFonts w:ascii="Times New Roman" w:hAnsi="Times New Roman" w:cs="Times New Roman"/>
                <w:noProof/>
                <w:sz w:val="24"/>
                <w:szCs w:val="24"/>
              </w:rPr>
              <w:t>Question 2</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_Toc59023781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9</w:t>
            </w:r>
            <w:r w:rsidR="00C2190E" w:rsidRPr="00C2190E">
              <w:rPr>
                <w:rFonts w:ascii="Times New Roman" w:hAnsi="Times New Roman" w:cs="Times New Roman"/>
                <w:noProof/>
                <w:webHidden/>
                <w:sz w:val="24"/>
                <w:szCs w:val="24"/>
              </w:rPr>
              <w:fldChar w:fldCharType="end"/>
            </w:r>
          </w:hyperlink>
        </w:p>
        <w:p w14:paraId="55BBE800" w14:textId="77777777" w:rsidR="00C2190E" w:rsidRPr="00C2190E" w:rsidRDefault="00555B17">
          <w:pPr>
            <w:pStyle w:val="TOC2"/>
            <w:tabs>
              <w:tab w:val="right" w:leader="dot" w:pos="9350"/>
            </w:tabs>
            <w:rPr>
              <w:rFonts w:ascii="Times New Roman" w:eastAsiaTheme="minorEastAsia" w:hAnsi="Times New Roman" w:cs="Times New Roman"/>
              <w:noProof/>
              <w:sz w:val="24"/>
              <w:szCs w:val="24"/>
            </w:rPr>
          </w:pPr>
          <w:hyperlink w:anchor="_Toc59023782" w:history="1">
            <w:r w:rsidR="00C2190E" w:rsidRPr="00C2190E">
              <w:rPr>
                <w:rStyle w:val="Hyperlink"/>
                <w:rFonts w:ascii="Times New Roman" w:hAnsi="Times New Roman" w:cs="Times New Roman"/>
                <w:noProof/>
                <w:sz w:val="24"/>
                <w:szCs w:val="24"/>
              </w:rPr>
              <w:t>(a) Schedule of Ratios for Chocco Plc</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_Toc59023782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9</w:t>
            </w:r>
            <w:r w:rsidR="00C2190E" w:rsidRPr="00C2190E">
              <w:rPr>
                <w:rFonts w:ascii="Times New Roman" w:hAnsi="Times New Roman" w:cs="Times New Roman"/>
                <w:noProof/>
                <w:webHidden/>
                <w:sz w:val="24"/>
                <w:szCs w:val="24"/>
              </w:rPr>
              <w:fldChar w:fldCharType="end"/>
            </w:r>
          </w:hyperlink>
        </w:p>
        <w:p w14:paraId="24C01A7F" w14:textId="77777777" w:rsidR="00C2190E" w:rsidRPr="00C2190E" w:rsidRDefault="00555B17">
          <w:pPr>
            <w:pStyle w:val="TOC2"/>
            <w:tabs>
              <w:tab w:val="right" w:leader="dot" w:pos="9350"/>
            </w:tabs>
            <w:rPr>
              <w:rFonts w:ascii="Times New Roman" w:eastAsiaTheme="minorEastAsia" w:hAnsi="Times New Roman" w:cs="Times New Roman"/>
              <w:noProof/>
              <w:sz w:val="24"/>
              <w:szCs w:val="24"/>
            </w:rPr>
          </w:pPr>
          <w:hyperlink w:anchor="_Toc59023783" w:history="1">
            <w:r w:rsidR="00C2190E" w:rsidRPr="00C2190E">
              <w:rPr>
                <w:rStyle w:val="Hyperlink"/>
                <w:rFonts w:ascii="Times New Roman" w:hAnsi="Times New Roman" w:cs="Times New Roman"/>
                <w:noProof/>
                <w:sz w:val="24"/>
                <w:szCs w:val="24"/>
              </w:rPr>
              <w:t>(b) Analysis of the Ratio:</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_Toc59023783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10</w:t>
            </w:r>
            <w:r w:rsidR="00C2190E" w:rsidRPr="00C2190E">
              <w:rPr>
                <w:rFonts w:ascii="Times New Roman" w:hAnsi="Times New Roman" w:cs="Times New Roman"/>
                <w:noProof/>
                <w:webHidden/>
                <w:sz w:val="24"/>
                <w:szCs w:val="24"/>
              </w:rPr>
              <w:fldChar w:fldCharType="end"/>
            </w:r>
          </w:hyperlink>
        </w:p>
        <w:p w14:paraId="78C55373" w14:textId="77777777" w:rsidR="00C2190E" w:rsidRPr="00C2190E" w:rsidRDefault="00555B17">
          <w:pPr>
            <w:pStyle w:val="TOC2"/>
            <w:tabs>
              <w:tab w:val="right" w:leader="dot" w:pos="9350"/>
            </w:tabs>
            <w:rPr>
              <w:rFonts w:ascii="Times New Roman" w:eastAsiaTheme="minorEastAsia" w:hAnsi="Times New Roman" w:cs="Times New Roman"/>
              <w:noProof/>
              <w:sz w:val="24"/>
              <w:szCs w:val="24"/>
            </w:rPr>
          </w:pPr>
          <w:hyperlink w:anchor="_Toc59023784" w:history="1">
            <w:r w:rsidR="00C2190E" w:rsidRPr="00C2190E">
              <w:rPr>
                <w:rStyle w:val="Hyperlink"/>
                <w:rFonts w:ascii="Times New Roman" w:hAnsi="Times New Roman" w:cs="Times New Roman"/>
                <w:noProof/>
                <w:sz w:val="24"/>
                <w:szCs w:val="24"/>
              </w:rPr>
              <w:t>Overall Comment on the financial performance and position of Chocco Plc</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_Toc59023784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13</w:t>
            </w:r>
            <w:r w:rsidR="00C2190E" w:rsidRPr="00C2190E">
              <w:rPr>
                <w:rFonts w:ascii="Times New Roman" w:hAnsi="Times New Roman" w:cs="Times New Roman"/>
                <w:noProof/>
                <w:webHidden/>
                <w:sz w:val="24"/>
                <w:szCs w:val="24"/>
              </w:rPr>
              <w:fldChar w:fldCharType="end"/>
            </w:r>
          </w:hyperlink>
        </w:p>
        <w:p w14:paraId="451F5066" w14:textId="77777777" w:rsidR="00C2190E" w:rsidRPr="00C2190E" w:rsidRDefault="00555B17">
          <w:pPr>
            <w:pStyle w:val="TOC1"/>
            <w:tabs>
              <w:tab w:val="right" w:leader="dot" w:pos="9350"/>
            </w:tabs>
            <w:rPr>
              <w:rFonts w:ascii="Times New Roman" w:eastAsiaTheme="minorEastAsia" w:hAnsi="Times New Roman" w:cs="Times New Roman"/>
              <w:noProof/>
              <w:sz w:val="24"/>
              <w:szCs w:val="24"/>
            </w:rPr>
          </w:pPr>
          <w:hyperlink w:anchor="_Toc59023785" w:history="1">
            <w:r w:rsidR="00C2190E" w:rsidRPr="00C2190E">
              <w:rPr>
                <w:rStyle w:val="Hyperlink"/>
                <w:rFonts w:ascii="Times New Roman" w:hAnsi="Times New Roman" w:cs="Times New Roman"/>
                <w:noProof/>
                <w:sz w:val="24"/>
                <w:szCs w:val="24"/>
              </w:rPr>
              <w:t>Conclusion:</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_Toc59023785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13</w:t>
            </w:r>
            <w:r w:rsidR="00C2190E" w:rsidRPr="00C2190E">
              <w:rPr>
                <w:rFonts w:ascii="Times New Roman" w:hAnsi="Times New Roman" w:cs="Times New Roman"/>
                <w:noProof/>
                <w:webHidden/>
                <w:sz w:val="24"/>
                <w:szCs w:val="24"/>
              </w:rPr>
              <w:fldChar w:fldCharType="end"/>
            </w:r>
          </w:hyperlink>
        </w:p>
        <w:p w14:paraId="5D5C2900" w14:textId="77777777" w:rsidR="00C2190E" w:rsidRPr="00C2190E" w:rsidRDefault="00555B17">
          <w:pPr>
            <w:pStyle w:val="TOC1"/>
            <w:tabs>
              <w:tab w:val="right" w:leader="dot" w:pos="9350"/>
            </w:tabs>
            <w:rPr>
              <w:rFonts w:ascii="Times New Roman" w:eastAsiaTheme="minorEastAsia" w:hAnsi="Times New Roman" w:cs="Times New Roman"/>
              <w:noProof/>
              <w:sz w:val="24"/>
              <w:szCs w:val="24"/>
            </w:rPr>
          </w:pPr>
          <w:hyperlink w:anchor="_Toc59023786" w:history="1">
            <w:r w:rsidR="00C2190E" w:rsidRPr="00C2190E">
              <w:rPr>
                <w:rStyle w:val="Hyperlink"/>
                <w:rFonts w:ascii="Times New Roman" w:hAnsi="Times New Roman" w:cs="Times New Roman"/>
                <w:noProof/>
                <w:sz w:val="24"/>
                <w:szCs w:val="24"/>
              </w:rPr>
              <w:t>References:</w:t>
            </w:r>
            <w:r w:rsidR="00C2190E" w:rsidRPr="00C2190E">
              <w:rPr>
                <w:rFonts w:ascii="Times New Roman" w:hAnsi="Times New Roman" w:cs="Times New Roman"/>
                <w:noProof/>
                <w:webHidden/>
                <w:sz w:val="24"/>
                <w:szCs w:val="24"/>
              </w:rPr>
              <w:tab/>
            </w:r>
            <w:r w:rsidR="00C2190E" w:rsidRPr="00C2190E">
              <w:rPr>
                <w:rFonts w:ascii="Times New Roman" w:hAnsi="Times New Roman" w:cs="Times New Roman"/>
                <w:noProof/>
                <w:webHidden/>
                <w:sz w:val="24"/>
                <w:szCs w:val="24"/>
              </w:rPr>
              <w:fldChar w:fldCharType="begin"/>
            </w:r>
            <w:r w:rsidR="00C2190E" w:rsidRPr="00C2190E">
              <w:rPr>
                <w:rFonts w:ascii="Times New Roman" w:hAnsi="Times New Roman" w:cs="Times New Roman"/>
                <w:noProof/>
                <w:webHidden/>
                <w:sz w:val="24"/>
                <w:szCs w:val="24"/>
              </w:rPr>
              <w:instrText xml:space="preserve"> PAGEREF _Toc59023786 \h </w:instrText>
            </w:r>
            <w:r w:rsidR="00C2190E" w:rsidRPr="00C2190E">
              <w:rPr>
                <w:rFonts w:ascii="Times New Roman" w:hAnsi="Times New Roman" w:cs="Times New Roman"/>
                <w:noProof/>
                <w:webHidden/>
                <w:sz w:val="24"/>
                <w:szCs w:val="24"/>
              </w:rPr>
            </w:r>
            <w:r w:rsidR="00C2190E" w:rsidRPr="00C2190E">
              <w:rPr>
                <w:rFonts w:ascii="Times New Roman" w:hAnsi="Times New Roman" w:cs="Times New Roman"/>
                <w:noProof/>
                <w:webHidden/>
                <w:sz w:val="24"/>
                <w:szCs w:val="24"/>
              </w:rPr>
              <w:fldChar w:fldCharType="separate"/>
            </w:r>
            <w:r w:rsidR="00C2190E" w:rsidRPr="00C2190E">
              <w:rPr>
                <w:rFonts w:ascii="Times New Roman" w:hAnsi="Times New Roman" w:cs="Times New Roman"/>
                <w:noProof/>
                <w:webHidden/>
                <w:sz w:val="24"/>
                <w:szCs w:val="24"/>
              </w:rPr>
              <w:t>14</w:t>
            </w:r>
            <w:r w:rsidR="00C2190E" w:rsidRPr="00C2190E">
              <w:rPr>
                <w:rFonts w:ascii="Times New Roman" w:hAnsi="Times New Roman" w:cs="Times New Roman"/>
                <w:noProof/>
                <w:webHidden/>
                <w:sz w:val="24"/>
                <w:szCs w:val="24"/>
              </w:rPr>
              <w:fldChar w:fldCharType="end"/>
            </w:r>
          </w:hyperlink>
        </w:p>
        <w:p w14:paraId="339DDDEF" w14:textId="77777777" w:rsidR="00BB1513" w:rsidRPr="00C2190E" w:rsidRDefault="00BB1513" w:rsidP="00F815F3">
          <w:pPr>
            <w:spacing w:line="360" w:lineRule="auto"/>
            <w:rPr>
              <w:rFonts w:ascii="Times New Roman" w:hAnsi="Times New Roman" w:cs="Times New Roman"/>
              <w:sz w:val="24"/>
              <w:szCs w:val="24"/>
            </w:rPr>
          </w:pPr>
          <w:r w:rsidRPr="00C2190E">
            <w:rPr>
              <w:rFonts w:ascii="Times New Roman" w:hAnsi="Times New Roman" w:cs="Times New Roman"/>
              <w:b/>
              <w:bCs/>
              <w:noProof/>
              <w:sz w:val="24"/>
              <w:szCs w:val="24"/>
            </w:rPr>
            <w:fldChar w:fldCharType="end"/>
          </w:r>
        </w:p>
      </w:sdtContent>
    </w:sdt>
    <w:p w14:paraId="4A57FA1B" w14:textId="77777777" w:rsidR="00E43FED" w:rsidRPr="001F2C6C" w:rsidRDefault="00E43FED"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br w:type="page"/>
      </w:r>
    </w:p>
    <w:p w14:paraId="2C22C74F" w14:textId="77777777" w:rsidR="001F2C6C" w:rsidRDefault="001F2C6C" w:rsidP="00C2190E">
      <w:pPr>
        <w:spacing w:line="360" w:lineRule="auto"/>
        <w:rPr>
          <w:rStyle w:val="Heading1Char"/>
          <w:rFonts w:cs="Times New Roman"/>
        </w:rPr>
      </w:pPr>
      <w:bookmarkStart w:id="0" w:name="_Toc59023776"/>
      <w:r>
        <w:rPr>
          <w:rStyle w:val="Heading1Char"/>
          <w:rFonts w:cs="Times New Roman"/>
        </w:rPr>
        <w:lastRenderedPageBreak/>
        <w:t>Executive Summary:</w:t>
      </w:r>
      <w:bookmarkEnd w:id="0"/>
    </w:p>
    <w:p w14:paraId="4D44F1F2" w14:textId="77777777" w:rsidR="001F2C6C" w:rsidRPr="00F815F3" w:rsidRDefault="0040567E" w:rsidP="00C2190E">
      <w:pPr>
        <w:spacing w:line="360" w:lineRule="auto"/>
        <w:jc w:val="both"/>
        <w:rPr>
          <w:rFonts w:ascii="Times New Roman" w:hAnsi="Times New Roman" w:cs="Times New Roman"/>
        </w:rPr>
      </w:pPr>
      <w:r w:rsidRPr="00F815F3">
        <w:rPr>
          <w:rFonts w:ascii="Times New Roman" w:hAnsi="Times New Roman" w:cs="Times New Roman"/>
          <w:sz w:val="24"/>
        </w:rPr>
        <w:t xml:space="preserve">This assignment involves two tasks. Task 1 is about the preparation of financial statements such as Income Statement and Statement of financial positions. Based on the accounting principle of accrual basis and double entry system both statements are prepared. In the Task no 2, the ratio analysis of </w:t>
      </w:r>
      <w:proofErr w:type="spellStart"/>
      <w:r w:rsidRPr="00F815F3">
        <w:rPr>
          <w:rFonts w:ascii="Times New Roman" w:hAnsi="Times New Roman" w:cs="Times New Roman"/>
          <w:sz w:val="24"/>
        </w:rPr>
        <w:t>Chocco</w:t>
      </w:r>
      <w:proofErr w:type="spellEnd"/>
      <w:r w:rsidRPr="00F815F3">
        <w:rPr>
          <w:rFonts w:ascii="Times New Roman" w:hAnsi="Times New Roman" w:cs="Times New Roman"/>
          <w:sz w:val="24"/>
        </w:rPr>
        <w:t xml:space="preserve"> Plc is conducted. The company’s return and profitability are remarkable. However, </w:t>
      </w:r>
      <w:proofErr w:type="spellStart"/>
      <w:r w:rsidRPr="00F815F3">
        <w:rPr>
          <w:rFonts w:ascii="Times New Roman" w:hAnsi="Times New Roman" w:cs="Times New Roman"/>
          <w:sz w:val="24"/>
        </w:rPr>
        <w:t>Chocco</w:t>
      </w:r>
      <w:proofErr w:type="spellEnd"/>
      <w:r w:rsidRPr="00F815F3">
        <w:rPr>
          <w:rFonts w:ascii="Times New Roman" w:hAnsi="Times New Roman" w:cs="Times New Roman"/>
          <w:sz w:val="24"/>
        </w:rPr>
        <w:t xml:space="preserve"> needs to improve its liquidity position as well as needs to improve its working capital management. </w:t>
      </w:r>
      <w:r w:rsidR="001F2C6C" w:rsidRPr="00F815F3">
        <w:rPr>
          <w:rFonts w:ascii="Times New Roman" w:hAnsi="Times New Roman" w:cs="Times New Roman"/>
        </w:rPr>
        <w:br w:type="page"/>
      </w:r>
    </w:p>
    <w:p w14:paraId="6902BF5B" w14:textId="77777777" w:rsidR="001F2C6C" w:rsidRDefault="001F2C6C">
      <w:pPr>
        <w:rPr>
          <w:rStyle w:val="Heading1Char"/>
          <w:rFonts w:cs="Times New Roman"/>
        </w:rPr>
      </w:pPr>
    </w:p>
    <w:p w14:paraId="2973FC39" w14:textId="77777777" w:rsidR="00E43FED" w:rsidRPr="001F2C6C" w:rsidRDefault="00E43FED" w:rsidP="001F2C6C">
      <w:pPr>
        <w:spacing w:line="360" w:lineRule="auto"/>
        <w:jc w:val="both"/>
        <w:rPr>
          <w:rFonts w:ascii="Times New Roman" w:hAnsi="Times New Roman" w:cs="Times New Roman"/>
          <w:sz w:val="24"/>
          <w:szCs w:val="24"/>
        </w:rPr>
      </w:pPr>
      <w:bookmarkStart w:id="1" w:name="_Toc59023777"/>
      <w:r w:rsidRPr="001F2C6C">
        <w:rPr>
          <w:rStyle w:val="Heading1Char"/>
          <w:rFonts w:cs="Times New Roman"/>
        </w:rPr>
        <w:t>Introduction</w:t>
      </w:r>
      <w:r w:rsidR="002148A9" w:rsidRPr="001F2C6C">
        <w:rPr>
          <w:rStyle w:val="Heading1Char"/>
          <w:rFonts w:cs="Times New Roman"/>
        </w:rPr>
        <w:t>:</w:t>
      </w:r>
      <w:bookmarkEnd w:id="1"/>
      <w:r w:rsidR="002148A9" w:rsidRPr="001F2C6C">
        <w:rPr>
          <w:rFonts w:ascii="Times New Roman" w:hAnsi="Times New Roman" w:cs="Times New Roman"/>
          <w:sz w:val="24"/>
          <w:szCs w:val="24"/>
        </w:rPr>
        <w:t xml:space="preserve"> Financial statement is useful presentation of the data for a company for a particular </w:t>
      </w:r>
      <w:proofErr w:type="gramStart"/>
      <w:r w:rsidR="002148A9" w:rsidRPr="001F2C6C">
        <w:rPr>
          <w:rFonts w:ascii="Times New Roman" w:hAnsi="Times New Roman" w:cs="Times New Roman"/>
          <w:sz w:val="24"/>
          <w:szCs w:val="24"/>
        </w:rPr>
        <w:t>period of time</w:t>
      </w:r>
      <w:proofErr w:type="gramEnd"/>
      <w:r w:rsidR="002148A9" w:rsidRPr="001F2C6C">
        <w:rPr>
          <w:rFonts w:ascii="Times New Roman" w:hAnsi="Times New Roman" w:cs="Times New Roman"/>
          <w:sz w:val="24"/>
          <w:szCs w:val="24"/>
        </w:rPr>
        <w:t xml:space="preserve"> to represents its overall performance during that period. Moreover, it also helps to know the state of the company’s financial positions along with summary equity and cash flow has changed during the years</w:t>
      </w:r>
      <w:r w:rsidR="00E4298B" w:rsidRPr="001F2C6C">
        <w:rPr>
          <w:rFonts w:ascii="Times New Roman" w:hAnsi="Times New Roman" w:cs="Times New Roman"/>
          <w:sz w:val="24"/>
          <w:szCs w:val="24"/>
        </w:rPr>
        <w:t xml:space="preserve"> (Barker, 2013)</w:t>
      </w:r>
      <w:r w:rsidR="002148A9" w:rsidRPr="001F2C6C">
        <w:rPr>
          <w:rFonts w:ascii="Times New Roman" w:hAnsi="Times New Roman" w:cs="Times New Roman"/>
          <w:sz w:val="24"/>
          <w:szCs w:val="24"/>
        </w:rPr>
        <w:t>. Accounting principles have a great impact in preparing the financial statements.</w:t>
      </w:r>
    </w:p>
    <w:p w14:paraId="619FDB57" w14:textId="77777777" w:rsidR="00E43FED" w:rsidRPr="001F2C6C" w:rsidRDefault="00E43FED" w:rsidP="001F2C6C">
      <w:pPr>
        <w:spacing w:line="360" w:lineRule="auto"/>
        <w:jc w:val="both"/>
        <w:rPr>
          <w:rFonts w:ascii="Times New Roman" w:hAnsi="Times New Roman" w:cs="Times New Roman"/>
          <w:sz w:val="24"/>
          <w:szCs w:val="24"/>
        </w:rPr>
      </w:pPr>
    </w:p>
    <w:p w14:paraId="4CAE8121" w14:textId="77777777" w:rsidR="00E43FED" w:rsidRPr="001F2C6C" w:rsidRDefault="00E43FED" w:rsidP="001F2C6C">
      <w:pPr>
        <w:spacing w:line="360" w:lineRule="auto"/>
        <w:jc w:val="both"/>
        <w:rPr>
          <w:rFonts w:ascii="Times New Roman" w:hAnsi="Times New Roman" w:cs="Times New Roman"/>
          <w:sz w:val="24"/>
          <w:szCs w:val="24"/>
        </w:rPr>
      </w:pPr>
    </w:p>
    <w:p w14:paraId="5D9CB7BD" w14:textId="77777777" w:rsidR="00E43FED" w:rsidRPr="001F2C6C" w:rsidRDefault="00E43FED" w:rsidP="001F2C6C">
      <w:pPr>
        <w:pStyle w:val="Heading1"/>
        <w:spacing w:line="360" w:lineRule="auto"/>
        <w:rPr>
          <w:rFonts w:cs="Times New Roman"/>
        </w:rPr>
      </w:pPr>
      <w:bookmarkStart w:id="2" w:name="_Toc59023778"/>
      <w:r w:rsidRPr="001F2C6C">
        <w:rPr>
          <w:rFonts w:cs="Times New Roman"/>
        </w:rPr>
        <w:t>Question 1</w:t>
      </w:r>
      <w:bookmarkEnd w:id="2"/>
    </w:p>
    <w:p w14:paraId="6041A4F3" w14:textId="77777777" w:rsidR="00BB1513" w:rsidRPr="001F2C6C" w:rsidRDefault="00E43FED" w:rsidP="001F2C6C">
      <w:pPr>
        <w:pStyle w:val="Heading2"/>
        <w:spacing w:line="360" w:lineRule="auto"/>
        <w:rPr>
          <w:rFonts w:cs="Times New Roman"/>
        </w:rPr>
      </w:pPr>
      <w:bookmarkStart w:id="3" w:name="_Toc59023779"/>
      <w:r w:rsidRPr="001F2C6C">
        <w:rPr>
          <w:rFonts w:cs="Times New Roman"/>
        </w:rPr>
        <w:t>(a)</w:t>
      </w:r>
      <w:r w:rsidR="00BB1513" w:rsidRPr="001F2C6C">
        <w:rPr>
          <w:rFonts w:cs="Times New Roman"/>
        </w:rPr>
        <w:t xml:space="preserve"> Preparing Income statement and Statement of Financial Position</w:t>
      </w:r>
      <w:bookmarkEnd w:id="3"/>
      <w:r w:rsidRPr="001F2C6C">
        <w:rPr>
          <w:rFonts w:cs="Times New Roman"/>
        </w:rPr>
        <w:t xml:space="preserve"> </w:t>
      </w:r>
    </w:p>
    <w:p w14:paraId="5161EF91" w14:textId="77777777" w:rsidR="00E43FED" w:rsidRPr="001F2C6C" w:rsidRDefault="00E43FED"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t xml:space="preserve">There are three adjustments which needed to adjust before preparing the financial statements. </w:t>
      </w:r>
    </w:p>
    <w:p w14:paraId="35308018" w14:textId="521AB1CA" w:rsidR="00E43FED" w:rsidRPr="001F2C6C" w:rsidRDefault="00E43FED" w:rsidP="001F2C6C">
      <w:pPr>
        <w:spacing w:line="360" w:lineRule="auto"/>
        <w:ind w:left="720"/>
        <w:jc w:val="both"/>
        <w:rPr>
          <w:rFonts w:ascii="Times New Roman" w:hAnsi="Times New Roman" w:cs="Times New Roman"/>
          <w:sz w:val="24"/>
          <w:szCs w:val="24"/>
        </w:rPr>
      </w:pPr>
      <w:r w:rsidRPr="001F2C6C">
        <w:rPr>
          <w:rFonts w:ascii="Times New Roman" w:hAnsi="Times New Roman" w:cs="Times New Roman"/>
          <w:sz w:val="24"/>
          <w:szCs w:val="24"/>
        </w:rPr>
        <w:t>(</w:t>
      </w:r>
      <w:proofErr w:type="spellStart"/>
      <w:r w:rsidRPr="001F2C6C">
        <w:rPr>
          <w:rFonts w:ascii="Times New Roman" w:hAnsi="Times New Roman" w:cs="Times New Roman"/>
          <w:sz w:val="24"/>
          <w:szCs w:val="24"/>
        </w:rPr>
        <w:t>i</w:t>
      </w:r>
      <w:proofErr w:type="spellEnd"/>
      <w:r w:rsidRPr="001F2C6C">
        <w:rPr>
          <w:rFonts w:ascii="Times New Roman" w:hAnsi="Times New Roman" w:cs="Times New Roman"/>
          <w:sz w:val="24"/>
          <w:szCs w:val="24"/>
        </w:rPr>
        <w:t xml:space="preserve">) Tax Estimates £ 68,000: This amount will be deducted in the income statement. In addition, tax payable of £ 68,000 will be reported in the current liability section in the Balance sheet. </w:t>
      </w:r>
    </w:p>
    <w:p w14:paraId="20AEDA35" w14:textId="77777777" w:rsidR="00E43FED" w:rsidRPr="001F2C6C" w:rsidRDefault="00E43FED" w:rsidP="001F2C6C">
      <w:pPr>
        <w:spacing w:line="360" w:lineRule="auto"/>
        <w:ind w:left="720"/>
        <w:jc w:val="both"/>
        <w:rPr>
          <w:rFonts w:ascii="Times New Roman" w:hAnsi="Times New Roman" w:cs="Times New Roman"/>
          <w:sz w:val="24"/>
          <w:szCs w:val="24"/>
        </w:rPr>
      </w:pPr>
      <w:r w:rsidRPr="001F2C6C">
        <w:rPr>
          <w:rFonts w:ascii="Times New Roman" w:hAnsi="Times New Roman" w:cs="Times New Roman"/>
          <w:sz w:val="24"/>
          <w:szCs w:val="24"/>
        </w:rPr>
        <w:t>(ii) Accrued salesmen commission of £ 3,000: It will be paid after the financial statements’</w:t>
      </w:r>
      <w:r w:rsidR="005B3F55" w:rsidRPr="001F2C6C">
        <w:rPr>
          <w:rFonts w:ascii="Times New Roman" w:hAnsi="Times New Roman" w:cs="Times New Roman"/>
          <w:sz w:val="24"/>
          <w:szCs w:val="24"/>
        </w:rPr>
        <w:t xml:space="preserve"> reporting</w:t>
      </w:r>
      <w:r w:rsidRPr="001F2C6C">
        <w:rPr>
          <w:rFonts w:ascii="Times New Roman" w:hAnsi="Times New Roman" w:cs="Times New Roman"/>
          <w:sz w:val="24"/>
          <w:szCs w:val="24"/>
        </w:rPr>
        <w:t xml:space="preserve">. This is </w:t>
      </w:r>
      <w:r w:rsidR="005B3F55" w:rsidRPr="001F2C6C">
        <w:rPr>
          <w:rFonts w:ascii="Times New Roman" w:hAnsi="Times New Roman" w:cs="Times New Roman"/>
          <w:sz w:val="24"/>
          <w:szCs w:val="24"/>
        </w:rPr>
        <w:t>an operating expense which should be reported under distribution costs. In addition, as an accrued expense, it should be reported under current liabilities section in the balance sheet</w:t>
      </w:r>
      <w:r w:rsidR="00E4298B" w:rsidRPr="001F2C6C">
        <w:rPr>
          <w:rFonts w:ascii="Times New Roman" w:hAnsi="Times New Roman" w:cs="Times New Roman"/>
          <w:sz w:val="24"/>
          <w:szCs w:val="24"/>
        </w:rPr>
        <w:t xml:space="preserve"> (Murray, Neumann and </w:t>
      </w:r>
      <w:proofErr w:type="spellStart"/>
      <w:r w:rsidR="00E4298B" w:rsidRPr="001F2C6C">
        <w:rPr>
          <w:rFonts w:ascii="Times New Roman" w:hAnsi="Times New Roman" w:cs="Times New Roman"/>
          <w:sz w:val="24"/>
          <w:szCs w:val="24"/>
        </w:rPr>
        <w:t>Elgers</w:t>
      </w:r>
      <w:proofErr w:type="spellEnd"/>
      <w:r w:rsidR="00E4298B" w:rsidRPr="001F2C6C">
        <w:rPr>
          <w:rFonts w:ascii="Times New Roman" w:hAnsi="Times New Roman" w:cs="Times New Roman"/>
          <w:sz w:val="24"/>
          <w:szCs w:val="24"/>
        </w:rPr>
        <w:t>, 2017)</w:t>
      </w:r>
      <w:r w:rsidR="005B3F55" w:rsidRPr="001F2C6C">
        <w:rPr>
          <w:rFonts w:ascii="Times New Roman" w:hAnsi="Times New Roman" w:cs="Times New Roman"/>
          <w:sz w:val="24"/>
          <w:szCs w:val="24"/>
        </w:rPr>
        <w:t xml:space="preserve">. </w:t>
      </w:r>
    </w:p>
    <w:tbl>
      <w:tblPr>
        <w:tblStyle w:val="PlainTable2"/>
        <w:tblW w:w="5985" w:type="dxa"/>
        <w:jc w:val="center"/>
        <w:tblLook w:val="04A0" w:firstRow="1" w:lastRow="0" w:firstColumn="1" w:lastColumn="0" w:noHBand="0" w:noVBand="1"/>
      </w:tblPr>
      <w:tblGrid>
        <w:gridCol w:w="2697"/>
        <w:gridCol w:w="1575"/>
        <w:gridCol w:w="1713"/>
      </w:tblGrid>
      <w:tr w:rsidR="005B3F55" w:rsidRPr="001F2C6C" w14:paraId="49EE7398" w14:textId="77777777" w:rsidTr="005B3F55">
        <w:trPr>
          <w:cnfStyle w:val="100000000000" w:firstRow="1" w:lastRow="0" w:firstColumn="0" w:lastColumn="0" w:oddVBand="0" w:evenVBand="0" w:oddHBand="0" w:evenHBand="0" w:firstRowFirstColumn="0" w:firstRowLastColumn="0" w:lastRowFirstColumn="0" w:lastRowLastColumn="0"/>
          <w:trHeight w:val="296"/>
          <w:jc w:val="center"/>
        </w:trPr>
        <w:tc>
          <w:tcPr>
            <w:cnfStyle w:val="001000000000" w:firstRow="0" w:lastRow="0" w:firstColumn="1" w:lastColumn="0" w:oddVBand="0" w:evenVBand="0" w:oddHBand="0" w:evenHBand="0" w:firstRowFirstColumn="0" w:firstRowLastColumn="0" w:lastRowFirstColumn="0" w:lastRowLastColumn="0"/>
            <w:tcW w:w="2697" w:type="dxa"/>
            <w:noWrap/>
            <w:hideMark/>
          </w:tcPr>
          <w:p w14:paraId="6EF5F3A6" w14:textId="77777777" w:rsidR="005B3F55" w:rsidRPr="001F2C6C" w:rsidRDefault="005B3F55" w:rsidP="001F2C6C">
            <w:pPr>
              <w:spacing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Particulars</w:t>
            </w:r>
          </w:p>
        </w:tc>
        <w:tc>
          <w:tcPr>
            <w:tcW w:w="1574" w:type="dxa"/>
            <w:noWrap/>
            <w:hideMark/>
          </w:tcPr>
          <w:p w14:paraId="6C9123AF" w14:textId="77777777" w:rsidR="005B3F55" w:rsidRPr="001F2C6C" w:rsidRDefault="005B3F55" w:rsidP="001F2C6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713" w:type="dxa"/>
            <w:noWrap/>
            <w:hideMark/>
          </w:tcPr>
          <w:p w14:paraId="1712DE7F" w14:textId="77777777" w:rsidR="005B3F55" w:rsidRPr="001F2C6C" w:rsidRDefault="005B3F55" w:rsidP="001F2C6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w:t>
            </w:r>
          </w:p>
        </w:tc>
      </w:tr>
      <w:tr w:rsidR="005B3F55" w:rsidRPr="001F2C6C" w14:paraId="5622136E" w14:textId="77777777" w:rsidTr="005B3F55">
        <w:trPr>
          <w:cnfStyle w:val="000000100000" w:firstRow="0" w:lastRow="0" w:firstColumn="0" w:lastColumn="0" w:oddVBand="0" w:evenVBand="0" w:oddHBand="1" w:evenHBand="0" w:firstRowFirstColumn="0" w:firstRowLastColumn="0" w:lastRowFirstColumn="0" w:lastRowLastColumn="0"/>
          <w:trHeight w:val="296"/>
          <w:jc w:val="center"/>
        </w:trPr>
        <w:tc>
          <w:tcPr>
            <w:cnfStyle w:val="001000000000" w:firstRow="0" w:lastRow="0" w:firstColumn="1" w:lastColumn="0" w:oddVBand="0" w:evenVBand="0" w:oddHBand="0" w:evenHBand="0" w:firstRowFirstColumn="0" w:firstRowLastColumn="0" w:lastRowFirstColumn="0" w:lastRowLastColumn="0"/>
            <w:tcW w:w="2697" w:type="dxa"/>
            <w:noWrap/>
            <w:hideMark/>
          </w:tcPr>
          <w:p w14:paraId="5BD576AB" w14:textId="77777777" w:rsidR="005B3F55" w:rsidRPr="001F2C6C" w:rsidRDefault="005B3F55"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Distribution cost</w:t>
            </w:r>
          </w:p>
        </w:tc>
        <w:tc>
          <w:tcPr>
            <w:tcW w:w="1574" w:type="dxa"/>
            <w:noWrap/>
            <w:hideMark/>
          </w:tcPr>
          <w:p w14:paraId="27365FE8"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p>
        </w:tc>
        <w:tc>
          <w:tcPr>
            <w:tcW w:w="1713" w:type="dxa"/>
            <w:noWrap/>
            <w:hideMark/>
          </w:tcPr>
          <w:p w14:paraId="6C09FC54"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28,000 </w:t>
            </w:r>
          </w:p>
        </w:tc>
      </w:tr>
      <w:tr w:rsidR="005B3F55" w:rsidRPr="001F2C6C" w14:paraId="3B1629DF" w14:textId="77777777" w:rsidTr="005B3F55">
        <w:trPr>
          <w:trHeight w:val="296"/>
          <w:jc w:val="center"/>
        </w:trPr>
        <w:tc>
          <w:tcPr>
            <w:cnfStyle w:val="001000000000" w:firstRow="0" w:lastRow="0" w:firstColumn="1" w:lastColumn="0" w:oddVBand="0" w:evenVBand="0" w:oddHBand="0" w:evenHBand="0" w:firstRowFirstColumn="0" w:firstRowLastColumn="0" w:lastRowFirstColumn="0" w:lastRowLastColumn="0"/>
            <w:tcW w:w="4272" w:type="dxa"/>
            <w:gridSpan w:val="2"/>
            <w:noWrap/>
            <w:hideMark/>
          </w:tcPr>
          <w:p w14:paraId="745058F8" w14:textId="77777777" w:rsidR="005B3F55" w:rsidRPr="001F2C6C" w:rsidRDefault="005B3F55"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Plus- Accrued commission</w:t>
            </w:r>
          </w:p>
        </w:tc>
        <w:tc>
          <w:tcPr>
            <w:tcW w:w="1713" w:type="dxa"/>
            <w:noWrap/>
            <w:hideMark/>
          </w:tcPr>
          <w:p w14:paraId="49722585" w14:textId="77777777" w:rsidR="005B3F55" w:rsidRPr="001F2C6C" w:rsidRDefault="005B3F55" w:rsidP="001F2C6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3,000 </w:t>
            </w:r>
          </w:p>
        </w:tc>
      </w:tr>
      <w:tr w:rsidR="005B3F55" w:rsidRPr="001F2C6C" w14:paraId="356BB005" w14:textId="77777777" w:rsidTr="005B3F55">
        <w:trPr>
          <w:cnfStyle w:val="000000100000" w:firstRow="0" w:lastRow="0" w:firstColumn="0" w:lastColumn="0" w:oddVBand="0" w:evenVBand="0" w:oddHBand="1" w:evenHBand="0" w:firstRowFirstColumn="0" w:firstRowLastColumn="0" w:lastRowFirstColumn="0" w:lastRowLastColumn="0"/>
          <w:trHeight w:val="296"/>
          <w:jc w:val="center"/>
        </w:trPr>
        <w:tc>
          <w:tcPr>
            <w:cnfStyle w:val="001000000000" w:firstRow="0" w:lastRow="0" w:firstColumn="1" w:lastColumn="0" w:oddVBand="0" w:evenVBand="0" w:oddHBand="0" w:evenHBand="0" w:firstRowFirstColumn="0" w:firstRowLastColumn="0" w:lastRowFirstColumn="0" w:lastRowLastColumn="0"/>
            <w:tcW w:w="4272" w:type="dxa"/>
            <w:gridSpan w:val="2"/>
            <w:noWrap/>
            <w:hideMark/>
          </w:tcPr>
          <w:p w14:paraId="5C511F96" w14:textId="77777777" w:rsidR="005B3F55" w:rsidRPr="001F2C6C" w:rsidRDefault="005B3F55" w:rsidP="001F2C6C">
            <w:pPr>
              <w:spacing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Total Distribution expense</w:t>
            </w:r>
          </w:p>
        </w:tc>
        <w:tc>
          <w:tcPr>
            <w:tcW w:w="1713" w:type="dxa"/>
            <w:noWrap/>
            <w:hideMark/>
          </w:tcPr>
          <w:p w14:paraId="2F359396"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31,000 </w:t>
            </w:r>
          </w:p>
        </w:tc>
      </w:tr>
    </w:tbl>
    <w:p w14:paraId="7F4C7113" w14:textId="77777777" w:rsidR="005B3F55" w:rsidRPr="001F2C6C" w:rsidRDefault="005B3F55" w:rsidP="001F2C6C">
      <w:pPr>
        <w:spacing w:line="360" w:lineRule="auto"/>
        <w:ind w:left="720"/>
        <w:jc w:val="both"/>
        <w:rPr>
          <w:rFonts w:ascii="Times New Roman" w:hAnsi="Times New Roman" w:cs="Times New Roman"/>
          <w:sz w:val="24"/>
          <w:szCs w:val="24"/>
        </w:rPr>
      </w:pPr>
    </w:p>
    <w:p w14:paraId="329AEE20" w14:textId="65236C98" w:rsidR="001F2C6C" w:rsidRDefault="005B3F55" w:rsidP="001F2C6C">
      <w:pPr>
        <w:spacing w:line="360" w:lineRule="auto"/>
        <w:ind w:left="720"/>
        <w:jc w:val="both"/>
        <w:rPr>
          <w:rFonts w:ascii="Times New Roman" w:hAnsi="Times New Roman" w:cs="Times New Roman"/>
          <w:sz w:val="24"/>
          <w:szCs w:val="24"/>
        </w:rPr>
      </w:pPr>
      <w:r w:rsidRPr="001F2C6C">
        <w:rPr>
          <w:rFonts w:ascii="Times New Roman" w:hAnsi="Times New Roman" w:cs="Times New Roman"/>
          <w:sz w:val="24"/>
          <w:szCs w:val="24"/>
        </w:rPr>
        <w:t>(iii) Credit sale £ 980: This credit sale is not recorded. So, this amount will be added to the sales figure of Income statement. Also, since it is a sale on credit, the debtor’s figure will increase by £ 980 in the current asset section of the balance sheet.</w:t>
      </w:r>
    </w:p>
    <w:p w14:paraId="7CADFDCA" w14:textId="77777777" w:rsidR="005B3F55" w:rsidRPr="001F2C6C" w:rsidRDefault="005B3F55" w:rsidP="001F2C6C">
      <w:pPr>
        <w:spacing w:line="360" w:lineRule="auto"/>
        <w:ind w:left="720"/>
        <w:jc w:val="both"/>
        <w:rPr>
          <w:rFonts w:ascii="Times New Roman" w:hAnsi="Times New Roman" w:cs="Times New Roman"/>
          <w:sz w:val="24"/>
          <w:szCs w:val="24"/>
        </w:rPr>
      </w:pPr>
    </w:p>
    <w:tbl>
      <w:tblPr>
        <w:tblStyle w:val="PlainTable2"/>
        <w:tblW w:w="6250" w:type="dxa"/>
        <w:jc w:val="center"/>
        <w:tblLook w:val="04A0" w:firstRow="1" w:lastRow="0" w:firstColumn="1" w:lastColumn="0" w:noHBand="0" w:noVBand="1"/>
      </w:tblPr>
      <w:tblGrid>
        <w:gridCol w:w="2568"/>
        <w:gridCol w:w="319"/>
        <w:gridCol w:w="1610"/>
        <w:gridCol w:w="1753"/>
      </w:tblGrid>
      <w:tr w:rsidR="005B3F55" w:rsidRPr="001F2C6C" w14:paraId="65A54982" w14:textId="77777777" w:rsidTr="005B3F55">
        <w:trPr>
          <w:cnfStyle w:val="100000000000" w:firstRow="1" w:lastRow="0" w:firstColumn="0" w:lastColumn="0" w:oddVBand="0" w:evenVBand="0" w:oddHBand="0" w:evenHBand="0" w:firstRowFirstColumn="0" w:firstRowLastColumn="0" w:lastRowFirstColumn="0" w:lastRowLastColumn="0"/>
          <w:trHeight w:val="375"/>
          <w:jc w:val="center"/>
        </w:trPr>
        <w:tc>
          <w:tcPr>
            <w:cnfStyle w:val="001000000000" w:firstRow="0" w:lastRow="0" w:firstColumn="1" w:lastColumn="0" w:oddVBand="0" w:evenVBand="0" w:oddHBand="0" w:evenHBand="0" w:firstRowFirstColumn="0" w:firstRowLastColumn="0" w:lastRowFirstColumn="0" w:lastRowLastColumn="0"/>
            <w:tcW w:w="2887" w:type="dxa"/>
            <w:gridSpan w:val="2"/>
            <w:noWrap/>
            <w:hideMark/>
          </w:tcPr>
          <w:p w14:paraId="39EE291E" w14:textId="77777777" w:rsidR="005B3F55" w:rsidRPr="001F2C6C" w:rsidRDefault="005B3F55" w:rsidP="001F2C6C">
            <w:pPr>
              <w:spacing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lastRenderedPageBreak/>
              <w:t>Particulars</w:t>
            </w:r>
          </w:p>
        </w:tc>
        <w:tc>
          <w:tcPr>
            <w:tcW w:w="1610" w:type="dxa"/>
            <w:noWrap/>
            <w:hideMark/>
          </w:tcPr>
          <w:p w14:paraId="00AC2BC2" w14:textId="77777777" w:rsidR="005B3F55" w:rsidRPr="001F2C6C" w:rsidRDefault="005B3F55" w:rsidP="001F2C6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753" w:type="dxa"/>
            <w:noWrap/>
            <w:hideMark/>
          </w:tcPr>
          <w:p w14:paraId="68176C5E" w14:textId="77777777" w:rsidR="005B3F55" w:rsidRPr="001F2C6C" w:rsidRDefault="005B3F55" w:rsidP="001F2C6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w:t>
            </w:r>
          </w:p>
        </w:tc>
      </w:tr>
      <w:tr w:rsidR="005B3F55" w:rsidRPr="001F2C6C" w14:paraId="4A0D2AF9" w14:textId="77777777" w:rsidTr="005B3F55">
        <w:trPr>
          <w:cnfStyle w:val="000000100000" w:firstRow="0" w:lastRow="0" w:firstColumn="0" w:lastColumn="0" w:oddVBand="0" w:evenVBand="0" w:oddHBand="1" w:evenHBand="0" w:firstRowFirstColumn="0" w:firstRowLastColumn="0" w:lastRowFirstColumn="0" w:lastRowLastColumn="0"/>
          <w:trHeight w:val="375"/>
          <w:jc w:val="center"/>
        </w:trPr>
        <w:tc>
          <w:tcPr>
            <w:cnfStyle w:val="001000000000" w:firstRow="0" w:lastRow="0" w:firstColumn="1" w:lastColumn="0" w:oddVBand="0" w:evenVBand="0" w:oddHBand="0" w:evenHBand="0" w:firstRowFirstColumn="0" w:firstRowLastColumn="0" w:lastRowFirstColumn="0" w:lastRowLastColumn="0"/>
            <w:tcW w:w="2568" w:type="dxa"/>
            <w:noWrap/>
            <w:hideMark/>
          </w:tcPr>
          <w:p w14:paraId="1101F318" w14:textId="77777777" w:rsidR="005B3F55" w:rsidRPr="001F2C6C" w:rsidRDefault="005B3F55"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Sales</w:t>
            </w:r>
          </w:p>
        </w:tc>
        <w:tc>
          <w:tcPr>
            <w:tcW w:w="319" w:type="dxa"/>
            <w:noWrap/>
            <w:hideMark/>
          </w:tcPr>
          <w:p w14:paraId="12D7A4A8"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p>
        </w:tc>
        <w:tc>
          <w:tcPr>
            <w:tcW w:w="1610" w:type="dxa"/>
            <w:noWrap/>
            <w:hideMark/>
          </w:tcPr>
          <w:p w14:paraId="75D478B3"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753" w:type="dxa"/>
            <w:noWrap/>
            <w:hideMark/>
          </w:tcPr>
          <w:p w14:paraId="732769A7"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826,650 </w:t>
            </w:r>
          </w:p>
        </w:tc>
      </w:tr>
      <w:tr w:rsidR="005B3F55" w:rsidRPr="001F2C6C" w14:paraId="68E3D045" w14:textId="77777777" w:rsidTr="005B3F55">
        <w:trPr>
          <w:trHeight w:val="375"/>
          <w:jc w:val="center"/>
        </w:trPr>
        <w:tc>
          <w:tcPr>
            <w:cnfStyle w:val="001000000000" w:firstRow="0" w:lastRow="0" w:firstColumn="1" w:lastColumn="0" w:oddVBand="0" w:evenVBand="0" w:oddHBand="0" w:evenHBand="0" w:firstRowFirstColumn="0" w:firstRowLastColumn="0" w:lastRowFirstColumn="0" w:lastRowLastColumn="0"/>
            <w:tcW w:w="2887" w:type="dxa"/>
            <w:gridSpan w:val="2"/>
            <w:noWrap/>
            <w:hideMark/>
          </w:tcPr>
          <w:p w14:paraId="76365D4F" w14:textId="77777777" w:rsidR="005B3F55" w:rsidRPr="001F2C6C" w:rsidRDefault="005B3F55"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Add- Sales on credit</w:t>
            </w:r>
          </w:p>
        </w:tc>
        <w:tc>
          <w:tcPr>
            <w:tcW w:w="1610" w:type="dxa"/>
            <w:noWrap/>
            <w:hideMark/>
          </w:tcPr>
          <w:p w14:paraId="1EA68B26" w14:textId="77777777" w:rsidR="005B3F55" w:rsidRPr="001F2C6C" w:rsidRDefault="005B3F55" w:rsidP="001F2C6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753" w:type="dxa"/>
            <w:noWrap/>
            <w:hideMark/>
          </w:tcPr>
          <w:p w14:paraId="7634F68F" w14:textId="77777777" w:rsidR="005B3F55" w:rsidRPr="001F2C6C" w:rsidRDefault="005B3F55" w:rsidP="001F2C6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980 </w:t>
            </w:r>
          </w:p>
        </w:tc>
      </w:tr>
      <w:tr w:rsidR="005B3F55" w:rsidRPr="001F2C6C" w14:paraId="1CF8913E" w14:textId="77777777" w:rsidTr="005B3F55">
        <w:trPr>
          <w:cnfStyle w:val="000000100000" w:firstRow="0" w:lastRow="0" w:firstColumn="0" w:lastColumn="0" w:oddVBand="0" w:evenVBand="0" w:oddHBand="1" w:evenHBand="0" w:firstRowFirstColumn="0" w:firstRowLastColumn="0" w:lastRowFirstColumn="0" w:lastRowLastColumn="0"/>
          <w:trHeight w:val="375"/>
          <w:jc w:val="center"/>
        </w:trPr>
        <w:tc>
          <w:tcPr>
            <w:cnfStyle w:val="001000000000" w:firstRow="0" w:lastRow="0" w:firstColumn="1" w:lastColumn="0" w:oddVBand="0" w:evenVBand="0" w:oddHBand="0" w:evenHBand="0" w:firstRowFirstColumn="0" w:firstRowLastColumn="0" w:lastRowFirstColumn="0" w:lastRowLastColumn="0"/>
            <w:tcW w:w="2887" w:type="dxa"/>
            <w:gridSpan w:val="2"/>
            <w:noWrap/>
            <w:hideMark/>
          </w:tcPr>
          <w:p w14:paraId="06B9DEE1" w14:textId="77777777" w:rsidR="005B3F55" w:rsidRPr="001F2C6C" w:rsidRDefault="005B3F55" w:rsidP="001F2C6C">
            <w:pPr>
              <w:spacing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Sales- total</w:t>
            </w:r>
          </w:p>
        </w:tc>
        <w:tc>
          <w:tcPr>
            <w:tcW w:w="1610" w:type="dxa"/>
            <w:noWrap/>
            <w:hideMark/>
          </w:tcPr>
          <w:p w14:paraId="23A8223A"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p>
        </w:tc>
        <w:tc>
          <w:tcPr>
            <w:tcW w:w="1753" w:type="dxa"/>
            <w:noWrap/>
            <w:hideMark/>
          </w:tcPr>
          <w:p w14:paraId="0435BF4D"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827,630 </w:t>
            </w:r>
          </w:p>
        </w:tc>
      </w:tr>
    </w:tbl>
    <w:p w14:paraId="06E8A7B5" w14:textId="77777777" w:rsidR="005B3F55" w:rsidRPr="001F2C6C" w:rsidRDefault="005B3F55" w:rsidP="001F2C6C">
      <w:pPr>
        <w:spacing w:line="360" w:lineRule="auto"/>
        <w:ind w:left="720"/>
        <w:jc w:val="both"/>
        <w:rPr>
          <w:rFonts w:ascii="Times New Roman" w:hAnsi="Times New Roman" w:cs="Times New Roman"/>
          <w:sz w:val="24"/>
          <w:szCs w:val="24"/>
        </w:rPr>
      </w:pPr>
    </w:p>
    <w:p w14:paraId="2676765D" w14:textId="77777777" w:rsidR="005B3F55" w:rsidRPr="001F2C6C" w:rsidRDefault="005B3F55" w:rsidP="001F2C6C">
      <w:pPr>
        <w:spacing w:line="360" w:lineRule="auto"/>
        <w:ind w:left="720"/>
        <w:jc w:val="both"/>
        <w:rPr>
          <w:rFonts w:ascii="Times New Roman" w:hAnsi="Times New Roman" w:cs="Times New Roman"/>
          <w:sz w:val="24"/>
          <w:szCs w:val="24"/>
        </w:rPr>
      </w:pPr>
    </w:p>
    <w:tbl>
      <w:tblPr>
        <w:tblStyle w:val="PlainTable2"/>
        <w:tblW w:w="6299" w:type="dxa"/>
        <w:jc w:val="center"/>
        <w:tblLook w:val="04A0" w:firstRow="1" w:lastRow="0" w:firstColumn="1" w:lastColumn="0" w:noHBand="0" w:noVBand="1"/>
      </w:tblPr>
      <w:tblGrid>
        <w:gridCol w:w="2626"/>
        <w:gridCol w:w="318"/>
        <w:gridCol w:w="1606"/>
        <w:gridCol w:w="1749"/>
      </w:tblGrid>
      <w:tr w:rsidR="005B3F55" w:rsidRPr="001F2C6C" w14:paraId="68C2C41E" w14:textId="77777777" w:rsidTr="005B3F55">
        <w:trPr>
          <w:cnfStyle w:val="100000000000" w:firstRow="1" w:lastRow="0" w:firstColumn="0" w:lastColumn="0" w:oddVBand="0" w:evenVBand="0" w:oddHBand="0" w:evenHBand="0" w:firstRowFirstColumn="0" w:firstRowLastColumn="0" w:lastRowFirstColumn="0" w:lastRowLastColumn="0"/>
          <w:trHeight w:val="270"/>
          <w:jc w:val="center"/>
        </w:trPr>
        <w:tc>
          <w:tcPr>
            <w:cnfStyle w:val="001000000000" w:firstRow="0" w:lastRow="0" w:firstColumn="1" w:lastColumn="0" w:oddVBand="0" w:evenVBand="0" w:oddHBand="0" w:evenHBand="0" w:firstRowFirstColumn="0" w:firstRowLastColumn="0" w:lastRowFirstColumn="0" w:lastRowLastColumn="0"/>
            <w:tcW w:w="2944" w:type="dxa"/>
            <w:gridSpan w:val="2"/>
            <w:noWrap/>
            <w:hideMark/>
          </w:tcPr>
          <w:p w14:paraId="29A79CB0" w14:textId="77777777" w:rsidR="005B3F55" w:rsidRPr="001F2C6C" w:rsidRDefault="005B3F55" w:rsidP="001F2C6C">
            <w:pPr>
              <w:spacing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Particulars</w:t>
            </w:r>
          </w:p>
        </w:tc>
        <w:tc>
          <w:tcPr>
            <w:tcW w:w="1606" w:type="dxa"/>
            <w:noWrap/>
            <w:hideMark/>
          </w:tcPr>
          <w:p w14:paraId="1E32C9AE" w14:textId="77777777" w:rsidR="005B3F55" w:rsidRPr="001F2C6C" w:rsidRDefault="005B3F55" w:rsidP="001F2C6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749" w:type="dxa"/>
            <w:noWrap/>
            <w:hideMark/>
          </w:tcPr>
          <w:p w14:paraId="1D6FE577" w14:textId="77777777" w:rsidR="005B3F55" w:rsidRPr="001F2C6C" w:rsidRDefault="005B3F55" w:rsidP="001F2C6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w:t>
            </w:r>
          </w:p>
        </w:tc>
      </w:tr>
      <w:tr w:rsidR="005B3F55" w:rsidRPr="001F2C6C" w14:paraId="578F2191" w14:textId="77777777" w:rsidTr="005B3F55">
        <w:trPr>
          <w:cnfStyle w:val="000000100000" w:firstRow="0" w:lastRow="0" w:firstColumn="0" w:lastColumn="0" w:oddVBand="0" w:evenVBand="0" w:oddHBand="1" w:evenHBand="0" w:firstRowFirstColumn="0" w:firstRowLastColumn="0" w:lastRowFirstColumn="0" w:lastRowLastColumn="0"/>
          <w:trHeight w:val="270"/>
          <w:jc w:val="center"/>
        </w:trPr>
        <w:tc>
          <w:tcPr>
            <w:cnfStyle w:val="001000000000" w:firstRow="0" w:lastRow="0" w:firstColumn="1" w:lastColumn="0" w:oddVBand="0" w:evenVBand="0" w:oddHBand="0" w:evenHBand="0" w:firstRowFirstColumn="0" w:firstRowLastColumn="0" w:lastRowFirstColumn="0" w:lastRowLastColumn="0"/>
            <w:tcW w:w="2626" w:type="dxa"/>
            <w:noWrap/>
            <w:hideMark/>
          </w:tcPr>
          <w:p w14:paraId="12EAB474" w14:textId="77777777" w:rsidR="005B3F55" w:rsidRPr="001F2C6C" w:rsidRDefault="005B3F55"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Debtors</w:t>
            </w:r>
          </w:p>
        </w:tc>
        <w:tc>
          <w:tcPr>
            <w:tcW w:w="318" w:type="dxa"/>
            <w:noWrap/>
            <w:hideMark/>
          </w:tcPr>
          <w:p w14:paraId="51197BCA"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p>
        </w:tc>
        <w:tc>
          <w:tcPr>
            <w:tcW w:w="1606" w:type="dxa"/>
            <w:noWrap/>
            <w:hideMark/>
          </w:tcPr>
          <w:p w14:paraId="59AED052"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749" w:type="dxa"/>
            <w:noWrap/>
            <w:hideMark/>
          </w:tcPr>
          <w:p w14:paraId="227AAEC3"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170,125 </w:t>
            </w:r>
          </w:p>
        </w:tc>
      </w:tr>
      <w:tr w:rsidR="005B3F55" w:rsidRPr="001F2C6C" w14:paraId="7B558022" w14:textId="77777777" w:rsidTr="005B3F55">
        <w:trPr>
          <w:trHeight w:val="270"/>
          <w:jc w:val="center"/>
        </w:trPr>
        <w:tc>
          <w:tcPr>
            <w:cnfStyle w:val="001000000000" w:firstRow="0" w:lastRow="0" w:firstColumn="1" w:lastColumn="0" w:oddVBand="0" w:evenVBand="0" w:oddHBand="0" w:evenHBand="0" w:firstRowFirstColumn="0" w:firstRowLastColumn="0" w:lastRowFirstColumn="0" w:lastRowLastColumn="0"/>
            <w:tcW w:w="2944" w:type="dxa"/>
            <w:gridSpan w:val="2"/>
            <w:noWrap/>
            <w:hideMark/>
          </w:tcPr>
          <w:p w14:paraId="29079065" w14:textId="77777777" w:rsidR="005B3F55" w:rsidRPr="001F2C6C" w:rsidRDefault="005B3F55"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Add- Sales on credit</w:t>
            </w:r>
          </w:p>
        </w:tc>
        <w:tc>
          <w:tcPr>
            <w:tcW w:w="1606" w:type="dxa"/>
            <w:noWrap/>
            <w:hideMark/>
          </w:tcPr>
          <w:p w14:paraId="223B2891" w14:textId="77777777" w:rsidR="005B3F55" w:rsidRPr="001F2C6C" w:rsidRDefault="005B3F55" w:rsidP="001F2C6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749" w:type="dxa"/>
            <w:noWrap/>
            <w:hideMark/>
          </w:tcPr>
          <w:p w14:paraId="52900D27" w14:textId="77777777" w:rsidR="005B3F55" w:rsidRPr="001F2C6C" w:rsidRDefault="005B3F55" w:rsidP="001F2C6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980 </w:t>
            </w:r>
          </w:p>
        </w:tc>
      </w:tr>
      <w:tr w:rsidR="005B3F55" w:rsidRPr="001F2C6C" w14:paraId="0D8BB764" w14:textId="77777777" w:rsidTr="005B3F55">
        <w:trPr>
          <w:cnfStyle w:val="000000100000" w:firstRow="0" w:lastRow="0" w:firstColumn="0" w:lastColumn="0" w:oddVBand="0" w:evenVBand="0" w:oddHBand="1" w:evenHBand="0" w:firstRowFirstColumn="0" w:firstRowLastColumn="0" w:lastRowFirstColumn="0" w:lastRowLastColumn="0"/>
          <w:trHeight w:val="270"/>
          <w:jc w:val="center"/>
        </w:trPr>
        <w:tc>
          <w:tcPr>
            <w:cnfStyle w:val="001000000000" w:firstRow="0" w:lastRow="0" w:firstColumn="1" w:lastColumn="0" w:oddVBand="0" w:evenVBand="0" w:oddHBand="0" w:evenHBand="0" w:firstRowFirstColumn="0" w:firstRowLastColumn="0" w:lastRowFirstColumn="0" w:lastRowLastColumn="0"/>
            <w:tcW w:w="2944" w:type="dxa"/>
            <w:gridSpan w:val="2"/>
            <w:noWrap/>
            <w:hideMark/>
          </w:tcPr>
          <w:p w14:paraId="1A2198EE" w14:textId="77777777" w:rsidR="005B3F55" w:rsidRPr="001F2C6C" w:rsidRDefault="005B3F55" w:rsidP="001F2C6C">
            <w:pPr>
              <w:spacing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Debtors balance</w:t>
            </w:r>
          </w:p>
        </w:tc>
        <w:tc>
          <w:tcPr>
            <w:tcW w:w="1606" w:type="dxa"/>
            <w:noWrap/>
            <w:hideMark/>
          </w:tcPr>
          <w:p w14:paraId="15F4B09D"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p>
        </w:tc>
        <w:tc>
          <w:tcPr>
            <w:tcW w:w="1749" w:type="dxa"/>
            <w:noWrap/>
            <w:hideMark/>
          </w:tcPr>
          <w:p w14:paraId="67283BD1" w14:textId="77777777" w:rsidR="005B3F55" w:rsidRPr="001F2C6C" w:rsidRDefault="005B3F55"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171,105 </w:t>
            </w:r>
          </w:p>
        </w:tc>
      </w:tr>
    </w:tbl>
    <w:p w14:paraId="44073179" w14:textId="77777777" w:rsidR="005B3F55" w:rsidRPr="001F2C6C" w:rsidRDefault="005B3F55" w:rsidP="001F2C6C">
      <w:pPr>
        <w:spacing w:line="360" w:lineRule="auto"/>
        <w:ind w:left="720"/>
        <w:jc w:val="both"/>
        <w:rPr>
          <w:rFonts w:ascii="Times New Roman" w:hAnsi="Times New Roman" w:cs="Times New Roman"/>
          <w:sz w:val="24"/>
          <w:szCs w:val="24"/>
        </w:rPr>
      </w:pPr>
    </w:p>
    <w:p w14:paraId="6301C6FF" w14:textId="77777777" w:rsidR="005B3F55" w:rsidRPr="001F2C6C" w:rsidRDefault="005B3F55" w:rsidP="001F2C6C">
      <w:pPr>
        <w:spacing w:line="360" w:lineRule="auto"/>
        <w:jc w:val="both"/>
        <w:rPr>
          <w:rFonts w:ascii="Times New Roman" w:hAnsi="Times New Roman" w:cs="Times New Roman"/>
          <w:sz w:val="24"/>
          <w:szCs w:val="24"/>
        </w:rPr>
      </w:pPr>
    </w:p>
    <w:p w14:paraId="563C0EE2" w14:textId="77777777" w:rsidR="005B3F55" w:rsidRPr="001F2C6C" w:rsidRDefault="005B3F55"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br w:type="page"/>
      </w:r>
    </w:p>
    <w:tbl>
      <w:tblPr>
        <w:tblW w:w="7116" w:type="dxa"/>
        <w:jc w:val="center"/>
        <w:tblLook w:val="04A0" w:firstRow="1" w:lastRow="0" w:firstColumn="1" w:lastColumn="0" w:noHBand="0" w:noVBand="1"/>
      </w:tblPr>
      <w:tblGrid>
        <w:gridCol w:w="2575"/>
        <w:gridCol w:w="277"/>
        <w:gridCol w:w="2023"/>
        <w:gridCol w:w="2241"/>
      </w:tblGrid>
      <w:tr w:rsidR="005B3F55" w:rsidRPr="001F2C6C" w14:paraId="6B1202B7" w14:textId="77777777" w:rsidTr="000A03F0">
        <w:trPr>
          <w:trHeight w:val="292"/>
          <w:jc w:val="center"/>
        </w:trPr>
        <w:tc>
          <w:tcPr>
            <w:tcW w:w="7116" w:type="dxa"/>
            <w:gridSpan w:val="4"/>
            <w:tcBorders>
              <w:top w:val="nil"/>
              <w:left w:val="nil"/>
              <w:bottom w:val="nil"/>
              <w:right w:val="nil"/>
            </w:tcBorders>
            <w:shd w:val="clear" w:color="auto" w:fill="auto"/>
            <w:noWrap/>
            <w:vAlign w:val="bottom"/>
            <w:hideMark/>
          </w:tcPr>
          <w:p w14:paraId="5913E3AB" w14:textId="77777777" w:rsidR="005B3F55" w:rsidRPr="001F2C6C" w:rsidRDefault="005B3F55" w:rsidP="001F2C6C">
            <w:pPr>
              <w:spacing w:after="0" w:line="360" w:lineRule="auto"/>
              <w:jc w:val="center"/>
              <w:rPr>
                <w:rFonts w:ascii="Times New Roman" w:eastAsia="Times New Roman" w:hAnsi="Times New Roman" w:cs="Times New Roman"/>
                <w:b/>
                <w:bCs/>
                <w:color w:val="000000"/>
                <w:sz w:val="24"/>
                <w:szCs w:val="24"/>
              </w:rPr>
            </w:pPr>
            <w:proofErr w:type="spellStart"/>
            <w:r w:rsidRPr="001F2C6C">
              <w:rPr>
                <w:rFonts w:ascii="Times New Roman" w:eastAsia="Times New Roman" w:hAnsi="Times New Roman" w:cs="Times New Roman"/>
                <w:b/>
                <w:bCs/>
                <w:color w:val="000000"/>
                <w:sz w:val="24"/>
                <w:szCs w:val="24"/>
              </w:rPr>
              <w:lastRenderedPageBreak/>
              <w:t>Ecclese</w:t>
            </w:r>
            <w:proofErr w:type="spellEnd"/>
            <w:r w:rsidRPr="001F2C6C">
              <w:rPr>
                <w:rFonts w:ascii="Times New Roman" w:eastAsia="Times New Roman" w:hAnsi="Times New Roman" w:cs="Times New Roman"/>
                <w:b/>
                <w:bCs/>
                <w:color w:val="000000"/>
                <w:sz w:val="24"/>
                <w:szCs w:val="24"/>
              </w:rPr>
              <w:t xml:space="preserve"> Plc</w:t>
            </w:r>
          </w:p>
        </w:tc>
      </w:tr>
      <w:tr w:rsidR="005B3F55" w:rsidRPr="001F2C6C" w14:paraId="528A642F" w14:textId="77777777" w:rsidTr="000A03F0">
        <w:trPr>
          <w:trHeight w:val="292"/>
          <w:jc w:val="center"/>
        </w:trPr>
        <w:tc>
          <w:tcPr>
            <w:tcW w:w="7116" w:type="dxa"/>
            <w:gridSpan w:val="4"/>
            <w:tcBorders>
              <w:top w:val="nil"/>
              <w:left w:val="nil"/>
              <w:bottom w:val="nil"/>
              <w:right w:val="nil"/>
            </w:tcBorders>
            <w:shd w:val="clear" w:color="auto" w:fill="auto"/>
            <w:noWrap/>
            <w:vAlign w:val="bottom"/>
            <w:hideMark/>
          </w:tcPr>
          <w:p w14:paraId="2CFF2064" w14:textId="77777777" w:rsidR="005B3F55" w:rsidRPr="001F2C6C" w:rsidRDefault="005B3F55" w:rsidP="001F2C6C">
            <w:pPr>
              <w:spacing w:after="0" w:line="360" w:lineRule="auto"/>
              <w:jc w:val="center"/>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Income Statement</w:t>
            </w:r>
          </w:p>
        </w:tc>
      </w:tr>
      <w:tr w:rsidR="005B3F55" w:rsidRPr="001F2C6C" w14:paraId="7CDACDDF" w14:textId="77777777" w:rsidTr="000A03F0">
        <w:trPr>
          <w:trHeight w:val="292"/>
          <w:jc w:val="center"/>
        </w:trPr>
        <w:tc>
          <w:tcPr>
            <w:tcW w:w="7116" w:type="dxa"/>
            <w:gridSpan w:val="4"/>
            <w:tcBorders>
              <w:top w:val="nil"/>
              <w:left w:val="nil"/>
              <w:bottom w:val="nil"/>
              <w:right w:val="nil"/>
            </w:tcBorders>
            <w:shd w:val="clear" w:color="auto" w:fill="auto"/>
            <w:noWrap/>
            <w:vAlign w:val="bottom"/>
            <w:hideMark/>
          </w:tcPr>
          <w:p w14:paraId="22324055" w14:textId="77777777" w:rsidR="005B3F55" w:rsidRPr="001F2C6C" w:rsidRDefault="005B3F55" w:rsidP="001F2C6C">
            <w:pPr>
              <w:spacing w:after="0" w:line="360" w:lineRule="auto"/>
              <w:jc w:val="center"/>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For the year ended </w:t>
            </w:r>
            <w:proofErr w:type="gramStart"/>
            <w:r w:rsidRPr="001F2C6C">
              <w:rPr>
                <w:rFonts w:ascii="Times New Roman" w:eastAsia="Times New Roman" w:hAnsi="Times New Roman" w:cs="Times New Roman"/>
                <w:b/>
                <w:bCs/>
                <w:color w:val="000000"/>
                <w:sz w:val="24"/>
                <w:szCs w:val="24"/>
              </w:rPr>
              <w:t>at</w:t>
            </w:r>
            <w:proofErr w:type="gramEnd"/>
            <w:r w:rsidRPr="001F2C6C">
              <w:rPr>
                <w:rFonts w:ascii="Times New Roman" w:eastAsia="Times New Roman" w:hAnsi="Times New Roman" w:cs="Times New Roman"/>
                <w:b/>
                <w:bCs/>
                <w:color w:val="000000"/>
                <w:sz w:val="24"/>
                <w:szCs w:val="24"/>
              </w:rPr>
              <w:t xml:space="preserve"> 31st December, 2018</w:t>
            </w:r>
          </w:p>
        </w:tc>
      </w:tr>
      <w:tr w:rsidR="005B3F55" w:rsidRPr="001F2C6C" w14:paraId="61D77047" w14:textId="77777777" w:rsidTr="000A03F0">
        <w:trPr>
          <w:trHeight w:val="292"/>
          <w:jc w:val="center"/>
        </w:trPr>
        <w:tc>
          <w:tcPr>
            <w:tcW w:w="2575" w:type="dxa"/>
            <w:tcBorders>
              <w:top w:val="nil"/>
              <w:left w:val="nil"/>
              <w:bottom w:val="nil"/>
              <w:right w:val="nil"/>
            </w:tcBorders>
            <w:shd w:val="clear" w:color="auto" w:fill="auto"/>
            <w:noWrap/>
            <w:vAlign w:val="bottom"/>
            <w:hideMark/>
          </w:tcPr>
          <w:p w14:paraId="7118F1C6"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p>
        </w:tc>
        <w:tc>
          <w:tcPr>
            <w:tcW w:w="276" w:type="dxa"/>
            <w:tcBorders>
              <w:top w:val="nil"/>
              <w:left w:val="nil"/>
              <w:bottom w:val="nil"/>
              <w:right w:val="nil"/>
            </w:tcBorders>
            <w:shd w:val="clear" w:color="auto" w:fill="auto"/>
            <w:noWrap/>
            <w:vAlign w:val="bottom"/>
            <w:hideMark/>
          </w:tcPr>
          <w:p w14:paraId="65002C3E" w14:textId="77777777" w:rsidR="005B3F55" w:rsidRPr="001F2C6C" w:rsidRDefault="005B3F55" w:rsidP="001F2C6C">
            <w:pPr>
              <w:spacing w:after="0" w:line="360" w:lineRule="auto"/>
              <w:jc w:val="both"/>
              <w:rPr>
                <w:rFonts w:ascii="Times New Roman" w:eastAsia="Times New Roman" w:hAnsi="Times New Roman" w:cs="Times New Roman"/>
                <w:sz w:val="24"/>
                <w:szCs w:val="24"/>
              </w:rPr>
            </w:pPr>
          </w:p>
        </w:tc>
        <w:tc>
          <w:tcPr>
            <w:tcW w:w="2023" w:type="dxa"/>
            <w:tcBorders>
              <w:top w:val="nil"/>
              <w:left w:val="nil"/>
              <w:bottom w:val="nil"/>
              <w:right w:val="nil"/>
            </w:tcBorders>
            <w:shd w:val="clear" w:color="auto" w:fill="auto"/>
            <w:noWrap/>
            <w:vAlign w:val="bottom"/>
            <w:hideMark/>
          </w:tcPr>
          <w:p w14:paraId="52AE3557" w14:textId="77777777" w:rsidR="005B3F55" w:rsidRPr="001F2C6C" w:rsidRDefault="005B3F55" w:rsidP="001F2C6C">
            <w:pPr>
              <w:spacing w:after="0" w:line="360" w:lineRule="auto"/>
              <w:jc w:val="both"/>
              <w:rPr>
                <w:rFonts w:ascii="Times New Roman" w:eastAsia="Times New Roman" w:hAnsi="Times New Roman" w:cs="Times New Roman"/>
                <w:sz w:val="24"/>
                <w:szCs w:val="24"/>
              </w:rPr>
            </w:pPr>
          </w:p>
        </w:tc>
        <w:tc>
          <w:tcPr>
            <w:tcW w:w="2241" w:type="dxa"/>
            <w:tcBorders>
              <w:top w:val="nil"/>
              <w:left w:val="nil"/>
              <w:bottom w:val="nil"/>
              <w:right w:val="nil"/>
            </w:tcBorders>
            <w:shd w:val="clear" w:color="auto" w:fill="auto"/>
            <w:noWrap/>
            <w:vAlign w:val="bottom"/>
            <w:hideMark/>
          </w:tcPr>
          <w:p w14:paraId="00413D40" w14:textId="77777777" w:rsidR="005B3F55" w:rsidRPr="001F2C6C" w:rsidRDefault="005B3F55" w:rsidP="001F2C6C">
            <w:pPr>
              <w:spacing w:after="0" w:line="360" w:lineRule="auto"/>
              <w:jc w:val="both"/>
              <w:rPr>
                <w:rFonts w:ascii="Times New Roman" w:eastAsia="Times New Roman" w:hAnsi="Times New Roman" w:cs="Times New Roman"/>
                <w:sz w:val="24"/>
                <w:szCs w:val="24"/>
              </w:rPr>
            </w:pPr>
          </w:p>
        </w:tc>
      </w:tr>
      <w:tr w:rsidR="005B3F55" w:rsidRPr="001F2C6C" w14:paraId="0416D170" w14:textId="77777777" w:rsidTr="000A03F0">
        <w:trPr>
          <w:trHeight w:val="292"/>
          <w:jc w:val="center"/>
        </w:trPr>
        <w:tc>
          <w:tcPr>
            <w:tcW w:w="2575" w:type="dxa"/>
            <w:tcBorders>
              <w:top w:val="nil"/>
              <w:left w:val="nil"/>
              <w:bottom w:val="nil"/>
              <w:right w:val="nil"/>
            </w:tcBorders>
            <w:shd w:val="clear" w:color="auto" w:fill="auto"/>
            <w:noWrap/>
            <w:vAlign w:val="bottom"/>
            <w:hideMark/>
          </w:tcPr>
          <w:p w14:paraId="20FB3E32" w14:textId="77777777" w:rsidR="005B3F55" w:rsidRPr="001F2C6C" w:rsidRDefault="005B3F55" w:rsidP="001F2C6C">
            <w:pPr>
              <w:spacing w:after="0" w:line="360" w:lineRule="auto"/>
              <w:jc w:val="both"/>
              <w:rPr>
                <w:rFonts w:ascii="Times New Roman" w:eastAsia="Times New Roman" w:hAnsi="Times New Roman" w:cs="Times New Roman"/>
                <w:sz w:val="24"/>
                <w:szCs w:val="24"/>
              </w:rPr>
            </w:pPr>
          </w:p>
        </w:tc>
        <w:tc>
          <w:tcPr>
            <w:tcW w:w="276" w:type="dxa"/>
            <w:tcBorders>
              <w:top w:val="nil"/>
              <w:left w:val="nil"/>
              <w:bottom w:val="nil"/>
              <w:right w:val="nil"/>
            </w:tcBorders>
            <w:shd w:val="clear" w:color="auto" w:fill="auto"/>
            <w:noWrap/>
            <w:vAlign w:val="bottom"/>
            <w:hideMark/>
          </w:tcPr>
          <w:p w14:paraId="618DC354" w14:textId="77777777" w:rsidR="005B3F55" w:rsidRPr="001F2C6C" w:rsidRDefault="005B3F55" w:rsidP="001F2C6C">
            <w:pPr>
              <w:spacing w:after="0" w:line="360" w:lineRule="auto"/>
              <w:jc w:val="both"/>
              <w:rPr>
                <w:rFonts w:ascii="Times New Roman" w:eastAsia="Times New Roman" w:hAnsi="Times New Roman" w:cs="Times New Roman"/>
                <w:sz w:val="24"/>
                <w:szCs w:val="24"/>
              </w:rPr>
            </w:pPr>
          </w:p>
        </w:tc>
        <w:tc>
          <w:tcPr>
            <w:tcW w:w="2023" w:type="dxa"/>
            <w:tcBorders>
              <w:top w:val="nil"/>
              <w:left w:val="nil"/>
              <w:bottom w:val="nil"/>
              <w:right w:val="nil"/>
            </w:tcBorders>
            <w:shd w:val="clear" w:color="auto" w:fill="auto"/>
            <w:noWrap/>
            <w:vAlign w:val="bottom"/>
            <w:hideMark/>
          </w:tcPr>
          <w:p w14:paraId="168B4C14"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w:t>
            </w:r>
          </w:p>
        </w:tc>
        <w:tc>
          <w:tcPr>
            <w:tcW w:w="2241" w:type="dxa"/>
            <w:tcBorders>
              <w:top w:val="nil"/>
              <w:left w:val="nil"/>
              <w:bottom w:val="nil"/>
              <w:right w:val="nil"/>
            </w:tcBorders>
            <w:shd w:val="clear" w:color="auto" w:fill="auto"/>
            <w:noWrap/>
            <w:vAlign w:val="bottom"/>
            <w:hideMark/>
          </w:tcPr>
          <w:p w14:paraId="78F25794"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w:t>
            </w:r>
          </w:p>
        </w:tc>
      </w:tr>
      <w:tr w:rsidR="005B3F55" w:rsidRPr="001F2C6C" w14:paraId="444A7EF5" w14:textId="77777777" w:rsidTr="000A03F0">
        <w:trPr>
          <w:trHeight w:val="292"/>
          <w:jc w:val="center"/>
        </w:trPr>
        <w:tc>
          <w:tcPr>
            <w:tcW w:w="2575" w:type="dxa"/>
            <w:tcBorders>
              <w:top w:val="nil"/>
              <w:left w:val="nil"/>
              <w:bottom w:val="nil"/>
              <w:right w:val="nil"/>
            </w:tcBorders>
            <w:shd w:val="clear" w:color="auto" w:fill="auto"/>
            <w:noWrap/>
            <w:vAlign w:val="bottom"/>
            <w:hideMark/>
          </w:tcPr>
          <w:p w14:paraId="7A6D7526"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Sales</w:t>
            </w:r>
          </w:p>
        </w:tc>
        <w:tc>
          <w:tcPr>
            <w:tcW w:w="276" w:type="dxa"/>
            <w:tcBorders>
              <w:top w:val="nil"/>
              <w:left w:val="nil"/>
              <w:bottom w:val="nil"/>
              <w:right w:val="nil"/>
            </w:tcBorders>
            <w:shd w:val="clear" w:color="auto" w:fill="auto"/>
            <w:noWrap/>
            <w:vAlign w:val="bottom"/>
            <w:hideMark/>
          </w:tcPr>
          <w:p w14:paraId="54342D3D"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p>
        </w:tc>
        <w:tc>
          <w:tcPr>
            <w:tcW w:w="2023" w:type="dxa"/>
            <w:tcBorders>
              <w:top w:val="nil"/>
              <w:left w:val="nil"/>
              <w:bottom w:val="nil"/>
              <w:right w:val="nil"/>
            </w:tcBorders>
            <w:shd w:val="clear" w:color="auto" w:fill="auto"/>
            <w:noWrap/>
            <w:vAlign w:val="bottom"/>
            <w:hideMark/>
          </w:tcPr>
          <w:p w14:paraId="70B84F81" w14:textId="77777777" w:rsidR="005B3F55" w:rsidRPr="001F2C6C" w:rsidRDefault="005B3F55" w:rsidP="001F2C6C">
            <w:pPr>
              <w:spacing w:after="0" w:line="360" w:lineRule="auto"/>
              <w:jc w:val="both"/>
              <w:rPr>
                <w:rFonts w:ascii="Times New Roman" w:eastAsia="Times New Roman" w:hAnsi="Times New Roman" w:cs="Times New Roman"/>
                <w:sz w:val="24"/>
                <w:szCs w:val="24"/>
              </w:rPr>
            </w:pPr>
          </w:p>
        </w:tc>
        <w:tc>
          <w:tcPr>
            <w:tcW w:w="2241" w:type="dxa"/>
            <w:tcBorders>
              <w:top w:val="nil"/>
              <w:left w:val="nil"/>
              <w:bottom w:val="nil"/>
              <w:right w:val="nil"/>
            </w:tcBorders>
            <w:shd w:val="clear" w:color="auto" w:fill="auto"/>
            <w:noWrap/>
            <w:vAlign w:val="bottom"/>
            <w:hideMark/>
          </w:tcPr>
          <w:p w14:paraId="69CEF99A"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827,630 </w:t>
            </w:r>
          </w:p>
        </w:tc>
      </w:tr>
      <w:tr w:rsidR="005B3F55" w:rsidRPr="001F2C6C" w14:paraId="20AD067C" w14:textId="77777777" w:rsidTr="000A03F0">
        <w:trPr>
          <w:trHeight w:val="292"/>
          <w:jc w:val="center"/>
        </w:trPr>
        <w:tc>
          <w:tcPr>
            <w:tcW w:w="2852" w:type="dxa"/>
            <w:gridSpan w:val="2"/>
            <w:tcBorders>
              <w:top w:val="nil"/>
              <w:left w:val="nil"/>
              <w:bottom w:val="nil"/>
              <w:right w:val="nil"/>
            </w:tcBorders>
            <w:shd w:val="clear" w:color="auto" w:fill="auto"/>
            <w:noWrap/>
            <w:vAlign w:val="bottom"/>
            <w:hideMark/>
          </w:tcPr>
          <w:p w14:paraId="78F55A10"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Cost of sales</w:t>
            </w:r>
          </w:p>
        </w:tc>
        <w:tc>
          <w:tcPr>
            <w:tcW w:w="2023" w:type="dxa"/>
            <w:tcBorders>
              <w:top w:val="nil"/>
              <w:left w:val="nil"/>
              <w:bottom w:val="nil"/>
              <w:right w:val="nil"/>
            </w:tcBorders>
            <w:shd w:val="clear" w:color="auto" w:fill="auto"/>
            <w:noWrap/>
            <w:vAlign w:val="bottom"/>
            <w:hideMark/>
          </w:tcPr>
          <w:p w14:paraId="778D0894"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p>
        </w:tc>
        <w:tc>
          <w:tcPr>
            <w:tcW w:w="2241" w:type="dxa"/>
            <w:tcBorders>
              <w:top w:val="nil"/>
              <w:left w:val="nil"/>
              <w:bottom w:val="nil"/>
              <w:right w:val="nil"/>
            </w:tcBorders>
            <w:shd w:val="clear" w:color="auto" w:fill="auto"/>
            <w:noWrap/>
            <w:vAlign w:val="bottom"/>
            <w:hideMark/>
          </w:tcPr>
          <w:p w14:paraId="788EFDD7"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578,650 </w:t>
            </w:r>
          </w:p>
        </w:tc>
      </w:tr>
      <w:tr w:rsidR="005B3F55" w:rsidRPr="001F2C6C" w14:paraId="6DD26B5E" w14:textId="77777777" w:rsidTr="000A03F0">
        <w:trPr>
          <w:trHeight w:val="292"/>
          <w:jc w:val="center"/>
        </w:trPr>
        <w:tc>
          <w:tcPr>
            <w:tcW w:w="2852" w:type="dxa"/>
            <w:gridSpan w:val="2"/>
            <w:tcBorders>
              <w:top w:val="nil"/>
              <w:left w:val="nil"/>
              <w:bottom w:val="nil"/>
              <w:right w:val="nil"/>
            </w:tcBorders>
            <w:shd w:val="clear" w:color="auto" w:fill="auto"/>
            <w:noWrap/>
            <w:vAlign w:val="bottom"/>
            <w:hideMark/>
          </w:tcPr>
          <w:p w14:paraId="28DE93BF"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Gross profit</w:t>
            </w:r>
          </w:p>
        </w:tc>
        <w:tc>
          <w:tcPr>
            <w:tcW w:w="2023" w:type="dxa"/>
            <w:tcBorders>
              <w:top w:val="nil"/>
              <w:left w:val="nil"/>
              <w:bottom w:val="nil"/>
              <w:right w:val="nil"/>
            </w:tcBorders>
            <w:shd w:val="clear" w:color="auto" w:fill="auto"/>
            <w:noWrap/>
            <w:vAlign w:val="bottom"/>
            <w:hideMark/>
          </w:tcPr>
          <w:p w14:paraId="7DD6D1E9"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p>
        </w:tc>
        <w:tc>
          <w:tcPr>
            <w:tcW w:w="2241" w:type="dxa"/>
            <w:tcBorders>
              <w:top w:val="nil"/>
              <w:left w:val="nil"/>
              <w:bottom w:val="nil"/>
              <w:right w:val="nil"/>
            </w:tcBorders>
            <w:shd w:val="clear" w:color="auto" w:fill="auto"/>
            <w:noWrap/>
            <w:vAlign w:val="bottom"/>
            <w:hideMark/>
          </w:tcPr>
          <w:p w14:paraId="353FDB72"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248,980 </w:t>
            </w:r>
          </w:p>
        </w:tc>
      </w:tr>
      <w:tr w:rsidR="005B3F55" w:rsidRPr="001F2C6C" w14:paraId="50D25B8F" w14:textId="77777777" w:rsidTr="000A03F0">
        <w:trPr>
          <w:trHeight w:val="292"/>
          <w:jc w:val="center"/>
        </w:trPr>
        <w:tc>
          <w:tcPr>
            <w:tcW w:w="2852" w:type="dxa"/>
            <w:gridSpan w:val="2"/>
            <w:tcBorders>
              <w:top w:val="nil"/>
              <w:left w:val="nil"/>
              <w:bottom w:val="nil"/>
              <w:right w:val="nil"/>
            </w:tcBorders>
            <w:shd w:val="clear" w:color="auto" w:fill="auto"/>
            <w:noWrap/>
            <w:vAlign w:val="bottom"/>
            <w:hideMark/>
          </w:tcPr>
          <w:p w14:paraId="3C6DF5E0"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Administrative expenses</w:t>
            </w:r>
          </w:p>
        </w:tc>
        <w:tc>
          <w:tcPr>
            <w:tcW w:w="2023" w:type="dxa"/>
            <w:tcBorders>
              <w:top w:val="nil"/>
              <w:left w:val="nil"/>
              <w:bottom w:val="nil"/>
              <w:right w:val="nil"/>
            </w:tcBorders>
            <w:shd w:val="clear" w:color="auto" w:fill="auto"/>
            <w:noWrap/>
            <w:vAlign w:val="bottom"/>
            <w:hideMark/>
          </w:tcPr>
          <w:p w14:paraId="617E6E9C"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30,000 </w:t>
            </w:r>
          </w:p>
        </w:tc>
        <w:tc>
          <w:tcPr>
            <w:tcW w:w="2241" w:type="dxa"/>
            <w:tcBorders>
              <w:top w:val="nil"/>
              <w:left w:val="nil"/>
              <w:bottom w:val="nil"/>
              <w:right w:val="nil"/>
            </w:tcBorders>
            <w:shd w:val="clear" w:color="auto" w:fill="auto"/>
            <w:noWrap/>
            <w:vAlign w:val="bottom"/>
            <w:hideMark/>
          </w:tcPr>
          <w:p w14:paraId="4A664783"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p>
        </w:tc>
      </w:tr>
      <w:tr w:rsidR="005B3F55" w:rsidRPr="001F2C6C" w14:paraId="58434E8F" w14:textId="77777777" w:rsidTr="000A03F0">
        <w:trPr>
          <w:trHeight w:val="292"/>
          <w:jc w:val="center"/>
        </w:trPr>
        <w:tc>
          <w:tcPr>
            <w:tcW w:w="2852" w:type="dxa"/>
            <w:gridSpan w:val="2"/>
            <w:tcBorders>
              <w:top w:val="nil"/>
              <w:left w:val="nil"/>
              <w:bottom w:val="nil"/>
              <w:right w:val="nil"/>
            </w:tcBorders>
            <w:shd w:val="clear" w:color="auto" w:fill="auto"/>
            <w:noWrap/>
            <w:vAlign w:val="bottom"/>
            <w:hideMark/>
          </w:tcPr>
          <w:p w14:paraId="310F572A"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Directors remuneration</w:t>
            </w:r>
          </w:p>
        </w:tc>
        <w:tc>
          <w:tcPr>
            <w:tcW w:w="2023" w:type="dxa"/>
            <w:tcBorders>
              <w:top w:val="nil"/>
              <w:left w:val="nil"/>
              <w:bottom w:val="nil"/>
              <w:right w:val="nil"/>
            </w:tcBorders>
            <w:shd w:val="clear" w:color="auto" w:fill="auto"/>
            <w:noWrap/>
            <w:vAlign w:val="bottom"/>
            <w:hideMark/>
          </w:tcPr>
          <w:p w14:paraId="348FB469"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5,000 </w:t>
            </w:r>
          </w:p>
        </w:tc>
        <w:tc>
          <w:tcPr>
            <w:tcW w:w="2241" w:type="dxa"/>
            <w:tcBorders>
              <w:top w:val="nil"/>
              <w:left w:val="nil"/>
              <w:bottom w:val="nil"/>
              <w:right w:val="nil"/>
            </w:tcBorders>
            <w:shd w:val="clear" w:color="auto" w:fill="auto"/>
            <w:noWrap/>
            <w:vAlign w:val="bottom"/>
            <w:hideMark/>
          </w:tcPr>
          <w:p w14:paraId="0808E4EF"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p>
        </w:tc>
      </w:tr>
      <w:tr w:rsidR="005B3F55" w:rsidRPr="001F2C6C" w14:paraId="52490297" w14:textId="77777777" w:rsidTr="000A03F0">
        <w:trPr>
          <w:trHeight w:val="292"/>
          <w:jc w:val="center"/>
        </w:trPr>
        <w:tc>
          <w:tcPr>
            <w:tcW w:w="2852" w:type="dxa"/>
            <w:gridSpan w:val="2"/>
            <w:tcBorders>
              <w:top w:val="nil"/>
              <w:left w:val="nil"/>
              <w:bottom w:val="nil"/>
              <w:right w:val="nil"/>
            </w:tcBorders>
            <w:shd w:val="clear" w:color="auto" w:fill="auto"/>
            <w:noWrap/>
            <w:vAlign w:val="bottom"/>
            <w:hideMark/>
          </w:tcPr>
          <w:p w14:paraId="2929A475"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Distribution costs</w:t>
            </w:r>
          </w:p>
        </w:tc>
        <w:tc>
          <w:tcPr>
            <w:tcW w:w="2023" w:type="dxa"/>
            <w:tcBorders>
              <w:top w:val="nil"/>
              <w:left w:val="nil"/>
              <w:bottom w:val="nil"/>
              <w:right w:val="nil"/>
            </w:tcBorders>
            <w:shd w:val="clear" w:color="auto" w:fill="auto"/>
            <w:noWrap/>
            <w:vAlign w:val="bottom"/>
            <w:hideMark/>
          </w:tcPr>
          <w:p w14:paraId="3D96F48C"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31,000 </w:t>
            </w:r>
          </w:p>
        </w:tc>
        <w:tc>
          <w:tcPr>
            <w:tcW w:w="2241" w:type="dxa"/>
            <w:tcBorders>
              <w:top w:val="nil"/>
              <w:left w:val="nil"/>
              <w:bottom w:val="nil"/>
              <w:right w:val="nil"/>
            </w:tcBorders>
            <w:shd w:val="clear" w:color="auto" w:fill="auto"/>
            <w:noWrap/>
            <w:vAlign w:val="bottom"/>
            <w:hideMark/>
          </w:tcPr>
          <w:p w14:paraId="633062BE"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p>
        </w:tc>
      </w:tr>
      <w:tr w:rsidR="005B3F55" w:rsidRPr="001F2C6C" w14:paraId="3D405EB8" w14:textId="77777777" w:rsidTr="000A03F0">
        <w:trPr>
          <w:trHeight w:val="292"/>
          <w:jc w:val="center"/>
        </w:trPr>
        <w:tc>
          <w:tcPr>
            <w:tcW w:w="4875" w:type="dxa"/>
            <w:gridSpan w:val="3"/>
            <w:tcBorders>
              <w:top w:val="nil"/>
              <w:left w:val="nil"/>
              <w:bottom w:val="nil"/>
              <w:right w:val="nil"/>
            </w:tcBorders>
            <w:shd w:val="clear" w:color="auto" w:fill="auto"/>
            <w:noWrap/>
            <w:vAlign w:val="bottom"/>
            <w:hideMark/>
          </w:tcPr>
          <w:p w14:paraId="55F54674"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Total Operating Expenses</w:t>
            </w:r>
          </w:p>
        </w:tc>
        <w:tc>
          <w:tcPr>
            <w:tcW w:w="2241" w:type="dxa"/>
            <w:tcBorders>
              <w:top w:val="nil"/>
              <w:left w:val="nil"/>
              <w:bottom w:val="nil"/>
              <w:right w:val="nil"/>
            </w:tcBorders>
            <w:shd w:val="clear" w:color="auto" w:fill="auto"/>
            <w:noWrap/>
            <w:vAlign w:val="bottom"/>
            <w:hideMark/>
          </w:tcPr>
          <w:p w14:paraId="3D9CA3B0"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66,000 </w:t>
            </w:r>
          </w:p>
        </w:tc>
      </w:tr>
      <w:tr w:rsidR="005B3F55" w:rsidRPr="001F2C6C" w14:paraId="7645B23B" w14:textId="77777777" w:rsidTr="000A03F0">
        <w:trPr>
          <w:trHeight w:val="292"/>
          <w:jc w:val="center"/>
        </w:trPr>
        <w:tc>
          <w:tcPr>
            <w:tcW w:w="2852" w:type="dxa"/>
            <w:gridSpan w:val="2"/>
            <w:tcBorders>
              <w:top w:val="nil"/>
              <w:left w:val="nil"/>
              <w:bottom w:val="nil"/>
              <w:right w:val="nil"/>
            </w:tcBorders>
            <w:shd w:val="clear" w:color="auto" w:fill="auto"/>
            <w:noWrap/>
            <w:vAlign w:val="bottom"/>
            <w:hideMark/>
          </w:tcPr>
          <w:p w14:paraId="697E9321"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Operating profit</w:t>
            </w:r>
          </w:p>
        </w:tc>
        <w:tc>
          <w:tcPr>
            <w:tcW w:w="2023" w:type="dxa"/>
            <w:tcBorders>
              <w:top w:val="nil"/>
              <w:left w:val="nil"/>
              <w:bottom w:val="nil"/>
              <w:right w:val="nil"/>
            </w:tcBorders>
            <w:shd w:val="clear" w:color="auto" w:fill="auto"/>
            <w:noWrap/>
            <w:vAlign w:val="bottom"/>
            <w:hideMark/>
          </w:tcPr>
          <w:p w14:paraId="37DF5479"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p>
        </w:tc>
        <w:tc>
          <w:tcPr>
            <w:tcW w:w="2241" w:type="dxa"/>
            <w:tcBorders>
              <w:top w:val="nil"/>
              <w:left w:val="nil"/>
              <w:bottom w:val="nil"/>
              <w:right w:val="nil"/>
            </w:tcBorders>
            <w:shd w:val="clear" w:color="auto" w:fill="auto"/>
            <w:noWrap/>
            <w:vAlign w:val="bottom"/>
            <w:hideMark/>
          </w:tcPr>
          <w:p w14:paraId="0DB866A0"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182,980 </w:t>
            </w:r>
          </w:p>
        </w:tc>
      </w:tr>
      <w:tr w:rsidR="005B3F55" w:rsidRPr="001F2C6C" w14:paraId="1FBD8E10" w14:textId="77777777" w:rsidTr="000A03F0">
        <w:trPr>
          <w:trHeight w:val="292"/>
          <w:jc w:val="center"/>
        </w:trPr>
        <w:tc>
          <w:tcPr>
            <w:tcW w:w="2852" w:type="dxa"/>
            <w:gridSpan w:val="2"/>
            <w:tcBorders>
              <w:top w:val="nil"/>
              <w:left w:val="nil"/>
              <w:bottom w:val="nil"/>
              <w:right w:val="nil"/>
            </w:tcBorders>
            <w:shd w:val="clear" w:color="auto" w:fill="auto"/>
            <w:noWrap/>
            <w:vAlign w:val="bottom"/>
            <w:hideMark/>
          </w:tcPr>
          <w:p w14:paraId="6AD384C8"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Interest Expense</w:t>
            </w:r>
          </w:p>
        </w:tc>
        <w:tc>
          <w:tcPr>
            <w:tcW w:w="2023" w:type="dxa"/>
            <w:tcBorders>
              <w:top w:val="nil"/>
              <w:left w:val="nil"/>
              <w:bottom w:val="nil"/>
              <w:right w:val="nil"/>
            </w:tcBorders>
            <w:shd w:val="clear" w:color="auto" w:fill="auto"/>
            <w:noWrap/>
            <w:vAlign w:val="bottom"/>
            <w:hideMark/>
          </w:tcPr>
          <w:p w14:paraId="4F99D688"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p>
        </w:tc>
        <w:tc>
          <w:tcPr>
            <w:tcW w:w="2241" w:type="dxa"/>
            <w:tcBorders>
              <w:top w:val="nil"/>
              <w:left w:val="nil"/>
              <w:bottom w:val="nil"/>
              <w:right w:val="nil"/>
            </w:tcBorders>
            <w:shd w:val="clear" w:color="auto" w:fill="auto"/>
            <w:noWrap/>
            <w:vAlign w:val="bottom"/>
            <w:hideMark/>
          </w:tcPr>
          <w:p w14:paraId="5BC7EC35"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2,000 </w:t>
            </w:r>
          </w:p>
        </w:tc>
      </w:tr>
      <w:tr w:rsidR="005B3F55" w:rsidRPr="001F2C6C" w14:paraId="62D87E9C" w14:textId="77777777" w:rsidTr="000A03F0">
        <w:trPr>
          <w:trHeight w:val="292"/>
          <w:jc w:val="center"/>
        </w:trPr>
        <w:tc>
          <w:tcPr>
            <w:tcW w:w="2852" w:type="dxa"/>
            <w:gridSpan w:val="2"/>
            <w:tcBorders>
              <w:top w:val="nil"/>
              <w:left w:val="nil"/>
              <w:bottom w:val="nil"/>
              <w:right w:val="nil"/>
            </w:tcBorders>
            <w:shd w:val="clear" w:color="auto" w:fill="auto"/>
            <w:noWrap/>
            <w:vAlign w:val="bottom"/>
            <w:hideMark/>
          </w:tcPr>
          <w:p w14:paraId="45FFC95D"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Profit before tax</w:t>
            </w:r>
          </w:p>
        </w:tc>
        <w:tc>
          <w:tcPr>
            <w:tcW w:w="2023" w:type="dxa"/>
            <w:tcBorders>
              <w:top w:val="nil"/>
              <w:left w:val="nil"/>
              <w:bottom w:val="nil"/>
              <w:right w:val="nil"/>
            </w:tcBorders>
            <w:shd w:val="clear" w:color="auto" w:fill="auto"/>
            <w:noWrap/>
            <w:vAlign w:val="bottom"/>
            <w:hideMark/>
          </w:tcPr>
          <w:p w14:paraId="00DCCE8E"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p>
        </w:tc>
        <w:tc>
          <w:tcPr>
            <w:tcW w:w="2241" w:type="dxa"/>
            <w:tcBorders>
              <w:top w:val="nil"/>
              <w:left w:val="nil"/>
              <w:bottom w:val="nil"/>
              <w:right w:val="nil"/>
            </w:tcBorders>
            <w:shd w:val="clear" w:color="auto" w:fill="auto"/>
            <w:noWrap/>
            <w:vAlign w:val="bottom"/>
            <w:hideMark/>
          </w:tcPr>
          <w:p w14:paraId="31ECC1ED"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180,980 </w:t>
            </w:r>
          </w:p>
        </w:tc>
      </w:tr>
      <w:tr w:rsidR="005B3F55" w:rsidRPr="001F2C6C" w14:paraId="6FD81ED9" w14:textId="77777777" w:rsidTr="000A03F0">
        <w:trPr>
          <w:trHeight w:val="292"/>
          <w:jc w:val="center"/>
        </w:trPr>
        <w:tc>
          <w:tcPr>
            <w:tcW w:w="2575" w:type="dxa"/>
            <w:tcBorders>
              <w:top w:val="nil"/>
              <w:left w:val="nil"/>
              <w:bottom w:val="nil"/>
              <w:right w:val="nil"/>
            </w:tcBorders>
            <w:shd w:val="clear" w:color="auto" w:fill="auto"/>
            <w:noWrap/>
            <w:vAlign w:val="bottom"/>
            <w:hideMark/>
          </w:tcPr>
          <w:p w14:paraId="267E0007"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Tax</w:t>
            </w:r>
          </w:p>
        </w:tc>
        <w:tc>
          <w:tcPr>
            <w:tcW w:w="276" w:type="dxa"/>
            <w:tcBorders>
              <w:top w:val="nil"/>
              <w:left w:val="nil"/>
              <w:bottom w:val="nil"/>
              <w:right w:val="nil"/>
            </w:tcBorders>
            <w:shd w:val="clear" w:color="auto" w:fill="auto"/>
            <w:noWrap/>
            <w:vAlign w:val="bottom"/>
            <w:hideMark/>
          </w:tcPr>
          <w:p w14:paraId="4AD3C424"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p>
        </w:tc>
        <w:tc>
          <w:tcPr>
            <w:tcW w:w="2023" w:type="dxa"/>
            <w:tcBorders>
              <w:top w:val="nil"/>
              <w:left w:val="nil"/>
              <w:bottom w:val="nil"/>
              <w:right w:val="nil"/>
            </w:tcBorders>
            <w:shd w:val="clear" w:color="auto" w:fill="auto"/>
            <w:noWrap/>
            <w:vAlign w:val="bottom"/>
            <w:hideMark/>
          </w:tcPr>
          <w:p w14:paraId="39186A60" w14:textId="77777777" w:rsidR="005B3F55" w:rsidRPr="001F2C6C" w:rsidRDefault="005B3F55" w:rsidP="001F2C6C">
            <w:pPr>
              <w:spacing w:after="0" w:line="360" w:lineRule="auto"/>
              <w:jc w:val="both"/>
              <w:rPr>
                <w:rFonts w:ascii="Times New Roman" w:eastAsia="Times New Roman" w:hAnsi="Times New Roman" w:cs="Times New Roman"/>
                <w:sz w:val="24"/>
                <w:szCs w:val="24"/>
              </w:rPr>
            </w:pPr>
          </w:p>
        </w:tc>
        <w:tc>
          <w:tcPr>
            <w:tcW w:w="2241" w:type="dxa"/>
            <w:tcBorders>
              <w:top w:val="nil"/>
              <w:left w:val="nil"/>
              <w:bottom w:val="nil"/>
              <w:right w:val="nil"/>
            </w:tcBorders>
            <w:shd w:val="clear" w:color="auto" w:fill="auto"/>
            <w:noWrap/>
            <w:vAlign w:val="bottom"/>
            <w:hideMark/>
          </w:tcPr>
          <w:p w14:paraId="78B5C1C8" w14:textId="77777777" w:rsidR="005B3F55" w:rsidRPr="001F2C6C" w:rsidRDefault="005B3F55"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68,000 </w:t>
            </w:r>
          </w:p>
        </w:tc>
      </w:tr>
      <w:tr w:rsidR="005B3F55" w:rsidRPr="001F2C6C" w14:paraId="370159D5" w14:textId="77777777" w:rsidTr="000A03F0">
        <w:trPr>
          <w:trHeight w:val="292"/>
          <w:jc w:val="center"/>
        </w:trPr>
        <w:tc>
          <w:tcPr>
            <w:tcW w:w="2852" w:type="dxa"/>
            <w:gridSpan w:val="2"/>
            <w:tcBorders>
              <w:top w:val="nil"/>
              <w:left w:val="nil"/>
              <w:bottom w:val="nil"/>
              <w:right w:val="nil"/>
            </w:tcBorders>
            <w:shd w:val="clear" w:color="auto" w:fill="auto"/>
            <w:noWrap/>
            <w:vAlign w:val="bottom"/>
            <w:hideMark/>
          </w:tcPr>
          <w:p w14:paraId="51245B26"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Net Profit</w:t>
            </w:r>
          </w:p>
        </w:tc>
        <w:tc>
          <w:tcPr>
            <w:tcW w:w="2023" w:type="dxa"/>
            <w:tcBorders>
              <w:top w:val="nil"/>
              <w:left w:val="nil"/>
              <w:bottom w:val="nil"/>
              <w:right w:val="nil"/>
            </w:tcBorders>
            <w:shd w:val="clear" w:color="auto" w:fill="auto"/>
            <w:noWrap/>
            <w:vAlign w:val="bottom"/>
            <w:hideMark/>
          </w:tcPr>
          <w:p w14:paraId="7AC9A56E"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p>
        </w:tc>
        <w:tc>
          <w:tcPr>
            <w:tcW w:w="2241" w:type="dxa"/>
            <w:tcBorders>
              <w:top w:val="nil"/>
              <w:left w:val="nil"/>
              <w:bottom w:val="nil"/>
              <w:right w:val="nil"/>
            </w:tcBorders>
            <w:shd w:val="clear" w:color="auto" w:fill="auto"/>
            <w:noWrap/>
            <w:vAlign w:val="bottom"/>
            <w:hideMark/>
          </w:tcPr>
          <w:p w14:paraId="24DC6AFE" w14:textId="77777777" w:rsidR="005B3F55" w:rsidRPr="001F2C6C" w:rsidRDefault="005B3F55"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112,980 </w:t>
            </w:r>
          </w:p>
        </w:tc>
      </w:tr>
    </w:tbl>
    <w:p w14:paraId="49E005C3" w14:textId="77777777" w:rsidR="00E43FED" w:rsidRPr="001F2C6C" w:rsidRDefault="00E43FED" w:rsidP="001F2C6C">
      <w:pPr>
        <w:spacing w:line="360" w:lineRule="auto"/>
        <w:jc w:val="both"/>
        <w:rPr>
          <w:rFonts w:ascii="Times New Roman" w:hAnsi="Times New Roman" w:cs="Times New Roman"/>
          <w:sz w:val="24"/>
          <w:szCs w:val="24"/>
        </w:rPr>
      </w:pPr>
    </w:p>
    <w:p w14:paraId="3249EB53" w14:textId="77777777" w:rsidR="000A03F0" w:rsidRPr="001F2C6C" w:rsidRDefault="000A03F0"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t xml:space="preserve">The net profit for the year of 2018 for </w:t>
      </w:r>
      <w:proofErr w:type="spellStart"/>
      <w:r w:rsidRPr="001F2C6C">
        <w:rPr>
          <w:rFonts w:ascii="Times New Roman" w:hAnsi="Times New Roman" w:cs="Times New Roman"/>
          <w:sz w:val="24"/>
          <w:szCs w:val="24"/>
        </w:rPr>
        <w:t>Ecclese</w:t>
      </w:r>
      <w:proofErr w:type="spellEnd"/>
      <w:r w:rsidRPr="001F2C6C">
        <w:rPr>
          <w:rFonts w:ascii="Times New Roman" w:hAnsi="Times New Roman" w:cs="Times New Roman"/>
          <w:sz w:val="24"/>
          <w:szCs w:val="24"/>
        </w:rPr>
        <w:t xml:space="preserve"> Plc is GBP 112,980. Before preparing balance sheet, the year-end balance of retained earnings needs to be found. Net profit amount should be added to the beginning balance of retained earnings. Then, dividend amount for ordinary share and preferred share </w:t>
      </w:r>
      <w:proofErr w:type="gramStart"/>
      <w:r w:rsidRPr="001F2C6C">
        <w:rPr>
          <w:rFonts w:ascii="Times New Roman" w:hAnsi="Times New Roman" w:cs="Times New Roman"/>
          <w:sz w:val="24"/>
          <w:szCs w:val="24"/>
        </w:rPr>
        <w:t>have to</w:t>
      </w:r>
      <w:proofErr w:type="gramEnd"/>
      <w:r w:rsidRPr="001F2C6C">
        <w:rPr>
          <w:rFonts w:ascii="Times New Roman" w:hAnsi="Times New Roman" w:cs="Times New Roman"/>
          <w:sz w:val="24"/>
          <w:szCs w:val="24"/>
        </w:rPr>
        <w:t xml:space="preserve"> be deducted</w:t>
      </w:r>
      <w:r w:rsidR="00E4298B" w:rsidRPr="001F2C6C">
        <w:rPr>
          <w:rFonts w:ascii="Times New Roman" w:hAnsi="Times New Roman" w:cs="Times New Roman"/>
          <w:sz w:val="24"/>
          <w:szCs w:val="24"/>
        </w:rPr>
        <w:t xml:space="preserve"> (Garrison, Noreen and Brewer, 2020)</w:t>
      </w:r>
      <w:r w:rsidRPr="001F2C6C">
        <w:rPr>
          <w:rFonts w:ascii="Times New Roman" w:hAnsi="Times New Roman" w:cs="Times New Roman"/>
          <w:sz w:val="24"/>
          <w:szCs w:val="24"/>
        </w:rPr>
        <w:t>. The final balance of retained earnings is £ 194,980 which will be reported in the balance sheet.</w:t>
      </w:r>
    </w:p>
    <w:tbl>
      <w:tblPr>
        <w:tblStyle w:val="PlainTable2"/>
        <w:tblW w:w="6354" w:type="dxa"/>
        <w:jc w:val="center"/>
        <w:tblLook w:val="04A0" w:firstRow="1" w:lastRow="0" w:firstColumn="1" w:lastColumn="0" w:noHBand="0" w:noVBand="1"/>
      </w:tblPr>
      <w:tblGrid>
        <w:gridCol w:w="3009"/>
        <w:gridCol w:w="1756"/>
        <w:gridCol w:w="1589"/>
      </w:tblGrid>
      <w:tr w:rsidR="000A03F0" w:rsidRPr="001F2C6C" w14:paraId="2A180164" w14:textId="77777777" w:rsidTr="00BB1513">
        <w:trPr>
          <w:cnfStyle w:val="100000000000" w:firstRow="1" w:lastRow="0" w:firstColumn="0" w:lastColumn="0" w:oddVBand="0" w:evenVBand="0" w:oddHBand="0" w:evenHBand="0" w:firstRowFirstColumn="0" w:firstRowLastColumn="0" w:lastRowFirstColumn="0" w:lastRowLastColumn="0"/>
          <w:trHeight w:val="298"/>
          <w:jc w:val="center"/>
        </w:trPr>
        <w:tc>
          <w:tcPr>
            <w:cnfStyle w:val="001000000000" w:firstRow="0" w:lastRow="0" w:firstColumn="1" w:lastColumn="0" w:oddVBand="0" w:evenVBand="0" w:oddHBand="0" w:evenHBand="0" w:firstRowFirstColumn="0" w:firstRowLastColumn="0" w:lastRowFirstColumn="0" w:lastRowLastColumn="0"/>
            <w:tcW w:w="3009" w:type="dxa"/>
            <w:noWrap/>
            <w:hideMark/>
          </w:tcPr>
          <w:p w14:paraId="58D58EB1" w14:textId="77777777" w:rsidR="000A03F0" w:rsidRPr="001F2C6C" w:rsidRDefault="000A03F0" w:rsidP="001F2C6C">
            <w:pPr>
              <w:spacing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Particulars</w:t>
            </w:r>
          </w:p>
        </w:tc>
        <w:tc>
          <w:tcPr>
            <w:tcW w:w="1756" w:type="dxa"/>
            <w:noWrap/>
            <w:hideMark/>
          </w:tcPr>
          <w:p w14:paraId="13CFF757" w14:textId="77777777" w:rsidR="000A03F0" w:rsidRPr="001F2C6C" w:rsidRDefault="000A03F0" w:rsidP="001F2C6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589" w:type="dxa"/>
            <w:noWrap/>
            <w:hideMark/>
          </w:tcPr>
          <w:p w14:paraId="2C5092AF" w14:textId="77777777" w:rsidR="000A03F0" w:rsidRPr="001F2C6C" w:rsidRDefault="000A03F0" w:rsidP="001F2C6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w:t>
            </w:r>
          </w:p>
        </w:tc>
      </w:tr>
      <w:tr w:rsidR="000A03F0" w:rsidRPr="001F2C6C" w14:paraId="648172E9" w14:textId="77777777" w:rsidTr="000A03F0">
        <w:trPr>
          <w:cnfStyle w:val="000000100000" w:firstRow="0" w:lastRow="0" w:firstColumn="0" w:lastColumn="0" w:oddVBand="0" w:evenVBand="0" w:oddHBand="1" w:evenHBand="0" w:firstRowFirstColumn="0" w:firstRowLastColumn="0" w:lastRowFirstColumn="0" w:lastRowLastColumn="0"/>
          <w:trHeight w:val="298"/>
          <w:jc w:val="center"/>
        </w:trPr>
        <w:tc>
          <w:tcPr>
            <w:cnfStyle w:val="001000000000" w:firstRow="0" w:lastRow="0" w:firstColumn="1" w:lastColumn="0" w:oddVBand="0" w:evenVBand="0" w:oddHBand="0" w:evenHBand="0" w:firstRowFirstColumn="0" w:firstRowLastColumn="0" w:lastRowFirstColumn="0" w:lastRowLastColumn="0"/>
            <w:tcW w:w="4765" w:type="dxa"/>
            <w:gridSpan w:val="2"/>
            <w:noWrap/>
            <w:hideMark/>
          </w:tcPr>
          <w:p w14:paraId="75FA2D8B" w14:textId="77777777" w:rsidR="000A03F0" w:rsidRPr="001F2C6C" w:rsidRDefault="000A03F0"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 xml:space="preserve">Retained profits </w:t>
            </w:r>
            <w:proofErr w:type="gramStart"/>
            <w:r w:rsidRPr="001F2C6C">
              <w:rPr>
                <w:rFonts w:ascii="Times New Roman" w:eastAsia="Times New Roman" w:hAnsi="Times New Roman" w:cs="Times New Roman"/>
                <w:b w:val="0"/>
                <w:color w:val="000000"/>
                <w:sz w:val="24"/>
                <w:szCs w:val="24"/>
              </w:rPr>
              <w:t>at</w:t>
            </w:r>
            <w:proofErr w:type="gramEnd"/>
            <w:r w:rsidRPr="001F2C6C">
              <w:rPr>
                <w:rFonts w:ascii="Times New Roman" w:eastAsia="Times New Roman" w:hAnsi="Times New Roman" w:cs="Times New Roman"/>
                <w:b w:val="0"/>
                <w:color w:val="000000"/>
                <w:sz w:val="24"/>
                <w:szCs w:val="24"/>
              </w:rPr>
              <w:t xml:space="preserve"> 1st January 2018</w:t>
            </w:r>
          </w:p>
        </w:tc>
        <w:tc>
          <w:tcPr>
            <w:tcW w:w="1589" w:type="dxa"/>
            <w:noWrap/>
            <w:hideMark/>
          </w:tcPr>
          <w:p w14:paraId="19B233FF" w14:textId="77777777" w:rsidR="000A03F0" w:rsidRPr="001F2C6C" w:rsidRDefault="000A03F0"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132,000 </w:t>
            </w:r>
          </w:p>
        </w:tc>
      </w:tr>
      <w:tr w:rsidR="000A03F0" w:rsidRPr="001F2C6C" w14:paraId="4BB8833B" w14:textId="77777777" w:rsidTr="00BB1513">
        <w:trPr>
          <w:trHeight w:val="298"/>
          <w:jc w:val="center"/>
        </w:trPr>
        <w:tc>
          <w:tcPr>
            <w:cnfStyle w:val="001000000000" w:firstRow="0" w:lastRow="0" w:firstColumn="1" w:lastColumn="0" w:oddVBand="0" w:evenVBand="0" w:oddHBand="0" w:evenHBand="0" w:firstRowFirstColumn="0" w:firstRowLastColumn="0" w:lastRowFirstColumn="0" w:lastRowLastColumn="0"/>
            <w:tcW w:w="3009" w:type="dxa"/>
            <w:noWrap/>
            <w:hideMark/>
          </w:tcPr>
          <w:p w14:paraId="5522341A" w14:textId="77777777" w:rsidR="000A03F0" w:rsidRPr="001F2C6C" w:rsidRDefault="000A03F0"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Plus- Net profit</w:t>
            </w:r>
          </w:p>
        </w:tc>
        <w:tc>
          <w:tcPr>
            <w:tcW w:w="1756" w:type="dxa"/>
            <w:noWrap/>
            <w:hideMark/>
          </w:tcPr>
          <w:p w14:paraId="1C35B306" w14:textId="77777777" w:rsidR="000A03F0" w:rsidRPr="001F2C6C" w:rsidRDefault="000A03F0" w:rsidP="001F2C6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589" w:type="dxa"/>
            <w:noWrap/>
            <w:hideMark/>
          </w:tcPr>
          <w:p w14:paraId="53219E08" w14:textId="77777777" w:rsidR="000A03F0" w:rsidRPr="001F2C6C" w:rsidRDefault="000A03F0" w:rsidP="001F2C6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112,980 </w:t>
            </w:r>
          </w:p>
        </w:tc>
      </w:tr>
      <w:tr w:rsidR="000A03F0" w:rsidRPr="001F2C6C" w14:paraId="476E9DF1" w14:textId="77777777" w:rsidTr="000A03F0">
        <w:trPr>
          <w:cnfStyle w:val="000000100000" w:firstRow="0" w:lastRow="0" w:firstColumn="0" w:lastColumn="0" w:oddVBand="0" w:evenVBand="0" w:oddHBand="1" w:evenHBand="0" w:firstRowFirstColumn="0" w:firstRowLastColumn="0" w:lastRowFirstColumn="0" w:lastRowLastColumn="0"/>
          <w:trHeight w:val="298"/>
          <w:jc w:val="center"/>
        </w:trPr>
        <w:tc>
          <w:tcPr>
            <w:cnfStyle w:val="001000000000" w:firstRow="0" w:lastRow="0" w:firstColumn="1" w:lastColumn="0" w:oddVBand="0" w:evenVBand="0" w:oddHBand="0" w:evenHBand="0" w:firstRowFirstColumn="0" w:firstRowLastColumn="0" w:lastRowFirstColumn="0" w:lastRowLastColumn="0"/>
            <w:tcW w:w="4765" w:type="dxa"/>
            <w:gridSpan w:val="2"/>
            <w:noWrap/>
            <w:hideMark/>
          </w:tcPr>
          <w:p w14:paraId="008F3E9C" w14:textId="77777777" w:rsidR="000A03F0" w:rsidRPr="001F2C6C" w:rsidRDefault="000A03F0"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Less- ordinary dividend paid</w:t>
            </w:r>
          </w:p>
        </w:tc>
        <w:tc>
          <w:tcPr>
            <w:tcW w:w="1589" w:type="dxa"/>
            <w:noWrap/>
            <w:hideMark/>
          </w:tcPr>
          <w:p w14:paraId="1261A7CA" w14:textId="77777777" w:rsidR="000A03F0" w:rsidRPr="001F2C6C" w:rsidRDefault="000A03F0"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20,000 </w:t>
            </w:r>
          </w:p>
        </w:tc>
      </w:tr>
      <w:tr w:rsidR="000A03F0" w:rsidRPr="001F2C6C" w14:paraId="245B7D2F" w14:textId="77777777" w:rsidTr="000A03F0">
        <w:trPr>
          <w:trHeight w:val="298"/>
          <w:jc w:val="center"/>
        </w:trPr>
        <w:tc>
          <w:tcPr>
            <w:cnfStyle w:val="001000000000" w:firstRow="0" w:lastRow="0" w:firstColumn="1" w:lastColumn="0" w:oddVBand="0" w:evenVBand="0" w:oddHBand="0" w:evenHBand="0" w:firstRowFirstColumn="0" w:firstRowLastColumn="0" w:lastRowFirstColumn="0" w:lastRowLastColumn="0"/>
            <w:tcW w:w="4765" w:type="dxa"/>
            <w:gridSpan w:val="2"/>
            <w:noWrap/>
            <w:hideMark/>
          </w:tcPr>
          <w:p w14:paraId="79ADF64F" w14:textId="77777777" w:rsidR="000A03F0" w:rsidRPr="001F2C6C" w:rsidRDefault="000A03F0" w:rsidP="001F2C6C">
            <w:pPr>
              <w:spacing w:line="360" w:lineRule="auto"/>
              <w:jc w:val="both"/>
              <w:rPr>
                <w:rFonts w:ascii="Times New Roman" w:eastAsia="Times New Roman" w:hAnsi="Times New Roman" w:cs="Times New Roman"/>
                <w:b w:val="0"/>
                <w:color w:val="000000"/>
                <w:sz w:val="24"/>
                <w:szCs w:val="24"/>
              </w:rPr>
            </w:pPr>
            <w:r w:rsidRPr="001F2C6C">
              <w:rPr>
                <w:rFonts w:ascii="Times New Roman" w:eastAsia="Times New Roman" w:hAnsi="Times New Roman" w:cs="Times New Roman"/>
                <w:b w:val="0"/>
                <w:color w:val="000000"/>
                <w:sz w:val="24"/>
                <w:szCs w:val="24"/>
              </w:rPr>
              <w:t>Less- Preference dividend paid</w:t>
            </w:r>
          </w:p>
        </w:tc>
        <w:tc>
          <w:tcPr>
            <w:tcW w:w="1589" w:type="dxa"/>
            <w:noWrap/>
            <w:hideMark/>
          </w:tcPr>
          <w:p w14:paraId="21CF2F6F" w14:textId="77777777" w:rsidR="000A03F0" w:rsidRPr="001F2C6C" w:rsidRDefault="000A03F0" w:rsidP="001F2C6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30,000 </w:t>
            </w:r>
          </w:p>
        </w:tc>
      </w:tr>
      <w:tr w:rsidR="000A03F0" w:rsidRPr="001F2C6C" w14:paraId="73E2A6C1" w14:textId="77777777" w:rsidTr="000A03F0">
        <w:trPr>
          <w:cnfStyle w:val="000000100000" w:firstRow="0" w:lastRow="0" w:firstColumn="0" w:lastColumn="0" w:oddVBand="0" w:evenVBand="0" w:oddHBand="1" w:evenHBand="0" w:firstRowFirstColumn="0" w:firstRowLastColumn="0" w:lastRowFirstColumn="0" w:lastRowLastColumn="0"/>
          <w:trHeight w:val="298"/>
          <w:jc w:val="center"/>
        </w:trPr>
        <w:tc>
          <w:tcPr>
            <w:cnfStyle w:val="001000000000" w:firstRow="0" w:lastRow="0" w:firstColumn="1" w:lastColumn="0" w:oddVBand="0" w:evenVBand="0" w:oddHBand="0" w:evenHBand="0" w:firstRowFirstColumn="0" w:firstRowLastColumn="0" w:lastRowFirstColumn="0" w:lastRowLastColumn="0"/>
            <w:tcW w:w="4765" w:type="dxa"/>
            <w:gridSpan w:val="2"/>
            <w:noWrap/>
            <w:hideMark/>
          </w:tcPr>
          <w:p w14:paraId="64DE2EF7" w14:textId="77777777" w:rsidR="000A03F0" w:rsidRPr="001F2C6C" w:rsidRDefault="000A03F0" w:rsidP="001F2C6C">
            <w:pPr>
              <w:spacing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Retained profits </w:t>
            </w:r>
            <w:proofErr w:type="gramStart"/>
            <w:r w:rsidRPr="001F2C6C">
              <w:rPr>
                <w:rFonts w:ascii="Times New Roman" w:eastAsia="Times New Roman" w:hAnsi="Times New Roman" w:cs="Times New Roman"/>
                <w:color w:val="000000"/>
                <w:sz w:val="24"/>
                <w:szCs w:val="24"/>
              </w:rPr>
              <w:t>at</w:t>
            </w:r>
            <w:proofErr w:type="gramEnd"/>
            <w:r w:rsidRPr="001F2C6C">
              <w:rPr>
                <w:rFonts w:ascii="Times New Roman" w:eastAsia="Times New Roman" w:hAnsi="Times New Roman" w:cs="Times New Roman"/>
                <w:color w:val="000000"/>
                <w:sz w:val="24"/>
                <w:szCs w:val="24"/>
              </w:rPr>
              <w:t xml:space="preserve"> 31st December 2018</w:t>
            </w:r>
          </w:p>
        </w:tc>
        <w:tc>
          <w:tcPr>
            <w:tcW w:w="1589" w:type="dxa"/>
            <w:noWrap/>
            <w:hideMark/>
          </w:tcPr>
          <w:p w14:paraId="3ABCB118" w14:textId="77777777" w:rsidR="000A03F0" w:rsidRPr="001F2C6C" w:rsidRDefault="000A03F0" w:rsidP="001F2C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194,980 </w:t>
            </w:r>
          </w:p>
        </w:tc>
      </w:tr>
    </w:tbl>
    <w:p w14:paraId="59242D6D" w14:textId="77777777" w:rsidR="000A03F0" w:rsidRPr="001F2C6C" w:rsidRDefault="000A03F0" w:rsidP="001F2C6C">
      <w:pPr>
        <w:spacing w:line="360" w:lineRule="auto"/>
        <w:jc w:val="both"/>
        <w:rPr>
          <w:rFonts w:ascii="Times New Roman" w:hAnsi="Times New Roman" w:cs="Times New Roman"/>
          <w:sz w:val="24"/>
          <w:szCs w:val="24"/>
        </w:rPr>
      </w:pPr>
    </w:p>
    <w:p w14:paraId="5BEF9D6A" w14:textId="77777777" w:rsidR="000A03F0" w:rsidRPr="001F2C6C" w:rsidRDefault="000A03F0" w:rsidP="001F2C6C">
      <w:pPr>
        <w:spacing w:line="360" w:lineRule="auto"/>
        <w:jc w:val="both"/>
        <w:rPr>
          <w:rFonts w:ascii="Times New Roman" w:hAnsi="Times New Roman" w:cs="Times New Roman"/>
          <w:sz w:val="24"/>
          <w:szCs w:val="24"/>
        </w:rPr>
      </w:pPr>
    </w:p>
    <w:tbl>
      <w:tblPr>
        <w:tblW w:w="8022" w:type="dxa"/>
        <w:jc w:val="center"/>
        <w:tblLook w:val="04A0" w:firstRow="1" w:lastRow="0" w:firstColumn="1" w:lastColumn="0" w:noHBand="0" w:noVBand="1"/>
      </w:tblPr>
      <w:tblGrid>
        <w:gridCol w:w="3069"/>
        <w:gridCol w:w="314"/>
        <w:gridCol w:w="313"/>
        <w:gridCol w:w="4326"/>
      </w:tblGrid>
      <w:tr w:rsidR="000A03F0" w:rsidRPr="001F2C6C" w14:paraId="75352E32" w14:textId="77777777" w:rsidTr="00BB1513">
        <w:trPr>
          <w:trHeight w:val="256"/>
          <w:jc w:val="center"/>
        </w:trPr>
        <w:tc>
          <w:tcPr>
            <w:tcW w:w="8022" w:type="dxa"/>
            <w:gridSpan w:val="4"/>
            <w:tcBorders>
              <w:top w:val="nil"/>
              <w:left w:val="nil"/>
              <w:bottom w:val="nil"/>
              <w:right w:val="nil"/>
            </w:tcBorders>
            <w:shd w:val="clear" w:color="auto" w:fill="auto"/>
            <w:noWrap/>
            <w:vAlign w:val="bottom"/>
            <w:hideMark/>
          </w:tcPr>
          <w:p w14:paraId="1276DE27" w14:textId="77777777" w:rsidR="000A03F0" w:rsidRPr="001F2C6C" w:rsidRDefault="000A03F0" w:rsidP="001F2C6C">
            <w:pPr>
              <w:spacing w:after="0" w:line="360" w:lineRule="auto"/>
              <w:jc w:val="center"/>
              <w:rPr>
                <w:rFonts w:ascii="Times New Roman" w:eastAsia="Times New Roman" w:hAnsi="Times New Roman" w:cs="Times New Roman"/>
                <w:b/>
                <w:bCs/>
                <w:color w:val="000000"/>
                <w:sz w:val="24"/>
                <w:szCs w:val="24"/>
              </w:rPr>
            </w:pPr>
            <w:proofErr w:type="spellStart"/>
            <w:r w:rsidRPr="001F2C6C">
              <w:rPr>
                <w:rFonts w:ascii="Times New Roman" w:eastAsia="Times New Roman" w:hAnsi="Times New Roman" w:cs="Times New Roman"/>
                <w:b/>
                <w:bCs/>
                <w:color w:val="000000"/>
                <w:sz w:val="24"/>
                <w:szCs w:val="24"/>
              </w:rPr>
              <w:t>Ecclese</w:t>
            </w:r>
            <w:proofErr w:type="spellEnd"/>
            <w:r w:rsidRPr="001F2C6C">
              <w:rPr>
                <w:rFonts w:ascii="Times New Roman" w:eastAsia="Times New Roman" w:hAnsi="Times New Roman" w:cs="Times New Roman"/>
                <w:b/>
                <w:bCs/>
                <w:color w:val="000000"/>
                <w:sz w:val="24"/>
                <w:szCs w:val="24"/>
              </w:rPr>
              <w:t xml:space="preserve"> Plc</w:t>
            </w:r>
          </w:p>
        </w:tc>
      </w:tr>
      <w:tr w:rsidR="000A03F0" w:rsidRPr="001F2C6C" w14:paraId="14B35175" w14:textId="77777777" w:rsidTr="00BB1513">
        <w:trPr>
          <w:trHeight w:val="256"/>
          <w:jc w:val="center"/>
        </w:trPr>
        <w:tc>
          <w:tcPr>
            <w:tcW w:w="8022" w:type="dxa"/>
            <w:gridSpan w:val="4"/>
            <w:tcBorders>
              <w:top w:val="nil"/>
              <w:left w:val="nil"/>
              <w:bottom w:val="nil"/>
              <w:right w:val="nil"/>
            </w:tcBorders>
            <w:shd w:val="clear" w:color="auto" w:fill="auto"/>
            <w:noWrap/>
            <w:vAlign w:val="bottom"/>
            <w:hideMark/>
          </w:tcPr>
          <w:p w14:paraId="143A1E91" w14:textId="77777777" w:rsidR="000A03F0" w:rsidRPr="001F2C6C" w:rsidRDefault="000A03F0" w:rsidP="001F2C6C">
            <w:pPr>
              <w:spacing w:after="0" w:line="360" w:lineRule="auto"/>
              <w:jc w:val="center"/>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Balance Sheet</w:t>
            </w:r>
          </w:p>
        </w:tc>
      </w:tr>
      <w:tr w:rsidR="000A03F0" w:rsidRPr="001F2C6C" w14:paraId="05F4866F" w14:textId="77777777" w:rsidTr="00BB1513">
        <w:trPr>
          <w:trHeight w:val="256"/>
          <w:jc w:val="center"/>
        </w:trPr>
        <w:tc>
          <w:tcPr>
            <w:tcW w:w="8022" w:type="dxa"/>
            <w:gridSpan w:val="4"/>
            <w:tcBorders>
              <w:top w:val="nil"/>
              <w:left w:val="nil"/>
              <w:bottom w:val="nil"/>
              <w:right w:val="nil"/>
            </w:tcBorders>
            <w:shd w:val="clear" w:color="auto" w:fill="auto"/>
            <w:noWrap/>
            <w:vAlign w:val="bottom"/>
            <w:hideMark/>
          </w:tcPr>
          <w:p w14:paraId="3E48B27F" w14:textId="77777777" w:rsidR="000A03F0" w:rsidRPr="001F2C6C" w:rsidRDefault="000A03F0" w:rsidP="001F2C6C">
            <w:pPr>
              <w:spacing w:after="0" w:line="360" w:lineRule="auto"/>
              <w:jc w:val="center"/>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31st December 2018</w:t>
            </w:r>
          </w:p>
        </w:tc>
      </w:tr>
      <w:tr w:rsidR="000A03F0" w:rsidRPr="001F2C6C" w14:paraId="27EF8C1E"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10D61111"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314" w:type="dxa"/>
            <w:tcBorders>
              <w:top w:val="nil"/>
              <w:left w:val="nil"/>
              <w:bottom w:val="nil"/>
              <w:right w:val="nil"/>
            </w:tcBorders>
            <w:shd w:val="clear" w:color="auto" w:fill="auto"/>
            <w:noWrap/>
            <w:vAlign w:val="bottom"/>
            <w:hideMark/>
          </w:tcPr>
          <w:p w14:paraId="7F596A40"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313" w:type="dxa"/>
            <w:tcBorders>
              <w:top w:val="nil"/>
              <w:left w:val="nil"/>
              <w:bottom w:val="nil"/>
              <w:right w:val="nil"/>
            </w:tcBorders>
            <w:shd w:val="clear" w:color="auto" w:fill="auto"/>
            <w:noWrap/>
            <w:vAlign w:val="bottom"/>
            <w:hideMark/>
          </w:tcPr>
          <w:p w14:paraId="244E187B"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630DEAA4"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r>
      <w:tr w:rsidR="000A03F0" w:rsidRPr="001F2C6C" w14:paraId="6290C861"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2BDF1C03"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Assets</w:t>
            </w:r>
          </w:p>
        </w:tc>
        <w:tc>
          <w:tcPr>
            <w:tcW w:w="314" w:type="dxa"/>
            <w:tcBorders>
              <w:top w:val="nil"/>
              <w:left w:val="nil"/>
              <w:bottom w:val="nil"/>
              <w:right w:val="nil"/>
            </w:tcBorders>
            <w:shd w:val="clear" w:color="auto" w:fill="auto"/>
            <w:noWrap/>
            <w:vAlign w:val="bottom"/>
            <w:hideMark/>
          </w:tcPr>
          <w:p w14:paraId="29427303"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313" w:type="dxa"/>
            <w:tcBorders>
              <w:top w:val="nil"/>
              <w:left w:val="nil"/>
              <w:bottom w:val="nil"/>
              <w:right w:val="nil"/>
            </w:tcBorders>
            <w:shd w:val="clear" w:color="auto" w:fill="auto"/>
            <w:noWrap/>
            <w:vAlign w:val="bottom"/>
            <w:hideMark/>
          </w:tcPr>
          <w:p w14:paraId="7542FE59"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26248861"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w:t>
            </w:r>
          </w:p>
        </w:tc>
      </w:tr>
      <w:tr w:rsidR="000A03F0" w:rsidRPr="001F2C6C" w14:paraId="3820DCBE"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67641497"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u w:val="single"/>
              </w:rPr>
            </w:pPr>
            <w:r w:rsidRPr="001F2C6C">
              <w:rPr>
                <w:rFonts w:ascii="Times New Roman" w:eastAsia="Times New Roman" w:hAnsi="Times New Roman" w:cs="Times New Roman"/>
                <w:color w:val="000000"/>
                <w:sz w:val="24"/>
                <w:szCs w:val="24"/>
                <w:u w:val="single"/>
              </w:rPr>
              <w:t>Non-current Asset</w:t>
            </w:r>
          </w:p>
        </w:tc>
        <w:tc>
          <w:tcPr>
            <w:tcW w:w="313" w:type="dxa"/>
            <w:tcBorders>
              <w:top w:val="nil"/>
              <w:left w:val="nil"/>
              <w:bottom w:val="nil"/>
              <w:right w:val="nil"/>
            </w:tcBorders>
            <w:shd w:val="clear" w:color="auto" w:fill="auto"/>
            <w:noWrap/>
            <w:vAlign w:val="bottom"/>
            <w:hideMark/>
          </w:tcPr>
          <w:p w14:paraId="0576DF84"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u w:val="single"/>
              </w:rPr>
            </w:pPr>
          </w:p>
        </w:tc>
        <w:tc>
          <w:tcPr>
            <w:tcW w:w="4325" w:type="dxa"/>
            <w:tcBorders>
              <w:top w:val="nil"/>
              <w:left w:val="nil"/>
              <w:bottom w:val="nil"/>
              <w:right w:val="nil"/>
            </w:tcBorders>
            <w:shd w:val="clear" w:color="auto" w:fill="auto"/>
            <w:noWrap/>
            <w:vAlign w:val="bottom"/>
            <w:hideMark/>
          </w:tcPr>
          <w:p w14:paraId="3C698BB1"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r>
      <w:tr w:rsidR="000A03F0" w:rsidRPr="001F2C6C" w14:paraId="4E47B0D0" w14:textId="77777777" w:rsidTr="00BB1513">
        <w:trPr>
          <w:trHeight w:val="256"/>
          <w:jc w:val="center"/>
        </w:trPr>
        <w:tc>
          <w:tcPr>
            <w:tcW w:w="3696" w:type="dxa"/>
            <w:gridSpan w:val="3"/>
            <w:tcBorders>
              <w:top w:val="nil"/>
              <w:left w:val="nil"/>
              <w:bottom w:val="nil"/>
              <w:right w:val="nil"/>
            </w:tcBorders>
            <w:shd w:val="clear" w:color="auto" w:fill="auto"/>
            <w:noWrap/>
            <w:vAlign w:val="bottom"/>
            <w:hideMark/>
          </w:tcPr>
          <w:p w14:paraId="5FC13DE3"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Plant and Equipment</w:t>
            </w:r>
          </w:p>
        </w:tc>
        <w:tc>
          <w:tcPr>
            <w:tcW w:w="4325" w:type="dxa"/>
            <w:tcBorders>
              <w:top w:val="nil"/>
              <w:left w:val="nil"/>
              <w:bottom w:val="nil"/>
              <w:right w:val="nil"/>
            </w:tcBorders>
            <w:shd w:val="clear" w:color="auto" w:fill="auto"/>
            <w:noWrap/>
            <w:vAlign w:val="bottom"/>
            <w:hideMark/>
          </w:tcPr>
          <w:p w14:paraId="137017A4" w14:textId="77777777" w:rsidR="000A03F0" w:rsidRPr="001F2C6C" w:rsidRDefault="000A03F0" w:rsidP="001F2C6C">
            <w:pPr>
              <w:spacing w:after="0" w:line="360" w:lineRule="auto"/>
              <w:jc w:val="right"/>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632,730 </w:t>
            </w:r>
          </w:p>
        </w:tc>
      </w:tr>
      <w:tr w:rsidR="000A03F0" w:rsidRPr="001F2C6C" w14:paraId="5AE4C088"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2F570B48"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314" w:type="dxa"/>
            <w:tcBorders>
              <w:top w:val="nil"/>
              <w:left w:val="nil"/>
              <w:bottom w:val="nil"/>
              <w:right w:val="nil"/>
            </w:tcBorders>
            <w:shd w:val="clear" w:color="auto" w:fill="auto"/>
            <w:noWrap/>
            <w:vAlign w:val="bottom"/>
            <w:hideMark/>
          </w:tcPr>
          <w:p w14:paraId="39589C54"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313" w:type="dxa"/>
            <w:tcBorders>
              <w:top w:val="nil"/>
              <w:left w:val="nil"/>
              <w:bottom w:val="nil"/>
              <w:right w:val="nil"/>
            </w:tcBorders>
            <w:shd w:val="clear" w:color="auto" w:fill="auto"/>
            <w:noWrap/>
            <w:vAlign w:val="bottom"/>
            <w:hideMark/>
          </w:tcPr>
          <w:p w14:paraId="17720DD2"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0D88F9D3" w14:textId="77777777" w:rsidR="000A03F0" w:rsidRPr="001F2C6C" w:rsidRDefault="000A03F0" w:rsidP="001F2C6C">
            <w:pPr>
              <w:spacing w:after="0" w:line="360" w:lineRule="auto"/>
              <w:jc w:val="right"/>
              <w:rPr>
                <w:rFonts w:ascii="Times New Roman" w:eastAsia="Times New Roman" w:hAnsi="Times New Roman" w:cs="Times New Roman"/>
                <w:sz w:val="24"/>
                <w:szCs w:val="24"/>
              </w:rPr>
            </w:pPr>
          </w:p>
        </w:tc>
      </w:tr>
      <w:tr w:rsidR="000A03F0" w:rsidRPr="001F2C6C" w14:paraId="268F1F2B"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14BB1A0B"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u w:val="single"/>
              </w:rPr>
            </w:pPr>
            <w:r w:rsidRPr="001F2C6C">
              <w:rPr>
                <w:rFonts w:ascii="Times New Roman" w:eastAsia="Times New Roman" w:hAnsi="Times New Roman" w:cs="Times New Roman"/>
                <w:color w:val="000000"/>
                <w:sz w:val="24"/>
                <w:szCs w:val="24"/>
                <w:u w:val="single"/>
              </w:rPr>
              <w:t>Current Asset</w:t>
            </w:r>
          </w:p>
        </w:tc>
        <w:tc>
          <w:tcPr>
            <w:tcW w:w="313" w:type="dxa"/>
            <w:tcBorders>
              <w:top w:val="nil"/>
              <w:left w:val="nil"/>
              <w:bottom w:val="nil"/>
              <w:right w:val="nil"/>
            </w:tcBorders>
            <w:shd w:val="clear" w:color="auto" w:fill="auto"/>
            <w:noWrap/>
            <w:vAlign w:val="bottom"/>
            <w:hideMark/>
          </w:tcPr>
          <w:p w14:paraId="68E2DC67"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u w:val="single"/>
              </w:rPr>
            </w:pPr>
          </w:p>
        </w:tc>
        <w:tc>
          <w:tcPr>
            <w:tcW w:w="4325" w:type="dxa"/>
            <w:tcBorders>
              <w:top w:val="nil"/>
              <w:left w:val="nil"/>
              <w:bottom w:val="nil"/>
              <w:right w:val="nil"/>
            </w:tcBorders>
            <w:shd w:val="clear" w:color="auto" w:fill="auto"/>
            <w:noWrap/>
            <w:vAlign w:val="bottom"/>
            <w:hideMark/>
          </w:tcPr>
          <w:p w14:paraId="622E5566" w14:textId="77777777" w:rsidR="000A03F0" w:rsidRPr="001F2C6C" w:rsidRDefault="000A03F0" w:rsidP="001F2C6C">
            <w:pPr>
              <w:spacing w:after="0" w:line="360" w:lineRule="auto"/>
              <w:jc w:val="right"/>
              <w:rPr>
                <w:rFonts w:ascii="Times New Roman" w:eastAsia="Times New Roman" w:hAnsi="Times New Roman" w:cs="Times New Roman"/>
                <w:sz w:val="24"/>
                <w:szCs w:val="24"/>
              </w:rPr>
            </w:pPr>
          </w:p>
        </w:tc>
      </w:tr>
      <w:tr w:rsidR="000A03F0" w:rsidRPr="001F2C6C" w14:paraId="52ABDE07"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5BAB8ACA"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Debtors</w:t>
            </w:r>
          </w:p>
        </w:tc>
        <w:tc>
          <w:tcPr>
            <w:tcW w:w="314" w:type="dxa"/>
            <w:tcBorders>
              <w:top w:val="nil"/>
              <w:left w:val="nil"/>
              <w:bottom w:val="nil"/>
              <w:right w:val="nil"/>
            </w:tcBorders>
            <w:shd w:val="clear" w:color="auto" w:fill="auto"/>
            <w:noWrap/>
            <w:vAlign w:val="bottom"/>
            <w:hideMark/>
          </w:tcPr>
          <w:p w14:paraId="5EF83CE0"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313" w:type="dxa"/>
            <w:tcBorders>
              <w:top w:val="nil"/>
              <w:left w:val="nil"/>
              <w:bottom w:val="nil"/>
              <w:right w:val="nil"/>
            </w:tcBorders>
            <w:shd w:val="clear" w:color="auto" w:fill="auto"/>
            <w:noWrap/>
            <w:vAlign w:val="bottom"/>
            <w:hideMark/>
          </w:tcPr>
          <w:p w14:paraId="744440E0"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7979D9F7"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171,105 </w:t>
            </w:r>
          </w:p>
        </w:tc>
      </w:tr>
      <w:tr w:rsidR="000A03F0" w:rsidRPr="001F2C6C" w14:paraId="7D02CB24"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267191C7"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Stock</w:t>
            </w:r>
          </w:p>
        </w:tc>
        <w:tc>
          <w:tcPr>
            <w:tcW w:w="314" w:type="dxa"/>
            <w:tcBorders>
              <w:top w:val="nil"/>
              <w:left w:val="nil"/>
              <w:bottom w:val="nil"/>
              <w:right w:val="nil"/>
            </w:tcBorders>
            <w:shd w:val="clear" w:color="auto" w:fill="auto"/>
            <w:noWrap/>
            <w:vAlign w:val="bottom"/>
            <w:hideMark/>
          </w:tcPr>
          <w:p w14:paraId="6DF253F6"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313" w:type="dxa"/>
            <w:tcBorders>
              <w:top w:val="nil"/>
              <w:left w:val="nil"/>
              <w:bottom w:val="nil"/>
              <w:right w:val="nil"/>
            </w:tcBorders>
            <w:shd w:val="clear" w:color="auto" w:fill="auto"/>
            <w:noWrap/>
            <w:vAlign w:val="bottom"/>
            <w:hideMark/>
          </w:tcPr>
          <w:p w14:paraId="048BE7F3"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064E1831"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330,600 </w:t>
            </w:r>
          </w:p>
        </w:tc>
      </w:tr>
      <w:tr w:rsidR="000A03F0" w:rsidRPr="001F2C6C" w14:paraId="26C8EC2C"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6F381EE2"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Cash and bank</w:t>
            </w:r>
          </w:p>
        </w:tc>
        <w:tc>
          <w:tcPr>
            <w:tcW w:w="313" w:type="dxa"/>
            <w:tcBorders>
              <w:top w:val="nil"/>
              <w:left w:val="nil"/>
              <w:bottom w:val="nil"/>
              <w:right w:val="nil"/>
            </w:tcBorders>
            <w:shd w:val="clear" w:color="auto" w:fill="auto"/>
            <w:noWrap/>
            <w:vAlign w:val="bottom"/>
            <w:hideMark/>
          </w:tcPr>
          <w:p w14:paraId="5705B937"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4325" w:type="dxa"/>
            <w:tcBorders>
              <w:top w:val="nil"/>
              <w:left w:val="nil"/>
              <w:bottom w:val="nil"/>
              <w:right w:val="nil"/>
            </w:tcBorders>
            <w:shd w:val="clear" w:color="auto" w:fill="auto"/>
            <w:noWrap/>
            <w:vAlign w:val="bottom"/>
            <w:hideMark/>
          </w:tcPr>
          <w:p w14:paraId="119F493A"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12,900 </w:t>
            </w:r>
          </w:p>
        </w:tc>
      </w:tr>
      <w:tr w:rsidR="000A03F0" w:rsidRPr="001F2C6C" w14:paraId="00022158"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05190D02"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314" w:type="dxa"/>
            <w:tcBorders>
              <w:top w:val="nil"/>
              <w:left w:val="nil"/>
              <w:bottom w:val="nil"/>
              <w:right w:val="nil"/>
            </w:tcBorders>
            <w:shd w:val="clear" w:color="auto" w:fill="auto"/>
            <w:noWrap/>
            <w:vAlign w:val="bottom"/>
            <w:hideMark/>
          </w:tcPr>
          <w:p w14:paraId="2D14C1F8"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313" w:type="dxa"/>
            <w:tcBorders>
              <w:top w:val="nil"/>
              <w:left w:val="nil"/>
              <w:bottom w:val="nil"/>
              <w:right w:val="nil"/>
            </w:tcBorders>
            <w:shd w:val="clear" w:color="auto" w:fill="auto"/>
            <w:noWrap/>
            <w:vAlign w:val="bottom"/>
            <w:hideMark/>
          </w:tcPr>
          <w:p w14:paraId="1062226F"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1FCFBFE9" w14:textId="77777777" w:rsidR="000A03F0" w:rsidRPr="001F2C6C" w:rsidRDefault="000A03F0" w:rsidP="001F2C6C">
            <w:pPr>
              <w:spacing w:after="0" w:line="360" w:lineRule="auto"/>
              <w:jc w:val="right"/>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514,605 </w:t>
            </w:r>
          </w:p>
        </w:tc>
      </w:tr>
      <w:tr w:rsidR="000A03F0" w:rsidRPr="001F2C6C" w14:paraId="30083AD3"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6CC5DC52"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Total Asset</w:t>
            </w:r>
          </w:p>
        </w:tc>
        <w:tc>
          <w:tcPr>
            <w:tcW w:w="313" w:type="dxa"/>
            <w:tcBorders>
              <w:top w:val="nil"/>
              <w:left w:val="nil"/>
              <w:bottom w:val="nil"/>
              <w:right w:val="nil"/>
            </w:tcBorders>
            <w:shd w:val="clear" w:color="auto" w:fill="auto"/>
            <w:noWrap/>
            <w:vAlign w:val="bottom"/>
            <w:hideMark/>
          </w:tcPr>
          <w:p w14:paraId="7DA22E32"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4325" w:type="dxa"/>
            <w:tcBorders>
              <w:top w:val="nil"/>
              <w:left w:val="nil"/>
              <w:bottom w:val="nil"/>
              <w:right w:val="nil"/>
            </w:tcBorders>
            <w:shd w:val="clear" w:color="auto" w:fill="auto"/>
            <w:noWrap/>
            <w:vAlign w:val="bottom"/>
            <w:hideMark/>
          </w:tcPr>
          <w:p w14:paraId="51D33E42" w14:textId="77777777" w:rsidR="000A03F0" w:rsidRPr="001F2C6C" w:rsidRDefault="000A03F0" w:rsidP="001F2C6C">
            <w:pPr>
              <w:spacing w:after="0" w:line="360" w:lineRule="auto"/>
              <w:jc w:val="right"/>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1,147,335 </w:t>
            </w:r>
          </w:p>
        </w:tc>
      </w:tr>
      <w:tr w:rsidR="000A03F0" w:rsidRPr="001F2C6C" w14:paraId="1FEEDCB9"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46C58A1E"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314" w:type="dxa"/>
            <w:tcBorders>
              <w:top w:val="nil"/>
              <w:left w:val="nil"/>
              <w:bottom w:val="nil"/>
              <w:right w:val="nil"/>
            </w:tcBorders>
            <w:shd w:val="clear" w:color="auto" w:fill="auto"/>
            <w:noWrap/>
            <w:vAlign w:val="bottom"/>
            <w:hideMark/>
          </w:tcPr>
          <w:p w14:paraId="23507618"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313" w:type="dxa"/>
            <w:tcBorders>
              <w:top w:val="nil"/>
              <w:left w:val="nil"/>
              <w:bottom w:val="nil"/>
              <w:right w:val="nil"/>
            </w:tcBorders>
            <w:shd w:val="clear" w:color="auto" w:fill="auto"/>
            <w:noWrap/>
            <w:vAlign w:val="bottom"/>
            <w:hideMark/>
          </w:tcPr>
          <w:p w14:paraId="60CF3E59"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0997CF0D" w14:textId="77777777" w:rsidR="000A03F0" w:rsidRPr="001F2C6C" w:rsidRDefault="000A03F0" w:rsidP="001F2C6C">
            <w:pPr>
              <w:spacing w:after="0" w:line="360" w:lineRule="auto"/>
              <w:jc w:val="right"/>
              <w:rPr>
                <w:rFonts w:ascii="Times New Roman" w:eastAsia="Times New Roman" w:hAnsi="Times New Roman" w:cs="Times New Roman"/>
                <w:sz w:val="24"/>
                <w:szCs w:val="24"/>
              </w:rPr>
            </w:pPr>
          </w:p>
        </w:tc>
      </w:tr>
      <w:tr w:rsidR="000A03F0" w:rsidRPr="001F2C6C" w14:paraId="336CC5D3"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2996651F"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Liabilities</w:t>
            </w:r>
          </w:p>
        </w:tc>
        <w:tc>
          <w:tcPr>
            <w:tcW w:w="314" w:type="dxa"/>
            <w:tcBorders>
              <w:top w:val="nil"/>
              <w:left w:val="nil"/>
              <w:bottom w:val="nil"/>
              <w:right w:val="nil"/>
            </w:tcBorders>
            <w:shd w:val="clear" w:color="auto" w:fill="auto"/>
            <w:noWrap/>
            <w:vAlign w:val="bottom"/>
            <w:hideMark/>
          </w:tcPr>
          <w:p w14:paraId="09B22DC8"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313" w:type="dxa"/>
            <w:tcBorders>
              <w:top w:val="nil"/>
              <w:left w:val="nil"/>
              <w:bottom w:val="nil"/>
              <w:right w:val="nil"/>
            </w:tcBorders>
            <w:shd w:val="clear" w:color="auto" w:fill="auto"/>
            <w:noWrap/>
            <w:vAlign w:val="bottom"/>
            <w:hideMark/>
          </w:tcPr>
          <w:p w14:paraId="13930B21"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0B1EB0AE" w14:textId="77777777" w:rsidR="000A03F0" w:rsidRPr="001F2C6C" w:rsidRDefault="000A03F0" w:rsidP="001F2C6C">
            <w:pPr>
              <w:spacing w:after="0" w:line="360" w:lineRule="auto"/>
              <w:jc w:val="right"/>
              <w:rPr>
                <w:rFonts w:ascii="Times New Roman" w:eastAsia="Times New Roman" w:hAnsi="Times New Roman" w:cs="Times New Roman"/>
                <w:sz w:val="24"/>
                <w:szCs w:val="24"/>
              </w:rPr>
            </w:pPr>
          </w:p>
        </w:tc>
      </w:tr>
      <w:tr w:rsidR="000A03F0" w:rsidRPr="001F2C6C" w14:paraId="334D9613" w14:textId="77777777" w:rsidTr="00BB1513">
        <w:trPr>
          <w:trHeight w:val="256"/>
          <w:jc w:val="center"/>
        </w:trPr>
        <w:tc>
          <w:tcPr>
            <w:tcW w:w="3696" w:type="dxa"/>
            <w:gridSpan w:val="3"/>
            <w:tcBorders>
              <w:top w:val="nil"/>
              <w:left w:val="nil"/>
              <w:bottom w:val="nil"/>
              <w:right w:val="nil"/>
            </w:tcBorders>
            <w:shd w:val="clear" w:color="auto" w:fill="auto"/>
            <w:noWrap/>
            <w:vAlign w:val="bottom"/>
            <w:hideMark/>
          </w:tcPr>
          <w:p w14:paraId="6EEDF57C"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u w:val="single"/>
              </w:rPr>
            </w:pPr>
            <w:r w:rsidRPr="001F2C6C">
              <w:rPr>
                <w:rFonts w:ascii="Times New Roman" w:eastAsia="Times New Roman" w:hAnsi="Times New Roman" w:cs="Times New Roman"/>
                <w:color w:val="000000"/>
                <w:sz w:val="24"/>
                <w:szCs w:val="24"/>
                <w:u w:val="single"/>
              </w:rPr>
              <w:t>Non- current liabilities</w:t>
            </w:r>
          </w:p>
        </w:tc>
        <w:tc>
          <w:tcPr>
            <w:tcW w:w="4325" w:type="dxa"/>
            <w:tcBorders>
              <w:top w:val="nil"/>
              <w:left w:val="nil"/>
              <w:bottom w:val="nil"/>
              <w:right w:val="nil"/>
            </w:tcBorders>
            <w:shd w:val="clear" w:color="auto" w:fill="auto"/>
            <w:noWrap/>
            <w:vAlign w:val="bottom"/>
            <w:hideMark/>
          </w:tcPr>
          <w:p w14:paraId="39EF7AFA"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u w:val="single"/>
              </w:rPr>
            </w:pPr>
          </w:p>
        </w:tc>
      </w:tr>
      <w:tr w:rsidR="000A03F0" w:rsidRPr="001F2C6C" w14:paraId="673AC3AD"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428314CB"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4% Debenture</w:t>
            </w:r>
          </w:p>
        </w:tc>
        <w:tc>
          <w:tcPr>
            <w:tcW w:w="313" w:type="dxa"/>
            <w:tcBorders>
              <w:top w:val="nil"/>
              <w:left w:val="nil"/>
              <w:bottom w:val="nil"/>
              <w:right w:val="nil"/>
            </w:tcBorders>
            <w:shd w:val="clear" w:color="auto" w:fill="auto"/>
            <w:noWrap/>
            <w:vAlign w:val="bottom"/>
            <w:hideMark/>
          </w:tcPr>
          <w:p w14:paraId="39C18AEF"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4325" w:type="dxa"/>
            <w:tcBorders>
              <w:top w:val="nil"/>
              <w:left w:val="nil"/>
              <w:bottom w:val="nil"/>
              <w:right w:val="nil"/>
            </w:tcBorders>
            <w:shd w:val="clear" w:color="auto" w:fill="auto"/>
            <w:noWrap/>
            <w:vAlign w:val="bottom"/>
            <w:hideMark/>
          </w:tcPr>
          <w:p w14:paraId="50FBCED6" w14:textId="77777777" w:rsidR="000A03F0" w:rsidRPr="001F2C6C" w:rsidRDefault="000A03F0" w:rsidP="001F2C6C">
            <w:pPr>
              <w:spacing w:after="0" w:line="360" w:lineRule="auto"/>
              <w:jc w:val="right"/>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100,000 </w:t>
            </w:r>
          </w:p>
        </w:tc>
      </w:tr>
      <w:tr w:rsidR="000A03F0" w:rsidRPr="001F2C6C" w14:paraId="685FE953"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5471BF2E"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314" w:type="dxa"/>
            <w:tcBorders>
              <w:top w:val="nil"/>
              <w:left w:val="nil"/>
              <w:bottom w:val="nil"/>
              <w:right w:val="nil"/>
            </w:tcBorders>
            <w:shd w:val="clear" w:color="auto" w:fill="auto"/>
            <w:noWrap/>
            <w:vAlign w:val="bottom"/>
            <w:hideMark/>
          </w:tcPr>
          <w:p w14:paraId="2AC020CD"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313" w:type="dxa"/>
            <w:tcBorders>
              <w:top w:val="nil"/>
              <w:left w:val="nil"/>
              <w:bottom w:val="nil"/>
              <w:right w:val="nil"/>
            </w:tcBorders>
            <w:shd w:val="clear" w:color="auto" w:fill="auto"/>
            <w:noWrap/>
            <w:vAlign w:val="bottom"/>
            <w:hideMark/>
          </w:tcPr>
          <w:p w14:paraId="27B73131"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39E6DAAD" w14:textId="77777777" w:rsidR="000A03F0" w:rsidRPr="001F2C6C" w:rsidRDefault="000A03F0" w:rsidP="001F2C6C">
            <w:pPr>
              <w:spacing w:after="0" w:line="360" w:lineRule="auto"/>
              <w:jc w:val="right"/>
              <w:rPr>
                <w:rFonts w:ascii="Times New Roman" w:eastAsia="Times New Roman" w:hAnsi="Times New Roman" w:cs="Times New Roman"/>
                <w:sz w:val="24"/>
                <w:szCs w:val="24"/>
              </w:rPr>
            </w:pPr>
          </w:p>
        </w:tc>
      </w:tr>
      <w:tr w:rsidR="000A03F0" w:rsidRPr="001F2C6C" w14:paraId="12F0AFBF"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4287041F"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u w:val="single"/>
              </w:rPr>
            </w:pPr>
            <w:r w:rsidRPr="001F2C6C">
              <w:rPr>
                <w:rFonts w:ascii="Times New Roman" w:eastAsia="Times New Roman" w:hAnsi="Times New Roman" w:cs="Times New Roman"/>
                <w:color w:val="000000"/>
                <w:sz w:val="24"/>
                <w:szCs w:val="24"/>
                <w:u w:val="single"/>
              </w:rPr>
              <w:t>Current Liabilities</w:t>
            </w:r>
          </w:p>
        </w:tc>
        <w:tc>
          <w:tcPr>
            <w:tcW w:w="313" w:type="dxa"/>
            <w:tcBorders>
              <w:top w:val="nil"/>
              <w:left w:val="nil"/>
              <w:bottom w:val="nil"/>
              <w:right w:val="nil"/>
            </w:tcBorders>
            <w:shd w:val="clear" w:color="auto" w:fill="auto"/>
            <w:noWrap/>
            <w:vAlign w:val="bottom"/>
            <w:hideMark/>
          </w:tcPr>
          <w:p w14:paraId="50B5F37A"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u w:val="single"/>
              </w:rPr>
            </w:pPr>
          </w:p>
        </w:tc>
        <w:tc>
          <w:tcPr>
            <w:tcW w:w="4325" w:type="dxa"/>
            <w:tcBorders>
              <w:top w:val="nil"/>
              <w:left w:val="nil"/>
              <w:bottom w:val="nil"/>
              <w:right w:val="nil"/>
            </w:tcBorders>
            <w:shd w:val="clear" w:color="auto" w:fill="auto"/>
            <w:noWrap/>
            <w:vAlign w:val="bottom"/>
            <w:hideMark/>
          </w:tcPr>
          <w:p w14:paraId="6F4A5D78" w14:textId="77777777" w:rsidR="000A03F0" w:rsidRPr="001F2C6C" w:rsidRDefault="000A03F0" w:rsidP="001F2C6C">
            <w:pPr>
              <w:spacing w:after="0" w:line="360" w:lineRule="auto"/>
              <w:jc w:val="right"/>
              <w:rPr>
                <w:rFonts w:ascii="Times New Roman" w:eastAsia="Times New Roman" w:hAnsi="Times New Roman" w:cs="Times New Roman"/>
                <w:sz w:val="24"/>
                <w:szCs w:val="24"/>
              </w:rPr>
            </w:pPr>
          </w:p>
        </w:tc>
      </w:tr>
      <w:tr w:rsidR="000A03F0" w:rsidRPr="001F2C6C" w14:paraId="559F46F6"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3692DC46"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Trade Creditor</w:t>
            </w:r>
          </w:p>
        </w:tc>
        <w:tc>
          <w:tcPr>
            <w:tcW w:w="313" w:type="dxa"/>
            <w:tcBorders>
              <w:top w:val="nil"/>
              <w:left w:val="nil"/>
              <w:bottom w:val="nil"/>
              <w:right w:val="nil"/>
            </w:tcBorders>
            <w:shd w:val="clear" w:color="auto" w:fill="auto"/>
            <w:noWrap/>
            <w:vAlign w:val="bottom"/>
            <w:hideMark/>
          </w:tcPr>
          <w:p w14:paraId="3B193183"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4325" w:type="dxa"/>
            <w:tcBorders>
              <w:top w:val="nil"/>
              <w:left w:val="nil"/>
              <w:bottom w:val="nil"/>
              <w:right w:val="nil"/>
            </w:tcBorders>
            <w:shd w:val="clear" w:color="auto" w:fill="auto"/>
            <w:noWrap/>
            <w:vAlign w:val="bottom"/>
            <w:hideMark/>
          </w:tcPr>
          <w:p w14:paraId="508D3E63"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171,355 </w:t>
            </w:r>
          </w:p>
        </w:tc>
      </w:tr>
      <w:tr w:rsidR="000A03F0" w:rsidRPr="001F2C6C" w14:paraId="585FF70E" w14:textId="77777777" w:rsidTr="00BB1513">
        <w:trPr>
          <w:trHeight w:val="256"/>
          <w:jc w:val="center"/>
        </w:trPr>
        <w:tc>
          <w:tcPr>
            <w:tcW w:w="3696" w:type="dxa"/>
            <w:gridSpan w:val="3"/>
            <w:tcBorders>
              <w:top w:val="nil"/>
              <w:left w:val="nil"/>
              <w:bottom w:val="nil"/>
              <w:right w:val="nil"/>
            </w:tcBorders>
            <w:shd w:val="clear" w:color="auto" w:fill="auto"/>
            <w:noWrap/>
            <w:vAlign w:val="bottom"/>
            <w:hideMark/>
          </w:tcPr>
          <w:p w14:paraId="5A7233E4"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Accrued Commission</w:t>
            </w:r>
          </w:p>
        </w:tc>
        <w:tc>
          <w:tcPr>
            <w:tcW w:w="4325" w:type="dxa"/>
            <w:tcBorders>
              <w:top w:val="nil"/>
              <w:left w:val="nil"/>
              <w:bottom w:val="nil"/>
              <w:right w:val="nil"/>
            </w:tcBorders>
            <w:shd w:val="clear" w:color="auto" w:fill="auto"/>
            <w:noWrap/>
            <w:vAlign w:val="bottom"/>
            <w:hideMark/>
          </w:tcPr>
          <w:p w14:paraId="6A3D9A93"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3,000 </w:t>
            </w:r>
          </w:p>
        </w:tc>
      </w:tr>
      <w:tr w:rsidR="000A03F0" w:rsidRPr="001F2C6C" w14:paraId="0BA2B892"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7495C560"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Tax payable</w:t>
            </w:r>
          </w:p>
        </w:tc>
        <w:tc>
          <w:tcPr>
            <w:tcW w:w="313" w:type="dxa"/>
            <w:tcBorders>
              <w:top w:val="nil"/>
              <w:left w:val="nil"/>
              <w:bottom w:val="nil"/>
              <w:right w:val="nil"/>
            </w:tcBorders>
            <w:shd w:val="clear" w:color="auto" w:fill="auto"/>
            <w:noWrap/>
            <w:vAlign w:val="bottom"/>
            <w:hideMark/>
          </w:tcPr>
          <w:p w14:paraId="30C1E64B"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4325" w:type="dxa"/>
            <w:tcBorders>
              <w:top w:val="nil"/>
              <w:left w:val="nil"/>
              <w:bottom w:val="nil"/>
              <w:right w:val="nil"/>
            </w:tcBorders>
            <w:shd w:val="clear" w:color="auto" w:fill="auto"/>
            <w:noWrap/>
            <w:vAlign w:val="bottom"/>
            <w:hideMark/>
          </w:tcPr>
          <w:p w14:paraId="19AC8CD0"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68,000 </w:t>
            </w:r>
          </w:p>
        </w:tc>
      </w:tr>
      <w:tr w:rsidR="000A03F0" w:rsidRPr="001F2C6C" w14:paraId="79FBD559"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7C8F6492"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314" w:type="dxa"/>
            <w:tcBorders>
              <w:top w:val="nil"/>
              <w:left w:val="nil"/>
              <w:bottom w:val="nil"/>
              <w:right w:val="nil"/>
            </w:tcBorders>
            <w:shd w:val="clear" w:color="auto" w:fill="auto"/>
            <w:noWrap/>
            <w:vAlign w:val="bottom"/>
            <w:hideMark/>
          </w:tcPr>
          <w:p w14:paraId="24122356"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313" w:type="dxa"/>
            <w:tcBorders>
              <w:top w:val="nil"/>
              <w:left w:val="nil"/>
              <w:bottom w:val="nil"/>
              <w:right w:val="nil"/>
            </w:tcBorders>
            <w:shd w:val="clear" w:color="auto" w:fill="auto"/>
            <w:noWrap/>
            <w:vAlign w:val="bottom"/>
            <w:hideMark/>
          </w:tcPr>
          <w:p w14:paraId="66E25C1A"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14F444B0" w14:textId="77777777" w:rsidR="000A03F0" w:rsidRPr="001F2C6C" w:rsidRDefault="000A03F0" w:rsidP="001F2C6C">
            <w:pPr>
              <w:spacing w:after="0" w:line="360" w:lineRule="auto"/>
              <w:jc w:val="right"/>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242,355 </w:t>
            </w:r>
          </w:p>
        </w:tc>
      </w:tr>
      <w:tr w:rsidR="000A03F0" w:rsidRPr="001F2C6C" w14:paraId="673A3D05"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4D34A720"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Total Liabilities</w:t>
            </w:r>
          </w:p>
        </w:tc>
        <w:tc>
          <w:tcPr>
            <w:tcW w:w="313" w:type="dxa"/>
            <w:tcBorders>
              <w:top w:val="nil"/>
              <w:left w:val="nil"/>
              <w:bottom w:val="nil"/>
              <w:right w:val="nil"/>
            </w:tcBorders>
            <w:shd w:val="clear" w:color="auto" w:fill="auto"/>
            <w:noWrap/>
            <w:vAlign w:val="bottom"/>
            <w:hideMark/>
          </w:tcPr>
          <w:p w14:paraId="77FC50C3"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4325" w:type="dxa"/>
            <w:tcBorders>
              <w:top w:val="nil"/>
              <w:left w:val="nil"/>
              <w:bottom w:val="nil"/>
              <w:right w:val="nil"/>
            </w:tcBorders>
            <w:shd w:val="clear" w:color="auto" w:fill="auto"/>
            <w:noWrap/>
            <w:vAlign w:val="bottom"/>
            <w:hideMark/>
          </w:tcPr>
          <w:p w14:paraId="25B33663" w14:textId="77777777" w:rsidR="000A03F0" w:rsidRPr="001F2C6C" w:rsidRDefault="000A03F0" w:rsidP="001F2C6C">
            <w:pPr>
              <w:spacing w:after="0" w:line="360" w:lineRule="auto"/>
              <w:jc w:val="right"/>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342,355 </w:t>
            </w:r>
          </w:p>
        </w:tc>
      </w:tr>
      <w:tr w:rsidR="000A03F0" w:rsidRPr="001F2C6C" w14:paraId="1602D0AE"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4043C67A"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314" w:type="dxa"/>
            <w:tcBorders>
              <w:top w:val="nil"/>
              <w:left w:val="nil"/>
              <w:bottom w:val="nil"/>
              <w:right w:val="nil"/>
            </w:tcBorders>
            <w:shd w:val="clear" w:color="auto" w:fill="auto"/>
            <w:noWrap/>
            <w:vAlign w:val="bottom"/>
            <w:hideMark/>
          </w:tcPr>
          <w:p w14:paraId="0322121D"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313" w:type="dxa"/>
            <w:tcBorders>
              <w:top w:val="nil"/>
              <w:left w:val="nil"/>
              <w:bottom w:val="nil"/>
              <w:right w:val="nil"/>
            </w:tcBorders>
            <w:shd w:val="clear" w:color="auto" w:fill="auto"/>
            <w:noWrap/>
            <w:vAlign w:val="bottom"/>
            <w:hideMark/>
          </w:tcPr>
          <w:p w14:paraId="4D1D8334"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003F433B" w14:textId="77777777" w:rsidR="000A03F0" w:rsidRPr="001F2C6C" w:rsidRDefault="000A03F0" w:rsidP="001F2C6C">
            <w:pPr>
              <w:spacing w:after="0" w:line="360" w:lineRule="auto"/>
              <w:jc w:val="right"/>
              <w:rPr>
                <w:rFonts w:ascii="Times New Roman" w:eastAsia="Times New Roman" w:hAnsi="Times New Roman" w:cs="Times New Roman"/>
                <w:sz w:val="24"/>
                <w:szCs w:val="24"/>
              </w:rPr>
            </w:pPr>
          </w:p>
        </w:tc>
      </w:tr>
      <w:tr w:rsidR="000A03F0" w:rsidRPr="001F2C6C" w14:paraId="5DD5E414"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050C5711"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Equity</w:t>
            </w:r>
          </w:p>
        </w:tc>
        <w:tc>
          <w:tcPr>
            <w:tcW w:w="314" w:type="dxa"/>
            <w:tcBorders>
              <w:top w:val="nil"/>
              <w:left w:val="nil"/>
              <w:bottom w:val="nil"/>
              <w:right w:val="nil"/>
            </w:tcBorders>
            <w:shd w:val="clear" w:color="auto" w:fill="auto"/>
            <w:noWrap/>
            <w:vAlign w:val="bottom"/>
            <w:hideMark/>
          </w:tcPr>
          <w:p w14:paraId="4574DD55"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p>
        </w:tc>
        <w:tc>
          <w:tcPr>
            <w:tcW w:w="313" w:type="dxa"/>
            <w:tcBorders>
              <w:top w:val="nil"/>
              <w:left w:val="nil"/>
              <w:bottom w:val="nil"/>
              <w:right w:val="nil"/>
            </w:tcBorders>
            <w:shd w:val="clear" w:color="auto" w:fill="auto"/>
            <w:noWrap/>
            <w:vAlign w:val="bottom"/>
            <w:hideMark/>
          </w:tcPr>
          <w:p w14:paraId="2F5BCDB8"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6FEFCE9A" w14:textId="77777777" w:rsidR="000A03F0" w:rsidRPr="001F2C6C" w:rsidRDefault="000A03F0" w:rsidP="001F2C6C">
            <w:pPr>
              <w:spacing w:after="0" w:line="360" w:lineRule="auto"/>
              <w:jc w:val="right"/>
              <w:rPr>
                <w:rFonts w:ascii="Times New Roman" w:eastAsia="Times New Roman" w:hAnsi="Times New Roman" w:cs="Times New Roman"/>
                <w:sz w:val="24"/>
                <w:szCs w:val="24"/>
              </w:rPr>
            </w:pPr>
          </w:p>
        </w:tc>
      </w:tr>
      <w:tr w:rsidR="000A03F0" w:rsidRPr="001F2C6C" w14:paraId="22A7FD0E"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719BB019"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 ordinary shares</w:t>
            </w:r>
          </w:p>
        </w:tc>
        <w:tc>
          <w:tcPr>
            <w:tcW w:w="313" w:type="dxa"/>
            <w:tcBorders>
              <w:top w:val="nil"/>
              <w:left w:val="nil"/>
              <w:bottom w:val="nil"/>
              <w:right w:val="nil"/>
            </w:tcBorders>
            <w:shd w:val="clear" w:color="auto" w:fill="auto"/>
            <w:noWrap/>
            <w:vAlign w:val="bottom"/>
            <w:hideMark/>
          </w:tcPr>
          <w:p w14:paraId="7CBFB14E"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4325" w:type="dxa"/>
            <w:tcBorders>
              <w:top w:val="nil"/>
              <w:left w:val="nil"/>
              <w:bottom w:val="nil"/>
              <w:right w:val="nil"/>
            </w:tcBorders>
            <w:shd w:val="clear" w:color="auto" w:fill="auto"/>
            <w:noWrap/>
            <w:vAlign w:val="bottom"/>
            <w:hideMark/>
          </w:tcPr>
          <w:p w14:paraId="6101F1D9"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310,000 </w:t>
            </w:r>
          </w:p>
        </w:tc>
      </w:tr>
      <w:tr w:rsidR="000A03F0" w:rsidRPr="001F2C6C" w14:paraId="688117B9" w14:textId="77777777" w:rsidTr="00BB1513">
        <w:trPr>
          <w:trHeight w:val="256"/>
          <w:jc w:val="center"/>
        </w:trPr>
        <w:tc>
          <w:tcPr>
            <w:tcW w:w="3383" w:type="dxa"/>
            <w:gridSpan w:val="2"/>
            <w:tcBorders>
              <w:top w:val="nil"/>
              <w:left w:val="nil"/>
              <w:bottom w:val="nil"/>
              <w:right w:val="nil"/>
            </w:tcBorders>
            <w:shd w:val="clear" w:color="auto" w:fill="auto"/>
            <w:noWrap/>
            <w:vAlign w:val="bottom"/>
            <w:hideMark/>
          </w:tcPr>
          <w:p w14:paraId="21A3D928"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Retained profits</w:t>
            </w:r>
          </w:p>
        </w:tc>
        <w:tc>
          <w:tcPr>
            <w:tcW w:w="313" w:type="dxa"/>
            <w:tcBorders>
              <w:top w:val="nil"/>
              <w:left w:val="nil"/>
              <w:bottom w:val="nil"/>
              <w:right w:val="nil"/>
            </w:tcBorders>
            <w:shd w:val="clear" w:color="auto" w:fill="auto"/>
            <w:noWrap/>
            <w:vAlign w:val="bottom"/>
            <w:hideMark/>
          </w:tcPr>
          <w:p w14:paraId="25CE898E"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4325" w:type="dxa"/>
            <w:tcBorders>
              <w:top w:val="nil"/>
              <w:left w:val="nil"/>
              <w:bottom w:val="nil"/>
              <w:right w:val="nil"/>
            </w:tcBorders>
            <w:shd w:val="clear" w:color="auto" w:fill="auto"/>
            <w:noWrap/>
            <w:vAlign w:val="bottom"/>
            <w:hideMark/>
          </w:tcPr>
          <w:p w14:paraId="7F7FE4FF"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194,980 </w:t>
            </w:r>
          </w:p>
        </w:tc>
      </w:tr>
      <w:tr w:rsidR="000A03F0" w:rsidRPr="001F2C6C" w14:paraId="59EBB691" w14:textId="77777777" w:rsidTr="00BB1513">
        <w:trPr>
          <w:trHeight w:val="256"/>
          <w:jc w:val="center"/>
        </w:trPr>
        <w:tc>
          <w:tcPr>
            <w:tcW w:w="3696" w:type="dxa"/>
            <w:gridSpan w:val="3"/>
            <w:tcBorders>
              <w:top w:val="nil"/>
              <w:left w:val="nil"/>
              <w:bottom w:val="nil"/>
              <w:right w:val="nil"/>
            </w:tcBorders>
            <w:shd w:val="clear" w:color="auto" w:fill="auto"/>
            <w:noWrap/>
            <w:vAlign w:val="bottom"/>
            <w:hideMark/>
          </w:tcPr>
          <w:p w14:paraId="3B78159C"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10% £1 preference shares</w:t>
            </w:r>
          </w:p>
        </w:tc>
        <w:tc>
          <w:tcPr>
            <w:tcW w:w="4325" w:type="dxa"/>
            <w:tcBorders>
              <w:top w:val="nil"/>
              <w:left w:val="nil"/>
              <w:bottom w:val="nil"/>
              <w:right w:val="nil"/>
            </w:tcBorders>
            <w:shd w:val="clear" w:color="auto" w:fill="auto"/>
            <w:noWrap/>
            <w:vAlign w:val="bottom"/>
            <w:hideMark/>
          </w:tcPr>
          <w:p w14:paraId="08E1CFC0" w14:textId="77777777" w:rsidR="000A03F0" w:rsidRPr="001F2C6C" w:rsidRDefault="000A03F0" w:rsidP="001F2C6C">
            <w:pPr>
              <w:spacing w:after="0" w:line="360" w:lineRule="auto"/>
              <w:jc w:val="right"/>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300,000 </w:t>
            </w:r>
          </w:p>
        </w:tc>
      </w:tr>
      <w:tr w:rsidR="000A03F0" w:rsidRPr="001F2C6C" w14:paraId="7F911B49" w14:textId="77777777" w:rsidTr="00BB1513">
        <w:trPr>
          <w:trHeight w:val="256"/>
          <w:jc w:val="center"/>
        </w:trPr>
        <w:tc>
          <w:tcPr>
            <w:tcW w:w="3069" w:type="dxa"/>
            <w:tcBorders>
              <w:top w:val="nil"/>
              <w:left w:val="nil"/>
              <w:bottom w:val="nil"/>
              <w:right w:val="nil"/>
            </w:tcBorders>
            <w:shd w:val="clear" w:color="auto" w:fill="auto"/>
            <w:noWrap/>
            <w:vAlign w:val="bottom"/>
            <w:hideMark/>
          </w:tcPr>
          <w:p w14:paraId="42C7ACE5" w14:textId="77777777" w:rsidR="000A03F0" w:rsidRPr="001F2C6C" w:rsidRDefault="000A03F0" w:rsidP="001F2C6C">
            <w:pPr>
              <w:spacing w:after="0" w:line="360" w:lineRule="auto"/>
              <w:jc w:val="both"/>
              <w:rPr>
                <w:rFonts w:ascii="Times New Roman" w:eastAsia="Times New Roman" w:hAnsi="Times New Roman" w:cs="Times New Roman"/>
                <w:color w:val="000000"/>
                <w:sz w:val="24"/>
                <w:szCs w:val="24"/>
              </w:rPr>
            </w:pPr>
          </w:p>
        </w:tc>
        <w:tc>
          <w:tcPr>
            <w:tcW w:w="314" w:type="dxa"/>
            <w:tcBorders>
              <w:top w:val="nil"/>
              <w:left w:val="nil"/>
              <w:bottom w:val="nil"/>
              <w:right w:val="nil"/>
            </w:tcBorders>
            <w:shd w:val="clear" w:color="auto" w:fill="auto"/>
            <w:noWrap/>
            <w:vAlign w:val="bottom"/>
            <w:hideMark/>
          </w:tcPr>
          <w:p w14:paraId="0140AD54"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313" w:type="dxa"/>
            <w:tcBorders>
              <w:top w:val="nil"/>
              <w:left w:val="nil"/>
              <w:bottom w:val="nil"/>
              <w:right w:val="nil"/>
            </w:tcBorders>
            <w:shd w:val="clear" w:color="auto" w:fill="auto"/>
            <w:noWrap/>
            <w:vAlign w:val="bottom"/>
            <w:hideMark/>
          </w:tcPr>
          <w:p w14:paraId="294624B7" w14:textId="77777777" w:rsidR="000A03F0" w:rsidRPr="001F2C6C" w:rsidRDefault="000A03F0" w:rsidP="001F2C6C">
            <w:pPr>
              <w:spacing w:after="0" w:line="360" w:lineRule="auto"/>
              <w:jc w:val="both"/>
              <w:rPr>
                <w:rFonts w:ascii="Times New Roman" w:eastAsia="Times New Roman" w:hAnsi="Times New Roman" w:cs="Times New Roman"/>
                <w:sz w:val="24"/>
                <w:szCs w:val="24"/>
              </w:rPr>
            </w:pPr>
          </w:p>
        </w:tc>
        <w:tc>
          <w:tcPr>
            <w:tcW w:w="4325" w:type="dxa"/>
            <w:tcBorders>
              <w:top w:val="nil"/>
              <w:left w:val="nil"/>
              <w:bottom w:val="nil"/>
              <w:right w:val="nil"/>
            </w:tcBorders>
            <w:shd w:val="clear" w:color="auto" w:fill="auto"/>
            <w:noWrap/>
            <w:vAlign w:val="bottom"/>
            <w:hideMark/>
          </w:tcPr>
          <w:p w14:paraId="02FB58FA" w14:textId="77777777" w:rsidR="000A03F0" w:rsidRPr="001F2C6C" w:rsidRDefault="000A03F0" w:rsidP="001F2C6C">
            <w:pPr>
              <w:spacing w:after="0" w:line="360" w:lineRule="auto"/>
              <w:jc w:val="right"/>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804,980 </w:t>
            </w:r>
          </w:p>
        </w:tc>
      </w:tr>
      <w:tr w:rsidR="000A03F0" w:rsidRPr="001F2C6C" w14:paraId="1A86E470" w14:textId="77777777" w:rsidTr="00BB1513">
        <w:trPr>
          <w:trHeight w:val="256"/>
          <w:jc w:val="center"/>
        </w:trPr>
        <w:tc>
          <w:tcPr>
            <w:tcW w:w="3696" w:type="dxa"/>
            <w:gridSpan w:val="3"/>
            <w:tcBorders>
              <w:top w:val="nil"/>
              <w:left w:val="nil"/>
              <w:bottom w:val="nil"/>
              <w:right w:val="nil"/>
            </w:tcBorders>
            <w:shd w:val="clear" w:color="auto" w:fill="auto"/>
            <w:noWrap/>
            <w:vAlign w:val="bottom"/>
            <w:hideMark/>
          </w:tcPr>
          <w:p w14:paraId="7CD0CB5F" w14:textId="77777777" w:rsidR="000A03F0" w:rsidRPr="001F2C6C" w:rsidRDefault="000A03F0"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lastRenderedPageBreak/>
              <w:t>Liabilities and Equity</w:t>
            </w:r>
          </w:p>
        </w:tc>
        <w:tc>
          <w:tcPr>
            <w:tcW w:w="4325" w:type="dxa"/>
            <w:tcBorders>
              <w:top w:val="nil"/>
              <w:left w:val="nil"/>
              <w:bottom w:val="nil"/>
              <w:right w:val="nil"/>
            </w:tcBorders>
            <w:shd w:val="clear" w:color="auto" w:fill="auto"/>
            <w:noWrap/>
            <w:vAlign w:val="bottom"/>
            <w:hideMark/>
          </w:tcPr>
          <w:p w14:paraId="711700CE" w14:textId="77777777" w:rsidR="000A03F0" w:rsidRPr="001F2C6C" w:rsidRDefault="000A03F0" w:rsidP="001F2C6C">
            <w:pPr>
              <w:spacing w:after="0" w:line="360" w:lineRule="auto"/>
              <w:jc w:val="right"/>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 xml:space="preserve">       1,147,335 </w:t>
            </w:r>
          </w:p>
        </w:tc>
      </w:tr>
    </w:tbl>
    <w:p w14:paraId="43F64B11" w14:textId="77777777" w:rsidR="000A03F0" w:rsidRPr="001F2C6C" w:rsidRDefault="000A03F0" w:rsidP="001F2C6C">
      <w:pPr>
        <w:spacing w:line="360" w:lineRule="auto"/>
        <w:jc w:val="both"/>
        <w:rPr>
          <w:rFonts w:ascii="Times New Roman" w:hAnsi="Times New Roman" w:cs="Times New Roman"/>
          <w:sz w:val="24"/>
          <w:szCs w:val="24"/>
        </w:rPr>
      </w:pPr>
    </w:p>
    <w:p w14:paraId="5AAAB5B9" w14:textId="77777777" w:rsidR="000A03F0" w:rsidRPr="001F2C6C" w:rsidRDefault="00BB1513" w:rsidP="001F2C6C">
      <w:pPr>
        <w:pStyle w:val="Heading2"/>
        <w:spacing w:line="360" w:lineRule="auto"/>
        <w:rPr>
          <w:rFonts w:cs="Times New Roman"/>
          <w:szCs w:val="24"/>
        </w:rPr>
      </w:pPr>
      <w:r w:rsidRPr="001F2C6C">
        <w:rPr>
          <w:rFonts w:cs="Times New Roman"/>
        </w:rPr>
        <w:t xml:space="preserve"> </w:t>
      </w:r>
      <w:bookmarkStart w:id="4" w:name="_Toc59023780"/>
      <w:r w:rsidR="00437BF6" w:rsidRPr="001F2C6C">
        <w:rPr>
          <w:rFonts w:cs="Times New Roman"/>
        </w:rPr>
        <w:t>(b)</w:t>
      </w:r>
      <w:r w:rsidRPr="001F2C6C">
        <w:rPr>
          <w:rFonts w:cs="Times New Roman"/>
        </w:rPr>
        <w:t xml:space="preserve"> Why statement of financial position balances</w:t>
      </w:r>
      <w:bookmarkEnd w:id="4"/>
    </w:p>
    <w:p w14:paraId="620A5F49" w14:textId="77777777" w:rsidR="00437BF6" w:rsidRPr="001F2C6C" w:rsidRDefault="00437BF6"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t>Statement of Financial position always balances: The reason for which statement of financial position / balance sheet balances is because of the accounting principle of “double entry system”. According to this double entry principle</w:t>
      </w:r>
      <w:r w:rsidR="00720B55" w:rsidRPr="001F2C6C">
        <w:rPr>
          <w:rFonts w:ascii="Times New Roman" w:hAnsi="Times New Roman" w:cs="Times New Roman"/>
          <w:sz w:val="24"/>
          <w:szCs w:val="24"/>
        </w:rPr>
        <w:t>, every transaction is recorded in</w:t>
      </w:r>
      <w:r w:rsidRPr="001F2C6C">
        <w:rPr>
          <w:rFonts w:ascii="Times New Roman" w:hAnsi="Times New Roman" w:cs="Times New Roman"/>
          <w:sz w:val="24"/>
          <w:szCs w:val="24"/>
        </w:rPr>
        <w:t xml:space="preserve"> </w:t>
      </w:r>
      <w:r w:rsidR="00720B55" w:rsidRPr="001F2C6C">
        <w:rPr>
          <w:rFonts w:ascii="Times New Roman" w:hAnsi="Times New Roman" w:cs="Times New Roman"/>
          <w:sz w:val="24"/>
          <w:szCs w:val="24"/>
        </w:rPr>
        <w:t>at least two accounts</w:t>
      </w:r>
      <w:r w:rsidR="00E4298B" w:rsidRPr="001F2C6C">
        <w:rPr>
          <w:rFonts w:ascii="Times New Roman" w:hAnsi="Times New Roman" w:cs="Times New Roman"/>
          <w:sz w:val="24"/>
          <w:szCs w:val="24"/>
        </w:rPr>
        <w:t xml:space="preserve"> (Foster, 2015)</w:t>
      </w:r>
      <w:r w:rsidR="00720B55" w:rsidRPr="001F2C6C">
        <w:rPr>
          <w:rFonts w:ascii="Times New Roman" w:hAnsi="Times New Roman" w:cs="Times New Roman"/>
          <w:sz w:val="24"/>
          <w:szCs w:val="24"/>
        </w:rPr>
        <w:t>. In every transaction the debit account (s) should equals to credit (s) accounts. Hence, for all transactions occurred in a firm, all debt accounts should be equal to the credit accounts in terms of amount</w:t>
      </w:r>
      <w:r w:rsidR="00E4298B" w:rsidRPr="001F2C6C">
        <w:rPr>
          <w:rFonts w:ascii="Times New Roman" w:hAnsi="Times New Roman" w:cs="Times New Roman"/>
          <w:sz w:val="24"/>
          <w:szCs w:val="24"/>
        </w:rPr>
        <w:t xml:space="preserve"> (Garrison, </w:t>
      </w:r>
      <w:proofErr w:type="gramStart"/>
      <w:r w:rsidR="00E4298B" w:rsidRPr="001F2C6C">
        <w:rPr>
          <w:rFonts w:ascii="Times New Roman" w:hAnsi="Times New Roman" w:cs="Times New Roman"/>
          <w:sz w:val="24"/>
          <w:szCs w:val="24"/>
        </w:rPr>
        <w:t>Noreen</w:t>
      </w:r>
      <w:proofErr w:type="gramEnd"/>
      <w:r w:rsidR="00E4298B" w:rsidRPr="001F2C6C">
        <w:rPr>
          <w:rFonts w:ascii="Times New Roman" w:hAnsi="Times New Roman" w:cs="Times New Roman"/>
          <w:sz w:val="24"/>
          <w:szCs w:val="24"/>
        </w:rPr>
        <w:t xml:space="preserve"> and Brewer, 2020)</w:t>
      </w:r>
      <w:r w:rsidR="00720B55" w:rsidRPr="001F2C6C">
        <w:rPr>
          <w:rFonts w:ascii="Times New Roman" w:hAnsi="Times New Roman" w:cs="Times New Roman"/>
          <w:sz w:val="24"/>
          <w:szCs w:val="24"/>
        </w:rPr>
        <w:t xml:space="preserve">. This double entry accounting principle also ensures a check and balance for all accounts. This is the reason the statement of financial position should balance always. In case of imbalance, it </w:t>
      </w:r>
      <w:proofErr w:type="gramStart"/>
      <w:r w:rsidR="00720B55" w:rsidRPr="001F2C6C">
        <w:rPr>
          <w:rFonts w:ascii="Times New Roman" w:hAnsi="Times New Roman" w:cs="Times New Roman"/>
          <w:sz w:val="24"/>
          <w:szCs w:val="24"/>
        </w:rPr>
        <w:t>has to</w:t>
      </w:r>
      <w:proofErr w:type="gramEnd"/>
      <w:r w:rsidR="00720B55" w:rsidRPr="001F2C6C">
        <w:rPr>
          <w:rFonts w:ascii="Times New Roman" w:hAnsi="Times New Roman" w:cs="Times New Roman"/>
          <w:sz w:val="24"/>
          <w:szCs w:val="24"/>
        </w:rPr>
        <w:t xml:space="preserve"> be taken for granted that there is some inconsistency among the accounts.  </w:t>
      </w:r>
    </w:p>
    <w:p w14:paraId="42F64EA2" w14:textId="77777777" w:rsidR="00FB7EAC" w:rsidRPr="001F2C6C" w:rsidRDefault="00FB7EAC"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br w:type="page"/>
      </w:r>
    </w:p>
    <w:p w14:paraId="7E3371E4" w14:textId="77777777" w:rsidR="00FB7EAC" w:rsidRPr="001F2C6C" w:rsidRDefault="00FB7EAC" w:rsidP="001F2C6C">
      <w:pPr>
        <w:pStyle w:val="Heading1"/>
        <w:spacing w:line="360" w:lineRule="auto"/>
        <w:rPr>
          <w:rFonts w:cs="Times New Roman"/>
        </w:rPr>
      </w:pPr>
      <w:bookmarkStart w:id="5" w:name="_Toc59023781"/>
      <w:r w:rsidRPr="001F2C6C">
        <w:rPr>
          <w:rFonts w:cs="Times New Roman"/>
        </w:rPr>
        <w:lastRenderedPageBreak/>
        <w:t>Question 2</w:t>
      </w:r>
      <w:bookmarkEnd w:id="5"/>
    </w:p>
    <w:p w14:paraId="16A53E41" w14:textId="77777777" w:rsidR="00FB7EAC" w:rsidRPr="001F2C6C" w:rsidRDefault="00FB7EAC" w:rsidP="001F2C6C">
      <w:pPr>
        <w:pStyle w:val="Heading2"/>
        <w:spacing w:line="360" w:lineRule="auto"/>
        <w:rPr>
          <w:rFonts w:cs="Times New Roman"/>
        </w:rPr>
      </w:pPr>
      <w:bookmarkStart w:id="6" w:name="_Toc59023782"/>
      <w:r w:rsidRPr="001F2C6C">
        <w:rPr>
          <w:rFonts w:cs="Times New Roman"/>
        </w:rPr>
        <w:t xml:space="preserve">(a) Schedule of Ratios for </w:t>
      </w:r>
      <w:proofErr w:type="spellStart"/>
      <w:r w:rsidRPr="001F2C6C">
        <w:rPr>
          <w:rFonts w:cs="Times New Roman"/>
        </w:rPr>
        <w:t>Chocco</w:t>
      </w:r>
      <w:proofErr w:type="spellEnd"/>
      <w:r w:rsidRPr="001F2C6C">
        <w:rPr>
          <w:rFonts w:cs="Times New Roman"/>
        </w:rPr>
        <w:t xml:space="preserve"> Plc</w:t>
      </w:r>
      <w:bookmarkEnd w:id="6"/>
    </w:p>
    <w:tbl>
      <w:tblPr>
        <w:tblW w:w="9216" w:type="dxa"/>
        <w:tblLook w:val="04A0" w:firstRow="1" w:lastRow="0" w:firstColumn="1" w:lastColumn="0" w:noHBand="0" w:noVBand="1"/>
      </w:tblPr>
      <w:tblGrid>
        <w:gridCol w:w="816"/>
        <w:gridCol w:w="2153"/>
        <w:gridCol w:w="4056"/>
        <w:gridCol w:w="1166"/>
        <w:gridCol w:w="1030"/>
      </w:tblGrid>
      <w:tr w:rsidR="00FB7EAC" w:rsidRPr="001F2C6C" w14:paraId="142AD3AA" w14:textId="77777777" w:rsidTr="00FB7EAC">
        <w:trPr>
          <w:trHeight w:val="399"/>
        </w:trPr>
        <w:tc>
          <w:tcPr>
            <w:tcW w:w="81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51F1FE" w14:textId="77777777" w:rsidR="00FB7EAC" w:rsidRPr="001F2C6C" w:rsidRDefault="00FB7EAC" w:rsidP="001F2C6C">
            <w:pPr>
              <w:spacing w:after="0" w:line="360" w:lineRule="auto"/>
              <w:jc w:val="both"/>
              <w:rPr>
                <w:rFonts w:ascii="Times New Roman" w:eastAsia="Times New Roman" w:hAnsi="Times New Roman" w:cs="Times New Roman"/>
                <w:b/>
                <w:bCs/>
                <w:color w:val="222222"/>
                <w:sz w:val="24"/>
                <w:szCs w:val="24"/>
              </w:rPr>
            </w:pPr>
            <w:r w:rsidRPr="001F2C6C">
              <w:rPr>
                <w:rFonts w:ascii="Times New Roman" w:eastAsia="Times New Roman" w:hAnsi="Times New Roman" w:cs="Times New Roman"/>
                <w:b/>
                <w:bCs/>
                <w:color w:val="222222"/>
                <w:sz w:val="24"/>
                <w:szCs w:val="24"/>
              </w:rPr>
              <w:t>Serial</w:t>
            </w:r>
          </w:p>
        </w:tc>
        <w:tc>
          <w:tcPr>
            <w:tcW w:w="2153" w:type="dxa"/>
            <w:tcBorders>
              <w:top w:val="single" w:sz="4" w:space="0" w:color="auto"/>
              <w:left w:val="nil"/>
              <w:bottom w:val="single" w:sz="4" w:space="0" w:color="auto"/>
              <w:right w:val="single" w:sz="4" w:space="0" w:color="auto"/>
            </w:tcBorders>
            <w:shd w:val="clear" w:color="auto" w:fill="auto"/>
            <w:noWrap/>
            <w:vAlign w:val="center"/>
            <w:hideMark/>
          </w:tcPr>
          <w:p w14:paraId="4EBD87D2" w14:textId="77777777" w:rsidR="00FB7EAC" w:rsidRPr="001F2C6C" w:rsidRDefault="00FB7EAC" w:rsidP="001F2C6C">
            <w:pPr>
              <w:spacing w:after="0" w:line="360" w:lineRule="auto"/>
              <w:jc w:val="both"/>
              <w:rPr>
                <w:rFonts w:ascii="Times New Roman" w:eastAsia="Times New Roman" w:hAnsi="Times New Roman" w:cs="Times New Roman"/>
                <w:b/>
                <w:bCs/>
                <w:color w:val="222222"/>
                <w:sz w:val="24"/>
                <w:szCs w:val="24"/>
              </w:rPr>
            </w:pPr>
            <w:r w:rsidRPr="001F2C6C">
              <w:rPr>
                <w:rFonts w:ascii="Times New Roman" w:eastAsia="Times New Roman" w:hAnsi="Times New Roman" w:cs="Times New Roman"/>
                <w:b/>
                <w:bCs/>
                <w:color w:val="222222"/>
                <w:sz w:val="24"/>
                <w:szCs w:val="24"/>
              </w:rPr>
              <w:t>Ratios</w:t>
            </w:r>
          </w:p>
        </w:tc>
        <w:tc>
          <w:tcPr>
            <w:tcW w:w="4056" w:type="dxa"/>
            <w:tcBorders>
              <w:top w:val="single" w:sz="4" w:space="0" w:color="auto"/>
              <w:left w:val="nil"/>
              <w:bottom w:val="single" w:sz="4" w:space="0" w:color="auto"/>
              <w:right w:val="single" w:sz="4" w:space="0" w:color="auto"/>
            </w:tcBorders>
            <w:shd w:val="clear" w:color="auto" w:fill="auto"/>
            <w:noWrap/>
            <w:vAlign w:val="center"/>
            <w:hideMark/>
          </w:tcPr>
          <w:p w14:paraId="5810685E" w14:textId="77777777" w:rsidR="00FB7EAC" w:rsidRPr="001F2C6C" w:rsidRDefault="00FB7EAC"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Formula</w:t>
            </w:r>
          </w:p>
        </w:tc>
        <w:tc>
          <w:tcPr>
            <w:tcW w:w="1166" w:type="dxa"/>
            <w:tcBorders>
              <w:top w:val="single" w:sz="4" w:space="0" w:color="auto"/>
              <w:left w:val="nil"/>
              <w:bottom w:val="single" w:sz="4" w:space="0" w:color="auto"/>
              <w:right w:val="single" w:sz="4" w:space="0" w:color="auto"/>
            </w:tcBorders>
            <w:shd w:val="clear" w:color="auto" w:fill="auto"/>
            <w:noWrap/>
            <w:vAlign w:val="center"/>
            <w:hideMark/>
          </w:tcPr>
          <w:p w14:paraId="0880B944" w14:textId="77777777" w:rsidR="00FB7EAC" w:rsidRPr="001F2C6C" w:rsidRDefault="00FB7EAC"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2018</w:t>
            </w:r>
          </w:p>
        </w:tc>
        <w:tc>
          <w:tcPr>
            <w:tcW w:w="1030" w:type="dxa"/>
            <w:tcBorders>
              <w:top w:val="single" w:sz="4" w:space="0" w:color="auto"/>
              <w:left w:val="nil"/>
              <w:bottom w:val="single" w:sz="4" w:space="0" w:color="auto"/>
              <w:right w:val="single" w:sz="4" w:space="0" w:color="auto"/>
            </w:tcBorders>
            <w:shd w:val="clear" w:color="auto" w:fill="auto"/>
            <w:noWrap/>
            <w:vAlign w:val="center"/>
            <w:hideMark/>
          </w:tcPr>
          <w:p w14:paraId="4D501462" w14:textId="77777777" w:rsidR="00FB7EAC" w:rsidRPr="001F2C6C" w:rsidRDefault="00FB7EAC" w:rsidP="001F2C6C">
            <w:pPr>
              <w:spacing w:after="0" w:line="360" w:lineRule="auto"/>
              <w:jc w:val="both"/>
              <w:rPr>
                <w:rFonts w:ascii="Times New Roman" w:eastAsia="Times New Roman" w:hAnsi="Times New Roman" w:cs="Times New Roman"/>
                <w:b/>
                <w:bCs/>
                <w:color w:val="000000"/>
                <w:sz w:val="24"/>
                <w:szCs w:val="24"/>
              </w:rPr>
            </w:pPr>
            <w:r w:rsidRPr="001F2C6C">
              <w:rPr>
                <w:rFonts w:ascii="Times New Roman" w:eastAsia="Times New Roman" w:hAnsi="Times New Roman" w:cs="Times New Roman"/>
                <w:b/>
                <w:bCs/>
                <w:color w:val="000000"/>
                <w:sz w:val="24"/>
                <w:szCs w:val="24"/>
              </w:rPr>
              <w:t>2019</w:t>
            </w:r>
          </w:p>
        </w:tc>
      </w:tr>
      <w:tr w:rsidR="00FB7EAC" w:rsidRPr="001F2C6C" w14:paraId="1DCEAD66"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4A06CEFD"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023F9C87" w14:textId="77777777" w:rsidR="00FB7EAC" w:rsidRPr="001F2C6C" w:rsidRDefault="00FB7EAC" w:rsidP="001F2C6C">
            <w:pPr>
              <w:spacing w:after="0" w:line="360" w:lineRule="auto"/>
              <w:jc w:val="both"/>
              <w:rPr>
                <w:rFonts w:ascii="Times New Roman" w:eastAsia="Times New Roman" w:hAnsi="Times New Roman" w:cs="Times New Roman"/>
                <w:i/>
                <w:iCs/>
                <w:color w:val="000000"/>
                <w:sz w:val="24"/>
                <w:szCs w:val="24"/>
                <w:u w:val="single"/>
              </w:rPr>
            </w:pPr>
            <w:r w:rsidRPr="001F2C6C">
              <w:rPr>
                <w:rFonts w:ascii="Times New Roman" w:eastAsia="Times New Roman" w:hAnsi="Times New Roman" w:cs="Times New Roman"/>
                <w:i/>
                <w:iCs/>
                <w:color w:val="000000"/>
                <w:sz w:val="24"/>
                <w:szCs w:val="24"/>
                <w:u w:val="single"/>
              </w:rPr>
              <w:t>Profitability Ratios</w:t>
            </w:r>
          </w:p>
        </w:tc>
        <w:tc>
          <w:tcPr>
            <w:tcW w:w="4056" w:type="dxa"/>
            <w:tcBorders>
              <w:top w:val="nil"/>
              <w:left w:val="nil"/>
              <w:bottom w:val="single" w:sz="4" w:space="0" w:color="auto"/>
              <w:right w:val="single" w:sz="4" w:space="0" w:color="auto"/>
            </w:tcBorders>
            <w:shd w:val="clear" w:color="auto" w:fill="auto"/>
            <w:noWrap/>
            <w:vAlign w:val="center"/>
            <w:hideMark/>
          </w:tcPr>
          <w:p w14:paraId="5D6487A3"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74B45294"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44D0EADB"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5FE2D734"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1CDEF3BB"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w:t>
            </w:r>
          </w:p>
        </w:tc>
        <w:tc>
          <w:tcPr>
            <w:tcW w:w="2153" w:type="dxa"/>
            <w:tcBorders>
              <w:top w:val="nil"/>
              <w:left w:val="nil"/>
              <w:bottom w:val="single" w:sz="4" w:space="0" w:color="auto"/>
              <w:right w:val="single" w:sz="4" w:space="0" w:color="auto"/>
            </w:tcBorders>
            <w:shd w:val="clear" w:color="auto" w:fill="auto"/>
            <w:noWrap/>
            <w:vAlign w:val="center"/>
            <w:hideMark/>
          </w:tcPr>
          <w:p w14:paraId="3038FFF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Gross Profit Margin</w:t>
            </w:r>
          </w:p>
        </w:tc>
        <w:tc>
          <w:tcPr>
            <w:tcW w:w="4056" w:type="dxa"/>
            <w:tcBorders>
              <w:top w:val="nil"/>
              <w:left w:val="nil"/>
              <w:bottom w:val="single" w:sz="4" w:space="0" w:color="auto"/>
              <w:right w:val="single" w:sz="4" w:space="0" w:color="auto"/>
            </w:tcBorders>
            <w:shd w:val="clear" w:color="auto" w:fill="auto"/>
            <w:noWrap/>
            <w:vAlign w:val="center"/>
            <w:hideMark/>
          </w:tcPr>
          <w:p w14:paraId="15C04E98"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=Gross profit / Revenue</w:t>
            </w:r>
          </w:p>
        </w:tc>
        <w:tc>
          <w:tcPr>
            <w:tcW w:w="1166" w:type="dxa"/>
            <w:tcBorders>
              <w:top w:val="nil"/>
              <w:left w:val="nil"/>
              <w:bottom w:val="single" w:sz="4" w:space="0" w:color="auto"/>
              <w:right w:val="single" w:sz="4" w:space="0" w:color="auto"/>
            </w:tcBorders>
            <w:shd w:val="clear" w:color="auto" w:fill="auto"/>
            <w:noWrap/>
            <w:vAlign w:val="center"/>
            <w:hideMark/>
          </w:tcPr>
          <w:p w14:paraId="0D93E8F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51.9%</w:t>
            </w:r>
          </w:p>
        </w:tc>
        <w:tc>
          <w:tcPr>
            <w:tcW w:w="1030" w:type="dxa"/>
            <w:tcBorders>
              <w:top w:val="nil"/>
              <w:left w:val="nil"/>
              <w:bottom w:val="single" w:sz="4" w:space="0" w:color="auto"/>
              <w:right w:val="single" w:sz="4" w:space="0" w:color="auto"/>
            </w:tcBorders>
            <w:shd w:val="clear" w:color="auto" w:fill="auto"/>
            <w:noWrap/>
            <w:vAlign w:val="center"/>
            <w:hideMark/>
          </w:tcPr>
          <w:p w14:paraId="7E5D646E"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52.0%</w:t>
            </w:r>
          </w:p>
        </w:tc>
      </w:tr>
      <w:tr w:rsidR="00FB7EAC" w:rsidRPr="001F2C6C" w14:paraId="69F24DC5"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1C66E0D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2</w:t>
            </w:r>
          </w:p>
        </w:tc>
        <w:tc>
          <w:tcPr>
            <w:tcW w:w="2153" w:type="dxa"/>
            <w:tcBorders>
              <w:top w:val="nil"/>
              <w:left w:val="nil"/>
              <w:bottom w:val="single" w:sz="4" w:space="0" w:color="auto"/>
              <w:right w:val="single" w:sz="4" w:space="0" w:color="auto"/>
            </w:tcBorders>
            <w:shd w:val="clear" w:color="auto" w:fill="auto"/>
            <w:noWrap/>
            <w:vAlign w:val="center"/>
            <w:hideMark/>
          </w:tcPr>
          <w:p w14:paraId="31CCC172"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Operating Profit</w:t>
            </w:r>
          </w:p>
        </w:tc>
        <w:tc>
          <w:tcPr>
            <w:tcW w:w="4056" w:type="dxa"/>
            <w:tcBorders>
              <w:top w:val="nil"/>
              <w:left w:val="nil"/>
              <w:bottom w:val="single" w:sz="4" w:space="0" w:color="auto"/>
              <w:right w:val="single" w:sz="4" w:space="0" w:color="auto"/>
            </w:tcBorders>
            <w:shd w:val="clear" w:color="auto" w:fill="auto"/>
            <w:noWrap/>
            <w:vAlign w:val="center"/>
            <w:hideMark/>
          </w:tcPr>
          <w:p w14:paraId="1725F960"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Operating Profit/ Revenue</w:t>
            </w:r>
          </w:p>
        </w:tc>
        <w:tc>
          <w:tcPr>
            <w:tcW w:w="1166" w:type="dxa"/>
            <w:tcBorders>
              <w:top w:val="nil"/>
              <w:left w:val="nil"/>
              <w:bottom w:val="single" w:sz="4" w:space="0" w:color="auto"/>
              <w:right w:val="single" w:sz="4" w:space="0" w:color="auto"/>
            </w:tcBorders>
            <w:shd w:val="clear" w:color="auto" w:fill="auto"/>
            <w:noWrap/>
            <w:vAlign w:val="center"/>
            <w:hideMark/>
          </w:tcPr>
          <w:p w14:paraId="26DC8BE1"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10.9%</w:t>
            </w:r>
          </w:p>
        </w:tc>
        <w:tc>
          <w:tcPr>
            <w:tcW w:w="1030" w:type="dxa"/>
            <w:tcBorders>
              <w:top w:val="nil"/>
              <w:left w:val="nil"/>
              <w:bottom w:val="single" w:sz="4" w:space="0" w:color="auto"/>
              <w:right w:val="single" w:sz="4" w:space="0" w:color="auto"/>
            </w:tcBorders>
            <w:shd w:val="clear" w:color="auto" w:fill="auto"/>
            <w:noWrap/>
            <w:vAlign w:val="center"/>
            <w:hideMark/>
          </w:tcPr>
          <w:p w14:paraId="75EEEC75"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11.9%</w:t>
            </w:r>
          </w:p>
        </w:tc>
      </w:tr>
      <w:tr w:rsidR="00FB7EAC" w:rsidRPr="001F2C6C" w14:paraId="7726A09C"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0F9E75C8"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3</w:t>
            </w:r>
          </w:p>
        </w:tc>
        <w:tc>
          <w:tcPr>
            <w:tcW w:w="2153" w:type="dxa"/>
            <w:tcBorders>
              <w:top w:val="nil"/>
              <w:left w:val="nil"/>
              <w:bottom w:val="single" w:sz="4" w:space="0" w:color="auto"/>
              <w:right w:val="single" w:sz="4" w:space="0" w:color="auto"/>
            </w:tcBorders>
            <w:shd w:val="clear" w:color="auto" w:fill="auto"/>
            <w:noWrap/>
            <w:vAlign w:val="center"/>
            <w:hideMark/>
          </w:tcPr>
          <w:p w14:paraId="4D192CC2"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Net Profit Margin</w:t>
            </w:r>
          </w:p>
        </w:tc>
        <w:tc>
          <w:tcPr>
            <w:tcW w:w="4056" w:type="dxa"/>
            <w:tcBorders>
              <w:top w:val="nil"/>
              <w:left w:val="nil"/>
              <w:bottom w:val="single" w:sz="4" w:space="0" w:color="auto"/>
              <w:right w:val="single" w:sz="4" w:space="0" w:color="auto"/>
            </w:tcBorders>
            <w:shd w:val="clear" w:color="auto" w:fill="auto"/>
            <w:noWrap/>
            <w:vAlign w:val="center"/>
            <w:hideMark/>
          </w:tcPr>
          <w:p w14:paraId="59D6E3AB"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=Net profit Revenue</w:t>
            </w:r>
          </w:p>
        </w:tc>
        <w:tc>
          <w:tcPr>
            <w:tcW w:w="1166" w:type="dxa"/>
            <w:tcBorders>
              <w:top w:val="nil"/>
              <w:left w:val="nil"/>
              <w:bottom w:val="single" w:sz="4" w:space="0" w:color="auto"/>
              <w:right w:val="single" w:sz="4" w:space="0" w:color="auto"/>
            </w:tcBorders>
            <w:shd w:val="clear" w:color="auto" w:fill="auto"/>
            <w:noWrap/>
            <w:vAlign w:val="center"/>
            <w:hideMark/>
          </w:tcPr>
          <w:p w14:paraId="23E9051E"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5.7%</w:t>
            </w:r>
          </w:p>
        </w:tc>
        <w:tc>
          <w:tcPr>
            <w:tcW w:w="1030" w:type="dxa"/>
            <w:tcBorders>
              <w:top w:val="nil"/>
              <w:left w:val="nil"/>
              <w:bottom w:val="single" w:sz="4" w:space="0" w:color="auto"/>
              <w:right w:val="single" w:sz="4" w:space="0" w:color="auto"/>
            </w:tcBorders>
            <w:shd w:val="clear" w:color="auto" w:fill="auto"/>
            <w:noWrap/>
            <w:vAlign w:val="center"/>
            <w:hideMark/>
          </w:tcPr>
          <w:p w14:paraId="3D761C40"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6.4%</w:t>
            </w:r>
          </w:p>
        </w:tc>
      </w:tr>
      <w:tr w:rsidR="00FB7EAC" w:rsidRPr="001F2C6C" w14:paraId="3EA10E11"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1FEC66F4"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4B364FDE"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4056" w:type="dxa"/>
            <w:tcBorders>
              <w:top w:val="nil"/>
              <w:left w:val="nil"/>
              <w:bottom w:val="single" w:sz="4" w:space="0" w:color="auto"/>
              <w:right w:val="single" w:sz="4" w:space="0" w:color="auto"/>
            </w:tcBorders>
            <w:shd w:val="clear" w:color="auto" w:fill="auto"/>
            <w:noWrap/>
            <w:vAlign w:val="center"/>
            <w:hideMark/>
          </w:tcPr>
          <w:p w14:paraId="7DA2DE72"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6C3CC3B5"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722CE02D"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7033B4F0"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43A5756C"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3D968282" w14:textId="77777777" w:rsidR="00FB7EAC" w:rsidRPr="001F2C6C" w:rsidRDefault="00FB7EAC" w:rsidP="001F2C6C">
            <w:pPr>
              <w:spacing w:after="0" w:line="360" w:lineRule="auto"/>
              <w:jc w:val="both"/>
              <w:rPr>
                <w:rFonts w:ascii="Times New Roman" w:eastAsia="Times New Roman" w:hAnsi="Times New Roman" w:cs="Times New Roman"/>
                <w:i/>
                <w:iCs/>
                <w:color w:val="000000"/>
                <w:sz w:val="24"/>
                <w:szCs w:val="24"/>
                <w:u w:val="single"/>
              </w:rPr>
            </w:pPr>
            <w:r w:rsidRPr="001F2C6C">
              <w:rPr>
                <w:rFonts w:ascii="Times New Roman" w:eastAsia="Times New Roman" w:hAnsi="Times New Roman" w:cs="Times New Roman"/>
                <w:i/>
                <w:iCs/>
                <w:color w:val="000000"/>
                <w:sz w:val="24"/>
                <w:szCs w:val="24"/>
                <w:u w:val="single"/>
              </w:rPr>
              <w:t>Liquidity Ratios</w:t>
            </w:r>
          </w:p>
        </w:tc>
        <w:tc>
          <w:tcPr>
            <w:tcW w:w="4056" w:type="dxa"/>
            <w:tcBorders>
              <w:top w:val="nil"/>
              <w:left w:val="nil"/>
              <w:bottom w:val="single" w:sz="4" w:space="0" w:color="auto"/>
              <w:right w:val="single" w:sz="4" w:space="0" w:color="auto"/>
            </w:tcBorders>
            <w:shd w:val="clear" w:color="auto" w:fill="auto"/>
            <w:noWrap/>
            <w:vAlign w:val="center"/>
            <w:hideMark/>
          </w:tcPr>
          <w:p w14:paraId="521979A3"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365C35D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0A8A217F"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2418AF61"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0AB1570C"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4</w:t>
            </w:r>
          </w:p>
        </w:tc>
        <w:tc>
          <w:tcPr>
            <w:tcW w:w="2153" w:type="dxa"/>
            <w:tcBorders>
              <w:top w:val="nil"/>
              <w:left w:val="nil"/>
              <w:bottom w:val="single" w:sz="4" w:space="0" w:color="auto"/>
              <w:right w:val="single" w:sz="4" w:space="0" w:color="auto"/>
            </w:tcBorders>
            <w:shd w:val="clear" w:color="auto" w:fill="auto"/>
            <w:noWrap/>
            <w:vAlign w:val="center"/>
            <w:hideMark/>
          </w:tcPr>
          <w:p w14:paraId="50652493"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Current Ratio</w:t>
            </w:r>
          </w:p>
        </w:tc>
        <w:tc>
          <w:tcPr>
            <w:tcW w:w="4056" w:type="dxa"/>
            <w:tcBorders>
              <w:top w:val="nil"/>
              <w:left w:val="nil"/>
              <w:bottom w:val="single" w:sz="4" w:space="0" w:color="auto"/>
              <w:right w:val="single" w:sz="4" w:space="0" w:color="auto"/>
            </w:tcBorders>
            <w:shd w:val="clear" w:color="auto" w:fill="auto"/>
            <w:noWrap/>
            <w:vAlign w:val="center"/>
            <w:hideMark/>
          </w:tcPr>
          <w:p w14:paraId="5339049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Current Asset/ Current Liability</w:t>
            </w:r>
          </w:p>
        </w:tc>
        <w:tc>
          <w:tcPr>
            <w:tcW w:w="1166" w:type="dxa"/>
            <w:tcBorders>
              <w:top w:val="nil"/>
              <w:left w:val="nil"/>
              <w:bottom w:val="single" w:sz="4" w:space="0" w:color="auto"/>
              <w:right w:val="single" w:sz="4" w:space="0" w:color="auto"/>
            </w:tcBorders>
            <w:shd w:val="clear" w:color="auto" w:fill="auto"/>
            <w:noWrap/>
            <w:vAlign w:val="center"/>
            <w:hideMark/>
          </w:tcPr>
          <w:p w14:paraId="4D7262AF"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0.77x</w:t>
            </w:r>
          </w:p>
        </w:tc>
        <w:tc>
          <w:tcPr>
            <w:tcW w:w="1030" w:type="dxa"/>
            <w:tcBorders>
              <w:top w:val="nil"/>
              <w:left w:val="nil"/>
              <w:bottom w:val="single" w:sz="4" w:space="0" w:color="auto"/>
              <w:right w:val="single" w:sz="4" w:space="0" w:color="auto"/>
            </w:tcBorders>
            <w:shd w:val="clear" w:color="auto" w:fill="auto"/>
            <w:noWrap/>
            <w:vAlign w:val="center"/>
            <w:hideMark/>
          </w:tcPr>
          <w:p w14:paraId="3840AC24"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0.92x</w:t>
            </w:r>
          </w:p>
        </w:tc>
      </w:tr>
      <w:tr w:rsidR="00FB7EAC" w:rsidRPr="001F2C6C" w14:paraId="1FBA8148"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620CEEF5"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5</w:t>
            </w:r>
          </w:p>
        </w:tc>
        <w:tc>
          <w:tcPr>
            <w:tcW w:w="2153" w:type="dxa"/>
            <w:tcBorders>
              <w:top w:val="nil"/>
              <w:left w:val="nil"/>
              <w:bottom w:val="single" w:sz="4" w:space="0" w:color="auto"/>
              <w:right w:val="single" w:sz="4" w:space="0" w:color="auto"/>
            </w:tcBorders>
            <w:shd w:val="clear" w:color="auto" w:fill="auto"/>
            <w:noWrap/>
            <w:vAlign w:val="center"/>
            <w:hideMark/>
          </w:tcPr>
          <w:p w14:paraId="25381B3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Quick Ratio</w:t>
            </w:r>
          </w:p>
        </w:tc>
        <w:tc>
          <w:tcPr>
            <w:tcW w:w="4056" w:type="dxa"/>
            <w:tcBorders>
              <w:top w:val="nil"/>
              <w:left w:val="nil"/>
              <w:bottom w:val="single" w:sz="4" w:space="0" w:color="auto"/>
              <w:right w:val="single" w:sz="4" w:space="0" w:color="auto"/>
            </w:tcBorders>
            <w:shd w:val="clear" w:color="auto" w:fill="auto"/>
            <w:noWrap/>
            <w:vAlign w:val="center"/>
            <w:hideMark/>
          </w:tcPr>
          <w:p w14:paraId="74793AF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(Current Asset - </w:t>
            </w:r>
            <w:proofErr w:type="gramStart"/>
            <w:r w:rsidRPr="001F2C6C">
              <w:rPr>
                <w:rFonts w:ascii="Times New Roman" w:eastAsia="Times New Roman" w:hAnsi="Times New Roman" w:cs="Times New Roman"/>
                <w:color w:val="000000"/>
                <w:sz w:val="24"/>
                <w:szCs w:val="24"/>
              </w:rPr>
              <w:t>Inventory )</w:t>
            </w:r>
            <w:proofErr w:type="gramEnd"/>
            <w:r w:rsidRPr="001F2C6C">
              <w:rPr>
                <w:rFonts w:ascii="Times New Roman" w:eastAsia="Times New Roman" w:hAnsi="Times New Roman" w:cs="Times New Roman"/>
                <w:color w:val="000000"/>
                <w:sz w:val="24"/>
                <w:szCs w:val="24"/>
              </w:rPr>
              <w:t>/Current Liability</w:t>
            </w:r>
          </w:p>
        </w:tc>
        <w:tc>
          <w:tcPr>
            <w:tcW w:w="1166" w:type="dxa"/>
            <w:tcBorders>
              <w:top w:val="nil"/>
              <w:left w:val="nil"/>
              <w:bottom w:val="single" w:sz="4" w:space="0" w:color="auto"/>
              <w:right w:val="single" w:sz="4" w:space="0" w:color="auto"/>
            </w:tcBorders>
            <w:shd w:val="clear" w:color="auto" w:fill="auto"/>
            <w:noWrap/>
            <w:vAlign w:val="center"/>
            <w:hideMark/>
          </w:tcPr>
          <w:p w14:paraId="69D7E6B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0.56x</w:t>
            </w:r>
          </w:p>
        </w:tc>
        <w:tc>
          <w:tcPr>
            <w:tcW w:w="1030" w:type="dxa"/>
            <w:tcBorders>
              <w:top w:val="nil"/>
              <w:left w:val="nil"/>
              <w:bottom w:val="single" w:sz="4" w:space="0" w:color="auto"/>
              <w:right w:val="single" w:sz="4" w:space="0" w:color="auto"/>
            </w:tcBorders>
            <w:shd w:val="clear" w:color="auto" w:fill="auto"/>
            <w:noWrap/>
            <w:vAlign w:val="center"/>
            <w:hideMark/>
          </w:tcPr>
          <w:p w14:paraId="1ABB550D"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0.64x</w:t>
            </w:r>
          </w:p>
        </w:tc>
      </w:tr>
      <w:tr w:rsidR="00FB7EAC" w:rsidRPr="001F2C6C" w14:paraId="38FB6006"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50FE6B6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4B6BAD8E"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4056" w:type="dxa"/>
            <w:tcBorders>
              <w:top w:val="nil"/>
              <w:left w:val="nil"/>
              <w:bottom w:val="single" w:sz="4" w:space="0" w:color="auto"/>
              <w:right w:val="single" w:sz="4" w:space="0" w:color="auto"/>
            </w:tcBorders>
            <w:shd w:val="clear" w:color="auto" w:fill="auto"/>
            <w:noWrap/>
            <w:vAlign w:val="center"/>
            <w:hideMark/>
          </w:tcPr>
          <w:p w14:paraId="7CEDF793"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503FBE2F"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386FED9D"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701A4397"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1E9FA4AB"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6D7CE978" w14:textId="77777777" w:rsidR="00FB7EAC" w:rsidRPr="001F2C6C" w:rsidRDefault="00FB7EAC" w:rsidP="001F2C6C">
            <w:pPr>
              <w:spacing w:after="0" w:line="360" w:lineRule="auto"/>
              <w:jc w:val="both"/>
              <w:rPr>
                <w:rFonts w:ascii="Times New Roman" w:eastAsia="Times New Roman" w:hAnsi="Times New Roman" w:cs="Times New Roman"/>
                <w:i/>
                <w:iCs/>
                <w:color w:val="000000"/>
                <w:sz w:val="24"/>
                <w:szCs w:val="24"/>
                <w:u w:val="single"/>
              </w:rPr>
            </w:pPr>
            <w:r w:rsidRPr="001F2C6C">
              <w:rPr>
                <w:rFonts w:ascii="Times New Roman" w:eastAsia="Times New Roman" w:hAnsi="Times New Roman" w:cs="Times New Roman"/>
                <w:i/>
                <w:iCs/>
                <w:color w:val="000000"/>
                <w:sz w:val="24"/>
                <w:szCs w:val="24"/>
                <w:u w:val="single"/>
              </w:rPr>
              <w:t>Efficiency Ratios</w:t>
            </w:r>
          </w:p>
        </w:tc>
        <w:tc>
          <w:tcPr>
            <w:tcW w:w="4056" w:type="dxa"/>
            <w:tcBorders>
              <w:top w:val="nil"/>
              <w:left w:val="nil"/>
              <w:bottom w:val="single" w:sz="4" w:space="0" w:color="auto"/>
              <w:right w:val="single" w:sz="4" w:space="0" w:color="auto"/>
            </w:tcBorders>
            <w:shd w:val="clear" w:color="auto" w:fill="auto"/>
            <w:noWrap/>
            <w:vAlign w:val="center"/>
            <w:hideMark/>
          </w:tcPr>
          <w:p w14:paraId="6C158705"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10E9B059"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701EFE9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056A24A7"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3A9FFC8E"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6</w:t>
            </w:r>
          </w:p>
        </w:tc>
        <w:tc>
          <w:tcPr>
            <w:tcW w:w="2153" w:type="dxa"/>
            <w:tcBorders>
              <w:top w:val="nil"/>
              <w:left w:val="nil"/>
              <w:bottom w:val="single" w:sz="4" w:space="0" w:color="auto"/>
              <w:right w:val="single" w:sz="4" w:space="0" w:color="auto"/>
            </w:tcBorders>
            <w:shd w:val="clear" w:color="auto" w:fill="auto"/>
            <w:noWrap/>
            <w:vAlign w:val="center"/>
            <w:hideMark/>
          </w:tcPr>
          <w:p w14:paraId="26A8A170"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Inventory Turnover days</w:t>
            </w:r>
          </w:p>
        </w:tc>
        <w:tc>
          <w:tcPr>
            <w:tcW w:w="4056" w:type="dxa"/>
            <w:tcBorders>
              <w:top w:val="nil"/>
              <w:left w:val="nil"/>
              <w:bottom w:val="single" w:sz="4" w:space="0" w:color="auto"/>
              <w:right w:val="single" w:sz="4" w:space="0" w:color="auto"/>
            </w:tcBorders>
            <w:shd w:val="clear" w:color="auto" w:fill="auto"/>
            <w:noWrap/>
            <w:vAlign w:val="center"/>
            <w:hideMark/>
          </w:tcPr>
          <w:p w14:paraId="2E4614F7"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365</w:t>
            </w:r>
            <w:proofErr w:type="gramStart"/>
            <w:r w:rsidRPr="001F2C6C">
              <w:rPr>
                <w:rFonts w:ascii="Times New Roman" w:eastAsia="Times New Roman" w:hAnsi="Times New Roman" w:cs="Times New Roman"/>
                <w:color w:val="000000"/>
                <w:sz w:val="24"/>
                <w:szCs w:val="24"/>
              </w:rPr>
              <w:t>/(</w:t>
            </w:r>
            <w:proofErr w:type="gramEnd"/>
            <w:r w:rsidRPr="001F2C6C">
              <w:rPr>
                <w:rFonts w:ascii="Times New Roman" w:eastAsia="Times New Roman" w:hAnsi="Times New Roman" w:cs="Times New Roman"/>
                <w:color w:val="000000"/>
                <w:sz w:val="24"/>
                <w:szCs w:val="24"/>
              </w:rPr>
              <w:t>COGS / Inventory)</w:t>
            </w:r>
          </w:p>
        </w:tc>
        <w:tc>
          <w:tcPr>
            <w:tcW w:w="1166" w:type="dxa"/>
            <w:tcBorders>
              <w:top w:val="nil"/>
              <w:left w:val="nil"/>
              <w:bottom w:val="single" w:sz="4" w:space="0" w:color="auto"/>
              <w:right w:val="single" w:sz="4" w:space="0" w:color="auto"/>
            </w:tcBorders>
            <w:shd w:val="clear" w:color="auto" w:fill="auto"/>
            <w:noWrap/>
            <w:vAlign w:val="center"/>
            <w:hideMark/>
          </w:tcPr>
          <w:p w14:paraId="519F01F3"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78</w:t>
            </w:r>
          </w:p>
        </w:tc>
        <w:tc>
          <w:tcPr>
            <w:tcW w:w="1030" w:type="dxa"/>
            <w:tcBorders>
              <w:top w:val="nil"/>
              <w:left w:val="nil"/>
              <w:bottom w:val="single" w:sz="4" w:space="0" w:color="auto"/>
              <w:right w:val="single" w:sz="4" w:space="0" w:color="auto"/>
            </w:tcBorders>
            <w:shd w:val="clear" w:color="auto" w:fill="auto"/>
            <w:noWrap/>
            <w:vAlign w:val="center"/>
            <w:hideMark/>
          </w:tcPr>
          <w:p w14:paraId="5C1AA649"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80</w:t>
            </w:r>
          </w:p>
        </w:tc>
      </w:tr>
      <w:tr w:rsidR="00FB7EAC" w:rsidRPr="001F2C6C" w14:paraId="38114290"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540CBDE2"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7</w:t>
            </w:r>
          </w:p>
        </w:tc>
        <w:tc>
          <w:tcPr>
            <w:tcW w:w="2153" w:type="dxa"/>
            <w:tcBorders>
              <w:top w:val="nil"/>
              <w:left w:val="nil"/>
              <w:bottom w:val="single" w:sz="4" w:space="0" w:color="auto"/>
              <w:right w:val="single" w:sz="4" w:space="0" w:color="auto"/>
            </w:tcBorders>
            <w:shd w:val="clear" w:color="auto" w:fill="auto"/>
            <w:noWrap/>
            <w:vAlign w:val="center"/>
            <w:hideMark/>
          </w:tcPr>
          <w:p w14:paraId="07DD6F2E"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Receivable Turnover days</w:t>
            </w:r>
          </w:p>
        </w:tc>
        <w:tc>
          <w:tcPr>
            <w:tcW w:w="4056" w:type="dxa"/>
            <w:tcBorders>
              <w:top w:val="nil"/>
              <w:left w:val="nil"/>
              <w:bottom w:val="single" w:sz="4" w:space="0" w:color="auto"/>
              <w:right w:val="single" w:sz="4" w:space="0" w:color="auto"/>
            </w:tcBorders>
            <w:shd w:val="clear" w:color="auto" w:fill="auto"/>
            <w:noWrap/>
            <w:vAlign w:val="center"/>
            <w:hideMark/>
          </w:tcPr>
          <w:p w14:paraId="54FEF6A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365</w:t>
            </w:r>
            <w:proofErr w:type="gramStart"/>
            <w:r w:rsidRPr="001F2C6C">
              <w:rPr>
                <w:rFonts w:ascii="Times New Roman" w:eastAsia="Times New Roman" w:hAnsi="Times New Roman" w:cs="Times New Roman"/>
                <w:color w:val="000000"/>
                <w:sz w:val="24"/>
                <w:szCs w:val="24"/>
              </w:rPr>
              <w:t>/( Sales</w:t>
            </w:r>
            <w:proofErr w:type="gramEnd"/>
            <w:r w:rsidRPr="001F2C6C">
              <w:rPr>
                <w:rFonts w:ascii="Times New Roman" w:eastAsia="Times New Roman" w:hAnsi="Times New Roman" w:cs="Times New Roman"/>
                <w:color w:val="000000"/>
                <w:sz w:val="24"/>
                <w:szCs w:val="24"/>
              </w:rPr>
              <w:t>/Accounts Receivable)</w:t>
            </w:r>
          </w:p>
        </w:tc>
        <w:tc>
          <w:tcPr>
            <w:tcW w:w="1166" w:type="dxa"/>
            <w:tcBorders>
              <w:top w:val="nil"/>
              <w:left w:val="nil"/>
              <w:bottom w:val="single" w:sz="4" w:space="0" w:color="auto"/>
              <w:right w:val="single" w:sz="4" w:space="0" w:color="auto"/>
            </w:tcBorders>
            <w:shd w:val="clear" w:color="auto" w:fill="auto"/>
            <w:noWrap/>
            <w:vAlign w:val="center"/>
            <w:hideMark/>
          </w:tcPr>
          <w:p w14:paraId="54492E52"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73</w:t>
            </w:r>
          </w:p>
        </w:tc>
        <w:tc>
          <w:tcPr>
            <w:tcW w:w="1030" w:type="dxa"/>
            <w:tcBorders>
              <w:top w:val="nil"/>
              <w:left w:val="nil"/>
              <w:bottom w:val="single" w:sz="4" w:space="0" w:color="auto"/>
              <w:right w:val="single" w:sz="4" w:space="0" w:color="auto"/>
            </w:tcBorders>
            <w:shd w:val="clear" w:color="auto" w:fill="auto"/>
            <w:noWrap/>
            <w:vAlign w:val="center"/>
            <w:hideMark/>
          </w:tcPr>
          <w:p w14:paraId="1682EED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68</w:t>
            </w:r>
          </w:p>
        </w:tc>
      </w:tr>
      <w:tr w:rsidR="00FB7EAC" w:rsidRPr="001F2C6C" w14:paraId="27A8DFDA"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09335858"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8</w:t>
            </w:r>
          </w:p>
        </w:tc>
        <w:tc>
          <w:tcPr>
            <w:tcW w:w="2153" w:type="dxa"/>
            <w:tcBorders>
              <w:top w:val="nil"/>
              <w:left w:val="nil"/>
              <w:bottom w:val="single" w:sz="4" w:space="0" w:color="auto"/>
              <w:right w:val="single" w:sz="4" w:space="0" w:color="auto"/>
            </w:tcBorders>
            <w:shd w:val="clear" w:color="auto" w:fill="auto"/>
            <w:noWrap/>
            <w:vAlign w:val="center"/>
            <w:hideMark/>
          </w:tcPr>
          <w:p w14:paraId="11D0ED21"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Payable Turnover days</w:t>
            </w:r>
          </w:p>
        </w:tc>
        <w:tc>
          <w:tcPr>
            <w:tcW w:w="4056" w:type="dxa"/>
            <w:tcBorders>
              <w:top w:val="nil"/>
              <w:left w:val="nil"/>
              <w:bottom w:val="single" w:sz="4" w:space="0" w:color="auto"/>
              <w:right w:val="single" w:sz="4" w:space="0" w:color="auto"/>
            </w:tcBorders>
            <w:shd w:val="clear" w:color="auto" w:fill="auto"/>
            <w:noWrap/>
            <w:vAlign w:val="center"/>
            <w:hideMark/>
          </w:tcPr>
          <w:p w14:paraId="1725D791"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=365/ </w:t>
            </w:r>
            <w:proofErr w:type="gramStart"/>
            <w:r w:rsidRPr="001F2C6C">
              <w:rPr>
                <w:rFonts w:ascii="Times New Roman" w:eastAsia="Times New Roman" w:hAnsi="Times New Roman" w:cs="Times New Roman"/>
                <w:color w:val="000000"/>
                <w:sz w:val="24"/>
                <w:szCs w:val="24"/>
              </w:rPr>
              <w:t>( COGS</w:t>
            </w:r>
            <w:proofErr w:type="gramEnd"/>
            <w:r w:rsidRPr="001F2C6C">
              <w:rPr>
                <w:rFonts w:ascii="Times New Roman" w:eastAsia="Times New Roman" w:hAnsi="Times New Roman" w:cs="Times New Roman"/>
                <w:color w:val="000000"/>
                <w:sz w:val="24"/>
                <w:szCs w:val="24"/>
              </w:rPr>
              <w:t>/Accounts payables)</w:t>
            </w:r>
          </w:p>
        </w:tc>
        <w:tc>
          <w:tcPr>
            <w:tcW w:w="1166" w:type="dxa"/>
            <w:tcBorders>
              <w:top w:val="nil"/>
              <w:left w:val="nil"/>
              <w:bottom w:val="single" w:sz="4" w:space="0" w:color="auto"/>
              <w:right w:val="single" w:sz="4" w:space="0" w:color="auto"/>
            </w:tcBorders>
            <w:shd w:val="clear" w:color="auto" w:fill="auto"/>
            <w:noWrap/>
            <w:vAlign w:val="center"/>
            <w:hideMark/>
          </w:tcPr>
          <w:p w14:paraId="21CBA195"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77</w:t>
            </w:r>
          </w:p>
        </w:tc>
        <w:tc>
          <w:tcPr>
            <w:tcW w:w="1030" w:type="dxa"/>
            <w:tcBorders>
              <w:top w:val="nil"/>
              <w:left w:val="nil"/>
              <w:bottom w:val="single" w:sz="4" w:space="0" w:color="auto"/>
              <w:right w:val="single" w:sz="4" w:space="0" w:color="auto"/>
            </w:tcBorders>
            <w:shd w:val="clear" w:color="auto" w:fill="auto"/>
            <w:noWrap/>
            <w:vAlign w:val="center"/>
            <w:hideMark/>
          </w:tcPr>
          <w:p w14:paraId="1C0284AF"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66</w:t>
            </w:r>
          </w:p>
        </w:tc>
      </w:tr>
      <w:tr w:rsidR="00FB7EAC" w:rsidRPr="001F2C6C" w14:paraId="58A36FEA"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14A08377"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6CE03AD4"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4056" w:type="dxa"/>
            <w:tcBorders>
              <w:top w:val="nil"/>
              <w:left w:val="nil"/>
              <w:bottom w:val="single" w:sz="4" w:space="0" w:color="auto"/>
              <w:right w:val="single" w:sz="4" w:space="0" w:color="auto"/>
            </w:tcBorders>
            <w:shd w:val="clear" w:color="auto" w:fill="auto"/>
            <w:noWrap/>
            <w:vAlign w:val="center"/>
            <w:hideMark/>
          </w:tcPr>
          <w:p w14:paraId="713DC59B"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69D2CF68"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576BAB9C"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32D263F7"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11094199"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2B26390A" w14:textId="77777777" w:rsidR="00FB7EAC" w:rsidRPr="001F2C6C" w:rsidRDefault="00FB7EAC" w:rsidP="001F2C6C">
            <w:pPr>
              <w:spacing w:after="0" w:line="360" w:lineRule="auto"/>
              <w:jc w:val="both"/>
              <w:rPr>
                <w:rFonts w:ascii="Times New Roman" w:eastAsia="Times New Roman" w:hAnsi="Times New Roman" w:cs="Times New Roman"/>
                <w:i/>
                <w:iCs/>
                <w:color w:val="000000"/>
                <w:sz w:val="24"/>
                <w:szCs w:val="24"/>
                <w:u w:val="single"/>
              </w:rPr>
            </w:pPr>
            <w:r w:rsidRPr="001F2C6C">
              <w:rPr>
                <w:rFonts w:ascii="Times New Roman" w:eastAsia="Times New Roman" w:hAnsi="Times New Roman" w:cs="Times New Roman"/>
                <w:i/>
                <w:iCs/>
                <w:color w:val="000000"/>
                <w:sz w:val="24"/>
                <w:szCs w:val="24"/>
                <w:u w:val="single"/>
              </w:rPr>
              <w:t>Solvency Ratios</w:t>
            </w:r>
          </w:p>
        </w:tc>
        <w:tc>
          <w:tcPr>
            <w:tcW w:w="4056" w:type="dxa"/>
            <w:tcBorders>
              <w:top w:val="nil"/>
              <w:left w:val="nil"/>
              <w:bottom w:val="single" w:sz="4" w:space="0" w:color="auto"/>
              <w:right w:val="single" w:sz="4" w:space="0" w:color="auto"/>
            </w:tcBorders>
            <w:shd w:val="clear" w:color="auto" w:fill="auto"/>
            <w:noWrap/>
            <w:vAlign w:val="center"/>
            <w:hideMark/>
          </w:tcPr>
          <w:p w14:paraId="7466FFC8"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2E6FA2F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0BCC2C7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30187451"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4C51BDF1"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9</w:t>
            </w:r>
          </w:p>
        </w:tc>
        <w:tc>
          <w:tcPr>
            <w:tcW w:w="2153" w:type="dxa"/>
            <w:tcBorders>
              <w:top w:val="nil"/>
              <w:left w:val="nil"/>
              <w:bottom w:val="single" w:sz="4" w:space="0" w:color="auto"/>
              <w:right w:val="single" w:sz="4" w:space="0" w:color="auto"/>
            </w:tcBorders>
            <w:shd w:val="clear" w:color="auto" w:fill="auto"/>
            <w:noWrap/>
            <w:vAlign w:val="center"/>
            <w:hideMark/>
          </w:tcPr>
          <w:p w14:paraId="76F09DC4"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Debt to equity</w:t>
            </w:r>
          </w:p>
        </w:tc>
        <w:tc>
          <w:tcPr>
            <w:tcW w:w="4056" w:type="dxa"/>
            <w:tcBorders>
              <w:top w:val="nil"/>
              <w:left w:val="nil"/>
              <w:bottom w:val="single" w:sz="4" w:space="0" w:color="auto"/>
              <w:right w:val="single" w:sz="4" w:space="0" w:color="auto"/>
            </w:tcBorders>
            <w:shd w:val="clear" w:color="auto" w:fill="auto"/>
            <w:noWrap/>
            <w:vAlign w:val="center"/>
            <w:hideMark/>
          </w:tcPr>
          <w:p w14:paraId="07E15288"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Loans and borrowings / equity</w:t>
            </w:r>
          </w:p>
        </w:tc>
        <w:tc>
          <w:tcPr>
            <w:tcW w:w="1166" w:type="dxa"/>
            <w:tcBorders>
              <w:top w:val="nil"/>
              <w:left w:val="nil"/>
              <w:bottom w:val="single" w:sz="4" w:space="0" w:color="auto"/>
              <w:right w:val="single" w:sz="4" w:space="0" w:color="auto"/>
            </w:tcBorders>
            <w:shd w:val="clear" w:color="auto" w:fill="auto"/>
            <w:noWrap/>
            <w:vAlign w:val="center"/>
            <w:hideMark/>
          </w:tcPr>
          <w:p w14:paraId="6A27D54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142%</w:t>
            </w:r>
          </w:p>
        </w:tc>
        <w:tc>
          <w:tcPr>
            <w:tcW w:w="1030" w:type="dxa"/>
            <w:tcBorders>
              <w:top w:val="nil"/>
              <w:left w:val="nil"/>
              <w:bottom w:val="single" w:sz="4" w:space="0" w:color="auto"/>
              <w:right w:val="single" w:sz="4" w:space="0" w:color="auto"/>
            </w:tcBorders>
            <w:shd w:val="clear" w:color="auto" w:fill="auto"/>
            <w:noWrap/>
            <w:vAlign w:val="center"/>
            <w:hideMark/>
          </w:tcPr>
          <w:p w14:paraId="152E6654"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134%</w:t>
            </w:r>
          </w:p>
        </w:tc>
      </w:tr>
      <w:tr w:rsidR="00FB7EAC" w:rsidRPr="001F2C6C" w14:paraId="04BE32BC"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35330C10"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026283F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4056" w:type="dxa"/>
            <w:tcBorders>
              <w:top w:val="nil"/>
              <w:left w:val="nil"/>
              <w:bottom w:val="single" w:sz="4" w:space="0" w:color="auto"/>
              <w:right w:val="single" w:sz="4" w:space="0" w:color="auto"/>
            </w:tcBorders>
            <w:shd w:val="clear" w:color="auto" w:fill="auto"/>
            <w:noWrap/>
            <w:vAlign w:val="center"/>
            <w:hideMark/>
          </w:tcPr>
          <w:p w14:paraId="186DD03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47D9588C"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7826D4C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5C7A187D"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0FAD18C3"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7E9BA8BC" w14:textId="77777777" w:rsidR="00FB7EAC" w:rsidRPr="001F2C6C" w:rsidRDefault="00FB7EAC" w:rsidP="001F2C6C">
            <w:pPr>
              <w:spacing w:after="0" w:line="360" w:lineRule="auto"/>
              <w:jc w:val="both"/>
              <w:rPr>
                <w:rFonts w:ascii="Times New Roman" w:eastAsia="Times New Roman" w:hAnsi="Times New Roman" w:cs="Times New Roman"/>
                <w:i/>
                <w:iCs/>
                <w:color w:val="000000"/>
                <w:sz w:val="24"/>
                <w:szCs w:val="24"/>
                <w:u w:val="single"/>
              </w:rPr>
            </w:pPr>
            <w:r w:rsidRPr="001F2C6C">
              <w:rPr>
                <w:rFonts w:ascii="Times New Roman" w:eastAsia="Times New Roman" w:hAnsi="Times New Roman" w:cs="Times New Roman"/>
                <w:i/>
                <w:iCs/>
                <w:color w:val="000000"/>
                <w:sz w:val="24"/>
                <w:szCs w:val="24"/>
                <w:u w:val="single"/>
              </w:rPr>
              <w:t>Return Ratios</w:t>
            </w:r>
          </w:p>
        </w:tc>
        <w:tc>
          <w:tcPr>
            <w:tcW w:w="4056" w:type="dxa"/>
            <w:tcBorders>
              <w:top w:val="nil"/>
              <w:left w:val="nil"/>
              <w:bottom w:val="single" w:sz="4" w:space="0" w:color="auto"/>
              <w:right w:val="single" w:sz="4" w:space="0" w:color="auto"/>
            </w:tcBorders>
            <w:shd w:val="clear" w:color="auto" w:fill="auto"/>
            <w:noWrap/>
            <w:vAlign w:val="center"/>
            <w:hideMark/>
          </w:tcPr>
          <w:p w14:paraId="34A52178"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3E01C519"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64F31504"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1FBFDC18"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530A4BAD"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10</w:t>
            </w:r>
          </w:p>
        </w:tc>
        <w:tc>
          <w:tcPr>
            <w:tcW w:w="2153" w:type="dxa"/>
            <w:tcBorders>
              <w:top w:val="nil"/>
              <w:left w:val="nil"/>
              <w:bottom w:val="single" w:sz="4" w:space="0" w:color="auto"/>
              <w:right w:val="single" w:sz="4" w:space="0" w:color="auto"/>
            </w:tcBorders>
            <w:shd w:val="clear" w:color="auto" w:fill="auto"/>
            <w:noWrap/>
            <w:vAlign w:val="center"/>
            <w:hideMark/>
          </w:tcPr>
          <w:p w14:paraId="4D0604A3"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Return on Equity</w:t>
            </w:r>
          </w:p>
        </w:tc>
        <w:tc>
          <w:tcPr>
            <w:tcW w:w="4056" w:type="dxa"/>
            <w:tcBorders>
              <w:top w:val="nil"/>
              <w:left w:val="nil"/>
              <w:bottom w:val="single" w:sz="4" w:space="0" w:color="auto"/>
              <w:right w:val="single" w:sz="4" w:space="0" w:color="auto"/>
            </w:tcBorders>
            <w:shd w:val="clear" w:color="auto" w:fill="auto"/>
            <w:noWrap/>
            <w:vAlign w:val="center"/>
            <w:hideMark/>
          </w:tcPr>
          <w:p w14:paraId="7AECC46B"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Net Profit/Equity</w:t>
            </w:r>
          </w:p>
        </w:tc>
        <w:tc>
          <w:tcPr>
            <w:tcW w:w="1166" w:type="dxa"/>
            <w:tcBorders>
              <w:top w:val="nil"/>
              <w:left w:val="nil"/>
              <w:bottom w:val="single" w:sz="4" w:space="0" w:color="auto"/>
              <w:right w:val="single" w:sz="4" w:space="0" w:color="auto"/>
            </w:tcBorders>
            <w:shd w:val="clear" w:color="auto" w:fill="auto"/>
            <w:noWrap/>
            <w:vAlign w:val="center"/>
            <w:hideMark/>
          </w:tcPr>
          <w:p w14:paraId="68382997"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12.6%</w:t>
            </w:r>
          </w:p>
        </w:tc>
        <w:tc>
          <w:tcPr>
            <w:tcW w:w="1030" w:type="dxa"/>
            <w:tcBorders>
              <w:top w:val="nil"/>
              <w:left w:val="nil"/>
              <w:bottom w:val="single" w:sz="4" w:space="0" w:color="auto"/>
              <w:right w:val="single" w:sz="4" w:space="0" w:color="auto"/>
            </w:tcBorders>
            <w:shd w:val="clear" w:color="auto" w:fill="auto"/>
            <w:noWrap/>
            <w:vAlign w:val="center"/>
            <w:hideMark/>
          </w:tcPr>
          <w:p w14:paraId="4DA0754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14.0%</w:t>
            </w:r>
          </w:p>
        </w:tc>
      </w:tr>
      <w:tr w:rsidR="00FB7EAC" w:rsidRPr="001F2C6C" w14:paraId="02483E9B"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1E6B3A25"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11</w:t>
            </w:r>
          </w:p>
        </w:tc>
        <w:tc>
          <w:tcPr>
            <w:tcW w:w="2153" w:type="dxa"/>
            <w:tcBorders>
              <w:top w:val="nil"/>
              <w:left w:val="nil"/>
              <w:bottom w:val="single" w:sz="4" w:space="0" w:color="auto"/>
              <w:right w:val="single" w:sz="4" w:space="0" w:color="auto"/>
            </w:tcBorders>
            <w:shd w:val="clear" w:color="auto" w:fill="auto"/>
            <w:noWrap/>
            <w:vAlign w:val="center"/>
            <w:hideMark/>
          </w:tcPr>
          <w:p w14:paraId="12A2647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Return on Asset</w:t>
            </w:r>
          </w:p>
        </w:tc>
        <w:tc>
          <w:tcPr>
            <w:tcW w:w="4056" w:type="dxa"/>
            <w:tcBorders>
              <w:top w:val="nil"/>
              <w:left w:val="nil"/>
              <w:bottom w:val="single" w:sz="4" w:space="0" w:color="auto"/>
              <w:right w:val="single" w:sz="4" w:space="0" w:color="auto"/>
            </w:tcBorders>
            <w:shd w:val="clear" w:color="auto" w:fill="auto"/>
            <w:noWrap/>
            <w:vAlign w:val="center"/>
            <w:hideMark/>
          </w:tcPr>
          <w:p w14:paraId="7AF55749"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 = Net Profit/Total Asset</w:t>
            </w:r>
          </w:p>
        </w:tc>
        <w:tc>
          <w:tcPr>
            <w:tcW w:w="1166" w:type="dxa"/>
            <w:tcBorders>
              <w:top w:val="nil"/>
              <w:left w:val="nil"/>
              <w:bottom w:val="single" w:sz="4" w:space="0" w:color="auto"/>
              <w:right w:val="single" w:sz="4" w:space="0" w:color="auto"/>
            </w:tcBorders>
            <w:shd w:val="clear" w:color="auto" w:fill="auto"/>
            <w:noWrap/>
            <w:vAlign w:val="center"/>
            <w:hideMark/>
          </w:tcPr>
          <w:p w14:paraId="312289DA"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3.6%</w:t>
            </w:r>
          </w:p>
        </w:tc>
        <w:tc>
          <w:tcPr>
            <w:tcW w:w="1030" w:type="dxa"/>
            <w:tcBorders>
              <w:top w:val="nil"/>
              <w:left w:val="nil"/>
              <w:bottom w:val="single" w:sz="4" w:space="0" w:color="auto"/>
              <w:right w:val="single" w:sz="4" w:space="0" w:color="auto"/>
            </w:tcBorders>
            <w:shd w:val="clear" w:color="auto" w:fill="auto"/>
            <w:noWrap/>
            <w:vAlign w:val="center"/>
            <w:hideMark/>
          </w:tcPr>
          <w:p w14:paraId="150F2D44"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4.4%</w:t>
            </w:r>
          </w:p>
        </w:tc>
      </w:tr>
      <w:tr w:rsidR="00FB7EAC" w:rsidRPr="001F2C6C" w14:paraId="1E8AD2ED"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28967CED"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304367EB"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4056" w:type="dxa"/>
            <w:tcBorders>
              <w:top w:val="nil"/>
              <w:left w:val="nil"/>
              <w:bottom w:val="single" w:sz="4" w:space="0" w:color="auto"/>
              <w:right w:val="single" w:sz="4" w:space="0" w:color="auto"/>
            </w:tcBorders>
            <w:shd w:val="clear" w:color="auto" w:fill="auto"/>
            <w:noWrap/>
            <w:vAlign w:val="center"/>
            <w:hideMark/>
          </w:tcPr>
          <w:p w14:paraId="24F6685B"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1C0E3790"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6876543F"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7A84610F"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4ECA8000"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2153" w:type="dxa"/>
            <w:tcBorders>
              <w:top w:val="nil"/>
              <w:left w:val="nil"/>
              <w:bottom w:val="single" w:sz="4" w:space="0" w:color="auto"/>
              <w:right w:val="single" w:sz="4" w:space="0" w:color="auto"/>
            </w:tcBorders>
            <w:shd w:val="clear" w:color="auto" w:fill="auto"/>
            <w:noWrap/>
            <w:vAlign w:val="center"/>
            <w:hideMark/>
          </w:tcPr>
          <w:p w14:paraId="499D58CA" w14:textId="77777777" w:rsidR="00FB7EAC" w:rsidRPr="001F2C6C" w:rsidRDefault="00FB7EAC" w:rsidP="001F2C6C">
            <w:pPr>
              <w:spacing w:after="0" w:line="360" w:lineRule="auto"/>
              <w:jc w:val="both"/>
              <w:rPr>
                <w:rFonts w:ascii="Times New Roman" w:eastAsia="Times New Roman" w:hAnsi="Times New Roman" w:cs="Times New Roman"/>
                <w:i/>
                <w:iCs/>
                <w:color w:val="000000"/>
                <w:sz w:val="24"/>
                <w:szCs w:val="24"/>
                <w:u w:val="single"/>
              </w:rPr>
            </w:pPr>
            <w:r w:rsidRPr="001F2C6C">
              <w:rPr>
                <w:rFonts w:ascii="Times New Roman" w:eastAsia="Times New Roman" w:hAnsi="Times New Roman" w:cs="Times New Roman"/>
                <w:i/>
                <w:iCs/>
                <w:color w:val="000000"/>
                <w:sz w:val="24"/>
                <w:szCs w:val="24"/>
                <w:u w:val="single"/>
              </w:rPr>
              <w:t>Market Valuation Ratio</w:t>
            </w:r>
          </w:p>
        </w:tc>
        <w:tc>
          <w:tcPr>
            <w:tcW w:w="4056" w:type="dxa"/>
            <w:tcBorders>
              <w:top w:val="nil"/>
              <w:left w:val="nil"/>
              <w:bottom w:val="single" w:sz="4" w:space="0" w:color="auto"/>
              <w:right w:val="single" w:sz="4" w:space="0" w:color="auto"/>
            </w:tcBorders>
            <w:shd w:val="clear" w:color="auto" w:fill="auto"/>
            <w:noWrap/>
            <w:vAlign w:val="center"/>
            <w:hideMark/>
          </w:tcPr>
          <w:p w14:paraId="34642097"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166" w:type="dxa"/>
            <w:tcBorders>
              <w:top w:val="nil"/>
              <w:left w:val="nil"/>
              <w:bottom w:val="single" w:sz="4" w:space="0" w:color="auto"/>
              <w:right w:val="single" w:sz="4" w:space="0" w:color="auto"/>
            </w:tcBorders>
            <w:shd w:val="clear" w:color="auto" w:fill="auto"/>
            <w:noWrap/>
            <w:vAlign w:val="center"/>
            <w:hideMark/>
          </w:tcPr>
          <w:p w14:paraId="00430738"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c>
          <w:tcPr>
            <w:tcW w:w="1030" w:type="dxa"/>
            <w:tcBorders>
              <w:top w:val="nil"/>
              <w:left w:val="nil"/>
              <w:bottom w:val="single" w:sz="4" w:space="0" w:color="auto"/>
              <w:right w:val="single" w:sz="4" w:space="0" w:color="auto"/>
            </w:tcBorders>
            <w:shd w:val="clear" w:color="auto" w:fill="auto"/>
            <w:noWrap/>
            <w:vAlign w:val="center"/>
            <w:hideMark/>
          </w:tcPr>
          <w:p w14:paraId="267891F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w:t>
            </w:r>
          </w:p>
        </w:tc>
      </w:tr>
      <w:tr w:rsidR="00FB7EAC" w:rsidRPr="001F2C6C" w14:paraId="778C5CC0"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438C6ABE"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lastRenderedPageBreak/>
              <w:t>12</w:t>
            </w:r>
          </w:p>
        </w:tc>
        <w:tc>
          <w:tcPr>
            <w:tcW w:w="2153" w:type="dxa"/>
            <w:tcBorders>
              <w:top w:val="nil"/>
              <w:left w:val="nil"/>
              <w:bottom w:val="single" w:sz="4" w:space="0" w:color="auto"/>
              <w:right w:val="single" w:sz="4" w:space="0" w:color="auto"/>
            </w:tcBorders>
            <w:shd w:val="clear" w:color="auto" w:fill="auto"/>
            <w:noWrap/>
            <w:vAlign w:val="center"/>
            <w:hideMark/>
          </w:tcPr>
          <w:p w14:paraId="7CE7E33F"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Dividend Payout Ratio</w:t>
            </w:r>
          </w:p>
        </w:tc>
        <w:tc>
          <w:tcPr>
            <w:tcW w:w="4056" w:type="dxa"/>
            <w:tcBorders>
              <w:top w:val="nil"/>
              <w:left w:val="nil"/>
              <w:bottom w:val="single" w:sz="4" w:space="0" w:color="auto"/>
              <w:right w:val="single" w:sz="4" w:space="0" w:color="auto"/>
            </w:tcBorders>
            <w:shd w:val="clear" w:color="auto" w:fill="auto"/>
            <w:noWrap/>
            <w:vAlign w:val="center"/>
            <w:hideMark/>
          </w:tcPr>
          <w:p w14:paraId="6705DB20"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 xml:space="preserve">Dividend per share </w:t>
            </w:r>
            <w:proofErr w:type="gramStart"/>
            <w:r w:rsidRPr="001F2C6C">
              <w:rPr>
                <w:rFonts w:ascii="Times New Roman" w:eastAsia="Times New Roman" w:hAnsi="Times New Roman" w:cs="Times New Roman"/>
                <w:color w:val="000000"/>
                <w:sz w:val="24"/>
                <w:szCs w:val="24"/>
              </w:rPr>
              <w:t>/  earning</w:t>
            </w:r>
            <w:proofErr w:type="gramEnd"/>
            <w:r w:rsidRPr="001F2C6C">
              <w:rPr>
                <w:rFonts w:ascii="Times New Roman" w:eastAsia="Times New Roman" w:hAnsi="Times New Roman" w:cs="Times New Roman"/>
                <w:color w:val="000000"/>
                <w:sz w:val="24"/>
                <w:szCs w:val="24"/>
              </w:rPr>
              <w:t xml:space="preserve"> per share</w:t>
            </w:r>
          </w:p>
        </w:tc>
        <w:tc>
          <w:tcPr>
            <w:tcW w:w="1166" w:type="dxa"/>
            <w:tcBorders>
              <w:top w:val="nil"/>
              <w:left w:val="nil"/>
              <w:bottom w:val="single" w:sz="4" w:space="0" w:color="auto"/>
              <w:right w:val="single" w:sz="4" w:space="0" w:color="auto"/>
            </w:tcBorders>
            <w:shd w:val="clear" w:color="auto" w:fill="auto"/>
            <w:noWrap/>
            <w:vAlign w:val="center"/>
            <w:hideMark/>
          </w:tcPr>
          <w:p w14:paraId="66B4428C"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66.1%</w:t>
            </w:r>
          </w:p>
        </w:tc>
        <w:tc>
          <w:tcPr>
            <w:tcW w:w="1030" w:type="dxa"/>
            <w:tcBorders>
              <w:top w:val="nil"/>
              <w:left w:val="nil"/>
              <w:bottom w:val="single" w:sz="4" w:space="0" w:color="auto"/>
              <w:right w:val="single" w:sz="4" w:space="0" w:color="auto"/>
            </w:tcBorders>
            <w:shd w:val="clear" w:color="auto" w:fill="auto"/>
            <w:noWrap/>
            <w:vAlign w:val="center"/>
            <w:hideMark/>
          </w:tcPr>
          <w:p w14:paraId="2C69F297"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59.2%</w:t>
            </w:r>
          </w:p>
        </w:tc>
      </w:tr>
      <w:tr w:rsidR="00FB7EAC" w:rsidRPr="001F2C6C" w14:paraId="1C3BED42" w14:textId="77777777" w:rsidTr="00FB7EAC">
        <w:trPr>
          <w:trHeight w:val="413"/>
        </w:trPr>
        <w:tc>
          <w:tcPr>
            <w:tcW w:w="811" w:type="dxa"/>
            <w:tcBorders>
              <w:top w:val="nil"/>
              <w:left w:val="single" w:sz="4" w:space="0" w:color="auto"/>
              <w:bottom w:val="single" w:sz="4" w:space="0" w:color="auto"/>
              <w:right w:val="single" w:sz="4" w:space="0" w:color="auto"/>
            </w:tcBorders>
            <w:shd w:val="clear" w:color="auto" w:fill="auto"/>
            <w:noWrap/>
            <w:vAlign w:val="center"/>
            <w:hideMark/>
          </w:tcPr>
          <w:p w14:paraId="5ECF200B"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13</w:t>
            </w:r>
          </w:p>
        </w:tc>
        <w:tc>
          <w:tcPr>
            <w:tcW w:w="2153" w:type="dxa"/>
            <w:tcBorders>
              <w:top w:val="nil"/>
              <w:left w:val="nil"/>
              <w:bottom w:val="single" w:sz="4" w:space="0" w:color="auto"/>
              <w:right w:val="single" w:sz="4" w:space="0" w:color="auto"/>
            </w:tcBorders>
            <w:shd w:val="clear" w:color="auto" w:fill="auto"/>
            <w:noWrap/>
            <w:vAlign w:val="center"/>
            <w:hideMark/>
          </w:tcPr>
          <w:p w14:paraId="4B0D2E39"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Price Earnings Ratio</w:t>
            </w:r>
          </w:p>
        </w:tc>
        <w:tc>
          <w:tcPr>
            <w:tcW w:w="4056" w:type="dxa"/>
            <w:tcBorders>
              <w:top w:val="nil"/>
              <w:left w:val="nil"/>
              <w:bottom w:val="single" w:sz="4" w:space="0" w:color="auto"/>
              <w:right w:val="single" w:sz="4" w:space="0" w:color="auto"/>
            </w:tcBorders>
            <w:shd w:val="clear" w:color="auto" w:fill="auto"/>
            <w:noWrap/>
            <w:vAlign w:val="center"/>
            <w:hideMark/>
          </w:tcPr>
          <w:p w14:paraId="53B30D95"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Price per share / Earning Per share</w:t>
            </w:r>
          </w:p>
        </w:tc>
        <w:tc>
          <w:tcPr>
            <w:tcW w:w="1166" w:type="dxa"/>
            <w:tcBorders>
              <w:top w:val="nil"/>
              <w:left w:val="nil"/>
              <w:bottom w:val="single" w:sz="4" w:space="0" w:color="auto"/>
              <w:right w:val="single" w:sz="4" w:space="0" w:color="auto"/>
            </w:tcBorders>
            <w:shd w:val="clear" w:color="auto" w:fill="auto"/>
            <w:noWrap/>
            <w:vAlign w:val="center"/>
            <w:hideMark/>
          </w:tcPr>
          <w:p w14:paraId="171CF4E8"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6.56x</w:t>
            </w:r>
          </w:p>
        </w:tc>
        <w:tc>
          <w:tcPr>
            <w:tcW w:w="1030" w:type="dxa"/>
            <w:tcBorders>
              <w:top w:val="nil"/>
              <w:left w:val="nil"/>
              <w:bottom w:val="single" w:sz="4" w:space="0" w:color="auto"/>
              <w:right w:val="single" w:sz="4" w:space="0" w:color="auto"/>
            </w:tcBorders>
            <w:shd w:val="clear" w:color="auto" w:fill="auto"/>
            <w:noWrap/>
            <w:vAlign w:val="center"/>
            <w:hideMark/>
          </w:tcPr>
          <w:p w14:paraId="4CEC31B6" w14:textId="77777777" w:rsidR="00FB7EAC" w:rsidRPr="001F2C6C" w:rsidRDefault="00FB7EAC" w:rsidP="001F2C6C">
            <w:pPr>
              <w:spacing w:after="0" w:line="360" w:lineRule="auto"/>
              <w:jc w:val="both"/>
              <w:rPr>
                <w:rFonts w:ascii="Times New Roman" w:eastAsia="Times New Roman" w:hAnsi="Times New Roman" w:cs="Times New Roman"/>
                <w:color w:val="000000"/>
                <w:sz w:val="24"/>
                <w:szCs w:val="24"/>
              </w:rPr>
            </w:pPr>
            <w:r w:rsidRPr="001F2C6C">
              <w:rPr>
                <w:rFonts w:ascii="Times New Roman" w:eastAsia="Times New Roman" w:hAnsi="Times New Roman" w:cs="Times New Roman"/>
                <w:color w:val="000000"/>
                <w:sz w:val="24"/>
                <w:szCs w:val="24"/>
              </w:rPr>
              <w:t>7.13x</w:t>
            </w:r>
          </w:p>
        </w:tc>
      </w:tr>
    </w:tbl>
    <w:p w14:paraId="4209C429" w14:textId="77777777" w:rsidR="00FB7EAC" w:rsidRPr="001F2C6C" w:rsidRDefault="00FB7EAC"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t xml:space="preserve"> </w:t>
      </w:r>
    </w:p>
    <w:p w14:paraId="0BB721CE" w14:textId="77777777" w:rsidR="00FB7EAC" w:rsidRPr="001F2C6C" w:rsidRDefault="00FB7EAC" w:rsidP="001F2C6C">
      <w:pPr>
        <w:pStyle w:val="Heading2"/>
        <w:spacing w:line="360" w:lineRule="auto"/>
        <w:rPr>
          <w:rFonts w:cs="Times New Roman"/>
        </w:rPr>
      </w:pPr>
      <w:bookmarkStart w:id="7" w:name="_Toc59023783"/>
      <w:r w:rsidRPr="001F2C6C">
        <w:rPr>
          <w:rFonts w:cs="Times New Roman"/>
        </w:rPr>
        <w:t>(b) Analysis of the Ratio:</w:t>
      </w:r>
      <w:bookmarkEnd w:id="7"/>
      <w:r w:rsidRPr="001F2C6C">
        <w:rPr>
          <w:rFonts w:cs="Times New Roman"/>
        </w:rPr>
        <w:t xml:space="preserve"> </w:t>
      </w:r>
    </w:p>
    <w:p w14:paraId="0B988533" w14:textId="77777777" w:rsidR="005E3656" w:rsidRPr="001F2C6C" w:rsidRDefault="005E3656" w:rsidP="001F2C6C">
      <w:pPr>
        <w:spacing w:line="360" w:lineRule="auto"/>
        <w:jc w:val="both"/>
        <w:rPr>
          <w:rFonts w:ascii="Times New Roman" w:hAnsi="Times New Roman" w:cs="Times New Roman"/>
          <w:b/>
          <w:sz w:val="24"/>
          <w:szCs w:val="24"/>
        </w:rPr>
      </w:pPr>
      <w:r w:rsidRPr="001F2C6C">
        <w:rPr>
          <w:rFonts w:ascii="Times New Roman" w:hAnsi="Times New Roman" w:cs="Times New Roman"/>
          <w:b/>
          <w:sz w:val="24"/>
          <w:szCs w:val="24"/>
        </w:rPr>
        <w:t>Profitability Ratios:</w:t>
      </w:r>
    </w:p>
    <w:p w14:paraId="753AB331" w14:textId="77777777" w:rsidR="00FB7EAC" w:rsidRPr="001F2C6C" w:rsidRDefault="00FB7EAC"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1. Gross profit margin:</w:t>
      </w:r>
      <w:r w:rsidRPr="001F2C6C">
        <w:rPr>
          <w:rFonts w:ascii="Times New Roman" w:hAnsi="Times New Roman" w:cs="Times New Roman"/>
          <w:sz w:val="24"/>
          <w:szCs w:val="24"/>
        </w:rPr>
        <w:t xml:space="preserve"> The gross profit for </w:t>
      </w:r>
      <w:proofErr w:type="spell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Plc is more than half of the revenue. The year over year analysis shows that the gross profit margin remained stable as the ratio stood 51.9% and 52.0% in 2018 and </w:t>
      </w:r>
      <w:proofErr w:type="gramStart"/>
      <w:r w:rsidRPr="001F2C6C">
        <w:rPr>
          <w:rFonts w:ascii="Times New Roman" w:hAnsi="Times New Roman" w:cs="Times New Roman"/>
          <w:sz w:val="24"/>
          <w:szCs w:val="24"/>
        </w:rPr>
        <w:t>2019</w:t>
      </w:r>
      <w:proofErr w:type="gramEnd"/>
      <w:r w:rsidRPr="001F2C6C">
        <w:rPr>
          <w:rFonts w:ascii="Times New Roman" w:hAnsi="Times New Roman" w:cs="Times New Roman"/>
          <w:sz w:val="24"/>
          <w:szCs w:val="24"/>
        </w:rPr>
        <w:t xml:space="preserve"> respectively. So, this metric of profitability is steady based on </w:t>
      </w:r>
      <w:proofErr w:type="spellStart"/>
      <w:r w:rsidRPr="001F2C6C">
        <w:rPr>
          <w:rFonts w:ascii="Times New Roman" w:hAnsi="Times New Roman" w:cs="Times New Roman"/>
          <w:sz w:val="24"/>
          <w:szCs w:val="24"/>
        </w:rPr>
        <w:t>yoy</w:t>
      </w:r>
      <w:proofErr w:type="spellEnd"/>
      <w:r w:rsidRPr="001F2C6C">
        <w:rPr>
          <w:rFonts w:ascii="Times New Roman" w:hAnsi="Times New Roman" w:cs="Times New Roman"/>
          <w:sz w:val="24"/>
          <w:szCs w:val="24"/>
        </w:rPr>
        <w:t xml:space="preserve"> comparison. </w:t>
      </w:r>
    </w:p>
    <w:p w14:paraId="67F94B72" w14:textId="77777777" w:rsidR="00FB7EAC" w:rsidRPr="001F2C6C" w:rsidRDefault="00FB7EAC"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2. Operating profit margin:</w:t>
      </w:r>
      <w:r w:rsidRPr="001F2C6C">
        <w:rPr>
          <w:rFonts w:ascii="Times New Roman" w:hAnsi="Times New Roman" w:cs="Times New Roman"/>
          <w:sz w:val="24"/>
          <w:szCs w:val="24"/>
        </w:rPr>
        <w:t xml:space="preserve"> Operating </w:t>
      </w:r>
      <w:r w:rsidR="00703C8A" w:rsidRPr="001F2C6C">
        <w:rPr>
          <w:rFonts w:ascii="Times New Roman" w:hAnsi="Times New Roman" w:cs="Times New Roman"/>
          <w:sz w:val="24"/>
          <w:szCs w:val="24"/>
        </w:rPr>
        <w:t>profit is calculated after deducting all types of operating expenses from operating profit</w:t>
      </w:r>
      <w:r w:rsidR="00E4298B" w:rsidRPr="001F2C6C">
        <w:rPr>
          <w:rFonts w:ascii="Times New Roman" w:hAnsi="Times New Roman" w:cs="Times New Roman"/>
          <w:sz w:val="24"/>
          <w:szCs w:val="24"/>
        </w:rPr>
        <w:t xml:space="preserve"> (Higgins, Koski and Mitton, 2020)</w:t>
      </w:r>
      <w:r w:rsidR="00703C8A" w:rsidRPr="001F2C6C">
        <w:rPr>
          <w:rFonts w:ascii="Times New Roman" w:hAnsi="Times New Roman" w:cs="Times New Roman"/>
          <w:sz w:val="24"/>
          <w:szCs w:val="24"/>
        </w:rPr>
        <w:t xml:space="preserve">. This is a ratio of operating profit to revenue earned. The operating profitability of </w:t>
      </w:r>
      <w:proofErr w:type="spellStart"/>
      <w:r w:rsidR="00703C8A" w:rsidRPr="001F2C6C">
        <w:rPr>
          <w:rFonts w:ascii="Times New Roman" w:hAnsi="Times New Roman" w:cs="Times New Roman"/>
          <w:sz w:val="24"/>
          <w:szCs w:val="24"/>
        </w:rPr>
        <w:t>Chocco</w:t>
      </w:r>
      <w:proofErr w:type="spellEnd"/>
      <w:r w:rsidR="00703C8A" w:rsidRPr="001F2C6C">
        <w:rPr>
          <w:rFonts w:ascii="Times New Roman" w:hAnsi="Times New Roman" w:cs="Times New Roman"/>
          <w:sz w:val="24"/>
          <w:szCs w:val="24"/>
        </w:rPr>
        <w:t xml:space="preserve"> Plc has improved in 2019 as the operating profit margin has improved to 11.9% in 2019 from 10.9% in 2018. So, it can be concluded from the ratio that the operating efficiency has improved in 2019 compared to 2018 as the company managed to produce more operating profit for every pound revenue</w:t>
      </w:r>
      <w:r w:rsidR="00E4298B" w:rsidRPr="001F2C6C">
        <w:rPr>
          <w:rFonts w:ascii="Times New Roman" w:hAnsi="Times New Roman" w:cs="Times New Roman"/>
          <w:sz w:val="24"/>
          <w:szCs w:val="24"/>
        </w:rPr>
        <w:t xml:space="preserve"> (Murray, Neumann and </w:t>
      </w:r>
      <w:proofErr w:type="spellStart"/>
      <w:r w:rsidR="00E4298B" w:rsidRPr="001F2C6C">
        <w:rPr>
          <w:rFonts w:ascii="Times New Roman" w:hAnsi="Times New Roman" w:cs="Times New Roman"/>
          <w:sz w:val="24"/>
          <w:szCs w:val="24"/>
        </w:rPr>
        <w:t>Elgers</w:t>
      </w:r>
      <w:proofErr w:type="spellEnd"/>
      <w:r w:rsidR="00E4298B" w:rsidRPr="001F2C6C">
        <w:rPr>
          <w:rFonts w:ascii="Times New Roman" w:hAnsi="Times New Roman" w:cs="Times New Roman"/>
          <w:sz w:val="24"/>
          <w:szCs w:val="24"/>
        </w:rPr>
        <w:t>, 2017)</w:t>
      </w:r>
      <w:r w:rsidR="00703C8A" w:rsidRPr="001F2C6C">
        <w:rPr>
          <w:rFonts w:ascii="Times New Roman" w:hAnsi="Times New Roman" w:cs="Times New Roman"/>
          <w:sz w:val="24"/>
          <w:szCs w:val="24"/>
        </w:rPr>
        <w:t xml:space="preserve">. </w:t>
      </w:r>
    </w:p>
    <w:p w14:paraId="61D03CF0" w14:textId="77777777" w:rsidR="00703C8A" w:rsidRPr="001F2C6C" w:rsidRDefault="00E4298B"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 xml:space="preserve">3. </w:t>
      </w:r>
      <w:r w:rsidR="00703C8A" w:rsidRPr="001F2C6C">
        <w:rPr>
          <w:rFonts w:ascii="Times New Roman" w:hAnsi="Times New Roman" w:cs="Times New Roman"/>
          <w:sz w:val="24"/>
          <w:szCs w:val="24"/>
          <w:u w:val="single"/>
        </w:rPr>
        <w:t>Net Profit Margin:</w:t>
      </w:r>
      <w:r w:rsidR="00703C8A" w:rsidRPr="001F2C6C">
        <w:rPr>
          <w:rFonts w:ascii="Times New Roman" w:hAnsi="Times New Roman" w:cs="Times New Roman"/>
          <w:sz w:val="24"/>
          <w:szCs w:val="24"/>
        </w:rPr>
        <w:t xml:space="preserve"> The net profit margin is bottom line that is attributable to the equity </w:t>
      </w:r>
      <w:proofErr w:type="gramStart"/>
      <w:r w:rsidR="00703C8A" w:rsidRPr="001F2C6C">
        <w:rPr>
          <w:rFonts w:ascii="Times New Roman" w:hAnsi="Times New Roman" w:cs="Times New Roman"/>
          <w:sz w:val="24"/>
          <w:szCs w:val="24"/>
        </w:rPr>
        <w:t>stock holders</w:t>
      </w:r>
      <w:proofErr w:type="gramEnd"/>
      <w:r w:rsidR="00703C8A" w:rsidRPr="001F2C6C">
        <w:rPr>
          <w:rFonts w:ascii="Times New Roman" w:hAnsi="Times New Roman" w:cs="Times New Roman"/>
          <w:sz w:val="24"/>
          <w:szCs w:val="24"/>
        </w:rPr>
        <w:t xml:space="preserve"> of the company</w:t>
      </w:r>
      <w:r w:rsidRPr="001F2C6C">
        <w:rPr>
          <w:rFonts w:ascii="Times New Roman" w:hAnsi="Times New Roman" w:cs="Times New Roman"/>
          <w:sz w:val="24"/>
          <w:szCs w:val="24"/>
        </w:rPr>
        <w:t xml:space="preserve"> (Garrison, Noreen and Brewer, 2020)</w:t>
      </w:r>
      <w:r w:rsidR="00703C8A" w:rsidRPr="001F2C6C">
        <w:rPr>
          <w:rFonts w:ascii="Times New Roman" w:hAnsi="Times New Roman" w:cs="Times New Roman"/>
          <w:sz w:val="24"/>
          <w:szCs w:val="24"/>
        </w:rPr>
        <w:t xml:space="preserve">. The net profit margin for </w:t>
      </w:r>
      <w:proofErr w:type="spellStart"/>
      <w:r w:rsidR="00703C8A" w:rsidRPr="001F2C6C">
        <w:rPr>
          <w:rFonts w:ascii="Times New Roman" w:hAnsi="Times New Roman" w:cs="Times New Roman"/>
          <w:sz w:val="24"/>
          <w:szCs w:val="24"/>
        </w:rPr>
        <w:t>Chocco</w:t>
      </w:r>
      <w:proofErr w:type="spellEnd"/>
      <w:r w:rsidR="00703C8A" w:rsidRPr="001F2C6C">
        <w:rPr>
          <w:rFonts w:ascii="Times New Roman" w:hAnsi="Times New Roman" w:cs="Times New Roman"/>
          <w:sz w:val="24"/>
          <w:szCs w:val="24"/>
        </w:rPr>
        <w:t xml:space="preserve"> Plc has improved by 70 bps in 2019 as the ratio currently stands at 6.4% in 2019 as opposed to 5.7% in 2018</w:t>
      </w:r>
      <w:r w:rsidR="005E3656" w:rsidRPr="001F2C6C">
        <w:rPr>
          <w:rFonts w:ascii="Times New Roman" w:hAnsi="Times New Roman" w:cs="Times New Roman"/>
          <w:sz w:val="24"/>
          <w:szCs w:val="24"/>
        </w:rPr>
        <w:t xml:space="preserve">. In comparison to operating profitability, the improvement is 100 bps while the net profit margin improvement is 70 bps in 2019. The reason behind this is increase of interest expense coupled with less investment income in 2019. However, overall, </w:t>
      </w:r>
      <w:proofErr w:type="spellStart"/>
      <w:r w:rsidR="005E3656" w:rsidRPr="001F2C6C">
        <w:rPr>
          <w:rFonts w:ascii="Times New Roman" w:hAnsi="Times New Roman" w:cs="Times New Roman"/>
          <w:sz w:val="24"/>
          <w:szCs w:val="24"/>
        </w:rPr>
        <w:t>Chocco</w:t>
      </w:r>
      <w:proofErr w:type="spellEnd"/>
      <w:r w:rsidR="005E3656" w:rsidRPr="001F2C6C">
        <w:rPr>
          <w:rFonts w:ascii="Times New Roman" w:hAnsi="Times New Roman" w:cs="Times New Roman"/>
          <w:sz w:val="24"/>
          <w:szCs w:val="24"/>
        </w:rPr>
        <w:t xml:space="preserve"> Plc’s net profitability has improved compared to 2018’s number. </w:t>
      </w:r>
    </w:p>
    <w:p w14:paraId="0CBEABF1" w14:textId="77777777" w:rsidR="005E3656" w:rsidRPr="001F2C6C" w:rsidRDefault="005E3656" w:rsidP="001F2C6C">
      <w:pPr>
        <w:spacing w:line="360" w:lineRule="auto"/>
        <w:jc w:val="both"/>
        <w:rPr>
          <w:rFonts w:ascii="Times New Roman" w:hAnsi="Times New Roman" w:cs="Times New Roman"/>
          <w:b/>
          <w:sz w:val="24"/>
          <w:szCs w:val="24"/>
        </w:rPr>
      </w:pPr>
      <w:r w:rsidRPr="001F2C6C">
        <w:rPr>
          <w:rFonts w:ascii="Times New Roman" w:hAnsi="Times New Roman" w:cs="Times New Roman"/>
          <w:b/>
          <w:sz w:val="24"/>
          <w:szCs w:val="24"/>
        </w:rPr>
        <w:t>Liquidity Ratios:</w:t>
      </w:r>
    </w:p>
    <w:p w14:paraId="09D6ED7C" w14:textId="77777777" w:rsidR="005E3656" w:rsidRPr="001F2C6C" w:rsidRDefault="005E3656"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4. Current Ratio:</w:t>
      </w:r>
      <w:r w:rsidRPr="001F2C6C">
        <w:rPr>
          <w:rFonts w:ascii="Times New Roman" w:hAnsi="Times New Roman" w:cs="Times New Roman"/>
          <w:sz w:val="24"/>
          <w:szCs w:val="24"/>
        </w:rPr>
        <w:t xml:space="preserve"> This ratio is a comparison of working asset such that how much current asset is available for every </w:t>
      </w:r>
      <w:proofErr w:type="gramStart"/>
      <w:r w:rsidRPr="001F2C6C">
        <w:rPr>
          <w:rFonts w:ascii="Times New Roman" w:hAnsi="Times New Roman" w:cs="Times New Roman"/>
          <w:sz w:val="24"/>
          <w:szCs w:val="24"/>
        </w:rPr>
        <w:t>near term</w:t>
      </w:r>
      <w:proofErr w:type="gramEnd"/>
      <w:r w:rsidRPr="001F2C6C">
        <w:rPr>
          <w:rFonts w:ascii="Times New Roman" w:hAnsi="Times New Roman" w:cs="Times New Roman"/>
          <w:sz w:val="24"/>
          <w:szCs w:val="24"/>
        </w:rPr>
        <w:t xml:space="preserve"> obligation to pay</w:t>
      </w:r>
      <w:r w:rsidR="00E4298B" w:rsidRPr="001F2C6C">
        <w:rPr>
          <w:rFonts w:ascii="Times New Roman" w:hAnsi="Times New Roman" w:cs="Times New Roman"/>
          <w:sz w:val="24"/>
          <w:szCs w:val="24"/>
        </w:rPr>
        <w:t xml:space="preserve"> (Proctor, 2019)</w:t>
      </w:r>
      <w:r w:rsidRPr="001F2C6C">
        <w:rPr>
          <w:rFonts w:ascii="Times New Roman" w:hAnsi="Times New Roman" w:cs="Times New Roman"/>
          <w:sz w:val="24"/>
          <w:szCs w:val="24"/>
        </w:rPr>
        <w:t xml:space="preserve">. </w:t>
      </w:r>
      <w:r w:rsidR="00D74FA6" w:rsidRPr="001F2C6C">
        <w:rPr>
          <w:rFonts w:ascii="Times New Roman" w:hAnsi="Times New Roman" w:cs="Times New Roman"/>
          <w:sz w:val="24"/>
          <w:szCs w:val="24"/>
        </w:rPr>
        <w:t xml:space="preserve">The ratio is below 1 in both the years despite slight improvement in the year over year comparison. It means </w:t>
      </w:r>
      <w:proofErr w:type="spellStart"/>
      <w:r w:rsidR="00D74FA6" w:rsidRPr="001F2C6C">
        <w:rPr>
          <w:rFonts w:ascii="Times New Roman" w:hAnsi="Times New Roman" w:cs="Times New Roman"/>
          <w:sz w:val="24"/>
          <w:szCs w:val="24"/>
        </w:rPr>
        <w:t>Choccp</w:t>
      </w:r>
      <w:proofErr w:type="spellEnd"/>
      <w:r w:rsidR="00D74FA6" w:rsidRPr="001F2C6C">
        <w:rPr>
          <w:rFonts w:ascii="Times New Roman" w:hAnsi="Times New Roman" w:cs="Times New Roman"/>
          <w:sz w:val="24"/>
          <w:szCs w:val="24"/>
        </w:rPr>
        <w:t xml:space="preserve"> Plc got less </w:t>
      </w:r>
      <w:r w:rsidR="00D74FA6" w:rsidRPr="001F2C6C">
        <w:rPr>
          <w:rFonts w:ascii="Times New Roman" w:hAnsi="Times New Roman" w:cs="Times New Roman"/>
          <w:sz w:val="24"/>
          <w:szCs w:val="24"/>
        </w:rPr>
        <w:lastRenderedPageBreak/>
        <w:t xml:space="preserve">current asset to cover its </w:t>
      </w:r>
      <w:proofErr w:type="gramStart"/>
      <w:r w:rsidR="00D74FA6" w:rsidRPr="001F2C6C">
        <w:rPr>
          <w:rFonts w:ascii="Times New Roman" w:hAnsi="Times New Roman" w:cs="Times New Roman"/>
          <w:sz w:val="24"/>
          <w:szCs w:val="24"/>
        </w:rPr>
        <w:t>short term</w:t>
      </w:r>
      <w:proofErr w:type="gramEnd"/>
      <w:r w:rsidR="00D74FA6" w:rsidRPr="001F2C6C">
        <w:rPr>
          <w:rFonts w:ascii="Times New Roman" w:hAnsi="Times New Roman" w:cs="Times New Roman"/>
          <w:sz w:val="24"/>
          <w:szCs w:val="24"/>
        </w:rPr>
        <w:t xml:space="preserve"> liabilities. The current ratio in 2018 was 0.77 times which improved to 0.92 times in 2019. The company needs to improve its working capital management so that it would have enough current assets to cover its </w:t>
      </w:r>
      <w:proofErr w:type="gramStart"/>
      <w:r w:rsidR="00D74FA6" w:rsidRPr="001F2C6C">
        <w:rPr>
          <w:rFonts w:ascii="Times New Roman" w:hAnsi="Times New Roman" w:cs="Times New Roman"/>
          <w:sz w:val="24"/>
          <w:szCs w:val="24"/>
        </w:rPr>
        <w:t>short term</w:t>
      </w:r>
      <w:proofErr w:type="gramEnd"/>
      <w:r w:rsidR="00D74FA6" w:rsidRPr="001F2C6C">
        <w:rPr>
          <w:rFonts w:ascii="Times New Roman" w:hAnsi="Times New Roman" w:cs="Times New Roman"/>
          <w:sz w:val="24"/>
          <w:szCs w:val="24"/>
        </w:rPr>
        <w:t xml:space="preserve"> obligations</w:t>
      </w:r>
      <w:r w:rsidR="00E4298B" w:rsidRPr="001F2C6C">
        <w:rPr>
          <w:rFonts w:ascii="Times New Roman" w:hAnsi="Times New Roman" w:cs="Times New Roman"/>
          <w:sz w:val="24"/>
          <w:szCs w:val="24"/>
        </w:rPr>
        <w:t xml:space="preserve"> (Murray, Neumann and </w:t>
      </w:r>
      <w:proofErr w:type="spellStart"/>
      <w:r w:rsidR="00E4298B" w:rsidRPr="001F2C6C">
        <w:rPr>
          <w:rFonts w:ascii="Times New Roman" w:hAnsi="Times New Roman" w:cs="Times New Roman"/>
          <w:sz w:val="24"/>
          <w:szCs w:val="24"/>
        </w:rPr>
        <w:t>Elgers</w:t>
      </w:r>
      <w:proofErr w:type="spellEnd"/>
      <w:r w:rsidR="00E4298B" w:rsidRPr="001F2C6C">
        <w:rPr>
          <w:rFonts w:ascii="Times New Roman" w:hAnsi="Times New Roman" w:cs="Times New Roman"/>
          <w:sz w:val="24"/>
          <w:szCs w:val="24"/>
        </w:rPr>
        <w:t>, 2017)</w:t>
      </w:r>
      <w:r w:rsidR="00D74FA6" w:rsidRPr="001F2C6C">
        <w:rPr>
          <w:rFonts w:ascii="Times New Roman" w:hAnsi="Times New Roman" w:cs="Times New Roman"/>
          <w:sz w:val="24"/>
          <w:szCs w:val="24"/>
        </w:rPr>
        <w:t>.</w:t>
      </w:r>
    </w:p>
    <w:p w14:paraId="1561529D" w14:textId="77777777" w:rsidR="00D74FA6" w:rsidRPr="001F2C6C" w:rsidRDefault="00D74FA6"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5. Quick ratio</w:t>
      </w:r>
      <w:r w:rsidRPr="001F2C6C">
        <w:rPr>
          <w:rFonts w:ascii="Times New Roman" w:hAnsi="Times New Roman" w:cs="Times New Roman"/>
          <w:sz w:val="24"/>
          <w:szCs w:val="24"/>
        </w:rPr>
        <w:t>: Not all the current assets are convertible to cash without sparing time and value</w:t>
      </w:r>
      <w:r w:rsidR="00E4298B" w:rsidRPr="001F2C6C">
        <w:rPr>
          <w:rFonts w:ascii="Times New Roman" w:hAnsi="Times New Roman" w:cs="Times New Roman"/>
          <w:sz w:val="24"/>
          <w:szCs w:val="24"/>
        </w:rPr>
        <w:t xml:space="preserve"> (Horngren and Harrison, 2019)</w:t>
      </w:r>
      <w:r w:rsidRPr="001F2C6C">
        <w:rPr>
          <w:rFonts w:ascii="Times New Roman" w:hAnsi="Times New Roman" w:cs="Times New Roman"/>
          <w:sz w:val="24"/>
          <w:szCs w:val="24"/>
        </w:rPr>
        <w:t xml:space="preserve">. </w:t>
      </w:r>
      <w:proofErr w:type="gramStart"/>
      <w:r w:rsidRPr="001F2C6C">
        <w:rPr>
          <w:rFonts w:ascii="Times New Roman" w:hAnsi="Times New Roman" w:cs="Times New Roman"/>
          <w:sz w:val="24"/>
          <w:szCs w:val="24"/>
        </w:rPr>
        <w:t>Usually</w:t>
      </w:r>
      <w:proofErr w:type="gramEnd"/>
      <w:r w:rsidRPr="001F2C6C">
        <w:rPr>
          <w:rFonts w:ascii="Times New Roman" w:hAnsi="Times New Roman" w:cs="Times New Roman"/>
          <w:sz w:val="24"/>
          <w:szCs w:val="24"/>
        </w:rPr>
        <w:t xml:space="preserve"> inventory is considered such type of asset that cannot readily be converted to cash. So, in the calculation of quick assets, inventory is deducted from the current assets. The quick ratio is calculated by dividing quick asset with current liabilities. The ratio is also below 1 in both years meaning the company falls short to cover the current liabilities with its quick assets despite year over year improvement</w:t>
      </w:r>
      <w:r w:rsidR="00E4298B" w:rsidRPr="001F2C6C">
        <w:rPr>
          <w:rFonts w:ascii="Times New Roman" w:hAnsi="Times New Roman" w:cs="Times New Roman"/>
          <w:sz w:val="24"/>
          <w:szCs w:val="24"/>
        </w:rPr>
        <w:t xml:space="preserve"> (Garrison, </w:t>
      </w:r>
      <w:proofErr w:type="gramStart"/>
      <w:r w:rsidR="00E4298B" w:rsidRPr="001F2C6C">
        <w:rPr>
          <w:rFonts w:ascii="Times New Roman" w:hAnsi="Times New Roman" w:cs="Times New Roman"/>
          <w:sz w:val="24"/>
          <w:szCs w:val="24"/>
        </w:rPr>
        <w:t>Noreen</w:t>
      </w:r>
      <w:proofErr w:type="gramEnd"/>
      <w:r w:rsidR="00E4298B" w:rsidRPr="001F2C6C">
        <w:rPr>
          <w:rFonts w:ascii="Times New Roman" w:hAnsi="Times New Roman" w:cs="Times New Roman"/>
          <w:sz w:val="24"/>
          <w:szCs w:val="24"/>
        </w:rPr>
        <w:t xml:space="preserve"> and Brewer, 2020)</w:t>
      </w:r>
      <w:r w:rsidRPr="001F2C6C">
        <w:rPr>
          <w:rFonts w:ascii="Times New Roman" w:hAnsi="Times New Roman" w:cs="Times New Roman"/>
          <w:sz w:val="24"/>
          <w:szCs w:val="24"/>
        </w:rPr>
        <w:t>. The ratio has improved to 0.64 times in 2019 from 0.56 times in 2018.</w:t>
      </w:r>
    </w:p>
    <w:p w14:paraId="51AB1D16" w14:textId="77777777" w:rsidR="00D74FA6" w:rsidRPr="001F2C6C" w:rsidRDefault="00D74FA6" w:rsidP="001F2C6C">
      <w:pPr>
        <w:spacing w:line="360" w:lineRule="auto"/>
        <w:jc w:val="both"/>
        <w:rPr>
          <w:rFonts w:ascii="Times New Roman" w:hAnsi="Times New Roman" w:cs="Times New Roman"/>
          <w:b/>
          <w:sz w:val="24"/>
          <w:szCs w:val="24"/>
        </w:rPr>
      </w:pPr>
      <w:r w:rsidRPr="001F2C6C">
        <w:rPr>
          <w:rFonts w:ascii="Times New Roman" w:hAnsi="Times New Roman" w:cs="Times New Roman"/>
          <w:b/>
          <w:sz w:val="24"/>
          <w:szCs w:val="24"/>
        </w:rPr>
        <w:t>Efficiency ratios:</w:t>
      </w:r>
    </w:p>
    <w:p w14:paraId="2C87BCD8" w14:textId="77777777" w:rsidR="00D74FA6" w:rsidRPr="001F2C6C" w:rsidRDefault="00D74FA6"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6. Inventory</w:t>
      </w:r>
      <w:r w:rsidR="00C07691" w:rsidRPr="001F2C6C">
        <w:rPr>
          <w:rFonts w:ascii="Times New Roman" w:hAnsi="Times New Roman" w:cs="Times New Roman"/>
          <w:sz w:val="24"/>
          <w:szCs w:val="24"/>
          <w:u w:val="single"/>
        </w:rPr>
        <w:t xml:space="preserve"> Turnover days</w:t>
      </w:r>
      <w:r w:rsidR="00C07691" w:rsidRPr="001F2C6C">
        <w:rPr>
          <w:rFonts w:ascii="Times New Roman" w:hAnsi="Times New Roman" w:cs="Times New Roman"/>
          <w:sz w:val="24"/>
          <w:szCs w:val="24"/>
        </w:rPr>
        <w:t>: Inventory turnover days calculates how many days does it take to clear out or sell the inventories once it comes to the warehouse. In 2019, it takes 2 more days to sell / clear out from the warehouse. This is slight drop in the efficiency level of inventory management</w:t>
      </w:r>
      <w:r w:rsidR="00E4298B" w:rsidRPr="001F2C6C">
        <w:rPr>
          <w:rFonts w:ascii="Times New Roman" w:hAnsi="Times New Roman" w:cs="Times New Roman"/>
          <w:sz w:val="24"/>
          <w:szCs w:val="24"/>
        </w:rPr>
        <w:t xml:space="preserve"> (Higgins, Koski and Mitton, 2020)</w:t>
      </w:r>
      <w:r w:rsidR="00C07691" w:rsidRPr="001F2C6C">
        <w:rPr>
          <w:rFonts w:ascii="Times New Roman" w:hAnsi="Times New Roman" w:cs="Times New Roman"/>
          <w:sz w:val="24"/>
          <w:szCs w:val="24"/>
        </w:rPr>
        <w:t xml:space="preserve">. </w:t>
      </w:r>
    </w:p>
    <w:p w14:paraId="6E647ADD" w14:textId="77777777" w:rsidR="00C07691" w:rsidRPr="001F2C6C" w:rsidRDefault="00C07691"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 xml:space="preserve">7. Receivable Turnover days: </w:t>
      </w:r>
      <w:r w:rsidRPr="001F2C6C">
        <w:rPr>
          <w:rFonts w:ascii="Times New Roman" w:hAnsi="Times New Roman" w:cs="Times New Roman"/>
          <w:sz w:val="24"/>
          <w:szCs w:val="24"/>
        </w:rPr>
        <w:t>Receivable turnover days calculates the average days it takes to receive money from the customers on credit sales</w:t>
      </w:r>
      <w:r w:rsidR="00E4298B" w:rsidRPr="001F2C6C">
        <w:rPr>
          <w:rFonts w:ascii="Times New Roman" w:hAnsi="Times New Roman" w:cs="Times New Roman"/>
          <w:sz w:val="24"/>
          <w:szCs w:val="24"/>
        </w:rPr>
        <w:t xml:space="preserve"> (Foster, 2015)</w:t>
      </w:r>
      <w:r w:rsidRPr="001F2C6C">
        <w:rPr>
          <w:rFonts w:ascii="Times New Roman" w:hAnsi="Times New Roman" w:cs="Times New Roman"/>
          <w:sz w:val="24"/>
          <w:szCs w:val="24"/>
        </w:rPr>
        <w:t>. There is a remarkable improvement of 5 days in receivable management as the company collect its dues 5 days earlier compared to the year of 2018. The debtor collection period in 2019n stands at 68 days compared to 73 days in 2018.</w:t>
      </w:r>
    </w:p>
    <w:p w14:paraId="1FCA6CAB" w14:textId="77777777" w:rsidR="00C07691" w:rsidRPr="001F2C6C" w:rsidRDefault="00C07691"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8. Payable Turnover days:</w:t>
      </w:r>
      <w:r w:rsidRPr="001F2C6C">
        <w:rPr>
          <w:rFonts w:ascii="Times New Roman" w:hAnsi="Times New Roman" w:cs="Times New Roman"/>
          <w:sz w:val="24"/>
          <w:szCs w:val="24"/>
        </w:rPr>
        <w:t xml:space="preserve"> This ratio calculates the average days it takes to clear the payables to the trade creditors on the credit purchases. The higher the number of days the better it is for the company as it can utilize the money for other purposes, ceteris paribus</w:t>
      </w:r>
      <w:r w:rsidR="00E4298B" w:rsidRPr="001F2C6C">
        <w:rPr>
          <w:rFonts w:ascii="Times New Roman" w:hAnsi="Times New Roman" w:cs="Times New Roman"/>
          <w:sz w:val="24"/>
          <w:szCs w:val="24"/>
        </w:rPr>
        <w:t xml:space="preserve"> (Horngren and Harrison, 2019)</w:t>
      </w:r>
      <w:r w:rsidRPr="001F2C6C">
        <w:rPr>
          <w:rFonts w:ascii="Times New Roman" w:hAnsi="Times New Roman" w:cs="Times New Roman"/>
          <w:sz w:val="24"/>
          <w:szCs w:val="24"/>
        </w:rPr>
        <w:t xml:space="preserve">. For </w:t>
      </w:r>
      <w:proofErr w:type="spell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Plc, the ratio has deteriorated in 2019 as the payables turnover days stood at 66 days compared to 77 days in 2018. The company now pay 9 days earlier.</w:t>
      </w:r>
    </w:p>
    <w:p w14:paraId="33B7A3AE" w14:textId="77777777" w:rsidR="002D7E1F" w:rsidRPr="001F2C6C" w:rsidRDefault="002D7E1F"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t xml:space="preserve">Overall working capital efficiency has deteriorated in 2019 as the cash conversion cycle (ccc) currently stands at 82 days (80 + 68 – 66) compared to 74 days (78 + 72 – 77) in 2018. So, </w:t>
      </w:r>
      <w:proofErr w:type="spell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w:t>
      </w:r>
      <w:r w:rsidRPr="001F2C6C">
        <w:rPr>
          <w:rFonts w:ascii="Times New Roman" w:hAnsi="Times New Roman" w:cs="Times New Roman"/>
          <w:sz w:val="24"/>
          <w:szCs w:val="24"/>
        </w:rPr>
        <w:lastRenderedPageBreak/>
        <w:t xml:space="preserve">Plc now needs the working capital 8 more days which will be challenging thing for the management of </w:t>
      </w:r>
      <w:proofErr w:type="spell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Plc</w:t>
      </w:r>
      <w:r w:rsidR="00E4298B" w:rsidRPr="001F2C6C">
        <w:rPr>
          <w:rFonts w:ascii="Times New Roman" w:hAnsi="Times New Roman" w:cs="Times New Roman"/>
          <w:sz w:val="24"/>
          <w:szCs w:val="24"/>
        </w:rPr>
        <w:t xml:space="preserve"> (Barker, 2013)</w:t>
      </w:r>
      <w:r w:rsidRPr="001F2C6C">
        <w:rPr>
          <w:rFonts w:ascii="Times New Roman" w:hAnsi="Times New Roman" w:cs="Times New Roman"/>
          <w:sz w:val="24"/>
          <w:szCs w:val="24"/>
        </w:rPr>
        <w:t>.</w:t>
      </w:r>
    </w:p>
    <w:p w14:paraId="270F0F99" w14:textId="77777777" w:rsidR="002D7E1F" w:rsidRPr="001F2C6C" w:rsidRDefault="002D7E1F" w:rsidP="001F2C6C">
      <w:pPr>
        <w:spacing w:line="360" w:lineRule="auto"/>
        <w:jc w:val="both"/>
        <w:rPr>
          <w:rFonts w:ascii="Times New Roman" w:hAnsi="Times New Roman" w:cs="Times New Roman"/>
          <w:b/>
          <w:sz w:val="24"/>
          <w:szCs w:val="24"/>
        </w:rPr>
      </w:pPr>
      <w:r w:rsidRPr="001F2C6C">
        <w:rPr>
          <w:rFonts w:ascii="Times New Roman" w:hAnsi="Times New Roman" w:cs="Times New Roman"/>
          <w:b/>
          <w:sz w:val="24"/>
          <w:szCs w:val="24"/>
        </w:rPr>
        <w:t>Solvency Ratios:</w:t>
      </w:r>
    </w:p>
    <w:p w14:paraId="07D61BB4" w14:textId="77777777" w:rsidR="002D7E1F" w:rsidRPr="001F2C6C" w:rsidRDefault="002D7E1F"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9. Debt to Equity:</w:t>
      </w:r>
      <w:r w:rsidRPr="001F2C6C">
        <w:rPr>
          <w:rFonts w:ascii="Times New Roman" w:hAnsi="Times New Roman" w:cs="Times New Roman"/>
          <w:sz w:val="24"/>
          <w:szCs w:val="24"/>
        </w:rPr>
        <w:t xml:space="preserve"> This is a leverage ratio of </w:t>
      </w:r>
      <w:proofErr w:type="gramStart"/>
      <w:r w:rsidRPr="001F2C6C">
        <w:rPr>
          <w:rFonts w:ascii="Times New Roman" w:hAnsi="Times New Roman" w:cs="Times New Roman"/>
          <w:sz w:val="24"/>
          <w:szCs w:val="24"/>
        </w:rPr>
        <w:t>long term</w:t>
      </w:r>
      <w:proofErr w:type="gramEnd"/>
      <w:r w:rsidRPr="001F2C6C">
        <w:rPr>
          <w:rFonts w:ascii="Times New Roman" w:hAnsi="Times New Roman" w:cs="Times New Roman"/>
          <w:sz w:val="24"/>
          <w:szCs w:val="24"/>
        </w:rPr>
        <w:t xml:space="preserve"> loan to equity capital. The ratio was 142% in 2018 and currently stands at 134% in 2019. So, the financial leverage for the company has improved and risk has reduced. This is an improvement from the perspective of financial risk level</w:t>
      </w:r>
      <w:r w:rsidR="00E4298B" w:rsidRPr="001F2C6C">
        <w:rPr>
          <w:rFonts w:ascii="Times New Roman" w:hAnsi="Times New Roman" w:cs="Times New Roman"/>
          <w:sz w:val="24"/>
          <w:szCs w:val="24"/>
        </w:rPr>
        <w:t xml:space="preserve"> (Britton and Waterston, 2017)</w:t>
      </w:r>
      <w:r w:rsidRPr="001F2C6C">
        <w:rPr>
          <w:rFonts w:ascii="Times New Roman" w:hAnsi="Times New Roman" w:cs="Times New Roman"/>
          <w:sz w:val="24"/>
          <w:szCs w:val="24"/>
        </w:rPr>
        <w:t>.</w:t>
      </w:r>
    </w:p>
    <w:p w14:paraId="3BF187EE" w14:textId="77777777" w:rsidR="002D7E1F" w:rsidRPr="001F2C6C" w:rsidRDefault="002D7E1F" w:rsidP="001F2C6C">
      <w:pPr>
        <w:spacing w:line="360" w:lineRule="auto"/>
        <w:jc w:val="both"/>
        <w:rPr>
          <w:rFonts w:ascii="Times New Roman" w:hAnsi="Times New Roman" w:cs="Times New Roman"/>
          <w:b/>
          <w:sz w:val="24"/>
          <w:szCs w:val="24"/>
        </w:rPr>
      </w:pPr>
      <w:r w:rsidRPr="001F2C6C">
        <w:rPr>
          <w:rFonts w:ascii="Times New Roman" w:hAnsi="Times New Roman" w:cs="Times New Roman"/>
          <w:b/>
          <w:sz w:val="24"/>
          <w:szCs w:val="24"/>
        </w:rPr>
        <w:t xml:space="preserve"> Return ratio:</w:t>
      </w:r>
    </w:p>
    <w:p w14:paraId="3BF89080" w14:textId="77777777" w:rsidR="002D7E1F" w:rsidRPr="001F2C6C" w:rsidRDefault="002D7E1F"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10. Return on Equity:</w:t>
      </w:r>
      <w:r w:rsidRPr="001F2C6C">
        <w:rPr>
          <w:rFonts w:ascii="Times New Roman" w:hAnsi="Times New Roman" w:cs="Times New Roman"/>
          <w:sz w:val="24"/>
          <w:szCs w:val="24"/>
        </w:rPr>
        <w:t xml:space="preserve"> This return metric calculates the average return on equity capital or accounting book value</w:t>
      </w:r>
      <w:r w:rsidR="00E4298B" w:rsidRPr="001F2C6C">
        <w:rPr>
          <w:rFonts w:ascii="Times New Roman" w:hAnsi="Times New Roman" w:cs="Times New Roman"/>
          <w:sz w:val="24"/>
          <w:szCs w:val="24"/>
        </w:rPr>
        <w:t xml:space="preserve"> (Barker, 2013)</w:t>
      </w:r>
      <w:r w:rsidRPr="001F2C6C">
        <w:rPr>
          <w:rFonts w:ascii="Times New Roman" w:hAnsi="Times New Roman" w:cs="Times New Roman"/>
          <w:sz w:val="24"/>
          <w:szCs w:val="24"/>
        </w:rPr>
        <w:t xml:space="preserve">. This accounting return and stock return are different. ROE was 12.6% in 2018 and 14.0% in 2019. This is remarkable improve for the company as </w:t>
      </w:r>
      <w:r w:rsidR="004142C9" w:rsidRPr="001F2C6C">
        <w:rPr>
          <w:rFonts w:ascii="Times New Roman" w:hAnsi="Times New Roman" w:cs="Times New Roman"/>
          <w:sz w:val="24"/>
          <w:szCs w:val="24"/>
        </w:rPr>
        <w:t xml:space="preserve">the company has earned £ 1.4 more profit every £ 100 equity capital/ book value. </w:t>
      </w:r>
    </w:p>
    <w:p w14:paraId="49CC4C93" w14:textId="77777777" w:rsidR="004142C9" w:rsidRPr="001F2C6C" w:rsidRDefault="004142C9"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11. Return on asset:</w:t>
      </w:r>
      <w:r w:rsidRPr="001F2C6C">
        <w:rPr>
          <w:rFonts w:ascii="Times New Roman" w:hAnsi="Times New Roman" w:cs="Times New Roman"/>
          <w:sz w:val="24"/>
          <w:szCs w:val="24"/>
        </w:rPr>
        <w:t xml:space="preserve"> Return on asset measures the return on the total assets of the company. ROA increased by 80 bps in 2019. ROA was 3.6% in 2018 as opposed to 4.4% in 2019. This is </w:t>
      </w:r>
      <w:proofErr w:type="gramStart"/>
      <w:r w:rsidRPr="001F2C6C">
        <w:rPr>
          <w:rFonts w:ascii="Times New Roman" w:hAnsi="Times New Roman" w:cs="Times New Roman"/>
          <w:sz w:val="24"/>
          <w:szCs w:val="24"/>
        </w:rPr>
        <w:t>a very good</w:t>
      </w:r>
      <w:proofErr w:type="gramEnd"/>
      <w:r w:rsidRPr="001F2C6C">
        <w:rPr>
          <w:rFonts w:ascii="Times New Roman" w:hAnsi="Times New Roman" w:cs="Times New Roman"/>
          <w:sz w:val="24"/>
          <w:szCs w:val="24"/>
        </w:rPr>
        <w:t xml:space="preserve"> performance for </w:t>
      </w:r>
      <w:proofErr w:type="spell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based on year over year comparison. </w:t>
      </w:r>
    </w:p>
    <w:p w14:paraId="3DA28795" w14:textId="77777777" w:rsidR="004142C9" w:rsidRPr="001F2C6C" w:rsidRDefault="004142C9" w:rsidP="001F2C6C">
      <w:pPr>
        <w:spacing w:line="360" w:lineRule="auto"/>
        <w:jc w:val="both"/>
        <w:rPr>
          <w:rFonts w:ascii="Times New Roman" w:hAnsi="Times New Roman" w:cs="Times New Roman"/>
          <w:b/>
          <w:sz w:val="24"/>
          <w:szCs w:val="24"/>
        </w:rPr>
      </w:pPr>
      <w:r w:rsidRPr="001F2C6C">
        <w:rPr>
          <w:rFonts w:ascii="Times New Roman" w:hAnsi="Times New Roman" w:cs="Times New Roman"/>
          <w:b/>
          <w:sz w:val="24"/>
          <w:szCs w:val="24"/>
        </w:rPr>
        <w:t>Market Valuation Ratios:</w:t>
      </w:r>
    </w:p>
    <w:p w14:paraId="1F38335A" w14:textId="77777777" w:rsidR="009217BC" w:rsidRPr="001F2C6C" w:rsidRDefault="009217BC"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t>Number of share outstanding: Since the ordinary share capital is 50p shares and the ordinary share capital is £ 300 million. So, the total outstanding share capital is (300 million / 0.50) = 600 million.</w:t>
      </w:r>
    </w:p>
    <w:p w14:paraId="4A16BD77" w14:textId="77777777" w:rsidR="009217BC" w:rsidRPr="001F2C6C" w:rsidRDefault="009217BC"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12</w:t>
      </w:r>
      <w:r w:rsidR="004142C9" w:rsidRPr="001F2C6C">
        <w:rPr>
          <w:rFonts w:ascii="Times New Roman" w:hAnsi="Times New Roman" w:cs="Times New Roman"/>
          <w:sz w:val="24"/>
          <w:szCs w:val="24"/>
          <w:u w:val="single"/>
        </w:rPr>
        <w:t>. Dividend Payout ratio:</w:t>
      </w:r>
      <w:r w:rsidR="004142C9" w:rsidRPr="001F2C6C">
        <w:rPr>
          <w:rFonts w:ascii="Times New Roman" w:hAnsi="Times New Roman" w:cs="Times New Roman"/>
          <w:sz w:val="24"/>
          <w:szCs w:val="24"/>
        </w:rPr>
        <w:t xml:space="preserve"> This is ratio which calculates how much dividend is paid for every GBP net income the company has earned. Usually, a company with growth potential is likely to retain more earnings compared to matured companies</w:t>
      </w:r>
      <w:r w:rsidR="00BB1513" w:rsidRPr="001F2C6C">
        <w:rPr>
          <w:rFonts w:ascii="Times New Roman" w:hAnsi="Times New Roman" w:cs="Times New Roman"/>
          <w:sz w:val="24"/>
          <w:szCs w:val="24"/>
        </w:rPr>
        <w:t xml:space="preserve"> (Britton and Waterston, 2017)</w:t>
      </w:r>
      <w:r w:rsidR="004142C9" w:rsidRPr="001F2C6C">
        <w:rPr>
          <w:rFonts w:ascii="Times New Roman" w:hAnsi="Times New Roman" w:cs="Times New Roman"/>
          <w:sz w:val="24"/>
          <w:szCs w:val="24"/>
        </w:rPr>
        <w:t xml:space="preserve">. A matured company being a cash cow is likely </w:t>
      </w:r>
      <w:proofErr w:type="gramStart"/>
      <w:r w:rsidR="004142C9" w:rsidRPr="001F2C6C">
        <w:rPr>
          <w:rFonts w:ascii="Times New Roman" w:hAnsi="Times New Roman" w:cs="Times New Roman"/>
          <w:sz w:val="24"/>
          <w:szCs w:val="24"/>
        </w:rPr>
        <w:t>distribute</w:t>
      </w:r>
      <w:proofErr w:type="gramEnd"/>
      <w:r w:rsidR="004142C9" w:rsidRPr="001F2C6C">
        <w:rPr>
          <w:rFonts w:ascii="Times New Roman" w:hAnsi="Times New Roman" w:cs="Times New Roman"/>
          <w:sz w:val="24"/>
          <w:szCs w:val="24"/>
        </w:rPr>
        <w:t xml:space="preserve"> more proportionately. The company has paid 66.1% of its earnings in 2018 whereas it has paid 59.2% of its earnings in 2019. </w:t>
      </w:r>
      <w:proofErr w:type="spellStart"/>
      <w:r w:rsidR="004142C9" w:rsidRPr="001F2C6C">
        <w:rPr>
          <w:rFonts w:ascii="Times New Roman" w:hAnsi="Times New Roman" w:cs="Times New Roman"/>
          <w:sz w:val="24"/>
          <w:szCs w:val="24"/>
        </w:rPr>
        <w:t>Chocco</w:t>
      </w:r>
      <w:proofErr w:type="spellEnd"/>
      <w:r w:rsidR="004142C9" w:rsidRPr="001F2C6C">
        <w:rPr>
          <w:rFonts w:ascii="Times New Roman" w:hAnsi="Times New Roman" w:cs="Times New Roman"/>
          <w:sz w:val="24"/>
          <w:szCs w:val="24"/>
        </w:rPr>
        <w:t xml:space="preserve"> Plc now retains more money the earlier year. However, on an absolute term, the company has paid more </w:t>
      </w:r>
      <w:r w:rsidRPr="001F2C6C">
        <w:rPr>
          <w:rFonts w:ascii="Times New Roman" w:hAnsi="Times New Roman" w:cs="Times New Roman"/>
          <w:sz w:val="24"/>
          <w:szCs w:val="24"/>
        </w:rPr>
        <w:t>dividend. Stability in dividend distribution is an important issue for the company</w:t>
      </w:r>
      <w:r w:rsidR="00BB1513" w:rsidRPr="001F2C6C">
        <w:rPr>
          <w:rFonts w:ascii="Times New Roman" w:hAnsi="Times New Roman" w:cs="Times New Roman"/>
          <w:sz w:val="24"/>
          <w:szCs w:val="24"/>
        </w:rPr>
        <w:t xml:space="preserve"> (Jain, </w:t>
      </w:r>
      <w:proofErr w:type="gramStart"/>
      <w:r w:rsidR="00BB1513" w:rsidRPr="001F2C6C">
        <w:rPr>
          <w:rFonts w:ascii="Times New Roman" w:hAnsi="Times New Roman" w:cs="Times New Roman"/>
          <w:sz w:val="24"/>
          <w:szCs w:val="24"/>
        </w:rPr>
        <w:t>Singh</w:t>
      </w:r>
      <w:proofErr w:type="gramEnd"/>
      <w:r w:rsidR="00BB1513" w:rsidRPr="001F2C6C">
        <w:rPr>
          <w:rFonts w:ascii="Times New Roman" w:hAnsi="Times New Roman" w:cs="Times New Roman"/>
          <w:sz w:val="24"/>
          <w:szCs w:val="24"/>
        </w:rPr>
        <w:t xml:space="preserve"> and Yadav, 2019)</w:t>
      </w:r>
      <w:r w:rsidRPr="001F2C6C">
        <w:rPr>
          <w:rFonts w:ascii="Times New Roman" w:hAnsi="Times New Roman" w:cs="Times New Roman"/>
          <w:sz w:val="24"/>
          <w:szCs w:val="24"/>
        </w:rPr>
        <w:t xml:space="preserve">. It also helps to manage company’s shareholders’ expectation. </w:t>
      </w:r>
    </w:p>
    <w:p w14:paraId="656F59CA" w14:textId="77777777" w:rsidR="004142C9" w:rsidRPr="001F2C6C" w:rsidRDefault="009217BC"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u w:val="single"/>
        </w:rPr>
        <w:t>13. Price Earnings Ratio:</w:t>
      </w:r>
      <w:r w:rsidRPr="001F2C6C">
        <w:rPr>
          <w:rFonts w:ascii="Times New Roman" w:hAnsi="Times New Roman" w:cs="Times New Roman"/>
          <w:sz w:val="24"/>
          <w:szCs w:val="24"/>
        </w:rPr>
        <w:t xml:space="preserve"> This ratio is calculated by dividing price per share with earnings per share. As per given data, the average price of </w:t>
      </w:r>
      <w:proofErr w:type="spellStart"/>
      <w:proofErr w:type="gram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Plc</w:t>
      </w:r>
      <w:proofErr w:type="gramEnd"/>
      <w:r w:rsidRPr="001F2C6C">
        <w:rPr>
          <w:rFonts w:ascii="Times New Roman" w:hAnsi="Times New Roman" w:cs="Times New Roman"/>
          <w:sz w:val="24"/>
          <w:szCs w:val="24"/>
        </w:rPr>
        <w:t xml:space="preserve"> was £ 5.12 in 2019 which was £ 4.00 in </w:t>
      </w:r>
      <w:r w:rsidRPr="001F2C6C">
        <w:rPr>
          <w:rFonts w:ascii="Times New Roman" w:hAnsi="Times New Roman" w:cs="Times New Roman"/>
          <w:sz w:val="24"/>
          <w:szCs w:val="24"/>
        </w:rPr>
        <w:lastRenderedPageBreak/>
        <w:t>2018. PE ratio reflects that how much price investors are willing to pay for every GBP earnings / net profit of the company</w:t>
      </w:r>
      <w:r w:rsidR="00BB1513" w:rsidRPr="001F2C6C">
        <w:rPr>
          <w:rFonts w:ascii="Times New Roman" w:hAnsi="Times New Roman" w:cs="Times New Roman"/>
          <w:sz w:val="24"/>
          <w:szCs w:val="24"/>
        </w:rPr>
        <w:t xml:space="preserve"> (Murray, Neumann and </w:t>
      </w:r>
      <w:proofErr w:type="spellStart"/>
      <w:r w:rsidR="00BB1513" w:rsidRPr="001F2C6C">
        <w:rPr>
          <w:rFonts w:ascii="Times New Roman" w:hAnsi="Times New Roman" w:cs="Times New Roman"/>
          <w:sz w:val="24"/>
          <w:szCs w:val="24"/>
        </w:rPr>
        <w:t>Elgers</w:t>
      </w:r>
      <w:proofErr w:type="spellEnd"/>
      <w:r w:rsidR="00BB1513" w:rsidRPr="001F2C6C">
        <w:rPr>
          <w:rFonts w:ascii="Times New Roman" w:hAnsi="Times New Roman" w:cs="Times New Roman"/>
          <w:sz w:val="24"/>
          <w:szCs w:val="24"/>
        </w:rPr>
        <w:t>, 2017)</w:t>
      </w:r>
      <w:r w:rsidRPr="001F2C6C">
        <w:rPr>
          <w:rFonts w:ascii="Times New Roman" w:hAnsi="Times New Roman" w:cs="Times New Roman"/>
          <w:sz w:val="24"/>
          <w:szCs w:val="24"/>
        </w:rPr>
        <w:t xml:space="preserve">. From the calculated ratio, it shows that the investors are willing to pay more money per share in 2019 compared to 2018 as the P / E ratio was 6.56 x in 2018 as </w:t>
      </w:r>
      <w:proofErr w:type="spellStart"/>
      <w:r w:rsidRPr="001F2C6C">
        <w:rPr>
          <w:rFonts w:ascii="Times New Roman" w:hAnsi="Times New Roman" w:cs="Times New Roman"/>
          <w:sz w:val="24"/>
          <w:szCs w:val="24"/>
        </w:rPr>
        <w:t>opoosed</w:t>
      </w:r>
      <w:proofErr w:type="spellEnd"/>
      <w:r w:rsidRPr="001F2C6C">
        <w:rPr>
          <w:rFonts w:ascii="Times New Roman" w:hAnsi="Times New Roman" w:cs="Times New Roman"/>
          <w:sz w:val="24"/>
          <w:szCs w:val="24"/>
        </w:rPr>
        <w:t xml:space="preserve"> to 7.13 x in 2019. So, the investors are willing to pay £ 0.57 for every £ 1 earnings of </w:t>
      </w:r>
      <w:proofErr w:type="spell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Plc. </w:t>
      </w:r>
    </w:p>
    <w:p w14:paraId="7BD4993C" w14:textId="77777777" w:rsidR="00451752" w:rsidRPr="001F2C6C" w:rsidRDefault="00451752" w:rsidP="001F2C6C">
      <w:pPr>
        <w:spacing w:line="360" w:lineRule="auto"/>
        <w:jc w:val="both"/>
        <w:rPr>
          <w:rFonts w:ascii="Times New Roman" w:hAnsi="Times New Roman" w:cs="Times New Roman"/>
          <w:sz w:val="24"/>
          <w:szCs w:val="24"/>
        </w:rPr>
      </w:pPr>
      <w:bookmarkStart w:id="8" w:name="_Toc59023784"/>
      <w:r w:rsidRPr="001F2C6C">
        <w:rPr>
          <w:rStyle w:val="Heading2Char"/>
          <w:rFonts w:cs="Times New Roman"/>
        </w:rPr>
        <w:t xml:space="preserve">Overall Comment on the financial performance and position of </w:t>
      </w:r>
      <w:proofErr w:type="spellStart"/>
      <w:r w:rsidRPr="001F2C6C">
        <w:rPr>
          <w:rStyle w:val="Heading2Char"/>
          <w:rFonts w:cs="Times New Roman"/>
        </w:rPr>
        <w:t>Chocco</w:t>
      </w:r>
      <w:proofErr w:type="spellEnd"/>
      <w:r w:rsidRPr="001F2C6C">
        <w:rPr>
          <w:rStyle w:val="Heading2Char"/>
          <w:rFonts w:cs="Times New Roman"/>
        </w:rPr>
        <w:t xml:space="preserve"> Plc</w:t>
      </w:r>
      <w:bookmarkEnd w:id="8"/>
      <w:r w:rsidRPr="001F2C6C">
        <w:rPr>
          <w:rFonts w:ascii="Times New Roman" w:hAnsi="Times New Roman" w:cs="Times New Roman"/>
          <w:sz w:val="24"/>
          <w:szCs w:val="24"/>
        </w:rPr>
        <w:t>: The company has improved its margins as all the profitability ratios have improved in 2019. ROE and ROA have also improved in 2019 compared to 2018. So, the accounting return for the company has experienced a remarkable improvement. The financial leverage has slightly decreased reducing company’s overall financial risk</w:t>
      </w:r>
      <w:r w:rsidR="00BB1513" w:rsidRPr="001F2C6C">
        <w:rPr>
          <w:rFonts w:ascii="Times New Roman" w:hAnsi="Times New Roman" w:cs="Times New Roman"/>
          <w:sz w:val="24"/>
          <w:szCs w:val="24"/>
        </w:rPr>
        <w:t xml:space="preserve"> (Proctor, 2019)</w:t>
      </w:r>
      <w:r w:rsidRPr="001F2C6C">
        <w:rPr>
          <w:rFonts w:ascii="Times New Roman" w:hAnsi="Times New Roman" w:cs="Times New Roman"/>
          <w:sz w:val="24"/>
          <w:szCs w:val="24"/>
        </w:rPr>
        <w:t xml:space="preserve">. However, Liquidity and efficiency ratios of the company is not up to the standards. The overall working capital efficiency has dropped with the increase of cash conversion cycle. The year over year liquidity position has improved for </w:t>
      </w:r>
      <w:proofErr w:type="spell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Plc, but overall liquidity position of the company is alarming as the company falls short to cover its </w:t>
      </w:r>
      <w:proofErr w:type="gramStart"/>
      <w:r w:rsidRPr="001F2C6C">
        <w:rPr>
          <w:rFonts w:ascii="Times New Roman" w:hAnsi="Times New Roman" w:cs="Times New Roman"/>
          <w:sz w:val="24"/>
          <w:szCs w:val="24"/>
        </w:rPr>
        <w:t>short term</w:t>
      </w:r>
      <w:proofErr w:type="gramEnd"/>
      <w:r w:rsidRPr="001F2C6C">
        <w:rPr>
          <w:rFonts w:ascii="Times New Roman" w:hAnsi="Times New Roman" w:cs="Times New Roman"/>
          <w:sz w:val="24"/>
          <w:szCs w:val="24"/>
        </w:rPr>
        <w:t xml:space="preserve"> obligations</w:t>
      </w:r>
      <w:r w:rsidR="00BB1513" w:rsidRPr="001F2C6C">
        <w:rPr>
          <w:rFonts w:ascii="Times New Roman" w:hAnsi="Times New Roman" w:cs="Times New Roman"/>
          <w:sz w:val="24"/>
          <w:szCs w:val="24"/>
        </w:rPr>
        <w:t xml:space="preserve"> (Murray, Neumann and </w:t>
      </w:r>
      <w:proofErr w:type="spellStart"/>
      <w:r w:rsidR="00BB1513" w:rsidRPr="001F2C6C">
        <w:rPr>
          <w:rFonts w:ascii="Times New Roman" w:hAnsi="Times New Roman" w:cs="Times New Roman"/>
          <w:sz w:val="24"/>
          <w:szCs w:val="24"/>
        </w:rPr>
        <w:t>Elgers</w:t>
      </w:r>
      <w:proofErr w:type="spellEnd"/>
      <w:r w:rsidR="00BB1513" w:rsidRPr="001F2C6C">
        <w:rPr>
          <w:rFonts w:ascii="Times New Roman" w:hAnsi="Times New Roman" w:cs="Times New Roman"/>
          <w:sz w:val="24"/>
          <w:szCs w:val="24"/>
        </w:rPr>
        <w:t>, 2017)</w:t>
      </w:r>
      <w:r w:rsidRPr="001F2C6C">
        <w:rPr>
          <w:rFonts w:ascii="Times New Roman" w:hAnsi="Times New Roman" w:cs="Times New Roman"/>
          <w:sz w:val="24"/>
          <w:szCs w:val="24"/>
        </w:rPr>
        <w:t xml:space="preserve">. </w:t>
      </w:r>
      <w:proofErr w:type="spell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has paid more dividend per share in 2019 compared to 2018’s despite a drop in payout ratio which might come out as a strategic move from the company to keep its dividend stable and manage investors’ expectations. </w:t>
      </w:r>
      <w:r w:rsidR="002148A9" w:rsidRPr="001F2C6C">
        <w:rPr>
          <w:rFonts w:ascii="Times New Roman" w:hAnsi="Times New Roman" w:cs="Times New Roman"/>
          <w:sz w:val="24"/>
          <w:szCs w:val="24"/>
        </w:rPr>
        <w:t xml:space="preserve">The investors are valuing </w:t>
      </w:r>
      <w:proofErr w:type="spellStart"/>
      <w:r w:rsidR="002148A9" w:rsidRPr="001F2C6C">
        <w:rPr>
          <w:rFonts w:ascii="Times New Roman" w:hAnsi="Times New Roman" w:cs="Times New Roman"/>
          <w:sz w:val="24"/>
          <w:szCs w:val="24"/>
        </w:rPr>
        <w:t>Chocco</w:t>
      </w:r>
      <w:proofErr w:type="spellEnd"/>
      <w:r w:rsidR="002148A9" w:rsidRPr="001F2C6C">
        <w:rPr>
          <w:rFonts w:ascii="Times New Roman" w:hAnsi="Times New Roman" w:cs="Times New Roman"/>
          <w:sz w:val="24"/>
          <w:szCs w:val="24"/>
        </w:rPr>
        <w:t xml:space="preserve"> with more PE multiples in 2019 than in 2018 which rectifies the investors are more optimistic about the future of the company</w:t>
      </w:r>
      <w:r w:rsidR="00BB1513" w:rsidRPr="001F2C6C">
        <w:rPr>
          <w:rFonts w:ascii="Times New Roman" w:hAnsi="Times New Roman" w:cs="Times New Roman"/>
          <w:sz w:val="24"/>
          <w:szCs w:val="24"/>
        </w:rPr>
        <w:t xml:space="preserve"> (Garrison, </w:t>
      </w:r>
      <w:proofErr w:type="gramStart"/>
      <w:r w:rsidR="00BB1513" w:rsidRPr="001F2C6C">
        <w:rPr>
          <w:rFonts w:ascii="Times New Roman" w:hAnsi="Times New Roman" w:cs="Times New Roman"/>
          <w:sz w:val="24"/>
          <w:szCs w:val="24"/>
        </w:rPr>
        <w:t>Noreen</w:t>
      </w:r>
      <w:proofErr w:type="gramEnd"/>
      <w:r w:rsidR="00BB1513" w:rsidRPr="001F2C6C">
        <w:rPr>
          <w:rFonts w:ascii="Times New Roman" w:hAnsi="Times New Roman" w:cs="Times New Roman"/>
          <w:sz w:val="24"/>
          <w:szCs w:val="24"/>
        </w:rPr>
        <w:t xml:space="preserve"> and Brewer, 2020)</w:t>
      </w:r>
      <w:r w:rsidR="002148A9" w:rsidRPr="001F2C6C">
        <w:rPr>
          <w:rFonts w:ascii="Times New Roman" w:hAnsi="Times New Roman" w:cs="Times New Roman"/>
          <w:sz w:val="24"/>
          <w:szCs w:val="24"/>
        </w:rPr>
        <w:t xml:space="preserve">. </w:t>
      </w:r>
    </w:p>
    <w:p w14:paraId="2607807E" w14:textId="77777777" w:rsidR="002148A9" w:rsidRPr="001F2C6C" w:rsidRDefault="002148A9" w:rsidP="001F2C6C">
      <w:pPr>
        <w:spacing w:line="360" w:lineRule="auto"/>
        <w:jc w:val="both"/>
        <w:rPr>
          <w:rFonts w:ascii="Times New Roman" w:hAnsi="Times New Roman" w:cs="Times New Roman"/>
          <w:sz w:val="24"/>
          <w:szCs w:val="24"/>
        </w:rPr>
      </w:pPr>
      <w:bookmarkStart w:id="9" w:name="_Toc59023785"/>
      <w:r w:rsidRPr="001F2C6C">
        <w:rPr>
          <w:rStyle w:val="Heading1Char"/>
          <w:rFonts w:cs="Times New Roman"/>
        </w:rPr>
        <w:t>Conclusion:</w:t>
      </w:r>
      <w:bookmarkEnd w:id="9"/>
      <w:r w:rsidRPr="001F2C6C">
        <w:rPr>
          <w:rFonts w:ascii="Times New Roman" w:hAnsi="Times New Roman" w:cs="Times New Roman"/>
          <w:sz w:val="24"/>
          <w:szCs w:val="24"/>
        </w:rPr>
        <w:t xml:space="preserve"> Ratio analysis is useful tool to analyze a company’s performance and financial state. This analysis helps both managers and the other stakeholders of the company to evaluate its performance. </w:t>
      </w:r>
      <w:proofErr w:type="spellStart"/>
      <w:r w:rsidRPr="001F2C6C">
        <w:rPr>
          <w:rFonts w:ascii="Times New Roman" w:hAnsi="Times New Roman" w:cs="Times New Roman"/>
          <w:sz w:val="24"/>
          <w:szCs w:val="24"/>
        </w:rPr>
        <w:t>Chocco</w:t>
      </w:r>
      <w:proofErr w:type="spellEnd"/>
      <w:r w:rsidRPr="001F2C6C">
        <w:rPr>
          <w:rFonts w:ascii="Times New Roman" w:hAnsi="Times New Roman" w:cs="Times New Roman"/>
          <w:sz w:val="24"/>
          <w:szCs w:val="24"/>
        </w:rPr>
        <w:t xml:space="preserve"> Plc has been able to manage its investors’ expectations successfully </w:t>
      </w:r>
      <w:proofErr w:type="gramStart"/>
      <w:r w:rsidRPr="001F2C6C">
        <w:rPr>
          <w:rFonts w:ascii="Times New Roman" w:hAnsi="Times New Roman" w:cs="Times New Roman"/>
          <w:sz w:val="24"/>
          <w:szCs w:val="24"/>
        </w:rPr>
        <w:t>that’s</w:t>
      </w:r>
      <w:proofErr w:type="gramEnd"/>
      <w:r w:rsidRPr="001F2C6C">
        <w:rPr>
          <w:rFonts w:ascii="Times New Roman" w:hAnsi="Times New Roman" w:cs="Times New Roman"/>
          <w:sz w:val="24"/>
          <w:szCs w:val="24"/>
        </w:rPr>
        <w:t xml:space="preserve"> why the company is valued with higher PE multiples</w:t>
      </w:r>
      <w:r w:rsidR="00BB1513" w:rsidRPr="001F2C6C">
        <w:rPr>
          <w:rFonts w:ascii="Times New Roman" w:hAnsi="Times New Roman" w:cs="Times New Roman"/>
          <w:sz w:val="24"/>
          <w:szCs w:val="24"/>
        </w:rPr>
        <w:t xml:space="preserve"> (Britton and Waterston, 2017)</w:t>
      </w:r>
      <w:r w:rsidRPr="001F2C6C">
        <w:rPr>
          <w:rFonts w:ascii="Times New Roman" w:hAnsi="Times New Roman" w:cs="Times New Roman"/>
          <w:sz w:val="24"/>
          <w:szCs w:val="24"/>
        </w:rPr>
        <w:t xml:space="preserve">.  </w:t>
      </w:r>
    </w:p>
    <w:p w14:paraId="08D9389E" w14:textId="77777777" w:rsidR="002148A9" w:rsidRPr="001F2C6C" w:rsidRDefault="002148A9" w:rsidP="001F2C6C">
      <w:pPr>
        <w:spacing w:line="360" w:lineRule="auto"/>
        <w:jc w:val="both"/>
        <w:rPr>
          <w:rFonts w:ascii="Times New Roman" w:hAnsi="Times New Roman" w:cs="Times New Roman"/>
          <w:sz w:val="24"/>
          <w:szCs w:val="24"/>
        </w:rPr>
      </w:pPr>
      <w:r w:rsidRPr="001F2C6C">
        <w:rPr>
          <w:rFonts w:ascii="Times New Roman" w:hAnsi="Times New Roman" w:cs="Times New Roman"/>
          <w:sz w:val="24"/>
          <w:szCs w:val="24"/>
        </w:rPr>
        <w:br w:type="page"/>
      </w:r>
    </w:p>
    <w:p w14:paraId="105DCCE2" w14:textId="77777777" w:rsidR="00BB1513" w:rsidRPr="001F2C6C" w:rsidRDefault="002148A9" w:rsidP="001F2C6C">
      <w:pPr>
        <w:pStyle w:val="Heading1"/>
        <w:spacing w:line="360" w:lineRule="auto"/>
        <w:rPr>
          <w:rFonts w:cs="Times New Roman"/>
        </w:rPr>
      </w:pPr>
      <w:bookmarkStart w:id="10" w:name="_Toc59023786"/>
      <w:r w:rsidRPr="001F2C6C">
        <w:rPr>
          <w:rFonts w:cs="Times New Roman"/>
        </w:rPr>
        <w:lastRenderedPageBreak/>
        <w:t>References:</w:t>
      </w:r>
      <w:bookmarkEnd w:id="10"/>
      <w:r w:rsidRPr="001F2C6C">
        <w:rPr>
          <w:rFonts w:cs="Times New Roman"/>
        </w:rPr>
        <w:t xml:space="preserve"> </w:t>
      </w:r>
    </w:p>
    <w:p w14:paraId="7989B883"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Barker, R., 2013. </w:t>
      </w:r>
      <w:r w:rsidRPr="001F2C6C">
        <w:rPr>
          <w:i/>
          <w:iCs/>
          <w:color w:val="000000"/>
        </w:rPr>
        <w:t xml:space="preserve">Short Introduction </w:t>
      </w:r>
      <w:proofErr w:type="gramStart"/>
      <w:r w:rsidRPr="001F2C6C">
        <w:rPr>
          <w:i/>
          <w:iCs/>
          <w:color w:val="000000"/>
        </w:rPr>
        <w:t>To</w:t>
      </w:r>
      <w:proofErr w:type="gramEnd"/>
      <w:r w:rsidRPr="001F2C6C">
        <w:rPr>
          <w:i/>
          <w:iCs/>
          <w:color w:val="000000"/>
        </w:rPr>
        <w:t xml:space="preserve"> Accounting</w:t>
      </w:r>
      <w:r w:rsidRPr="001F2C6C">
        <w:rPr>
          <w:color w:val="000000"/>
        </w:rPr>
        <w:t>. Cambridge: Cambridge University Press.</w:t>
      </w:r>
    </w:p>
    <w:p w14:paraId="3378858F"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Britton, A. and Waterston, C., 2017. </w:t>
      </w:r>
      <w:r w:rsidRPr="001F2C6C">
        <w:rPr>
          <w:i/>
          <w:iCs/>
          <w:color w:val="000000"/>
        </w:rPr>
        <w:t>Financial Accounting</w:t>
      </w:r>
      <w:r w:rsidRPr="001F2C6C">
        <w:rPr>
          <w:color w:val="000000"/>
        </w:rPr>
        <w:t>. 6th ed. Harlow: Financial Times Prentice Hall.</w:t>
      </w:r>
    </w:p>
    <w:p w14:paraId="31A87E1D"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EISEN, P., 2019. </w:t>
      </w:r>
      <w:r w:rsidRPr="001F2C6C">
        <w:rPr>
          <w:i/>
          <w:iCs/>
          <w:color w:val="000000"/>
        </w:rPr>
        <w:t>ACCOUNTING</w:t>
      </w:r>
      <w:r w:rsidRPr="001F2C6C">
        <w:rPr>
          <w:color w:val="000000"/>
        </w:rPr>
        <w:t>. [</w:t>
      </w:r>
      <w:proofErr w:type="spellStart"/>
      <w:r w:rsidRPr="001F2C6C">
        <w:rPr>
          <w:color w:val="000000"/>
        </w:rPr>
        <w:t>S.l.</w:t>
      </w:r>
      <w:proofErr w:type="spellEnd"/>
      <w:r w:rsidRPr="001F2C6C">
        <w:rPr>
          <w:color w:val="000000"/>
        </w:rPr>
        <w:t>]: BARRONS TEST PREP.</w:t>
      </w:r>
    </w:p>
    <w:p w14:paraId="27FAFD19"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Foster, G., 2015. </w:t>
      </w:r>
      <w:r w:rsidRPr="001F2C6C">
        <w:rPr>
          <w:i/>
          <w:iCs/>
          <w:color w:val="000000"/>
        </w:rPr>
        <w:t>Financial Statement Analysis</w:t>
      </w:r>
      <w:r w:rsidRPr="001F2C6C">
        <w:rPr>
          <w:color w:val="000000"/>
        </w:rPr>
        <w:t>. Englewood Cliffs, N.J: Prentice-Hall.</w:t>
      </w:r>
    </w:p>
    <w:p w14:paraId="62CC6466"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Garrison, R., Noreen, E. and Brewer, P., 2020. </w:t>
      </w:r>
      <w:r w:rsidRPr="001F2C6C">
        <w:rPr>
          <w:i/>
          <w:iCs/>
          <w:color w:val="000000"/>
        </w:rPr>
        <w:t>Managerial Accounting</w:t>
      </w:r>
      <w:r w:rsidRPr="001F2C6C">
        <w:rPr>
          <w:color w:val="000000"/>
        </w:rPr>
        <w:t>.</w:t>
      </w:r>
    </w:p>
    <w:p w14:paraId="56347F5C"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Higgins, R., Koski, J. and Mitton, T., 2020. </w:t>
      </w:r>
      <w:r w:rsidRPr="001F2C6C">
        <w:rPr>
          <w:i/>
          <w:iCs/>
          <w:color w:val="000000"/>
        </w:rPr>
        <w:t xml:space="preserve">Analysis </w:t>
      </w:r>
      <w:proofErr w:type="gramStart"/>
      <w:r w:rsidRPr="001F2C6C">
        <w:rPr>
          <w:i/>
          <w:iCs/>
          <w:color w:val="000000"/>
        </w:rPr>
        <w:t>For</w:t>
      </w:r>
      <w:proofErr w:type="gramEnd"/>
      <w:r w:rsidRPr="001F2C6C">
        <w:rPr>
          <w:i/>
          <w:iCs/>
          <w:color w:val="000000"/>
        </w:rPr>
        <w:t xml:space="preserve"> Financial Management</w:t>
      </w:r>
      <w:r w:rsidRPr="001F2C6C">
        <w:rPr>
          <w:color w:val="000000"/>
        </w:rPr>
        <w:t>. New York: McGraw-Hill Education.</w:t>
      </w:r>
    </w:p>
    <w:p w14:paraId="3706D240"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Horngren, C. and Harrison, W., 2019. </w:t>
      </w:r>
      <w:r w:rsidRPr="001F2C6C">
        <w:rPr>
          <w:i/>
          <w:iCs/>
          <w:color w:val="000000"/>
        </w:rPr>
        <w:t>ACCOUNTING</w:t>
      </w:r>
      <w:r w:rsidRPr="001F2C6C">
        <w:rPr>
          <w:color w:val="000000"/>
        </w:rPr>
        <w:t>. Pearson Australia Pty Ltd.</w:t>
      </w:r>
    </w:p>
    <w:p w14:paraId="1BBCB552"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Jain, P., Singh, S. and Yadav, S., 2019. </w:t>
      </w:r>
      <w:r w:rsidRPr="001F2C6C">
        <w:rPr>
          <w:i/>
          <w:iCs/>
          <w:color w:val="000000"/>
        </w:rPr>
        <w:t>Financial Management Practices</w:t>
      </w:r>
      <w:r w:rsidRPr="001F2C6C">
        <w:rPr>
          <w:color w:val="000000"/>
        </w:rPr>
        <w:t>. 8th ed. New Delhi: Springer.</w:t>
      </w:r>
    </w:p>
    <w:p w14:paraId="3184DCFD"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 xml:space="preserve">Murray, D., Neumann, B. and </w:t>
      </w:r>
      <w:proofErr w:type="spellStart"/>
      <w:r w:rsidRPr="001F2C6C">
        <w:rPr>
          <w:color w:val="000000"/>
        </w:rPr>
        <w:t>Elgers</w:t>
      </w:r>
      <w:proofErr w:type="spellEnd"/>
      <w:r w:rsidRPr="001F2C6C">
        <w:rPr>
          <w:color w:val="000000"/>
        </w:rPr>
        <w:t>, P., 2017. </w:t>
      </w:r>
      <w:r w:rsidRPr="001F2C6C">
        <w:rPr>
          <w:i/>
          <w:iCs/>
          <w:color w:val="000000"/>
        </w:rPr>
        <w:t>Using Financial Accounting</w:t>
      </w:r>
      <w:r w:rsidRPr="001F2C6C">
        <w:rPr>
          <w:color w:val="000000"/>
        </w:rPr>
        <w:t>. 13th ed. [Cincinnati, Ohio]: South-Western College.</w:t>
      </w:r>
    </w:p>
    <w:p w14:paraId="511E935A" w14:textId="77777777" w:rsidR="00BB1513" w:rsidRPr="001F2C6C" w:rsidRDefault="00BB1513" w:rsidP="001F2C6C">
      <w:pPr>
        <w:pStyle w:val="NormalWeb"/>
        <w:spacing w:before="0" w:beforeAutospacing="0" w:after="180" w:afterAutospacing="0" w:line="360" w:lineRule="auto"/>
        <w:ind w:left="450" w:hanging="450"/>
        <w:rPr>
          <w:color w:val="000000"/>
        </w:rPr>
      </w:pPr>
      <w:r w:rsidRPr="001F2C6C">
        <w:rPr>
          <w:color w:val="000000"/>
        </w:rPr>
        <w:t>Proctor, R., 2019. </w:t>
      </w:r>
      <w:r w:rsidRPr="001F2C6C">
        <w:rPr>
          <w:i/>
          <w:iCs/>
          <w:color w:val="000000"/>
        </w:rPr>
        <w:t>Managerial Accounting</w:t>
      </w:r>
      <w:r w:rsidRPr="001F2C6C">
        <w:rPr>
          <w:color w:val="000000"/>
        </w:rPr>
        <w:t>. 14th ed. Harlow: Pearson Education UK.</w:t>
      </w:r>
    </w:p>
    <w:p w14:paraId="1D07BB70" w14:textId="77777777" w:rsidR="002148A9" w:rsidRPr="001F2C6C" w:rsidRDefault="002148A9" w:rsidP="001F2C6C">
      <w:pPr>
        <w:spacing w:line="360" w:lineRule="auto"/>
        <w:rPr>
          <w:rFonts w:ascii="Times New Roman" w:hAnsi="Times New Roman" w:cs="Times New Roman"/>
          <w:sz w:val="24"/>
          <w:szCs w:val="24"/>
        </w:rPr>
      </w:pPr>
    </w:p>
    <w:sectPr w:rsidR="002148A9" w:rsidRPr="001F2C6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DFBBBE" w14:textId="77777777" w:rsidR="00555B17" w:rsidRDefault="00555B17" w:rsidP="00BB1513">
      <w:pPr>
        <w:spacing w:after="0" w:line="240" w:lineRule="auto"/>
      </w:pPr>
      <w:r>
        <w:separator/>
      </w:r>
    </w:p>
  </w:endnote>
  <w:endnote w:type="continuationSeparator" w:id="0">
    <w:p w14:paraId="618DF081" w14:textId="77777777" w:rsidR="00555B17" w:rsidRDefault="00555B17" w:rsidP="00BB1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A5FEEE" w14:textId="77777777" w:rsidR="00F84412" w:rsidRDefault="00F844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3284212"/>
      <w:docPartObj>
        <w:docPartGallery w:val="Page Numbers (Bottom of Page)"/>
        <w:docPartUnique/>
      </w:docPartObj>
    </w:sdtPr>
    <w:sdtEndPr>
      <w:rPr>
        <w:noProof/>
      </w:rPr>
    </w:sdtEndPr>
    <w:sdtContent>
      <w:p w14:paraId="6B5EFDD8" w14:textId="77777777" w:rsidR="00BB1513" w:rsidRDefault="00BB1513">
        <w:pPr>
          <w:pStyle w:val="Footer"/>
          <w:jc w:val="right"/>
        </w:pPr>
        <w:r>
          <w:fldChar w:fldCharType="begin"/>
        </w:r>
        <w:r>
          <w:instrText xml:space="preserve"> PAGE   \* MERGEFORMAT </w:instrText>
        </w:r>
        <w:r>
          <w:fldChar w:fldCharType="separate"/>
        </w:r>
        <w:r w:rsidR="00F84412">
          <w:rPr>
            <w:noProof/>
          </w:rPr>
          <w:t>1</w:t>
        </w:r>
        <w:r>
          <w:rPr>
            <w:noProof/>
          </w:rPr>
          <w:fldChar w:fldCharType="end"/>
        </w:r>
      </w:p>
    </w:sdtContent>
  </w:sdt>
  <w:p w14:paraId="363D3D8F" w14:textId="77777777" w:rsidR="00BB1513" w:rsidRDefault="00BB15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C8B287" w14:textId="77777777" w:rsidR="00F84412" w:rsidRDefault="00F84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1DF82B" w14:textId="77777777" w:rsidR="00555B17" w:rsidRDefault="00555B17" w:rsidP="00BB1513">
      <w:pPr>
        <w:spacing w:after="0" w:line="240" w:lineRule="auto"/>
      </w:pPr>
      <w:r>
        <w:separator/>
      </w:r>
    </w:p>
  </w:footnote>
  <w:footnote w:type="continuationSeparator" w:id="0">
    <w:p w14:paraId="5F7A79AA" w14:textId="77777777" w:rsidR="00555B17" w:rsidRDefault="00555B17" w:rsidP="00BB15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07DB42" w14:textId="77777777" w:rsidR="00F84412" w:rsidRDefault="00F844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7EE44" w14:textId="77777777" w:rsidR="00F84412" w:rsidRDefault="00F844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C8A3C4" w14:textId="77777777" w:rsidR="00F84412" w:rsidRDefault="00F844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zNDE2MjE1MjIzsTBQ0lEKTi0uzszPAykwrAUAQRr5VywAAAA="/>
  </w:docVars>
  <w:rsids>
    <w:rsidRoot w:val="00A47C91"/>
    <w:rsid w:val="000A03F0"/>
    <w:rsid w:val="001A7BEF"/>
    <w:rsid w:val="001F2C6C"/>
    <w:rsid w:val="002148A9"/>
    <w:rsid w:val="002D7E1F"/>
    <w:rsid w:val="0038765D"/>
    <w:rsid w:val="0040567E"/>
    <w:rsid w:val="004142C9"/>
    <w:rsid w:val="00437BF6"/>
    <w:rsid w:val="00451752"/>
    <w:rsid w:val="004D57B1"/>
    <w:rsid w:val="00555B17"/>
    <w:rsid w:val="005A65CC"/>
    <w:rsid w:val="005B3F55"/>
    <w:rsid w:val="005E3656"/>
    <w:rsid w:val="00703C8A"/>
    <w:rsid w:val="00720B55"/>
    <w:rsid w:val="009217BC"/>
    <w:rsid w:val="00A47C91"/>
    <w:rsid w:val="00BB1513"/>
    <w:rsid w:val="00C07691"/>
    <w:rsid w:val="00C2190E"/>
    <w:rsid w:val="00C97E27"/>
    <w:rsid w:val="00D74FA6"/>
    <w:rsid w:val="00E20243"/>
    <w:rsid w:val="00E4298B"/>
    <w:rsid w:val="00E43FED"/>
    <w:rsid w:val="00F815F3"/>
    <w:rsid w:val="00F84412"/>
    <w:rsid w:val="00FB7E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ECEC1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7B1"/>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4D57B1"/>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7B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D57B1"/>
    <w:rPr>
      <w:rFonts w:ascii="Times New Roman" w:eastAsiaTheme="majorEastAsia" w:hAnsi="Times New Roman" w:cstheme="majorBidi"/>
      <w:b/>
      <w:sz w:val="24"/>
      <w:szCs w:val="26"/>
    </w:rPr>
  </w:style>
  <w:style w:type="table" w:styleId="TableGridLight">
    <w:name w:val="Grid Table Light"/>
    <w:basedOn w:val="TableNormal"/>
    <w:uiPriority w:val="40"/>
    <w:rsid w:val="005B3F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5B3F5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BB1513"/>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B1513"/>
    <w:pPr>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BB15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1513"/>
  </w:style>
  <w:style w:type="paragraph" w:styleId="Footer">
    <w:name w:val="footer"/>
    <w:basedOn w:val="Normal"/>
    <w:link w:val="FooterChar"/>
    <w:uiPriority w:val="99"/>
    <w:unhideWhenUsed/>
    <w:rsid w:val="00BB15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1513"/>
  </w:style>
  <w:style w:type="paragraph" w:styleId="TOC1">
    <w:name w:val="toc 1"/>
    <w:basedOn w:val="Normal"/>
    <w:next w:val="Normal"/>
    <w:autoRedefine/>
    <w:uiPriority w:val="39"/>
    <w:unhideWhenUsed/>
    <w:rsid w:val="001F2C6C"/>
    <w:pPr>
      <w:spacing w:after="100"/>
    </w:pPr>
  </w:style>
  <w:style w:type="paragraph" w:styleId="TOC2">
    <w:name w:val="toc 2"/>
    <w:basedOn w:val="Normal"/>
    <w:next w:val="Normal"/>
    <w:autoRedefine/>
    <w:uiPriority w:val="39"/>
    <w:unhideWhenUsed/>
    <w:rsid w:val="001F2C6C"/>
    <w:pPr>
      <w:spacing w:after="100"/>
      <w:ind w:left="220"/>
    </w:pPr>
  </w:style>
  <w:style w:type="character" w:styleId="Hyperlink">
    <w:name w:val="Hyperlink"/>
    <w:basedOn w:val="DefaultParagraphFont"/>
    <w:uiPriority w:val="99"/>
    <w:unhideWhenUsed/>
    <w:rsid w:val="001F2C6C"/>
    <w:rPr>
      <w:color w:val="0563C1" w:themeColor="hyperlink"/>
      <w:u w:val="single"/>
    </w:rPr>
  </w:style>
  <w:style w:type="character" w:styleId="SubtleEmphasis">
    <w:name w:val="Subtle Emphasis"/>
    <w:basedOn w:val="DefaultParagraphFont"/>
    <w:uiPriority w:val="19"/>
    <w:qFormat/>
    <w:rsid w:val="00F815F3"/>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6252384">
      <w:bodyDiv w:val="1"/>
      <w:marLeft w:val="0"/>
      <w:marRight w:val="0"/>
      <w:marTop w:val="0"/>
      <w:marBottom w:val="0"/>
      <w:divBdr>
        <w:top w:val="none" w:sz="0" w:space="0" w:color="auto"/>
        <w:left w:val="none" w:sz="0" w:space="0" w:color="auto"/>
        <w:bottom w:val="none" w:sz="0" w:space="0" w:color="auto"/>
        <w:right w:val="none" w:sz="0" w:space="0" w:color="auto"/>
      </w:divBdr>
    </w:div>
    <w:div w:id="647780782">
      <w:bodyDiv w:val="1"/>
      <w:marLeft w:val="0"/>
      <w:marRight w:val="0"/>
      <w:marTop w:val="0"/>
      <w:marBottom w:val="0"/>
      <w:divBdr>
        <w:top w:val="none" w:sz="0" w:space="0" w:color="auto"/>
        <w:left w:val="none" w:sz="0" w:space="0" w:color="auto"/>
        <w:bottom w:val="none" w:sz="0" w:space="0" w:color="auto"/>
        <w:right w:val="none" w:sz="0" w:space="0" w:color="auto"/>
      </w:divBdr>
    </w:div>
    <w:div w:id="687561339">
      <w:bodyDiv w:val="1"/>
      <w:marLeft w:val="0"/>
      <w:marRight w:val="0"/>
      <w:marTop w:val="0"/>
      <w:marBottom w:val="0"/>
      <w:divBdr>
        <w:top w:val="none" w:sz="0" w:space="0" w:color="auto"/>
        <w:left w:val="none" w:sz="0" w:space="0" w:color="auto"/>
        <w:bottom w:val="none" w:sz="0" w:space="0" w:color="auto"/>
        <w:right w:val="none" w:sz="0" w:space="0" w:color="auto"/>
      </w:divBdr>
    </w:div>
    <w:div w:id="1124276868">
      <w:bodyDiv w:val="1"/>
      <w:marLeft w:val="0"/>
      <w:marRight w:val="0"/>
      <w:marTop w:val="0"/>
      <w:marBottom w:val="0"/>
      <w:divBdr>
        <w:top w:val="none" w:sz="0" w:space="0" w:color="auto"/>
        <w:left w:val="none" w:sz="0" w:space="0" w:color="auto"/>
        <w:bottom w:val="none" w:sz="0" w:space="0" w:color="auto"/>
        <w:right w:val="none" w:sz="0" w:space="0" w:color="auto"/>
      </w:divBdr>
    </w:div>
    <w:div w:id="1351494502">
      <w:bodyDiv w:val="1"/>
      <w:marLeft w:val="0"/>
      <w:marRight w:val="0"/>
      <w:marTop w:val="0"/>
      <w:marBottom w:val="0"/>
      <w:divBdr>
        <w:top w:val="none" w:sz="0" w:space="0" w:color="auto"/>
        <w:left w:val="none" w:sz="0" w:space="0" w:color="auto"/>
        <w:bottom w:val="none" w:sz="0" w:space="0" w:color="auto"/>
        <w:right w:val="none" w:sz="0" w:space="0" w:color="auto"/>
      </w:divBdr>
    </w:div>
    <w:div w:id="1489246667">
      <w:bodyDiv w:val="1"/>
      <w:marLeft w:val="0"/>
      <w:marRight w:val="0"/>
      <w:marTop w:val="0"/>
      <w:marBottom w:val="0"/>
      <w:divBdr>
        <w:top w:val="none" w:sz="0" w:space="0" w:color="auto"/>
        <w:left w:val="none" w:sz="0" w:space="0" w:color="auto"/>
        <w:bottom w:val="none" w:sz="0" w:space="0" w:color="auto"/>
        <w:right w:val="none" w:sz="0" w:space="0" w:color="auto"/>
      </w:divBdr>
    </w:div>
    <w:div w:id="1646616872">
      <w:bodyDiv w:val="1"/>
      <w:marLeft w:val="0"/>
      <w:marRight w:val="0"/>
      <w:marTop w:val="0"/>
      <w:marBottom w:val="0"/>
      <w:divBdr>
        <w:top w:val="none" w:sz="0" w:space="0" w:color="auto"/>
        <w:left w:val="none" w:sz="0" w:space="0" w:color="auto"/>
        <w:bottom w:val="none" w:sz="0" w:space="0" w:color="auto"/>
        <w:right w:val="none" w:sz="0" w:space="0" w:color="auto"/>
      </w:divBdr>
    </w:div>
    <w:div w:id="1671564274">
      <w:bodyDiv w:val="1"/>
      <w:marLeft w:val="0"/>
      <w:marRight w:val="0"/>
      <w:marTop w:val="0"/>
      <w:marBottom w:val="0"/>
      <w:divBdr>
        <w:top w:val="none" w:sz="0" w:space="0" w:color="auto"/>
        <w:left w:val="none" w:sz="0" w:space="0" w:color="auto"/>
        <w:bottom w:val="none" w:sz="0" w:space="0" w:color="auto"/>
        <w:right w:val="none" w:sz="0" w:space="0" w:color="auto"/>
      </w:divBdr>
    </w:div>
    <w:div w:id="1904178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7C79BD-6C0A-45F0-AB70-6FCCECFB3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2519</Words>
  <Characters>14359</Characters>
  <Application>Microsoft Office Word</Application>
  <DocSecurity>0</DocSecurity>
  <Lines>119</Lines>
  <Paragraphs>33</Paragraphs>
  <ScaleCrop>false</ScaleCrop>
  <Company/>
  <LinksUpToDate>false</LinksUpToDate>
  <CharactersWithSpaces>16845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2020-12-16T09:12:00Z</dcterms:created>
  <dcterms:modified xsi:type="dcterms:W3CDTF">2020-12-16T17:53:00Z</dcterms:modified>
</cp:coreProperties>
</file>