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2FE6" w:rsidRDefault="00192FE6" w:rsidP="00192FE6">
      <w:pPr>
        <w:jc w:val="center"/>
        <w:rPr>
          <w:b/>
          <w:sz w:val="28"/>
          <w:szCs w:val="28"/>
        </w:rPr>
      </w:pPr>
    </w:p>
    <w:p w:rsidR="00192FE6" w:rsidRDefault="00192FE6" w:rsidP="00192FE6">
      <w:pPr>
        <w:jc w:val="center"/>
        <w:rPr>
          <w:b/>
          <w:sz w:val="28"/>
          <w:szCs w:val="28"/>
        </w:rPr>
      </w:pPr>
      <w:r w:rsidRPr="00192FE6">
        <w:rPr>
          <w:b/>
          <w:noProof/>
          <w:sz w:val="28"/>
          <w:szCs w:val="28"/>
          <w:lang w:eastAsia="en-GB"/>
        </w:rPr>
        <w:drawing>
          <wp:inline distT="0" distB="0" distL="0" distR="0">
            <wp:extent cx="5731510" cy="3009043"/>
            <wp:effectExtent l="0" t="0" r="2540" b="1270"/>
            <wp:docPr id="1" name="Picture 1" descr="C:\Users\Dell\Desktop\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uwtsd-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09043"/>
                    </a:xfrm>
                    <a:prstGeom prst="rect">
                      <a:avLst/>
                    </a:prstGeom>
                    <a:noFill/>
                    <a:ln>
                      <a:noFill/>
                    </a:ln>
                  </pic:spPr>
                </pic:pic>
              </a:graphicData>
            </a:graphic>
          </wp:inline>
        </w:drawing>
      </w:r>
    </w:p>
    <w:p w:rsidR="00192FE6" w:rsidRDefault="00192FE6" w:rsidP="00192FE6">
      <w:pPr>
        <w:jc w:val="center"/>
        <w:rPr>
          <w:b/>
          <w:sz w:val="28"/>
          <w:szCs w:val="28"/>
        </w:rPr>
      </w:pPr>
    </w:p>
    <w:p w:rsidR="00192FE6" w:rsidRDefault="00192FE6" w:rsidP="00192FE6">
      <w:pPr>
        <w:jc w:val="center"/>
        <w:rPr>
          <w:b/>
          <w:sz w:val="28"/>
          <w:szCs w:val="28"/>
        </w:rPr>
      </w:pPr>
    </w:p>
    <w:p w:rsidR="00192FE6" w:rsidRDefault="00192FE6" w:rsidP="00192FE6">
      <w:pPr>
        <w:jc w:val="center"/>
        <w:rPr>
          <w:b/>
          <w:sz w:val="28"/>
          <w:szCs w:val="28"/>
        </w:rPr>
      </w:pPr>
    </w:p>
    <w:p w:rsidR="00192FE6" w:rsidRDefault="00192FE6" w:rsidP="00192FE6">
      <w:pPr>
        <w:jc w:val="center"/>
        <w:rPr>
          <w:b/>
          <w:sz w:val="28"/>
          <w:szCs w:val="28"/>
        </w:rPr>
      </w:pPr>
    </w:p>
    <w:p w:rsidR="00192FE6" w:rsidRDefault="00192FE6" w:rsidP="00192FE6">
      <w:pPr>
        <w:jc w:val="center"/>
        <w:rPr>
          <w:b/>
          <w:sz w:val="28"/>
          <w:szCs w:val="28"/>
        </w:rPr>
      </w:pPr>
    </w:p>
    <w:p w:rsidR="00192FE6" w:rsidRPr="00C83A82" w:rsidRDefault="00192FE6" w:rsidP="00192FE6">
      <w:pPr>
        <w:tabs>
          <w:tab w:val="left" w:pos="6540"/>
        </w:tabs>
        <w:spacing w:line="360" w:lineRule="auto"/>
        <w:jc w:val="center"/>
        <w:rPr>
          <w:rFonts w:ascii="Arial" w:hAnsi="Arial" w:cs="Arial"/>
          <w:sz w:val="28"/>
          <w:szCs w:val="28"/>
        </w:rPr>
      </w:pPr>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Uttam Mony Sarker</w:t>
      </w:r>
    </w:p>
    <w:p w:rsidR="00192FE6" w:rsidRPr="00C83A82" w:rsidRDefault="00192FE6" w:rsidP="00192FE6">
      <w:pPr>
        <w:tabs>
          <w:tab w:val="left" w:pos="6540"/>
        </w:tabs>
        <w:spacing w:line="360" w:lineRule="auto"/>
        <w:jc w:val="center"/>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Pr>
          <w:rFonts w:ascii="Arial" w:hAnsi="Arial" w:cs="Arial"/>
          <w:sz w:val="28"/>
          <w:szCs w:val="28"/>
          <w:lang w:val="nl-NL"/>
        </w:rPr>
        <w:t>2530820</w:t>
      </w:r>
    </w:p>
    <w:p w:rsidR="00192FE6" w:rsidRPr="00C83A82" w:rsidRDefault="00192FE6" w:rsidP="00192FE6">
      <w:pPr>
        <w:tabs>
          <w:tab w:val="left" w:pos="6540"/>
        </w:tabs>
        <w:spacing w:line="360" w:lineRule="auto"/>
        <w:jc w:val="center"/>
        <w:rPr>
          <w:rFonts w:ascii="Arial" w:hAnsi="Arial" w:cs="Arial"/>
          <w:sz w:val="28"/>
          <w:szCs w:val="28"/>
          <w:lang w:val="nl-NL"/>
        </w:rPr>
      </w:pPr>
    </w:p>
    <w:p w:rsidR="00192FE6" w:rsidRPr="00C83A82" w:rsidRDefault="00192FE6" w:rsidP="00192FE6">
      <w:pPr>
        <w:tabs>
          <w:tab w:val="left" w:pos="6540"/>
        </w:tabs>
        <w:spacing w:line="360" w:lineRule="auto"/>
        <w:jc w:val="center"/>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Pr="00C572DA">
        <w:rPr>
          <w:rFonts w:ascii="Arial" w:hAnsi="Arial" w:cs="Arial"/>
          <w:sz w:val="28"/>
          <w:szCs w:val="28"/>
          <w:lang w:val="nl-NL"/>
        </w:rPr>
        <w:t>Introduction to Health and Social Care</w:t>
      </w:r>
    </w:p>
    <w:p w:rsidR="00192FE6" w:rsidRPr="0020413D" w:rsidRDefault="00192FE6" w:rsidP="00192FE6">
      <w:pPr>
        <w:tabs>
          <w:tab w:val="left" w:pos="6540"/>
        </w:tabs>
        <w:spacing w:line="360" w:lineRule="auto"/>
        <w:jc w:val="center"/>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w:t>
      </w:r>
      <w:r w:rsidRPr="00C572DA">
        <w:rPr>
          <w:rFonts w:ascii="Arial" w:hAnsi="Arial" w:cs="Arial"/>
          <w:sz w:val="28"/>
          <w:szCs w:val="28"/>
        </w:rPr>
        <w:t>LCHS4003</w:t>
      </w:r>
      <w:r>
        <w:rPr>
          <w:rFonts w:ascii="Arial" w:hAnsi="Arial" w:cs="Arial"/>
          <w:sz w:val="28"/>
          <w:szCs w:val="28"/>
        </w:rPr>
        <w:t>_LON</w:t>
      </w:r>
    </w:p>
    <w:p w:rsidR="00192FE6" w:rsidRDefault="00192FE6" w:rsidP="00192FE6">
      <w:pPr>
        <w:jc w:val="center"/>
        <w:rPr>
          <w:rFonts w:ascii="Arial" w:hAnsi="Arial" w:cs="Arial"/>
          <w:sz w:val="28"/>
          <w:szCs w:val="28"/>
        </w:rPr>
      </w:pPr>
      <w:r w:rsidRPr="0020413D">
        <w:rPr>
          <w:rFonts w:ascii="Arial" w:hAnsi="Arial" w:cs="Arial"/>
          <w:b/>
          <w:bCs/>
          <w:sz w:val="28"/>
          <w:szCs w:val="28"/>
        </w:rPr>
        <w:t>Lecturer name</w:t>
      </w:r>
      <w:r>
        <w:t xml:space="preserve">: </w:t>
      </w:r>
      <w:r w:rsidRPr="00695278">
        <w:rPr>
          <w:rFonts w:ascii="Helvetica" w:hAnsi="Helvetica"/>
          <w:b/>
          <w:color w:val="242130"/>
          <w:sz w:val="28"/>
          <w:szCs w:val="28"/>
          <w:shd w:val="clear" w:color="auto" w:fill="FFFFFF"/>
        </w:rPr>
        <w:t>Sam Parker</w:t>
      </w:r>
      <w:r w:rsidRPr="00C572DA">
        <w:rPr>
          <w:rFonts w:ascii="Arial" w:hAnsi="Arial" w:cs="Arial"/>
          <w:sz w:val="28"/>
          <w:szCs w:val="28"/>
        </w:rPr>
        <w:t xml:space="preserve"> (Module Leader)</w:t>
      </w:r>
    </w:p>
    <w:p w:rsidR="00192FE6" w:rsidRPr="00DF353A" w:rsidRDefault="00192FE6" w:rsidP="00192FE6">
      <w:pPr>
        <w:jc w:val="center"/>
        <w:rPr>
          <w:rFonts w:ascii="Arial" w:hAnsi="Arial" w:cs="Arial"/>
          <w:sz w:val="28"/>
          <w:szCs w:val="28"/>
        </w:rPr>
      </w:pPr>
      <w:r w:rsidRPr="00DF353A">
        <w:rPr>
          <w:rFonts w:ascii="Arial" w:hAnsi="Arial" w:cs="Arial"/>
          <w:b/>
          <w:sz w:val="28"/>
          <w:szCs w:val="28"/>
        </w:rPr>
        <w:t>Case Study:</w:t>
      </w:r>
      <w:r>
        <w:rPr>
          <w:rFonts w:ascii="Arial" w:hAnsi="Arial" w:cs="Arial"/>
          <w:b/>
          <w:sz w:val="28"/>
          <w:szCs w:val="28"/>
        </w:rPr>
        <w:t xml:space="preserve"> Mrs Thompson</w:t>
      </w:r>
    </w:p>
    <w:p w:rsidR="00192FE6" w:rsidRDefault="00192FE6" w:rsidP="00192FE6">
      <w:pPr>
        <w:jc w:val="both"/>
        <w:rPr>
          <w:b/>
          <w:sz w:val="28"/>
          <w:szCs w:val="28"/>
        </w:rPr>
      </w:pPr>
    </w:p>
    <w:p w:rsidR="00192FE6" w:rsidRDefault="00192FE6" w:rsidP="00192FE6">
      <w:pPr>
        <w:jc w:val="both"/>
        <w:rPr>
          <w:b/>
          <w:sz w:val="28"/>
          <w:szCs w:val="28"/>
        </w:rPr>
      </w:pPr>
    </w:p>
    <w:p w:rsidR="00192FE6" w:rsidRDefault="00192FE6" w:rsidP="00192FE6">
      <w:pPr>
        <w:jc w:val="center"/>
        <w:rPr>
          <w:b/>
          <w:sz w:val="28"/>
          <w:szCs w:val="28"/>
        </w:rPr>
      </w:pPr>
    </w:p>
    <w:p w:rsidR="00192FE6" w:rsidRDefault="00192FE6" w:rsidP="00192FE6">
      <w:pPr>
        <w:jc w:val="center"/>
        <w:rPr>
          <w:rFonts w:ascii="Arial" w:eastAsiaTheme="majorEastAsia" w:hAnsi="Arial" w:cs="Arial"/>
          <w:b/>
          <w:bCs/>
          <w:color w:val="000000" w:themeColor="text1"/>
          <w:sz w:val="28"/>
          <w:szCs w:val="28"/>
          <w:lang w:val="en-US"/>
        </w:rPr>
      </w:pPr>
      <w:r>
        <w:rPr>
          <w:rFonts w:ascii="Arial" w:eastAsiaTheme="majorEastAsia" w:hAnsi="Arial" w:cs="Arial"/>
          <w:b/>
          <w:bCs/>
          <w:color w:val="000000" w:themeColor="text1"/>
          <w:sz w:val="28"/>
          <w:szCs w:val="28"/>
          <w:lang w:val="en-US"/>
        </w:rPr>
        <w:lastRenderedPageBreak/>
        <w:t>Table of Content</w:t>
      </w:r>
    </w:p>
    <w:p w:rsidR="00192FE6" w:rsidRPr="00F16B17" w:rsidRDefault="00192FE6" w:rsidP="00F16B17">
      <w:pPr>
        <w:spacing w:line="360" w:lineRule="auto"/>
        <w:jc w:val="both"/>
        <w:rPr>
          <w:rFonts w:ascii="Arial" w:eastAsiaTheme="majorEastAsia" w:hAnsi="Arial" w:cs="Arial"/>
          <w:b/>
          <w:bCs/>
          <w:color w:val="000000" w:themeColor="text1"/>
          <w:lang w:val="en-US"/>
        </w:rPr>
      </w:pPr>
    </w:p>
    <w:p w:rsidR="00192FE6" w:rsidRPr="00F16B17" w:rsidRDefault="00192FE6" w:rsidP="00F16B17">
      <w:pPr>
        <w:spacing w:line="360" w:lineRule="auto"/>
        <w:jc w:val="both"/>
        <w:rPr>
          <w:rFonts w:ascii="Arial" w:hAnsi="Arial" w:cs="Arial"/>
        </w:rPr>
      </w:pPr>
      <w:r w:rsidRPr="00F16B17">
        <w:rPr>
          <w:rFonts w:ascii="Arial" w:hAnsi="Arial" w:cs="Arial"/>
        </w:rPr>
        <w:t>Introduction ………….…………………………</w:t>
      </w:r>
      <w:r w:rsidRPr="00F16B17">
        <w:rPr>
          <w:rFonts w:ascii="Arial" w:hAnsi="Arial" w:cs="Arial"/>
        </w:rPr>
        <w:t>……………………………</w:t>
      </w:r>
      <w:r w:rsidRPr="00F16B17">
        <w:rPr>
          <w:rFonts w:ascii="Arial" w:hAnsi="Arial" w:cs="Arial"/>
        </w:rPr>
        <w:t>………..</w:t>
      </w:r>
      <w:r w:rsidR="006A1613">
        <w:rPr>
          <w:rFonts w:ascii="Arial" w:hAnsi="Arial" w:cs="Arial"/>
        </w:rPr>
        <w:t>…………….2</w:t>
      </w:r>
    </w:p>
    <w:p w:rsidR="00192FE6" w:rsidRPr="00F16B17" w:rsidRDefault="00192FE6" w:rsidP="00F16B17">
      <w:pPr>
        <w:spacing w:line="360" w:lineRule="auto"/>
        <w:jc w:val="both"/>
        <w:rPr>
          <w:rFonts w:ascii="Arial" w:hAnsi="Arial" w:cs="Arial"/>
        </w:rPr>
      </w:pPr>
      <w:r w:rsidRPr="00F16B17">
        <w:rPr>
          <w:rFonts w:ascii="Arial" w:hAnsi="Arial" w:cs="Arial"/>
        </w:rPr>
        <w:t xml:space="preserve"> Effective Communication  ….…………………………………..</w:t>
      </w:r>
      <w:r w:rsidRPr="00F16B17">
        <w:rPr>
          <w:rFonts w:ascii="Arial" w:hAnsi="Arial" w:cs="Arial"/>
        </w:rPr>
        <w:t>……………………..…..</w:t>
      </w:r>
      <w:r w:rsidR="006A1613">
        <w:rPr>
          <w:rFonts w:ascii="Arial" w:hAnsi="Arial" w:cs="Arial"/>
        </w:rPr>
        <w:t>……….2</w:t>
      </w:r>
    </w:p>
    <w:p w:rsidR="00192FE6" w:rsidRPr="00F16B17" w:rsidRDefault="00192FE6" w:rsidP="00F16B17">
      <w:pPr>
        <w:spacing w:line="360" w:lineRule="auto"/>
        <w:jc w:val="both"/>
        <w:rPr>
          <w:rFonts w:ascii="Arial" w:hAnsi="Arial" w:cs="Arial"/>
        </w:rPr>
      </w:pPr>
      <w:r w:rsidRPr="00F16B17">
        <w:rPr>
          <w:rFonts w:ascii="Arial" w:hAnsi="Arial" w:cs="Arial"/>
        </w:rPr>
        <w:t>Good Administrative Skills and Record Keeping ………………….…………………………</w:t>
      </w:r>
      <w:r w:rsidR="006A1613">
        <w:rPr>
          <w:rFonts w:ascii="Arial" w:hAnsi="Arial" w:cs="Arial"/>
        </w:rPr>
        <w:t>…….3</w:t>
      </w:r>
    </w:p>
    <w:p w:rsidR="00192FE6" w:rsidRPr="00F16B17" w:rsidRDefault="00192FE6" w:rsidP="00F16B17">
      <w:pPr>
        <w:spacing w:line="360" w:lineRule="auto"/>
        <w:jc w:val="both"/>
        <w:rPr>
          <w:rFonts w:ascii="Arial" w:hAnsi="Arial" w:cs="Arial"/>
        </w:rPr>
      </w:pPr>
      <w:r w:rsidRPr="00F16B17">
        <w:rPr>
          <w:rFonts w:ascii="Arial" w:hAnsi="Arial" w:cs="Arial"/>
        </w:rPr>
        <w:t>Working Collaboratively .…………………………………………………..</w:t>
      </w:r>
      <w:r w:rsidRPr="00F16B17">
        <w:rPr>
          <w:rFonts w:ascii="Arial" w:hAnsi="Arial" w:cs="Arial"/>
        </w:rPr>
        <w:t>……...…</w:t>
      </w:r>
      <w:r w:rsidR="00DE0655">
        <w:rPr>
          <w:rFonts w:ascii="Arial" w:hAnsi="Arial" w:cs="Arial"/>
        </w:rPr>
        <w:t>………………5</w:t>
      </w:r>
    </w:p>
    <w:p w:rsidR="00192FE6" w:rsidRPr="00F16B17" w:rsidRDefault="00192FE6" w:rsidP="00F16B17">
      <w:pPr>
        <w:spacing w:line="360" w:lineRule="auto"/>
        <w:jc w:val="both"/>
        <w:rPr>
          <w:rFonts w:ascii="Arial" w:hAnsi="Arial" w:cs="Arial"/>
        </w:rPr>
      </w:pPr>
      <w:r w:rsidRPr="00F16B17">
        <w:rPr>
          <w:rFonts w:ascii="Arial" w:hAnsi="Arial" w:cs="Arial"/>
        </w:rPr>
        <w:t>Conclusion ………………………………………………………….</w:t>
      </w:r>
      <w:r w:rsidR="00DE0655">
        <w:rPr>
          <w:rFonts w:ascii="Arial" w:hAnsi="Arial" w:cs="Arial"/>
        </w:rPr>
        <w:t>…………………………………6</w:t>
      </w:r>
    </w:p>
    <w:p w:rsidR="00192FE6" w:rsidRPr="00F16B17" w:rsidRDefault="00192FE6" w:rsidP="00F16B17">
      <w:pPr>
        <w:spacing w:line="360" w:lineRule="auto"/>
        <w:jc w:val="both"/>
        <w:rPr>
          <w:rFonts w:ascii="Arial" w:hAnsi="Arial" w:cs="Arial"/>
        </w:rPr>
      </w:pPr>
      <w:r w:rsidRPr="00F16B17">
        <w:rPr>
          <w:rFonts w:ascii="Arial" w:hAnsi="Arial" w:cs="Arial"/>
        </w:rPr>
        <w:t>Referance …..………………………………………..…</w:t>
      </w:r>
      <w:r w:rsidRPr="00F16B17">
        <w:rPr>
          <w:rFonts w:ascii="Arial" w:hAnsi="Arial" w:cs="Arial"/>
        </w:rPr>
        <w:t>…………………</w:t>
      </w:r>
      <w:r w:rsidR="00DE0655">
        <w:rPr>
          <w:rFonts w:ascii="Arial" w:hAnsi="Arial" w:cs="Arial"/>
        </w:rPr>
        <w:t>………………………..7</w:t>
      </w:r>
      <w:bookmarkStart w:id="0" w:name="_GoBack"/>
      <w:bookmarkEnd w:id="0"/>
    </w:p>
    <w:p w:rsidR="00192FE6" w:rsidRPr="00F16B17" w:rsidRDefault="00192FE6"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b/>
        </w:rPr>
      </w:pPr>
    </w:p>
    <w:p w:rsidR="00192FE6" w:rsidRPr="00F16B17" w:rsidRDefault="00192FE6" w:rsidP="00F16B17">
      <w:pPr>
        <w:spacing w:line="360" w:lineRule="auto"/>
        <w:jc w:val="both"/>
        <w:rPr>
          <w:rFonts w:ascii="Arial" w:hAnsi="Arial" w:cs="Arial"/>
          <w:b/>
        </w:rPr>
      </w:pPr>
    </w:p>
    <w:p w:rsidR="00192FE6" w:rsidRPr="00F16B17" w:rsidRDefault="00192FE6" w:rsidP="00F16B17">
      <w:pPr>
        <w:spacing w:line="360" w:lineRule="auto"/>
        <w:jc w:val="both"/>
        <w:rPr>
          <w:rFonts w:ascii="Arial" w:hAnsi="Arial" w:cs="Arial"/>
          <w:b/>
        </w:rPr>
      </w:pPr>
    </w:p>
    <w:p w:rsidR="00E175A6" w:rsidRPr="00F16B17" w:rsidRDefault="00E175A6"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Default="00A7030A" w:rsidP="00F16B17">
      <w:pPr>
        <w:spacing w:line="360" w:lineRule="auto"/>
        <w:jc w:val="both"/>
        <w:rPr>
          <w:rFonts w:ascii="Arial" w:hAnsi="Arial" w:cs="Arial"/>
        </w:rPr>
      </w:pPr>
    </w:p>
    <w:p w:rsidR="00F16B17" w:rsidRPr="00F16B17" w:rsidRDefault="00F16B17"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rPr>
      </w:pPr>
    </w:p>
    <w:p w:rsidR="00192FE6" w:rsidRPr="00F16B17" w:rsidRDefault="00F16B17" w:rsidP="00F16B17">
      <w:pPr>
        <w:spacing w:line="360" w:lineRule="auto"/>
        <w:jc w:val="both"/>
        <w:rPr>
          <w:rFonts w:ascii="Arial" w:hAnsi="Arial" w:cs="Arial"/>
          <w:b/>
          <w:sz w:val="28"/>
          <w:szCs w:val="28"/>
        </w:rPr>
      </w:pPr>
      <w:r w:rsidRPr="00F16B17">
        <w:rPr>
          <w:rFonts w:ascii="Arial" w:hAnsi="Arial" w:cs="Arial"/>
          <w:b/>
          <w:sz w:val="28"/>
          <w:szCs w:val="28"/>
        </w:rPr>
        <w:lastRenderedPageBreak/>
        <w:t>Introduction</w:t>
      </w:r>
    </w:p>
    <w:p w:rsidR="00F16B17" w:rsidRPr="00F16B17" w:rsidRDefault="00F16B17" w:rsidP="00F16B17">
      <w:pPr>
        <w:spacing w:line="360" w:lineRule="auto"/>
        <w:jc w:val="both"/>
        <w:rPr>
          <w:rFonts w:ascii="Arial" w:hAnsi="Arial" w:cs="Arial"/>
        </w:rPr>
      </w:pPr>
    </w:p>
    <w:p w:rsidR="00192FE6" w:rsidRPr="00F16B17" w:rsidRDefault="00192FE6" w:rsidP="00F16B17">
      <w:pPr>
        <w:spacing w:line="360" w:lineRule="auto"/>
        <w:jc w:val="both"/>
        <w:rPr>
          <w:rFonts w:ascii="Arial" w:hAnsi="Arial" w:cs="Arial"/>
        </w:rPr>
      </w:pPr>
      <w:r w:rsidRPr="00F16B17">
        <w:rPr>
          <w:rFonts w:ascii="Arial" w:hAnsi="Arial" w:cs="Arial"/>
        </w:rPr>
        <w:t>Delivering safe, person-centred care for Mrs. Thompson, an 84-year-old woman living alone with moderate dementia after pneumonia, requires effective collaboration across professional boundaries. Coordinated practice guarantees that daily observations, medication supervision, clinical evaluation, and safeguarding issues are all handled jointly, with participation from domiciliary care workers, her general practitioner, community nurse, and local council. Every encounter is supported by effective communication, accurate shared record keeping, and respect for confidentiality, which enable Mrs. Thompson to continue participating in her own care while adhering to standards established by regulatory organisations like the Care Quality Commission.</w:t>
      </w:r>
      <w:r w:rsidR="00A7030A" w:rsidRPr="00F16B17">
        <w:rPr>
          <w:rFonts w:ascii="Arial" w:hAnsi="Arial" w:cs="Arial"/>
        </w:rPr>
        <w:t xml:space="preserve"> This discussion examines the importance of partnership, methods for promoting cooperation, and workable solutions for resolving typical problems that may occur when several groups collaborate (SCIE, 2025; Care Quality Commission, 2026).</w:t>
      </w: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rPr>
      </w:pPr>
    </w:p>
    <w:p w:rsidR="00A7030A" w:rsidRPr="00F16B17" w:rsidRDefault="00A7030A" w:rsidP="00F16B17">
      <w:pPr>
        <w:spacing w:line="360" w:lineRule="auto"/>
        <w:jc w:val="both"/>
        <w:rPr>
          <w:rFonts w:ascii="Arial" w:hAnsi="Arial" w:cs="Arial"/>
          <w:b/>
          <w:sz w:val="28"/>
          <w:szCs w:val="28"/>
        </w:rPr>
      </w:pPr>
      <w:r w:rsidRPr="00F16B17">
        <w:rPr>
          <w:rFonts w:ascii="Arial" w:hAnsi="Arial" w:cs="Arial"/>
          <w:b/>
          <w:sz w:val="28"/>
          <w:szCs w:val="28"/>
        </w:rPr>
        <w:t>Effective Communication in Mrs Thompson’s Care</w:t>
      </w:r>
    </w:p>
    <w:p w:rsidR="00A7030A" w:rsidRPr="00F16B17" w:rsidRDefault="00A7030A" w:rsidP="00F16B17">
      <w:pPr>
        <w:spacing w:line="360" w:lineRule="auto"/>
        <w:jc w:val="both"/>
        <w:rPr>
          <w:rFonts w:ascii="Arial" w:hAnsi="Arial" w:cs="Arial"/>
        </w:rPr>
      </w:pPr>
    </w:p>
    <w:p w:rsidR="00583B53" w:rsidRPr="00F16B17" w:rsidRDefault="00CA49C1" w:rsidP="00F16B17">
      <w:pPr>
        <w:spacing w:line="360" w:lineRule="auto"/>
        <w:jc w:val="both"/>
        <w:rPr>
          <w:rFonts w:ascii="Arial" w:hAnsi="Arial" w:cs="Arial"/>
        </w:rPr>
      </w:pPr>
      <w:r w:rsidRPr="00F16B17">
        <w:rPr>
          <w:rFonts w:ascii="Arial" w:hAnsi="Arial" w:cs="Arial"/>
        </w:rPr>
        <w:t>Effective communication is essential to safe, person-centred care and immediately protects Mrs. Thompson, an 84-year-old woman with moderate dementia, once she is released from the hospital (Care Quality Commission, 2025). As demonstrated when she missed two days of medication and became confused—a situation that could have been recognised and addressed sooner with improved communication—clear and prompt information sharing between domiciliary staff, medical professionals, chemists, and the local council prevents misunderstandings that endanger her health (NHS England, 2023). All parties engaged in her care benefit from accurate record-keeping, which satisfies legal requirements for safety, confidentiality, and openness by recording occurrences, medication omissions, and concerns (Health and Social Care Information Center, 2013). According to The Equality Act 2010 and the Health and Social Care Information Center (2013), maintaining confidentiality entails safeguarding her personal and health information, sharing it only with those who are permitted to do so, and striking a balance between her right to privacy and her safety requirements.</w:t>
      </w:r>
    </w:p>
    <w:p w:rsidR="00CA49C1" w:rsidRPr="00F16B17" w:rsidRDefault="00CA49C1" w:rsidP="00F16B17">
      <w:pPr>
        <w:spacing w:line="360" w:lineRule="auto"/>
        <w:jc w:val="both"/>
        <w:rPr>
          <w:rFonts w:ascii="Arial" w:hAnsi="Arial" w:cs="Arial"/>
        </w:rPr>
      </w:pPr>
    </w:p>
    <w:p w:rsidR="00CA49C1" w:rsidRPr="00F16B17" w:rsidRDefault="00CA49C1" w:rsidP="00F16B17">
      <w:pPr>
        <w:spacing w:line="360" w:lineRule="auto"/>
        <w:jc w:val="both"/>
        <w:rPr>
          <w:rFonts w:ascii="Arial" w:hAnsi="Arial" w:cs="Arial"/>
        </w:rPr>
      </w:pPr>
      <w:r w:rsidRPr="00F16B17">
        <w:rPr>
          <w:rFonts w:ascii="Arial" w:hAnsi="Arial" w:cs="Arial"/>
        </w:rPr>
        <w:lastRenderedPageBreak/>
        <w:t>According to the Care Quality Commission (2025), communication with Mrs. Thompson must be person-centred, enabling her to be involved and respected, accommodating her needs by speaking gently and clearly, giving her time to comprehend, and utilising aids or reminders as required. Encouraging empowerment entails respecting her rights in spite of memory difficulties and, if feasible, supporting her choices and preferences rather than taking over. Family members' familiarity with Mrs. Thompson's habits and preferences should be respected while interacting with them, and her consent and privacy should be respected when she is able. In order to ensure that age, disability, or care needs do not disadvantage her, all practices must be in line with the core duties of the Equality Act 2010: eliminating discrimination, promoting equality of opportunity, cultivating good relations, and making reasonable adjustments, such as longer conversation time, simplified explanations, or quieter surroundings (The Equality Act 2010; Equality and Human Rights Commission, 2018).</w:t>
      </w:r>
    </w:p>
    <w:p w:rsidR="00CA49C1" w:rsidRPr="00F16B17" w:rsidRDefault="00CA49C1" w:rsidP="00F16B17">
      <w:pPr>
        <w:spacing w:line="360" w:lineRule="auto"/>
        <w:jc w:val="both"/>
        <w:rPr>
          <w:rFonts w:ascii="Arial" w:hAnsi="Arial" w:cs="Arial"/>
        </w:rPr>
      </w:pPr>
      <w:r w:rsidRPr="00F16B17">
        <w:rPr>
          <w:rFonts w:ascii="Arial" w:hAnsi="Arial" w:cs="Arial"/>
        </w:rPr>
        <w:t>The SOLER model (Egan, 1975) offers a methodical, caring framework for fostering trust: At eye level, sit directly in front of her; Maintain an open stance to seem friendly; bend slightly forward to demonstrate attention; make polite eye contact; and act relaxed to ease discomfort (Counselling Tutor, 2026). This guarantees that nonverbal communication facilitates comprehension and gives her confidence that she is being heard.</w:t>
      </w:r>
    </w:p>
    <w:p w:rsidR="00CA49C1" w:rsidRPr="00F16B17" w:rsidRDefault="00CA49C1" w:rsidP="00F16B17">
      <w:pPr>
        <w:spacing w:line="360" w:lineRule="auto"/>
        <w:jc w:val="both"/>
        <w:rPr>
          <w:rFonts w:ascii="Arial" w:hAnsi="Arial" w:cs="Arial"/>
        </w:rPr>
      </w:pPr>
      <w:r w:rsidRPr="00F16B17">
        <w:rPr>
          <w:rFonts w:ascii="Arial" w:hAnsi="Arial" w:cs="Arial"/>
        </w:rPr>
        <w:t>Care is coordinated, addressing medication safety, warmth, and reviews while safeguarding Mrs. Thompson's independence, dignity, and well-being through efficient communication, thorough documentation, regulatory compliance, and equitable treatment.</w:t>
      </w:r>
    </w:p>
    <w:p w:rsidR="00CA49C1" w:rsidRPr="00F16B17" w:rsidRDefault="00CA49C1" w:rsidP="00F16B17">
      <w:pPr>
        <w:spacing w:line="360" w:lineRule="auto"/>
        <w:jc w:val="both"/>
        <w:rPr>
          <w:rFonts w:ascii="Arial" w:hAnsi="Arial" w:cs="Arial"/>
        </w:rPr>
      </w:pPr>
    </w:p>
    <w:p w:rsidR="00CA49C1" w:rsidRPr="00F16B17" w:rsidRDefault="00CA49C1" w:rsidP="00F16B17">
      <w:pPr>
        <w:spacing w:line="360" w:lineRule="auto"/>
        <w:jc w:val="both"/>
        <w:rPr>
          <w:rFonts w:ascii="Arial" w:hAnsi="Arial" w:cs="Arial"/>
        </w:rPr>
      </w:pPr>
    </w:p>
    <w:p w:rsidR="00CA49C1" w:rsidRPr="00F16B17" w:rsidRDefault="00CA49C1" w:rsidP="00F16B17">
      <w:pPr>
        <w:spacing w:line="360" w:lineRule="auto"/>
        <w:jc w:val="both"/>
        <w:rPr>
          <w:rFonts w:ascii="Arial" w:hAnsi="Arial" w:cs="Arial"/>
          <w:b/>
          <w:sz w:val="28"/>
          <w:szCs w:val="28"/>
        </w:rPr>
      </w:pPr>
      <w:r w:rsidRPr="00F16B17">
        <w:rPr>
          <w:rFonts w:ascii="Arial" w:hAnsi="Arial" w:cs="Arial"/>
          <w:b/>
          <w:sz w:val="28"/>
          <w:szCs w:val="28"/>
        </w:rPr>
        <w:t>Good Administrative Skills, Record Keeping and Data Protection in Mrs Thompson’s Care</w:t>
      </w:r>
    </w:p>
    <w:p w:rsidR="00583B53" w:rsidRPr="00F16B17" w:rsidRDefault="00583B53" w:rsidP="00F16B17">
      <w:pPr>
        <w:spacing w:line="360" w:lineRule="auto"/>
        <w:jc w:val="both"/>
        <w:rPr>
          <w:rFonts w:ascii="Arial" w:hAnsi="Arial" w:cs="Arial"/>
        </w:rPr>
      </w:pPr>
    </w:p>
    <w:p w:rsidR="00A7030A" w:rsidRPr="00F16B17" w:rsidRDefault="00CA49C1" w:rsidP="00F16B17">
      <w:pPr>
        <w:spacing w:line="360" w:lineRule="auto"/>
        <w:jc w:val="both"/>
        <w:rPr>
          <w:rFonts w:ascii="Arial" w:hAnsi="Arial" w:cs="Arial"/>
        </w:rPr>
      </w:pPr>
      <w:r w:rsidRPr="00F16B17">
        <w:rPr>
          <w:rFonts w:ascii="Arial" w:hAnsi="Arial" w:cs="Arial"/>
        </w:rPr>
        <w:t xml:space="preserve">Strong administrative abilities are the unseen cornerstone of secure, person-centred care, and Mrs. Thompson's circumstances are no exception. Timely and accurate documentation guarantees that important information, such as missing medicine, increasing perplexity, or worries about her wearing inappropriate clothing, is readily apparent and addressed when carers turn her over or when experts examine her case. Important information is lost in the absence of regular administrative procedures. In Mrs. Thompson's instance, recording the two days of missed medicine via the official incident procedure produced an auditable trail that prompted the required medication review and notified the larger team. This shows how strong administration facilitates efficient communication between organisations, encourages </w:t>
      </w:r>
      <w:r w:rsidRPr="00F16B17">
        <w:rPr>
          <w:rFonts w:ascii="Arial" w:hAnsi="Arial" w:cs="Arial"/>
        </w:rPr>
        <w:lastRenderedPageBreak/>
        <w:t>continuity of care, and directly empowers Mrs. Thompson by making sure her requirements are appropriately documented and acknowledged rather than disregarded (SCIE, 2026; Care Quality Commission, 2025). The Care Quality Commission (CQC) mandates that providers retain accurate, comprehensive, and thorough records under Regulation 17 of the Health and Social Care Act 2008. This makes administrative accuracy not only a good practice but also a legal and regulatory obligation (Care Quality Commission, 2023).</w:t>
      </w:r>
    </w:p>
    <w:p w:rsidR="00F16B17" w:rsidRPr="00F16B17" w:rsidRDefault="00F16B17" w:rsidP="00F16B17">
      <w:pPr>
        <w:spacing w:line="360" w:lineRule="auto"/>
        <w:jc w:val="both"/>
        <w:rPr>
          <w:rFonts w:ascii="Arial" w:hAnsi="Arial" w:cs="Arial"/>
        </w:rPr>
      </w:pPr>
    </w:p>
    <w:p w:rsidR="00F16B17" w:rsidRPr="00F16B17" w:rsidRDefault="00F16B17" w:rsidP="00F16B17">
      <w:pPr>
        <w:spacing w:line="360" w:lineRule="auto"/>
        <w:jc w:val="both"/>
        <w:rPr>
          <w:rFonts w:ascii="Arial" w:hAnsi="Arial" w:cs="Arial"/>
        </w:rPr>
      </w:pPr>
      <w:r w:rsidRPr="00F16B17">
        <w:rPr>
          <w:rFonts w:ascii="Arial" w:hAnsi="Arial" w:cs="Arial"/>
        </w:rPr>
        <w:t>The Data Protection Act of 2018, which incorporates the UK GDPR principles into day-to-day operations, must also be followed when retaining records. According to legislation.gov.uk (2018), these principles stipulate that personal data must be treated legally, fairly, and openly; gathered exclusively for designated purposes; sufficient and relevant; accurate; retained for as little time as required; and kept safe. For Mrs Thompson, this entails keeping her records safe and striking a balance between the obligation to share information for her safety and her right to confidentiality. It also entails writing clear, factual notes devoid of conjecture and sharing her health and care details only with those who are authorised to receive them (such as her doctor, chemist or care team on a strict need-to-know basis). According to NHS England (2023) and the Information Commissioner's Office (2026), health data is classified as special category data under the Act, necessitating additional precautions. Employees must make sure that any sharing is justified and documented, and that Mrs. Thompson is aware of how her information is used wherever feasible.</w:t>
      </w:r>
    </w:p>
    <w:p w:rsidR="00F16B17" w:rsidRPr="00F16B17" w:rsidRDefault="00F16B17" w:rsidP="00F16B17">
      <w:pPr>
        <w:spacing w:line="360" w:lineRule="auto"/>
        <w:jc w:val="both"/>
        <w:rPr>
          <w:rFonts w:ascii="Arial" w:hAnsi="Arial" w:cs="Arial"/>
        </w:rPr>
      </w:pPr>
      <w:r w:rsidRPr="00F16B17">
        <w:rPr>
          <w:rFonts w:ascii="Arial" w:hAnsi="Arial" w:cs="Arial"/>
        </w:rPr>
        <w:t>These legal obligations are reinforced by pertinent policy frameworks: the NHS Records Management Code of Practice establishes guidelines for the creation, storage, and retention of records in the health and care sectors, while the Caldicott Principles direct professionals to share confidential information in a responsible manner, stressing that the obligation to share information for individual care is just as crucial as the obligation to protect confidentiality (NHS England, 2023; GOV.UK, 2020) Therefore, good administrative practice is person-centred practice. When Mrs Thompson's preferences, routines, and capabilities are meticulously and discreetly documented, professionals are able to customise care for her as an individual, promoting her independence and defending her rights. Maintaining her safety, upholding her dignity, and fulfilling legal and regulatory requirements all depend on each letter being written precisely and securely.</w:t>
      </w:r>
    </w:p>
    <w:p w:rsidR="00F16B17" w:rsidRDefault="00F16B17" w:rsidP="00F16B17">
      <w:pPr>
        <w:spacing w:line="360" w:lineRule="auto"/>
        <w:jc w:val="both"/>
        <w:rPr>
          <w:rFonts w:ascii="Arial" w:hAnsi="Arial" w:cs="Arial"/>
        </w:rPr>
      </w:pPr>
    </w:p>
    <w:p w:rsidR="00F16B17" w:rsidRDefault="00F16B17" w:rsidP="00F16B17">
      <w:pPr>
        <w:spacing w:line="360" w:lineRule="auto"/>
        <w:jc w:val="both"/>
        <w:rPr>
          <w:rFonts w:ascii="Arial" w:hAnsi="Arial" w:cs="Arial"/>
        </w:rPr>
      </w:pPr>
    </w:p>
    <w:p w:rsidR="00F16B17" w:rsidRPr="00F16B17" w:rsidRDefault="00F16B17" w:rsidP="00F16B17">
      <w:pPr>
        <w:spacing w:line="360" w:lineRule="auto"/>
        <w:jc w:val="both"/>
        <w:rPr>
          <w:rFonts w:ascii="Arial" w:hAnsi="Arial" w:cs="Arial"/>
        </w:rPr>
      </w:pPr>
    </w:p>
    <w:p w:rsidR="00F16B17" w:rsidRPr="00F16B17" w:rsidRDefault="00F16B17" w:rsidP="00F16B17">
      <w:pPr>
        <w:spacing w:line="360" w:lineRule="auto"/>
        <w:jc w:val="both"/>
        <w:rPr>
          <w:rFonts w:ascii="Arial" w:hAnsi="Arial" w:cs="Arial"/>
          <w:b/>
          <w:sz w:val="28"/>
          <w:szCs w:val="28"/>
        </w:rPr>
      </w:pPr>
      <w:r w:rsidRPr="00F16B17">
        <w:rPr>
          <w:rFonts w:ascii="Arial" w:hAnsi="Arial" w:cs="Arial"/>
          <w:b/>
          <w:sz w:val="28"/>
          <w:szCs w:val="28"/>
        </w:rPr>
        <w:lastRenderedPageBreak/>
        <w:t>Working Collaboratively in Mrs Thompson’s Care</w:t>
      </w:r>
    </w:p>
    <w:p w:rsidR="00F16B17" w:rsidRPr="00F16B17" w:rsidRDefault="00F16B17" w:rsidP="00F16B17">
      <w:pPr>
        <w:spacing w:line="360" w:lineRule="auto"/>
        <w:jc w:val="both"/>
        <w:rPr>
          <w:rFonts w:ascii="Arial" w:hAnsi="Arial" w:cs="Arial"/>
        </w:rPr>
      </w:pPr>
    </w:p>
    <w:p w:rsidR="00F16B17" w:rsidRPr="00F16B17" w:rsidRDefault="00F16B17" w:rsidP="00F16B17">
      <w:pPr>
        <w:spacing w:line="360" w:lineRule="auto"/>
        <w:jc w:val="both"/>
        <w:rPr>
          <w:rFonts w:ascii="Arial" w:hAnsi="Arial" w:cs="Arial"/>
        </w:rPr>
      </w:pPr>
      <w:r w:rsidRPr="00F16B17">
        <w:rPr>
          <w:rFonts w:ascii="Arial" w:hAnsi="Arial" w:cs="Arial"/>
        </w:rPr>
        <w:t>Maintaining Mrs. Thompson's safety and fostering her freedom depends on the local council, GP, community nurse, and domiciliary care staff working together effectively. The GP manages her medicines and clinical health, the community nurse keeps an eye on her recuperation from pneumonia, care workers attend to her everyday needs, and the council organises broader safeguarding evaluations. No one expert has the whole picture. When these perspectives are shared, care becomes person-centred and comprehensive; when professionals operate alone, hazards like missing dosages or being in cold conditions may go unnoticed until damage happens (Care Quality Commission, 2026; SCIE, 2025). Mrs Thompson is also empowered by collaborative practice: when all partners communicate regularly, she is more likely to get unified counsel, stay involved in decision-making, and have her views honoured rather than disregarded.</w:t>
      </w:r>
    </w:p>
    <w:p w:rsidR="00F16B17" w:rsidRPr="00F16B17" w:rsidRDefault="00F16B17" w:rsidP="00F16B17">
      <w:pPr>
        <w:spacing w:line="360" w:lineRule="auto"/>
        <w:jc w:val="both"/>
        <w:rPr>
          <w:rFonts w:ascii="Arial" w:hAnsi="Arial" w:cs="Arial"/>
        </w:rPr>
      </w:pPr>
      <w:r w:rsidRPr="00F16B17">
        <w:rPr>
          <w:rFonts w:ascii="Arial" w:hAnsi="Arial" w:cs="Arial"/>
        </w:rPr>
        <w:t>Effective teamwork depends on timely, transparent communication and shared documentation. Every professional works from the same correct information thanks to regular team talks, shared care plans, and consistent written records. Confidentiality and data security standards are respected, allowing information to be shared only with those who need to know (NHS England, 2023). The team-around-the-person model is a crucial strategy in which all pertinent specialists work together to create a single care plan with defined roles, common objectives, and designated responsibilities. This upholds the person-centred idea that every decision should be based on Mrs. Thompson's needs rather than organisational limits (NHS Confederation, 2024).</w:t>
      </w:r>
    </w:p>
    <w:p w:rsidR="00F16B17" w:rsidRPr="00F16B17" w:rsidRDefault="00F16B17" w:rsidP="00F16B17">
      <w:pPr>
        <w:spacing w:line="360" w:lineRule="auto"/>
        <w:jc w:val="both"/>
        <w:rPr>
          <w:rFonts w:ascii="Arial" w:hAnsi="Arial" w:cs="Arial"/>
        </w:rPr>
      </w:pPr>
    </w:p>
    <w:p w:rsidR="00A7030A" w:rsidRPr="00F16B17" w:rsidRDefault="00F16B17" w:rsidP="00F16B17">
      <w:pPr>
        <w:spacing w:line="360" w:lineRule="auto"/>
        <w:jc w:val="both"/>
        <w:rPr>
          <w:rFonts w:ascii="Arial" w:hAnsi="Arial" w:cs="Arial"/>
        </w:rPr>
      </w:pPr>
      <w:r w:rsidRPr="00F16B17">
        <w:rPr>
          <w:rFonts w:ascii="Arial" w:hAnsi="Arial" w:cs="Arial"/>
        </w:rPr>
        <w:t>Different agency processes, unclear leadership, delayed communication, and uneven record keeping are common issues that lead to gaps where safety concerns might be overlooked. Clarifying roles and responsibilities at the outset, designating a designated lead professional to oversee updates, utilising shared, auditable records that are accessible to authorised staff, conducting frequent, quick multi-agency reviews, and fostering trust through courteous, open communication rather than assigning blame when things go wrong are some strategies to overcome these. As proof of safe, well-led practice, regulatory organisations like the Care Quality Commission want providers to exhibit efficient partnership functioning, clear escalation channels for complaints, and accurate shared records (Care Quality Commission, 2026). Professionals transform disparate observations into coordinated action, safeguarding Mrs. Thompson's wellness while maintaining her rights, dignity, and freedom, by being transparent, correctly documenting, and appreciating one another's expertise.</w:t>
      </w:r>
    </w:p>
    <w:p w:rsidR="00A7030A" w:rsidRDefault="00A7030A" w:rsidP="00F16B17">
      <w:pPr>
        <w:spacing w:line="360" w:lineRule="auto"/>
        <w:jc w:val="both"/>
        <w:rPr>
          <w:rFonts w:ascii="Arial" w:hAnsi="Arial" w:cs="Arial"/>
          <w:b/>
          <w:sz w:val="28"/>
          <w:szCs w:val="28"/>
        </w:rPr>
      </w:pPr>
      <w:r w:rsidRPr="00F16B17">
        <w:rPr>
          <w:rFonts w:ascii="Arial" w:hAnsi="Arial" w:cs="Arial"/>
          <w:b/>
          <w:sz w:val="28"/>
          <w:szCs w:val="28"/>
        </w:rPr>
        <w:lastRenderedPageBreak/>
        <w:t>Conclusion</w:t>
      </w:r>
    </w:p>
    <w:p w:rsidR="00F16B17" w:rsidRPr="00F16B17" w:rsidRDefault="00F16B17" w:rsidP="00F16B17">
      <w:pPr>
        <w:spacing w:line="360" w:lineRule="auto"/>
        <w:jc w:val="both"/>
        <w:rPr>
          <w:rFonts w:ascii="Arial" w:hAnsi="Arial" w:cs="Arial"/>
          <w:b/>
          <w:sz w:val="28"/>
          <w:szCs w:val="28"/>
        </w:rPr>
      </w:pPr>
    </w:p>
    <w:p w:rsidR="00A7030A" w:rsidRPr="00F16B17" w:rsidRDefault="00A7030A" w:rsidP="00F16B17">
      <w:pPr>
        <w:spacing w:line="360" w:lineRule="auto"/>
        <w:jc w:val="both"/>
        <w:rPr>
          <w:rFonts w:ascii="Arial" w:hAnsi="Arial" w:cs="Arial"/>
        </w:rPr>
      </w:pPr>
      <w:r w:rsidRPr="00F16B17">
        <w:rPr>
          <w:rFonts w:ascii="Arial" w:hAnsi="Arial" w:cs="Arial"/>
        </w:rPr>
        <w:t>In the final analysis, effective multi-agency cooperation turns disparate bits of information into a comprehensive picture of Mrs. Thompson's requirements, transforming individual worries into coordinated action. Professionals defend her safety and uphold her rights by speaking openly, keeping consistent and private records, and cooperating around her choices rather than organisational boundaries. Agreed leadership, common objectives, and respect for one another are necessary to overcome delays, role confusion, and disparate processes. These factors enhance results and lower dangers like missing medicine or being harmed. This is further supported by regulatory requirements, which state that a successful partnership is a fundamental responsibility that upholds Mrs. Thompson's freedom, dignity, and well-being throughout her care (NHS England, 2023; NHS Confederation, 2024).</w:t>
      </w:r>
    </w:p>
    <w:p w:rsidR="00A7030A" w:rsidRPr="00F16B17" w:rsidRDefault="00A7030A" w:rsidP="00F16B17">
      <w:pPr>
        <w:spacing w:line="360" w:lineRule="auto"/>
        <w:jc w:val="both"/>
        <w:rPr>
          <w:rFonts w:ascii="Arial" w:hAnsi="Arial" w:cs="Arial"/>
        </w:rPr>
      </w:pPr>
    </w:p>
    <w:p w:rsidR="00A7030A" w:rsidRDefault="00A7030A"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Default="006A1613" w:rsidP="00F16B17">
      <w:pPr>
        <w:spacing w:line="360" w:lineRule="auto"/>
        <w:jc w:val="both"/>
        <w:rPr>
          <w:rFonts w:ascii="Arial" w:hAnsi="Arial" w:cs="Arial"/>
        </w:rPr>
      </w:pPr>
    </w:p>
    <w:p w:rsidR="006A1613" w:rsidRPr="00F16B17" w:rsidRDefault="006A1613" w:rsidP="00F16B17">
      <w:pPr>
        <w:spacing w:line="360" w:lineRule="auto"/>
        <w:jc w:val="both"/>
        <w:rPr>
          <w:rFonts w:ascii="Arial" w:hAnsi="Arial" w:cs="Arial"/>
        </w:rPr>
      </w:pPr>
    </w:p>
    <w:p w:rsidR="00192FE6" w:rsidRDefault="006A1613" w:rsidP="00F16B17">
      <w:pPr>
        <w:spacing w:line="360" w:lineRule="auto"/>
        <w:jc w:val="both"/>
        <w:rPr>
          <w:rFonts w:ascii="Arial" w:hAnsi="Arial" w:cs="Arial"/>
          <w:b/>
          <w:sz w:val="28"/>
          <w:szCs w:val="28"/>
        </w:rPr>
      </w:pPr>
      <w:r w:rsidRPr="006A1613">
        <w:rPr>
          <w:rFonts w:ascii="Arial" w:hAnsi="Arial" w:cs="Arial"/>
          <w:b/>
          <w:sz w:val="28"/>
          <w:szCs w:val="28"/>
        </w:rPr>
        <w:lastRenderedPageBreak/>
        <w:t>Referances</w:t>
      </w:r>
    </w:p>
    <w:p w:rsidR="006A1613" w:rsidRDefault="006A1613" w:rsidP="00F16B17">
      <w:pPr>
        <w:spacing w:line="360" w:lineRule="auto"/>
        <w:jc w:val="both"/>
        <w:rPr>
          <w:rFonts w:ascii="Arial" w:hAnsi="Arial" w:cs="Arial"/>
          <w:b/>
          <w:sz w:val="28"/>
          <w:szCs w:val="28"/>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Care Quality Commission (2025) </w:t>
      </w:r>
      <w:r w:rsidRPr="006A1613">
        <w:rPr>
          <w:rFonts w:ascii="Arial" w:eastAsia="Times New Roman" w:hAnsi="Arial" w:cs="Arial"/>
          <w:i/>
          <w:iCs/>
          <w:color w:val="000000"/>
          <w:sz w:val="24"/>
          <w:szCs w:val="24"/>
          <w:lang w:eastAsia="en-GB"/>
        </w:rPr>
        <w:t>Regulation 9: Person-centred care</w:t>
      </w:r>
      <w:r w:rsidRPr="006A1613">
        <w:rPr>
          <w:rFonts w:ascii="Arial" w:eastAsia="Times New Roman" w:hAnsi="Arial" w:cs="Arial"/>
          <w:color w:val="000000"/>
          <w:sz w:val="24"/>
          <w:szCs w:val="24"/>
          <w:lang w:eastAsia="en-GB"/>
        </w:rPr>
        <w:t xml:space="preserve">. Available at: </w:t>
      </w:r>
      <w:hyperlink r:id="rId7" w:tgtFrame="_blank" w:tooltip="autolink" w:history="1">
        <w:r w:rsidRPr="006A1613">
          <w:rPr>
            <w:rFonts w:ascii="Arial" w:eastAsia="Times New Roman" w:hAnsi="Arial" w:cs="Arial"/>
            <w:color w:val="0057FF"/>
            <w:sz w:val="24"/>
            <w:szCs w:val="24"/>
            <w:u w:val="single"/>
            <w:lang w:eastAsia="en-GB"/>
          </w:rPr>
          <w:t>https://www.cqc.org.uk/guidance-regulation/providers/regulations-service-providers-and-managers/health-social-care-act/regulation-9</w:t>
        </w:r>
      </w:hyperlink>
      <w:r>
        <w:rPr>
          <w:rFonts w:ascii="Arial" w:eastAsia="Times New Roman" w:hAnsi="Arial" w:cs="Arial"/>
          <w:color w:val="000000"/>
          <w:sz w:val="24"/>
          <w:szCs w:val="24"/>
          <w:lang w:eastAsia="en-GB"/>
        </w:rPr>
        <w:t xml:space="preserve"> (Accessed: 2</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Counselling Tutor (2026) </w:t>
      </w:r>
      <w:r w:rsidRPr="006A1613">
        <w:rPr>
          <w:rFonts w:ascii="Arial" w:eastAsia="Times New Roman" w:hAnsi="Arial" w:cs="Arial"/>
          <w:i/>
          <w:iCs/>
          <w:color w:val="000000"/>
          <w:sz w:val="24"/>
          <w:szCs w:val="24"/>
          <w:lang w:eastAsia="en-GB"/>
        </w:rPr>
        <w:t>Gerard Egan’s SOLER model</w:t>
      </w:r>
      <w:r w:rsidRPr="006A1613">
        <w:rPr>
          <w:rFonts w:ascii="Arial" w:eastAsia="Times New Roman" w:hAnsi="Arial" w:cs="Arial"/>
          <w:color w:val="000000"/>
          <w:sz w:val="24"/>
          <w:szCs w:val="24"/>
          <w:lang w:eastAsia="en-GB"/>
        </w:rPr>
        <w:t xml:space="preserve">. Available at: </w:t>
      </w:r>
      <w:hyperlink r:id="rId8" w:tgtFrame="_blank" w:tooltip="autolink" w:history="1">
        <w:r w:rsidRPr="006A1613">
          <w:rPr>
            <w:rFonts w:ascii="Arial" w:eastAsia="Times New Roman" w:hAnsi="Arial" w:cs="Arial"/>
            <w:color w:val="0057FF"/>
            <w:sz w:val="24"/>
            <w:szCs w:val="24"/>
            <w:u w:val="single"/>
            <w:lang w:eastAsia="en-GB"/>
          </w:rPr>
          <w:t>https://counsellingtutor.com/active-listening-in-counselling-egan-soler-model/</w:t>
        </w:r>
      </w:hyperlink>
      <w:r>
        <w:rPr>
          <w:rFonts w:ascii="Arial" w:eastAsia="Times New Roman" w:hAnsi="Arial" w:cs="Arial"/>
          <w:color w:val="000000"/>
          <w:sz w:val="24"/>
          <w:szCs w:val="24"/>
          <w:lang w:eastAsia="en-GB"/>
        </w:rPr>
        <w:t xml:space="preserve"> (Accessed: 2</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Equality and Human Rights Commission (2018) </w:t>
      </w:r>
      <w:r w:rsidRPr="006A1613">
        <w:rPr>
          <w:rFonts w:ascii="Arial" w:eastAsia="Times New Roman" w:hAnsi="Arial" w:cs="Arial"/>
          <w:i/>
          <w:iCs/>
          <w:color w:val="000000"/>
          <w:sz w:val="24"/>
          <w:szCs w:val="24"/>
          <w:lang w:eastAsia="en-GB"/>
        </w:rPr>
        <w:t>Your rights to equality from healthcare and social care services</w:t>
      </w:r>
      <w:r w:rsidRPr="006A1613">
        <w:rPr>
          <w:rFonts w:ascii="Arial" w:eastAsia="Times New Roman" w:hAnsi="Arial" w:cs="Arial"/>
          <w:color w:val="000000"/>
          <w:sz w:val="24"/>
          <w:szCs w:val="24"/>
          <w:lang w:eastAsia="en-GB"/>
        </w:rPr>
        <w:t xml:space="preserve">. Available at: </w:t>
      </w:r>
      <w:hyperlink r:id="rId9" w:tgtFrame="_blank" w:tooltip="autolink" w:history="1">
        <w:r w:rsidRPr="006A1613">
          <w:rPr>
            <w:rFonts w:ascii="Arial" w:eastAsia="Times New Roman" w:hAnsi="Arial" w:cs="Arial"/>
            <w:color w:val="0057FF"/>
            <w:sz w:val="24"/>
            <w:szCs w:val="24"/>
            <w:u w:val="single"/>
            <w:lang w:eastAsia="en-GB"/>
          </w:rPr>
          <w:t>https://www.equalityhumanrights.com/sites/default/files/your_rights_to_equality_from_healthcare_and_social_care_services.pdf</w:t>
        </w:r>
      </w:hyperlink>
      <w:r>
        <w:rPr>
          <w:rFonts w:ascii="Arial" w:eastAsia="Times New Roman" w:hAnsi="Arial" w:cs="Arial"/>
          <w:color w:val="000000"/>
          <w:sz w:val="24"/>
          <w:szCs w:val="24"/>
          <w:lang w:eastAsia="en-GB"/>
        </w:rPr>
        <w:t xml:space="preserve"> (Accessed: 2</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Health and Social Care Information Centre (2013) </w:t>
      </w:r>
      <w:r w:rsidRPr="006A1613">
        <w:rPr>
          <w:rFonts w:ascii="Arial" w:eastAsia="Times New Roman" w:hAnsi="Arial" w:cs="Arial"/>
          <w:i/>
          <w:iCs/>
          <w:color w:val="000000"/>
          <w:sz w:val="24"/>
          <w:szCs w:val="24"/>
          <w:lang w:eastAsia="en-GB"/>
        </w:rPr>
        <w:t>A guide to confidentiality in health and social care</w:t>
      </w:r>
      <w:r w:rsidRPr="006A1613">
        <w:rPr>
          <w:rFonts w:ascii="Arial" w:eastAsia="Times New Roman" w:hAnsi="Arial" w:cs="Arial"/>
          <w:color w:val="000000"/>
          <w:sz w:val="24"/>
          <w:szCs w:val="24"/>
          <w:lang w:eastAsia="en-GB"/>
        </w:rPr>
        <w:t xml:space="preserve">. Available at: </w:t>
      </w:r>
      <w:hyperlink r:id="rId10" w:tgtFrame="_blank" w:tooltip="autolink" w:history="1">
        <w:r w:rsidRPr="006A1613">
          <w:rPr>
            <w:rFonts w:ascii="Arial" w:eastAsia="Times New Roman" w:hAnsi="Arial" w:cs="Arial"/>
            <w:color w:val="0057FF"/>
            <w:sz w:val="24"/>
            <w:szCs w:val="24"/>
            <w:u w:val="single"/>
            <w:lang w:eastAsia="en-GB"/>
          </w:rPr>
          <w:t>https://webarchive.nationalarchives.gov.uk/ukgwa/20180307212659tf_/http://content.digital.nhs.uk/media/12822/Guide-to-confidentiality-in-health-and-social-care/pdf/HSCIC-guide-to-confidentiality.pdf</w:t>
        </w:r>
      </w:hyperlink>
      <w:r>
        <w:rPr>
          <w:rFonts w:ascii="Arial" w:eastAsia="Times New Roman" w:hAnsi="Arial" w:cs="Arial"/>
          <w:color w:val="000000"/>
          <w:sz w:val="24"/>
          <w:szCs w:val="24"/>
          <w:lang w:eastAsia="en-GB"/>
        </w:rPr>
        <w:t xml:space="preserve"> (Accessed: 8</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NHS England (2023) </w:t>
      </w:r>
      <w:r w:rsidRPr="006A1613">
        <w:rPr>
          <w:rFonts w:ascii="Arial" w:eastAsia="Times New Roman" w:hAnsi="Arial" w:cs="Arial"/>
          <w:i/>
          <w:iCs/>
          <w:color w:val="000000"/>
          <w:sz w:val="24"/>
          <w:szCs w:val="24"/>
          <w:lang w:eastAsia="en-GB"/>
        </w:rPr>
        <w:t>Records Management Code of Practice</w:t>
      </w:r>
      <w:r w:rsidRPr="006A1613">
        <w:rPr>
          <w:rFonts w:ascii="Arial" w:eastAsia="Times New Roman" w:hAnsi="Arial" w:cs="Arial"/>
          <w:color w:val="000000"/>
          <w:sz w:val="24"/>
          <w:szCs w:val="24"/>
          <w:lang w:eastAsia="en-GB"/>
        </w:rPr>
        <w:t xml:space="preserve">. Available at: </w:t>
      </w:r>
      <w:hyperlink r:id="rId11" w:tgtFrame="_blank" w:tooltip="autolink" w:history="1">
        <w:r w:rsidRPr="006A1613">
          <w:rPr>
            <w:rFonts w:ascii="Arial" w:eastAsia="Times New Roman" w:hAnsi="Arial" w:cs="Arial"/>
            <w:color w:val="0057FF"/>
            <w:sz w:val="24"/>
            <w:szCs w:val="24"/>
            <w:u w:val="single"/>
            <w:lang w:eastAsia="en-GB"/>
          </w:rPr>
          <w:t>https://transform.england.nhs.uk/media/documents/NHSE_Records_Management_CoP_2023_V5.pdf</w:t>
        </w:r>
      </w:hyperlink>
      <w:r w:rsidRPr="006A1613">
        <w:rPr>
          <w:rFonts w:ascii="Arial" w:eastAsia="Times New Roman" w:hAnsi="Arial" w:cs="Arial"/>
          <w:color w:val="000000"/>
          <w:sz w:val="24"/>
          <w:szCs w:val="24"/>
          <w:lang w:eastAsia="en-GB"/>
        </w:rPr>
        <w:t xml:space="preserve"> (Accessed: </w:t>
      </w:r>
      <w:r>
        <w:rPr>
          <w:rFonts w:ascii="Arial" w:eastAsia="Times New Roman" w:hAnsi="Arial" w:cs="Arial"/>
          <w:color w:val="000000"/>
          <w:sz w:val="24"/>
          <w:szCs w:val="24"/>
          <w:lang w:eastAsia="en-GB"/>
        </w:rPr>
        <w:t>8</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The Equality Act 2010 (c. 15) London: The Stationery Office. Available at: </w:t>
      </w:r>
      <w:hyperlink r:id="rId12" w:tgtFrame="_blank" w:tooltip="autolink" w:history="1">
        <w:r w:rsidRPr="006A1613">
          <w:rPr>
            <w:rFonts w:ascii="Arial" w:eastAsia="Times New Roman" w:hAnsi="Arial" w:cs="Arial"/>
            <w:color w:val="0057FF"/>
            <w:sz w:val="24"/>
            <w:szCs w:val="24"/>
            <w:u w:val="single"/>
            <w:lang w:eastAsia="en-GB"/>
          </w:rPr>
          <w:t>https://www.legislation.gov.uk/ukpga/2010/15/enacted/data.pdf</w:t>
        </w:r>
      </w:hyperlink>
      <w:r>
        <w:rPr>
          <w:rFonts w:ascii="Arial" w:eastAsia="Times New Roman" w:hAnsi="Arial" w:cs="Arial"/>
          <w:color w:val="000000"/>
          <w:sz w:val="24"/>
          <w:szCs w:val="24"/>
          <w:lang w:eastAsia="en-GB"/>
        </w:rPr>
        <w:t xml:space="preserve"> (Accessed: 8 </w:t>
      </w:r>
      <w:r w:rsidRPr="006A1613">
        <w:rPr>
          <w:rFonts w:ascii="Arial" w:eastAsia="Times New Roman" w:hAnsi="Arial" w:cs="Arial"/>
          <w:color w:val="000000"/>
          <w:sz w:val="24"/>
          <w:szCs w:val="24"/>
          <w:lang w:eastAsia="en-GB"/>
        </w:rPr>
        <w:t>August 2026).</w:t>
      </w:r>
    </w:p>
    <w:p w:rsid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Care Quality Commission (2023) </w:t>
      </w:r>
      <w:r w:rsidRPr="006A1613">
        <w:rPr>
          <w:rFonts w:ascii="Arial" w:eastAsia="Times New Roman" w:hAnsi="Arial" w:cs="Arial"/>
          <w:i/>
          <w:iCs/>
          <w:color w:val="000000"/>
          <w:sz w:val="24"/>
          <w:szCs w:val="24"/>
          <w:lang w:eastAsia="en-GB"/>
        </w:rPr>
        <w:t>Regulation 17: Requirements relating to records</w:t>
      </w:r>
      <w:r w:rsidRPr="006A1613">
        <w:rPr>
          <w:rFonts w:ascii="Arial" w:eastAsia="Times New Roman" w:hAnsi="Arial" w:cs="Arial"/>
          <w:color w:val="000000"/>
          <w:sz w:val="24"/>
          <w:szCs w:val="24"/>
          <w:lang w:eastAsia="en-GB"/>
        </w:rPr>
        <w:t xml:space="preserve">. Available at: </w:t>
      </w:r>
      <w:hyperlink r:id="rId13" w:tgtFrame="_blank" w:tooltip="autolink" w:history="1">
        <w:r w:rsidRPr="006A1613">
          <w:rPr>
            <w:rFonts w:ascii="Arial" w:eastAsia="Times New Roman" w:hAnsi="Arial" w:cs="Arial"/>
            <w:color w:val="0057FF"/>
            <w:sz w:val="24"/>
            <w:szCs w:val="24"/>
            <w:u w:val="single"/>
            <w:lang w:eastAsia="en-GB"/>
          </w:rPr>
          <w:t>https://www.cqc.org.uk/guidance-providers/regulations-enforcement/regulation-17-requirements-relating-records</w:t>
        </w:r>
      </w:hyperlink>
      <w:r>
        <w:rPr>
          <w:rFonts w:ascii="Arial" w:eastAsia="Times New Roman" w:hAnsi="Arial" w:cs="Arial"/>
          <w:color w:val="000000"/>
          <w:sz w:val="24"/>
          <w:szCs w:val="24"/>
          <w:lang w:eastAsia="en-GB"/>
        </w:rPr>
        <w:t xml:space="preserve"> (Accessed: 8</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i/>
          <w:iCs/>
          <w:color w:val="000000"/>
          <w:sz w:val="24"/>
          <w:szCs w:val="24"/>
          <w:lang w:eastAsia="en-GB"/>
        </w:rPr>
        <w:t>Caldicott principles</w:t>
      </w:r>
      <w:r w:rsidRPr="006A1613">
        <w:rPr>
          <w:rFonts w:ascii="Arial" w:eastAsia="Times New Roman" w:hAnsi="Arial" w:cs="Arial"/>
          <w:color w:val="000000"/>
          <w:sz w:val="24"/>
          <w:szCs w:val="24"/>
          <w:lang w:eastAsia="en-GB"/>
        </w:rPr>
        <w:t xml:space="preserve">. Available at: </w:t>
      </w:r>
      <w:hyperlink r:id="rId14" w:tgtFrame="_blank" w:tooltip="autolink" w:history="1">
        <w:r w:rsidRPr="006A1613">
          <w:rPr>
            <w:rFonts w:ascii="Arial" w:eastAsia="Times New Roman" w:hAnsi="Arial" w:cs="Arial"/>
            <w:color w:val="0057FF"/>
            <w:sz w:val="24"/>
            <w:szCs w:val="24"/>
            <w:u w:val="single"/>
            <w:lang w:eastAsia="en-GB"/>
          </w:rPr>
          <w:t>https://www.gov.uk/government/publications/caldicott-principles/caldicott-principles</w:t>
        </w:r>
      </w:hyperlink>
      <w:r>
        <w:rPr>
          <w:rFonts w:ascii="Arial" w:eastAsia="Times New Roman" w:hAnsi="Arial" w:cs="Arial"/>
          <w:color w:val="000000"/>
          <w:sz w:val="24"/>
          <w:szCs w:val="24"/>
          <w:lang w:eastAsia="en-GB"/>
        </w:rPr>
        <w:t xml:space="preserve"> (Accessed: 10</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Information Commissioner’s Office (2026) </w:t>
      </w:r>
      <w:r w:rsidRPr="006A1613">
        <w:rPr>
          <w:rFonts w:ascii="Arial" w:eastAsia="Times New Roman" w:hAnsi="Arial" w:cs="Arial"/>
          <w:i/>
          <w:iCs/>
          <w:color w:val="000000"/>
          <w:sz w:val="24"/>
          <w:szCs w:val="24"/>
          <w:lang w:eastAsia="en-GB"/>
        </w:rPr>
        <w:t>Guide to the UK GDPR and Data Protection Act 2018</w:t>
      </w:r>
      <w:r w:rsidRPr="006A1613">
        <w:rPr>
          <w:rFonts w:ascii="Arial" w:eastAsia="Times New Roman" w:hAnsi="Arial" w:cs="Arial"/>
          <w:color w:val="000000"/>
          <w:sz w:val="24"/>
          <w:szCs w:val="24"/>
          <w:lang w:eastAsia="en-GB"/>
        </w:rPr>
        <w:t xml:space="preserve">. Available at: </w:t>
      </w:r>
      <w:hyperlink r:id="rId15" w:tgtFrame="_blank" w:tooltip="autolink" w:history="1">
        <w:r w:rsidRPr="006A1613">
          <w:rPr>
            <w:rFonts w:ascii="Arial" w:eastAsia="Times New Roman" w:hAnsi="Arial" w:cs="Arial"/>
            <w:color w:val="0057FF"/>
            <w:sz w:val="24"/>
            <w:szCs w:val="24"/>
            <w:u w:val="single"/>
            <w:lang w:eastAsia="en-GB"/>
          </w:rPr>
          <w:t>https://ico.org.uk/for-organisations/guide-to-data-protection/guide-to-the-uk-gdpr/</w:t>
        </w:r>
      </w:hyperlink>
      <w:r>
        <w:rPr>
          <w:rFonts w:ascii="Arial" w:eastAsia="Times New Roman" w:hAnsi="Arial" w:cs="Arial"/>
          <w:color w:val="000000"/>
          <w:sz w:val="24"/>
          <w:szCs w:val="24"/>
          <w:lang w:eastAsia="en-GB"/>
        </w:rPr>
        <w:t xml:space="preserve"> (Accessed: 1</w:t>
      </w:r>
      <w:r w:rsidRPr="006A1613">
        <w:rPr>
          <w:rFonts w:ascii="Arial" w:eastAsia="Times New Roman" w:hAnsi="Arial" w:cs="Arial"/>
          <w:color w:val="000000"/>
          <w:sz w:val="24"/>
          <w:szCs w:val="24"/>
          <w:lang w:eastAsia="en-GB"/>
        </w:rPr>
        <w:t>0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i/>
          <w:iCs/>
          <w:color w:val="000000"/>
          <w:sz w:val="24"/>
          <w:szCs w:val="24"/>
          <w:lang w:eastAsia="en-GB"/>
        </w:rPr>
        <w:t>Data Protection Act 2018 (c. 12)</w:t>
      </w:r>
      <w:r w:rsidRPr="006A1613">
        <w:rPr>
          <w:rFonts w:ascii="Arial" w:eastAsia="Times New Roman" w:hAnsi="Arial" w:cs="Arial"/>
          <w:color w:val="000000"/>
          <w:sz w:val="24"/>
          <w:szCs w:val="24"/>
          <w:lang w:eastAsia="en-GB"/>
        </w:rPr>
        <w:t xml:space="preserve">. London: The Stationery Office. Available at: </w:t>
      </w:r>
      <w:hyperlink r:id="rId16" w:tgtFrame="_blank" w:tooltip="autolink" w:history="1">
        <w:r w:rsidRPr="006A1613">
          <w:rPr>
            <w:rFonts w:ascii="Arial" w:eastAsia="Times New Roman" w:hAnsi="Arial" w:cs="Arial"/>
            <w:color w:val="0057FF"/>
            <w:sz w:val="24"/>
            <w:szCs w:val="24"/>
            <w:u w:val="single"/>
            <w:lang w:eastAsia="en-GB"/>
          </w:rPr>
          <w:t>https://www.legislation.gov.uk/ukpga/2018/12/contents</w:t>
        </w:r>
      </w:hyperlink>
      <w:r w:rsidRPr="006A1613">
        <w:rPr>
          <w:rFonts w:ascii="Arial" w:eastAsia="Times New Roman" w:hAnsi="Arial" w:cs="Arial"/>
          <w:color w:val="000000"/>
          <w:sz w:val="24"/>
          <w:szCs w:val="24"/>
          <w:lang w:eastAsia="en-GB"/>
        </w:rPr>
        <w:t xml:space="preserve"> (Accessed: </w:t>
      </w:r>
      <w:r>
        <w:rPr>
          <w:rFonts w:ascii="Arial" w:eastAsia="Times New Roman" w:hAnsi="Arial" w:cs="Arial"/>
          <w:color w:val="000000"/>
          <w:sz w:val="24"/>
          <w:szCs w:val="24"/>
          <w:lang w:eastAsia="en-GB"/>
        </w:rPr>
        <w:t>10</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NHS England (2023) </w:t>
      </w:r>
      <w:r w:rsidRPr="006A1613">
        <w:rPr>
          <w:rFonts w:ascii="Arial" w:eastAsia="Times New Roman" w:hAnsi="Arial" w:cs="Arial"/>
          <w:i/>
          <w:iCs/>
          <w:color w:val="000000"/>
          <w:sz w:val="24"/>
          <w:szCs w:val="24"/>
          <w:lang w:eastAsia="en-GB"/>
        </w:rPr>
        <w:t>Records Management Code of Practice</w:t>
      </w:r>
      <w:r w:rsidRPr="006A1613">
        <w:rPr>
          <w:rFonts w:ascii="Arial" w:eastAsia="Times New Roman" w:hAnsi="Arial" w:cs="Arial"/>
          <w:color w:val="000000"/>
          <w:sz w:val="24"/>
          <w:szCs w:val="24"/>
          <w:lang w:eastAsia="en-GB"/>
        </w:rPr>
        <w:t xml:space="preserve">. Available at: </w:t>
      </w:r>
      <w:hyperlink r:id="rId17" w:tgtFrame="_blank" w:tooltip="autolink" w:history="1">
        <w:r w:rsidRPr="006A1613">
          <w:rPr>
            <w:rFonts w:ascii="Arial" w:eastAsia="Times New Roman" w:hAnsi="Arial" w:cs="Arial"/>
            <w:color w:val="0057FF"/>
            <w:sz w:val="24"/>
            <w:szCs w:val="24"/>
            <w:u w:val="single"/>
            <w:lang w:eastAsia="en-GB"/>
          </w:rPr>
          <w:t>https://transform.england.nhs.uk/media/documents/NHSE_Records_Management_CoP_2023_V5.pdf</w:t>
        </w:r>
      </w:hyperlink>
      <w:r>
        <w:rPr>
          <w:rFonts w:ascii="Arial" w:eastAsia="Times New Roman" w:hAnsi="Arial" w:cs="Arial"/>
          <w:color w:val="000000"/>
          <w:sz w:val="24"/>
          <w:szCs w:val="24"/>
          <w:lang w:eastAsia="en-GB"/>
        </w:rPr>
        <w:t xml:space="preserve"> (Accessed: 15</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SCIE (2026) </w:t>
      </w:r>
      <w:r w:rsidRPr="006A1613">
        <w:rPr>
          <w:rFonts w:ascii="Arial" w:eastAsia="Times New Roman" w:hAnsi="Arial" w:cs="Arial"/>
          <w:i/>
          <w:iCs/>
          <w:color w:val="000000"/>
          <w:sz w:val="24"/>
          <w:szCs w:val="24"/>
          <w:lang w:eastAsia="en-GB"/>
        </w:rPr>
        <w:t>Social work recording — good practice guidance</w:t>
      </w:r>
      <w:r w:rsidRPr="006A1613">
        <w:rPr>
          <w:rFonts w:ascii="Arial" w:eastAsia="Times New Roman" w:hAnsi="Arial" w:cs="Arial"/>
          <w:color w:val="000000"/>
          <w:sz w:val="24"/>
          <w:szCs w:val="24"/>
          <w:lang w:eastAsia="en-GB"/>
        </w:rPr>
        <w:t xml:space="preserve">. Available at: </w:t>
      </w:r>
      <w:hyperlink r:id="rId18" w:tgtFrame="_blank" w:tooltip="autolink" w:history="1">
        <w:r w:rsidRPr="006A1613">
          <w:rPr>
            <w:rFonts w:ascii="Arial" w:eastAsia="Times New Roman" w:hAnsi="Arial" w:cs="Arial"/>
            <w:color w:val="0057FF"/>
            <w:sz w:val="24"/>
            <w:szCs w:val="24"/>
            <w:u w:val="single"/>
            <w:lang w:eastAsia="en-GB"/>
          </w:rPr>
          <w:t>https://www.scie.org.uk/social-work-recording</w:t>
        </w:r>
      </w:hyperlink>
      <w:r>
        <w:rPr>
          <w:rFonts w:ascii="Arial" w:eastAsia="Times New Roman" w:hAnsi="Arial" w:cs="Arial"/>
          <w:color w:val="000000"/>
          <w:sz w:val="24"/>
          <w:szCs w:val="24"/>
          <w:lang w:eastAsia="en-GB"/>
        </w:rPr>
        <w:t xml:space="preserve"> (Accessed: 15</w:t>
      </w:r>
      <w:r w:rsidRPr="006A1613">
        <w:rPr>
          <w:rFonts w:ascii="Arial" w:eastAsia="Times New Roman" w:hAnsi="Arial" w:cs="Arial"/>
          <w:color w:val="000000"/>
          <w:sz w:val="24"/>
          <w:szCs w:val="24"/>
          <w:lang w:eastAsia="en-GB"/>
        </w:rPr>
        <w:t xml:space="preserve"> August 2026).</w:t>
      </w:r>
    </w:p>
    <w:p w:rsid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Care Quality Commission (2026) </w:t>
      </w:r>
      <w:r w:rsidRPr="006A1613">
        <w:rPr>
          <w:rFonts w:ascii="Arial" w:eastAsia="Times New Roman" w:hAnsi="Arial" w:cs="Arial"/>
          <w:i/>
          <w:iCs/>
          <w:color w:val="000000"/>
          <w:sz w:val="24"/>
          <w:szCs w:val="24"/>
          <w:lang w:eastAsia="en-GB"/>
        </w:rPr>
        <w:t>Partnership working and multi-agency coordination — guidance for providers</w:t>
      </w:r>
      <w:r w:rsidRPr="006A1613">
        <w:rPr>
          <w:rFonts w:ascii="Arial" w:eastAsia="Times New Roman" w:hAnsi="Arial" w:cs="Arial"/>
          <w:color w:val="000000"/>
          <w:sz w:val="24"/>
          <w:szCs w:val="24"/>
          <w:lang w:eastAsia="en-GB"/>
        </w:rPr>
        <w:t xml:space="preserve">. Available at: </w:t>
      </w:r>
      <w:hyperlink r:id="rId19" w:tgtFrame="_blank" w:tooltip="autolink" w:history="1">
        <w:r w:rsidRPr="006A1613">
          <w:rPr>
            <w:rFonts w:ascii="Arial" w:eastAsia="Times New Roman" w:hAnsi="Arial" w:cs="Arial"/>
            <w:color w:val="0057FF"/>
            <w:sz w:val="24"/>
            <w:szCs w:val="24"/>
            <w:u w:val="single"/>
            <w:lang w:eastAsia="en-GB"/>
          </w:rPr>
          <w:t>https://www.cqc.org.uk/guidance-regulation/local-authorities/assessment-framework/theme2/partnerships</w:t>
        </w:r>
      </w:hyperlink>
      <w:r>
        <w:rPr>
          <w:rFonts w:ascii="Arial" w:eastAsia="Times New Roman" w:hAnsi="Arial" w:cs="Arial"/>
          <w:color w:val="000000"/>
          <w:sz w:val="24"/>
          <w:szCs w:val="24"/>
          <w:lang w:eastAsia="en-GB"/>
        </w:rPr>
        <w:t xml:space="preserve"> (Accessed: 15</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NHS Confederation (2024) </w:t>
      </w:r>
      <w:r w:rsidRPr="006A1613">
        <w:rPr>
          <w:rFonts w:ascii="Arial" w:eastAsia="Times New Roman" w:hAnsi="Arial" w:cs="Arial"/>
          <w:i/>
          <w:iCs/>
          <w:color w:val="000000"/>
          <w:sz w:val="24"/>
          <w:szCs w:val="24"/>
          <w:lang w:eastAsia="en-GB"/>
        </w:rPr>
        <w:t>Team around the person: integrated care guidance</w:t>
      </w:r>
      <w:r w:rsidRPr="006A1613">
        <w:rPr>
          <w:rFonts w:ascii="Arial" w:eastAsia="Times New Roman" w:hAnsi="Arial" w:cs="Arial"/>
          <w:color w:val="000000"/>
          <w:sz w:val="24"/>
          <w:szCs w:val="24"/>
          <w:lang w:eastAsia="en-GB"/>
        </w:rPr>
        <w:t xml:space="preserve">. Available at: </w:t>
      </w:r>
      <w:hyperlink r:id="rId20" w:tgtFrame="_blank" w:tooltip="autolink" w:history="1">
        <w:r w:rsidRPr="006A1613">
          <w:rPr>
            <w:rFonts w:ascii="Arial" w:eastAsia="Times New Roman" w:hAnsi="Arial" w:cs="Arial"/>
            <w:color w:val="0057FF"/>
            <w:sz w:val="24"/>
            <w:szCs w:val="24"/>
            <w:u w:val="single"/>
            <w:lang w:eastAsia="en-GB"/>
          </w:rPr>
          <w:t>https://www.nhsconfed.org/topics/integrated-care</w:t>
        </w:r>
      </w:hyperlink>
      <w:r>
        <w:rPr>
          <w:rFonts w:ascii="Arial" w:eastAsia="Times New Roman" w:hAnsi="Arial" w:cs="Arial"/>
          <w:color w:val="000000"/>
          <w:sz w:val="24"/>
          <w:szCs w:val="24"/>
          <w:lang w:eastAsia="en-GB"/>
        </w:rPr>
        <w:t xml:space="preserve"> (Accessed: 15</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P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SCIE (2025) </w:t>
      </w:r>
      <w:r w:rsidRPr="006A1613">
        <w:rPr>
          <w:rFonts w:ascii="Arial" w:eastAsia="Times New Roman" w:hAnsi="Arial" w:cs="Arial"/>
          <w:i/>
          <w:iCs/>
          <w:color w:val="000000"/>
          <w:sz w:val="24"/>
          <w:szCs w:val="24"/>
          <w:lang w:eastAsia="en-GB"/>
        </w:rPr>
        <w:t>Multi-agency working and partnership working</w:t>
      </w:r>
      <w:r w:rsidRPr="006A1613">
        <w:rPr>
          <w:rFonts w:ascii="Arial" w:eastAsia="Times New Roman" w:hAnsi="Arial" w:cs="Arial"/>
          <w:color w:val="000000"/>
          <w:sz w:val="24"/>
          <w:szCs w:val="24"/>
          <w:lang w:eastAsia="en-GB"/>
        </w:rPr>
        <w:t xml:space="preserve">. Available at: </w:t>
      </w:r>
      <w:hyperlink r:id="rId21" w:tgtFrame="_blank" w:tooltip="autolink" w:history="1">
        <w:r w:rsidRPr="006A1613">
          <w:rPr>
            <w:rFonts w:ascii="Arial" w:eastAsia="Times New Roman" w:hAnsi="Arial" w:cs="Arial"/>
            <w:color w:val="0057FF"/>
            <w:sz w:val="24"/>
            <w:szCs w:val="24"/>
            <w:u w:val="single"/>
            <w:lang w:eastAsia="en-GB"/>
          </w:rPr>
          <w:t>https://www.scie.org.uk/effective-practice/multi-agency-working</w:t>
        </w:r>
      </w:hyperlink>
      <w:r>
        <w:rPr>
          <w:rFonts w:ascii="Arial" w:eastAsia="Times New Roman" w:hAnsi="Arial" w:cs="Arial"/>
          <w:color w:val="000000"/>
          <w:sz w:val="24"/>
          <w:szCs w:val="24"/>
          <w:lang w:eastAsia="en-GB"/>
        </w:rPr>
        <w:t xml:space="preserve"> (Accessed: 15 </w:t>
      </w:r>
      <w:r w:rsidRPr="006A1613">
        <w:rPr>
          <w:rFonts w:ascii="Arial" w:eastAsia="Times New Roman" w:hAnsi="Arial" w:cs="Arial"/>
          <w:color w:val="000000"/>
          <w:sz w:val="24"/>
          <w:szCs w:val="24"/>
          <w:lang w:eastAsia="en-GB"/>
        </w:rPr>
        <w:t>August 2026).</w:t>
      </w:r>
    </w:p>
    <w:p w:rsidR="006A1613" w:rsidRDefault="006A1613" w:rsidP="006A1613">
      <w:pPr>
        <w:spacing w:after="0" w:line="360" w:lineRule="atLeast"/>
        <w:rPr>
          <w:rFonts w:ascii="Arial" w:eastAsia="Times New Roman" w:hAnsi="Arial" w:cs="Arial"/>
          <w:color w:val="000000"/>
          <w:sz w:val="24"/>
          <w:szCs w:val="24"/>
          <w:lang w:eastAsia="en-GB"/>
        </w:rPr>
      </w:pPr>
    </w:p>
    <w:p w:rsidR="006A1613" w:rsidRDefault="006A1613" w:rsidP="006A1613">
      <w:pPr>
        <w:spacing w:after="0" w:line="360" w:lineRule="atLeast"/>
        <w:rPr>
          <w:rFonts w:ascii="Arial" w:eastAsia="Times New Roman" w:hAnsi="Arial" w:cs="Arial"/>
          <w:color w:val="000000"/>
          <w:sz w:val="24"/>
          <w:szCs w:val="24"/>
          <w:lang w:eastAsia="en-GB"/>
        </w:rPr>
      </w:pPr>
      <w:r w:rsidRPr="006A1613">
        <w:rPr>
          <w:rFonts w:ascii="Arial" w:eastAsia="Times New Roman" w:hAnsi="Arial" w:cs="Arial"/>
          <w:color w:val="000000"/>
          <w:sz w:val="24"/>
          <w:szCs w:val="24"/>
          <w:lang w:eastAsia="en-GB"/>
        </w:rPr>
        <w:t xml:space="preserve">Care Quality Commission (2026) </w:t>
      </w:r>
      <w:r w:rsidRPr="006A1613">
        <w:rPr>
          <w:rFonts w:ascii="Arial" w:eastAsia="Times New Roman" w:hAnsi="Arial" w:cs="Arial"/>
          <w:i/>
          <w:iCs/>
          <w:color w:val="000000"/>
          <w:sz w:val="24"/>
          <w:szCs w:val="24"/>
          <w:lang w:eastAsia="en-GB"/>
        </w:rPr>
        <w:t>Partnership working and multi-agency coordination</w:t>
      </w:r>
      <w:r w:rsidRPr="006A1613">
        <w:rPr>
          <w:rFonts w:ascii="Arial" w:eastAsia="Times New Roman" w:hAnsi="Arial" w:cs="Arial"/>
          <w:color w:val="000000"/>
          <w:sz w:val="24"/>
          <w:szCs w:val="24"/>
          <w:lang w:eastAsia="en-GB"/>
        </w:rPr>
        <w:t xml:space="preserve">. Available at: </w:t>
      </w:r>
      <w:hyperlink r:id="rId22" w:tgtFrame="_blank" w:tooltip="autolink" w:history="1">
        <w:r w:rsidRPr="006A1613">
          <w:rPr>
            <w:rFonts w:ascii="Arial" w:eastAsia="Times New Roman" w:hAnsi="Arial" w:cs="Arial"/>
            <w:color w:val="0057FF"/>
            <w:sz w:val="24"/>
            <w:szCs w:val="24"/>
            <w:u w:val="single"/>
            <w:lang w:eastAsia="en-GB"/>
          </w:rPr>
          <w:t>https://www.cqc.org.uk/guidance-regulation/local-authorities/assessment-framework/theme2/partnerships</w:t>
        </w:r>
      </w:hyperlink>
      <w:r>
        <w:rPr>
          <w:rFonts w:ascii="Arial" w:eastAsia="Times New Roman" w:hAnsi="Arial" w:cs="Arial"/>
          <w:color w:val="000000"/>
          <w:sz w:val="24"/>
          <w:szCs w:val="24"/>
          <w:lang w:eastAsia="en-GB"/>
        </w:rPr>
        <w:t xml:space="preserve"> (Accessed: 15</w:t>
      </w:r>
      <w:r w:rsidRPr="006A1613">
        <w:rPr>
          <w:rFonts w:ascii="Arial" w:eastAsia="Times New Roman" w:hAnsi="Arial" w:cs="Arial"/>
          <w:color w:val="000000"/>
          <w:sz w:val="24"/>
          <w:szCs w:val="24"/>
          <w:lang w:eastAsia="en-GB"/>
        </w:rPr>
        <w:t xml:space="preserve"> August 2026).</w:t>
      </w:r>
    </w:p>
    <w:p w:rsidR="006A1613" w:rsidRPr="006A1613" w:rsidRDefault="006A1613" w:rsidP="006A1613">
      <w:pPr>
        <w:spacing w:after="0" w:line="360" w:lineRule="atLeast"/>
        <w:rPr>
          <w:rFonts w:ascii="Arial" w:eastAsia="Times New Roman" w:hAnsi="Arial" w:cs="Arial"/>
          <w:color w:val="000000"/>
          <w:sz w:val="24"/>
          <w:szCs w:val="24"/>
          <w:lang w:eastAsia="en-GB"/>
        </w:rPr>
      </w:pPr>
    </w:p>
    <w:p w:rsidR="006A1613" w:rsidRPr="006A1613" w:rsidRDefault="006A1613" w:rsidP="006A1613">
      <w:pPr>
        <w:spacing w:after="0" w:line="360" w:lineRule="atLeast"/>
        <w:rPr>
          <w:rFonts w:ascii="Arial" w:hAnsi="Arial" w:cs="Arial"/>
          <w:b/>
          <w:sz w:val="28"/>
          <w:szCs w:val="28"/>
        </w:rPr>
      </w:pPr>
    </w:p>
    <w:sectPr w:rsidR="006A1613" w:rsidRPr="006A1613" w:rsidSect="006A1613">
      <w:footerReference w:type="default" r:id="rId23"/>
      <w:pgSz w:w="11906" w:h="16838"/>
      <w:pgMar w:top="1304" w:right="1440" w:bottom="1304" w:left="1440" w:header="709" w:footer="709"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2E5" w:rsidRDefault="002A32E5" w:rsidP="006A1613">
      <w:pPr>
        <w:spacing w:after="0" w:line="240" w:lineRule="auto"/>
      </w:pPr>
      <w:r>
        <w:separator/>
      </w:r>
    </w:p>
  </w:endnote>
  <w:endnote w:type="continuationSeparator" w:id="0">
    <w:p w:rsidR="002A32E5" w:rsidRDefault="002A32E5" w:rsidP="006A1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43004"/>
      <w:docPartObj>
        <w:docPartGallery w:val="Page Numbers (Bottom of Page)"/>
        <w:docPartUnique/>
      </w:docPartObj>
    </w:sdtPr>
    <w:sdtEndPr>
      <w:rPr>
        <w:noProof/>
      </w:rPr>
    </w:sdtEndPr>
    <w:sdtContent>
      <w:p w:rsidR="006A1613" w:rsidRDefault="006A1613">
        <w:pPr>
          <w:pStyle w:val="Footer"/>
          <w:jc w:val="right"/>
        </w:pPr>
        <w:r>
          <w:fldChar w:fldCharType="begin"/>
        </w:r>
        <w:r>
          <w:instrText xml:space="preserve"> PAGE   \* MERGEFORMAT </w:instrText>
        </w:r>
        <w:r>
          <w:fldChar w:fldCharType="separate"/>
        </w:r>
        <w:r w:rsidR="00DE0655">
          <w:rPr>
            <w:noProof/>
          </w:rPr>
          <w:t>6</w:t>
        </w:r>
        <w:r>
          <w:rPr>
            <w:noProof/>
          </w:rPr>
          <w:fldChar w:fldCharType="end"/>
        </w:r>
      </w:p>
    </w:sdtContent>
  </w:sdt>
  <w:p w:rsidR="006A1613" w:rsidRDefault="006A16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2E5" w:rsidRDefault="002A32E5" w:rsidP="006A1613">
      <w:pPr>
        <w:spacing w:after="0" w:line="240" w:lineRule="auto"/>
      </w:pPr>
      <w:r>
        <w:separator/>
      </w:r>
    </w:p>
  </w:footnote>
  <w:footnote w:type="continuationSeparator" w:id="0">
    <w:p w:rsidR="002A32E5" w:rsidRDefault="002A32E5" w:rsidP="006A16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FE6"/>
    <w:rsid w:val="00192FE6"/>
    <w:rsid w:val="002A32E5"/>
    <w:rsid w:val="00583B53"/>
    <w:rsid w:val="006A1613"/>
    <w:rsid w:val="00A7030A"/>
    <w:rsid w:val="00CA49C1"/>
    <w:rsid w:val="00DE0655"/>
    <w:rsid w:val="00E175A6"/>
    <w:rsid w:val="00F16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988F25-17E0-440C-8056-6E62FAE74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F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613"/>
  </w:style>
  <w:style w:type="paragraph" w:styleId="Footer">
    <w:name w:val="footer"/>
    <w:basedOn w:val="Normal"/>
    <w:link w:val="FooterChar"/>
    <w:uiPriority w:val="99"/>
    <w:unhideWhenUsed/>
    <w:rsid w:val="006A1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6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522070">
      <w:bodyDiv w:val="1"/>
      <w:marLeft w:val="0"/>
      <w:marRight w:val="0"/>
      <w:marTop w:val="0"/>
      <w:marBottom w:val="0"/>
      <w:divBdr>
        <w:top w:val="none" w:sz="0" w:space="0" w:color="auto"/>
        <w:left w:val="none" w:sz="0" w:space="0" w:color="auto"/>
        <w:bottom w:val="none" w:sz="0" w:space="0" w:color="auto"/>
        <w:right w:val="none" w:sz="0" w:space="0" w:color="auto"/>
      </w:divBdr>
      <w:divsChild>
        <w:div w:id="931402786">
          <w:marLeft w:val="0"/>
          <w:marRight w:val="0"/>
          <w:marTop w:val="0"/>
          <w:marBottom w:val="0"/>
          <w:divBdr>
            <w:top w:val="none" w:sz="0" w:space="0" w:color="auto"/>
            <w:left w:val="none" w:sz="0" w:space="0" w:color="auto"/>
            <w:bottom w:val="none" w:sz="0" w:space="0" w:color="auto"/>
            <w:right w:val="none" w:sz="0" w:space="0" w:color="auto"/>
          </w:divBdr>
          <w:divsChild>
            <w:div w:id="1272514095">
              <w:blockQuote w:val="1"/>
              <w:marLeft w:val="0"/>
              <w:marRight w:val="0"/>
              <w:marTop w:val="0"/>
              <w:marBottom w:val="0"/>
              <w:divBdr>
                <w:top w:val="none" w:sz="0" w:space="0" w:color="auto"/>
                <w:left w:val="none" w:sz="0" w:space="0" w:color="auto"/>
                <w:bottom w:val="none" w:sz="0" w:space="0" w:color="auto"/>
                <w:right w:val="none" w:sz="0" w:space="0" w:color="auto"/>
              </w:divBdr>
              <w:divsChild>
                <w:div w:id="349839461">
                  <w:marLeft w:val="0"/>
                  <w:marRight w:val="0"/>
                  <w:marTop w:val="0"/>
                  <w:marBottom w:val="0"/>
                  <w:divBdr>
                    <w:top w:val="none" w:sz="0" w:space="0" w:color="auto"/>
                    <w:left w:val="none" w:sz="0" w:space="0" w:color="auto"/>
                    <w:bottom w:val="none" w:sz="0" w:space="0" w:color="auto"/>
                    <w:right w:val="none" w:sz="0" w:space="0" w:color="auto"/>
                  </w:divBdr>
                  <w:divsChild>
                    <w:div w:id="11191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39502">
          <w:marLeft w:val="0"/>
          <w:marRight w:val="0"/>
          <w:marTop w:val="0"/>
          <w:marBottom w:val="0"/>
          <w:divBdr>
            <w:top w:val="none" w:sz="0" w:space="0" w:color="auto"/>
            <w:left w:val="none" w:sz="0" w:space="0" w:color="auto"/>
            <w:bottom w:val="none" w:sz="0" w:space="0" w:color="auto"/>
            <w:right w:val="none" w:sz="0" w:space="0" w:color="auto"/>
          </w:divBdr>
          <w:divsChild>
            <w:div w:id="953707478">
              <w:blockQuote w:val="1"/>
              <w:marLeft w:val="0"/>
              <w:marRight w:val="0"/>
              <w:marTop w:val="0"/>
              <w:marBottom w:val="0"/>
              <w:divBdr>
                <w:top w:val="none" w:sz="0" w:space="0" w:color="auto"/>
                <w:left w:val="none" w:sz="0" w:space="0" w:color="auto"/>
                <w:bottom w:val="none" w:sz="0" w:space="0" w:color="auto"/>
                <w:right w:val="none" w:sz="0" w:space="0" w:color="auto"/>
              </w:divBdr>
              <w:divsChild>
                <w:div w:id="655375092">
                  <w:marLeft w:val="0"/>
                  <w:marRight w:val="0"/>
                  <w:marTop w:val="0"/>
                  <w:marBottom w:val="0"/>
                  <w:divBdr>
                    <w:top w:val="none" w:sz="0" w:space="0" w:color="auto"/>
                    <w:left w:val="none" w:sz="0" w:space="0" w:color="auto"/>
                    <w:bottom w:val="none" w:sz="0" w:space="0" w:color="auto"/>
                    <w:right w:val="none" w:sz="0" w:space="0" w:color="auto"/>
                  </w:divBdr>
                  <w:divsChild>
                    <w:div w:id="183730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4486023">
          <w:marLeft w:val="0"/>
          <w:marRight w:val="0"/>
          <w:marTop w:val="0"/>
          <w:marBottom w:val="0"/>
          <w:divBdr>
            <w:top w:val="none" w:sz="0" w:space="0" w:color="auto"/>
            <w:left w:val="none" w:sz="0" w:space="0" w:color="auto"/>
            <w:bottom w:val="none" w:sz="0" w:space="0" w:color="auto"/>
            <w:right w:val="none" w:sz="0" w:space="0" w:color="auto"/>
          </w:divBdr>
          <w:divsChild>
            <w:div w:id="820076321">
              <w:blockQuote w:val="1"/>
              <w:marLeft w:val="0"/>
              <w:marRight w:val="0"/>
              <w:marTop w:val="0"/>
              <w:marBottom w:val="0"/>
              <w:divBdr>
                <w:top w:val="none" w:sz="0" w:space="0" w:color="auto"/>
                <w:left w:val="none" w:sz="0" w:space="0" w:color="auto"/>
                <w:bottom w:val="none" w:sz="0" w:space="0" w:color="auto"/>
                <w:right w:val="none" w:sz="0" w:space="0" w:color="auto"/>
              </w:divBdr>
              <w:divsChild>
                <w:div w:id="409235271">
                  <w:marLeft w:val="0"/>
                  <w:marRight w:val="0"/>
                  <w:marTop w:val="0"/>
                  <w:marBottom w:val="0"/>
                  <w:divBdr>
                    <w:top w:val="none" w:sz="0" w:space="0" w:color="auto"/>
                    <w:left w:val="none" w:sz="0" w:space="0" w:color="auto"/>
                    <w:bottom w:val="none" w:sz="0" w:space="0" w:color="auto"/>
                    <w:right w:val="none" w:sz="0" w:space="0" w:color="auto"/>
                  </w:divBdr>
                  <w:divsChild>
                    <w:div w:id="130577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159371">
          <w:marLeft w:val="0"/>
          <w:marRight w:val="0"/>
          <w:marTop w:val="0"/>
          <w:marBottom w:val="0"/>
          <w:divBdr>
            <w:top w:val="none" w:sz="0" w:space="0" w:color="auto"/>
            <w:left w:val="none" w:sz="0" w:space="0" w:color="auto"/>
            <w:bottom w:val="none" w:sz="0" w:space="0" w:color="auto"/>
            <w:right w:val="none" w:sz="0" w:space="0" w:color="auto"/>
          </w:divBdr>
          <w:divsChild>
            <w:div w:id="755588588">
              <w:blockQuote w:val="1"/>
              <w:marLeft w:val="0"/>
              <w:marRight w:val="0"/>
              <w:marTop w:val="0"/>
              <w:marBottom w:val="0"/>
              <w:divBdr>
                <w:top w:val="none" w:sz="0" w:space="0" w:color="auto"/>
                <w:left w:val="none" w:sz="0" w:space="0" w:color="auto"/>
                <w:bottom w:val="none" w:sz="0" w:space="0" w:color="auto"/>
                <w:right w:val="none" w:sz="0" w:space="0" w:color="auto"/>
              </w:divBdr>
              <w:divsChild>
                <w:div w:id="1338657174">
                  <w:marLeft w:val="0"/>
                  <w:marRight w:val="0"/>
                  <w:marTop w:val="0"/>
                  <w:marBottom w:val="0"/>
                  <w:divBdr>
                    <w:top w:val="none" w:sz="0" w:space="0" w:color="auto"/>
                    <w:left w:val="none" w:sz="0" w:space="0" w:color="auto"/>
                    <w:bottom w:val="none" w:sz="0" w:space="0" w:color="auto"/>
                    <w:right w:val="none" w:sz="0" w:space="0" w:color="auto"/>
                  </w:divBdr>
                  <w:divsChild>
                    <w:div w:id="181941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00075">
          <w:marLeft w:val="0"/>
          <w:marRight w:val="0"/>
          <w:marTop w:val="0"/>
          <w:marBottom w:val="0"/>
          <w:divBdr>
            <w:top w:val="none" w:sz="0" w:space="0" w:color="auto"/>
            <w:left w:val="none" w:sz="0" w:space="0" w:color="auto"/>
            <w:bottom w:val="none" w:sz="0" w:space="0" w:color="auto"/>
            <w:right w:val="none" w:sz="0" w:space="0" w:color="auto"/>
          </w:divBdr>
          <w:divsChild>
            <w:div w:id="757867911">
              <w:blockQuote w:val="1"/>
              <w:marLeft w:val="0"/>
              <w:marRight w:val="0"/>
              <w:marTop w:val="0"/>
              <w:marBottom w:val="0"/>
              <w:divBdr>
                <w:top w:val="none" w:sz="0" w:space="0" w:color="auto"/>
                <w:left w:val="none" w:sz="0" w:space="0" w:color="auto"/>
                <w:bottom w:val="none" w:sz="0" w:space="0" w:color="auto"/>
                <w:right w:val="none" w:sz="0" w:space="0" w:color="auto"/>
              </w:divBdr>
              <w:divsChild>
                <w:div w:id="133062183">
                  <w:marLeft w:val="0"/>
                  <w:marRight w:val="0"/>
                  <w:marTop w:val="0"/>
                  <w:marBottom w:val="0"/>
                  <w:divBdr>
                    <w:top w:val="none" w:sz="0" w:space="0" w:color="auto"/>
                    <w:left w:val="none" w:sz="0" w:space="0" w:color="auto"/>
                    <w:bottom w:val="none" w:sz="0" w:space="0" w:color="auto"/>
                    <w:right w:val="none" w:sz="0" w:space="0" w:color="auto"/>
                  </w:divBdr>
                  <w:divsChild>
                    <w:div w:id="13376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013460">
          <w:marLeft w:val="0"/>
          <w:marRight w:val="0"/>
          <w:marTop w:val="0"/>
          <w:marBottom w:val="0"/>
          <w:divBdr>
            <w:top w:val="none" w:sz="0" w:space="0" w:color="auto"/>
            <w:left w:val="none" w:sz="0" w:space="0" w:color="auto"/>
            <w:bottom w:val="none" w:sz="0" w:space="0" w:color="auto"/>
            <w:right w:val="none" w:sz="0" w:space="0" w:color="auto"/>
          </w:divBdr>
          <w:divsChild>
            <w:div w:id="2083327907">
              <w:blockQuote w:val="1"/>
              <w:marLeft w:val="0"/>
              <w:marRight w:val="0"/>
              <w:marTop w:val="0"/>
              <w:marBottom w:val="0"/>
              <w:divBdr>
                <w:top w:val="none" w:sz="0" w:space="0" w:color="auto"/>
                <w:left w:val="none" w:sz="0" w:space="0" w:color="auto"/>
                <w:bottom w:val="none" w:sz="0" w:space="0" w:color="auto"/>
                <w:right w:val="none" w:sz="0" w:space="0" w:color="auto"/>
              </w:divBdr>
              <w:divsChild>
                <w:div w:id="643584262">
                  <w:marLeft w:val="0"/>
                  <w:marRight w:val="0"/>
                  <w:marTop w:val="0"/>
                  <w:marBottom w:val="0"/>
                  <w:divBdr>
                    <w:top w:val="none" w:sz="0" w:space="0" w:color="auto"/>
                    <w:left w:val="none" w:sz="0" w:space="0" w:color="auto"/>
                    <w:bottom w:val="none" w:sz="0" w:space="0" w:color="auto"/>
                    <w:right w:val="none" w:sz="0" w:space="0" w:color="auto"/>
                  </w:divBdr>
                  <w:divsChild>
                    <w:div w:id="8049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873080">
      <w:bodyDiv w:val="1"/>
      <w:marLeft w:val="0"/>
      <w:marRight w:val="0"/>
      <w:marTop w:val="0"/>
      <w:marBottom w:val="0"/>
      <w:divBdr>
        <w:top w:val="none" w:sz="0" w:space="0" w:color="auto"/>
        <w:left w:val="none" w:sz="0" w:space="0" w:color="auto"/>
        <w:bottom w:val="none" w:sz="0" w:space="0" w:color="auto"/>
        <w:right w:val="none" w:sz="0" w:space="0" w:color="auto"/>
      </w:divBdr>
      <w:divsChild>
        <w:div w:id="247931431">
          <w:marLeft w:val="0"/>
          <w:marRight w:val="0"/>
          <w:marTop w:val="0"/>
          <w:marBottom w:val="0"/>
          <w:divBdr>
            <w:top w:val="none" w:sz="0" w:space="0" w:color="auto"/>
            <w:left w:val="none" w:sz="0" w:space="0" w:color="auto"/>
            <w:bottom w:val="none" w:sz="0" w:space="0" w:color="auto"/>
            <w:right w:val="none" w:sz="0" w:space="0" w:color="auto"/>
          </w:divBdr>
          <w:divsChild>
            <w:div w:id="65037192">
              <w:blockQuote w:val="1"/>
              <w:marLeft w:val="0"/>
              <w:marRight w:val="0"/>
              <w:marTop w:val="0"/>
              <w:marBottom w:val="0"/>
              <w:divBdr>
                <w:top w:val="none" w:sz="0" w:space="0" w:color="auto"/>
                <w:left w:val="none" w:sz="0" w:space="0" w:color="auto"/>
                <w:bottom w:val="none" w:sz="0" w:space="0" w:color="auto"/>
                <w:right w:val="none" w:sz="0" w:space="0" w:color="auto"/>
              </w:divBdr>
              <w:divsChild>
                <w:div w:id="1701125796">
                  <w:marLeft w:val="0"/>
                  <w:marRight w:val="0"/>
                  <w:marTop w:val="0"/>
                  <w:marBottom w:val="0"/>
                  <w:divBdr>
                    <w:top w:val="none" w:sz="0" w:space="0" w:color="auto"/>
                    <w:left w:val="none" w:sz="0" w:space="0" w:color="auto"/>
                    <w:bottom w:val="none" w:sz="0" w:space="0" w:color="auto"/>
                    <w:right w:val="none" w:sz="0" w:space="0" w:color="auto"/>
                  </w:divBdr>
                  <w:divsChild>
                    <w:div w:id="194965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261381">
          <w:marLeft w:val="0"/>
          <w:marRight w:val="0"/>
          <w:marTop w:val="0"/>
          <w:marBottom w:val="0"/>
          <w:divBdr>
            <w:top w:val="none" w:sz="0" w:space="0" w:color="auto"/>
            <w:left w:val="none" w:sz="0" w:space="0" w:color="auto"/>
            <w:bottom w:val="none" w:sz="0" w:space="0" w:color="auto"/>
            <w:right w:val="none" w:sz="0" w:space="0" w:color="auto"/>
          </w:divBdr>
          <w:divsChild>
            <w:div w:id="44911537">
              <w:blockQuote w:val="1"/>
              <w:marLeft w:val="0"/>
              <w:marRight w:val="0"/>
              <w:marTop w:val="0"/>
              <w:marBottom w:val="0"/>
              <w:divBdr>
                <w:top w:val="none" w:sz="0" w:space="0" w:color="auto"/>
                <w:left w:val="none" w:sz="0" w:space="0" w:color="auto"/>
                <w:bottom w:val="none" w:sz="0" w:space="0" w:color="auto"/>
                <w:right w:val="none" w:sz="0" w:space="0" w:color="auto"/>
              </w:divBdr>
              <w:divsChild>
                <w:div w:id="1454057124">
                  <w:marLeft w:val="0"/>
                  <w:marRight w:val="0"/>
                  <w:marTop w:val="0"/>
                  <w:marBottom w:val="0"/>
                  <w:divBdr>
                    <w:top w:val="none" w:sz="0" w:space="0" w:color="auto"/>
                    <w:left w:val="none" w:sz="0" w:space="0" w:color="auto"/>
                    <w:bottom w:val="none" w:sz="0" w:space="0" w:color="auto"/>
                    <w:right w:val="none" w:sz="0" w:space="0" w:color="auto"/>
                  </w:divBdr>
                  <w:divsChild>
                    <w:div w:id="13698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51680">
          <w:marLeft w:val="0"/>
          <w:marRight w:val="0"/>
          <w:marTop w:val="0"/>
          <w:marBottom w:val="0"/>
          <w:divBdr>
            <w:top w:val="none" w:sz="0" w:space="0" w:color="auto"/>
            <w:left w:val="none" w:sz="0" w:space="0" w:color="auto"/>
            <w:bottom w:val="none" w:sz="0" w:space="0" w:color="auto"/>
            <w:right w:val="none" w:sz="0" w:space="0" w:color="auto"/>
          </w:divBdr>
          <w:divsChild>
            <w:div w:id="809175822">
              <w:blockQuote w:val="1"/>
              <w:marLeft w:val="0"/>
              <w:marRight w:val="0"/>
              <w:marTop w:val="0"/>
              <w:marBottom w:val="0"/>
              <w:divBdr>
                <w:top w:val="none" w:sz="0" w:space="0" w:color="auto"/>
                <w:left w:val="none" w:sz="0" w:space="0" w:color="auto"/>
                <w:bottom w:val="none" w:sz="0" w:space="0" w:color="auto"/>
                <w:right w:val="none" w:sz="0" w:space="0" w:color="auto"/>
              </w:divBdr>
              <w:divsChild>
                <w:div w:id="631986063">
                  <w:marLeft w:val="0"/>
                  <w:marRight w:val="0"/>
                  <w:marTop w:val="0"/>
                  <w:marBottom w:val="0"/>
                  <w:divBdr>
                    <w:top w:val="none" w:sz="0" w:space="0" w:color="auto"/>
                    <w:left w:val="none" w:sz="0" w:space="0" w:color="auto"/>
                    <w:bottom w:val="none" w:sz="0" w:space="0" w:color="auto"/>
                    <w:right w:val="none" w:sz="0" w:space="0" w:color="auto"/>
                  </w:divBdr>
                  <w:divsChild>
                    <w:div w:id="19591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34005">
          <w:marLeft w:val="0"/>
          <w:marRight w:val="0"/>
          <w:marTop w:val="0"/>
          <w:marBottom w:val="0"/>
          <w:divBdr>
            <w:top w:val="none" w:sz="0" w:space="0" w:color="auto"/>
            <w:left w:val="none" w:sz="0" w:space="0" w:color="auto"/>
            <w:bottom w:val="none" w:sz="0" w:space="0" w:color="auto"/>
            <w:right w:val="none" w:sz="0" w:space="0" w:color="auto"/>
          </w:divBdr>
          <w:divsChild>
            <w:div w:id="360283762">
              <w:blockQuote w:val="1"/>
              <w:marLeft w:val="0"/>
              <w:marRight w:val="0"/>
              <w:marTop w:val="0"/>
              <w:marBottom w:val="0"/>
              <w:divBdr>
                <w:top w:val="none" w:sz="0" w:space="0" w:color="auto"/>
                <w:left w:val="none" w:sz="0" w:space="0" w:color="auto"/>
                <w:bottom w:val="none" w:sz="0" w:space="0" w:color="auto"/>
                <w:right w:val="none" w:sz="0" w:space="0" w:color="auto"/>
              </w:divBdr>
              <w:divsChild>
                <w:div w:id="1464617086">
                  <w:marLeft w:val="0"/>
                  <w:marRight w:val="0"/>
                  <w:marTop w:val="0"/>
                  <w:marBottom w:val="0"/>
                  <w:divBdr>
                    <w:top w:val="none" w:sz="0" w:space="0" w:color="auto"/>
                    <w:left w:val="none" w:sz="0" w:space="0" w:color="auto"/>
                    <w:bottom w:val="none" w:sz="0" w:space="0" w:color="auto"/>
                    <w:right w:val="none" w:sz="0" w:space="0" w:color="auto"/>
                  </w:divBdr>
                  <w:divsChild>
                    <w:div w:id="86386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034558">
      <w:bodyDiv w:val="1"/>
      <w:marLeft w:val="0"/>
      <w:marRight w:val="0"/>
      <w:marTop w:val="0"/>
      <w:marBottom w:val="0"/>
      <w:divBdr>
        <w:top w:val="none" w:sz="0" w:space="0" w:color="auto"/>
        <w:left w:val="none" w:sz="0" w:space="0" w:color="auto"/>
        <w:bottom w:val="none" w:sz="0" w:space="0" w:color="auto"/>
        <w:right w:val="none" w:sz="0" w:space="0" w:color="auto"/>
      </w:divBdr>
      <w:divsChild>
        <w:div w:id="1982491127">
          <w:marLeft w:val="0"/>
          <w:marRight w:val="0"/>
          <w:marTop w:val="0"/>
          <w:marBottom w:val="0"/>
          <w:divBdr>
            <w:top w:val="none" w:sz="0" w:space="0" w:color="auto"/>
            <w:left w:val="none" w:sz="0" w:space="0" w:color="auto"/>
            <w:bottom w:val="none" w:sz="0" w:space="0" w:color="auto"/>
            <w:right w:val="none" w:sz="0" w:space="0" w:color="auto"/>
          </w:divBdr>
          <w:divsChild>
            <w:div w:id="1511795438">
              <w:blockQuote w:val="1"/>
              <w:marLeft w:val="0"/>
              <w:marRight w:val="0"/>
              <w:marTop w:val="0"/>
              <w:marBottom w:val="0"/>
              <w:divBdr>
                <w:top w:val="none" w:sz="0" w:space="0" w:color="auto"/>
                <w:left w:val="none" w:sz="0" w:space="0" w:color="auto"/>
                <w:bottom w:val="none" w:sz="0" w:space="0" w:color="auto"/>
                <w:right w:val="none" w:sz="0" w:space="0" w:color="auto"/>
              </w:divBdr>
              <w:divsChild>
                <w:div w:id="1410495805">
                  <w:marLeft w:val="0"/>
                  <w:marRight w:val="0"/>
                  <w:marTop w:val="0"/>
                  <w:marBottom w:val="0"/>
                  <w:divBdr>
                    <w:top w:val="none" w:sz="0" w:space="0" w:color="auto"/>
                    <w:left w:val="none" w:sz="0" w:space="0" w:color="auto"/>
                    <w:bottom w:val="none" w:sz="0" w:space="0" w:color="auto"/>
                    <w:right w:val="none" w:sz="0" w:space="0" w:color="auto"/>
                  </w:divBdr>
                  <w:divsChild>
                    <w:div w:id="19921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597520">
          <w:marLeft w:val="0"/>
          <w:marRight w:val="0"/>
          <w:marTop w:val="0"/>
          <w:marBottom w:val="0"/>
          <w:divBdr>
            <w:top w:val="none" w:sz="0" w:space="0" w:color="auto"/>
            <w:left w:val="none" w:sz="0" w:space="0" w:color="auto"/>
            <w:bottom w:val="none" w:sz="0" w:space="0" w:color="auto"/>
            <w:right w:val="none" w:sz="0" w:space="0" w:color="auto"/>
          </w:divBdr>
          <w:divsChild>
            <w:div w:id="1335841142">
              <w:blockQuote w:val="1"/>
              <w:marLeft w:val="0"/>
              <w:marRight w:val="0"/>
              <w:marTop w:val="0"/>
              <w:marBottom w:val="0"/>
              <w:divBdr>
                <w:top w:val="none" w:sz="0" w:space="0" w:color="auto"/>
                <w:left w:val="none" w:sz="0" w:space="0" w:color="auto"/>
                <w:bottom w:val="none" w:sz="0" w:space="0" w:color="auto"/>
                <w:right w:val="none" w:sz="0" w:space="0" w:color="auto"/>
              </w:divBdr>
              <w:divsChild>
                <w:div w:id="357243854">
                  <w:marLeft w:val="0"/>
                  <w:marRight w:val="0"/>
                  <w:marTop w:val="0"/>
                  <w:marBottom w:val="0"/>
                  <w:divBdr>
                    <w:top w:val="none" w:sz="0" w:space="0" w:color="auto"/>
                    <w:left w:val="none" w:sz="0" w:space="0" w:color="auto"/>
                    <w:bottom w:val="none" w:sz="0" w:space="0" w:color="auto"/>
                    <w:right w:val="none" w:sz="0" w:space="0" w:color="auto"/>
                  </w:divBdr>
                  <w:divsChild>
                    <w:div w:id="141959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971626">
          <w:marLeft w:val="0"/>
          <w:marRight w:val="0"/>
          <w:marTop w:val="0"/>
          <w:marBottom w:val="0"/>
          <w:divBdr>
            <w:top w:val="none" w:sz="0" w:space="0" w:color="auto"/>
            <w:left w:val="none" w:sz="0" w:space="0" w:color="auto"/>
            <w:bottom w:val="none" w:sz="0" w:space="0" w:color="auto"/>
            <w:right w:val="none" w:sz="0" w:space="0" w:color="auto"/>
          </w:divBdr>
          <w:divsChild>
            <w:div w:id="959067043">
              <w:blockQuote w:val="1"/>
              <w:marLeft w:val="0"/>
              <w:marRight w:val="0"/>
              <w:marTop w:val="0"/>
              <w:marBottom w:val="0"/>
              <w:divBdr>
                <w:top w:val="none" w:sz="0" w:space="0" w:color="auto"/>
                <w:left w:val="none" w:sz="0" w:space="0" w:color="auto"/>
                <w:bottom w:val="none" w:sz="0" w:space="0" w:color="auto"/>
                <w:right w:val="none" w:sz="0" w:space="0" w:color="auto"/>
              </w:divBdr>
              <w:divsChild>
                <w:div w:id="1957447486">
                  <w:marLeft w:val="0"/>
                  <w:marRight w:val="0"/>
                  <w:marTop w:val="0"/>
                  <w:marBottom w:val="0"/>
                  <w:divBdr>
                    <w:top w:val="none" w:sz="0" w:space="0" w:color="auto"/>
                    <w:left w:val="none" w:sz="0" w:space="0" w:color="auto"/>
                    <w:bottom w:val="none" w:sz="0" w:space="0" w:color="auto"/>
                    <w:right w:val="none" w:sz="0" w:space="0" w:color="auto"/>
                  </w:divBdr>
                  <w:divsChild>
                    <w:div w:id="133414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109830">
          <w:marLeft w:val="0"/>
          <w:marRight w:val="0"/>
          <w:marTop w:val="0"/>
          <w:marBottom w:val="0"/>
          <w:divBdr>
            <w:top w:val="none" w:sz="0" w:space="0" w:color="auto"/>
            <w:left w:val="none" w:sz="0" w:space="0" w:color="auto"/>
            <w:bottom w:val="none" w:sz="0" w:space="0" w:color="auto"/>
            <w:right w:val="none" w:sz="0" w:space="0" w:color="auto"/>
          </w:divBdr>
          <w:divsChild>
            <w:div w:id="860751704">
              <w:blockQuote w:val="1"/>
              <w:marLeft w:val="0"/>
              <w:marRight w:val="0"/>
              <w:marTop w:val="0"/>
              <w:marBottom w:val="0"/>
              <w:divBdr>
                <w:top w:val="none" w:sz="0" w:space="0" w:color="auto"/>
                <w:left w:val="none" w:sz="0" w:space="0" w:color="auto"/>
                <w:bottom w:val="none" w:sz="0" w:space="0" w:color="auto"/>
                <w:right w:val="none" w:sz="0" w:space="0" w:color="auto"/>
              </w:divBdr>
              <w:divsChild>
                <w:div w:id="1590119637">
                  <w:marLeft w:val="0"/>
                  <w:marRight w:val="0"/>
                  <w:marTop w:val="0"/>
                  <w:marBottom w:val="0"/>
                  <w:divBdr>
                    <w:top w:val="none" w:sz="0" w:space="0" w:color="auto"/>
                    <w:left w:val="none" w:sz="0" w:space="0" w:color="auto"/>
                    <w:bottom w:val="none" w:sz="0" w:space="0" w:color="auto"/>
                    <w:right w:val="none" w:sz="0" w:space="0" w:color="auto"/>
                  </w:divBdr>
                  <w:divsChild>
                    <w:div w:id="136940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710991">
      <w:bodyDiv w:val="1"/>
      <w:marLeft w:val="0"/>
      <w:marRight w:val="0"/>
      <w:marTop w:val="0"/>
      <w:marBottom w:val="0"/>
      <w:divBdr>
        <w:top w:val="none" w:sz="0" w:space="0" w:color="auto"/>
        <w:left w:val="none" w:sz="0" w:space="0" w:color="auto"/>
        <w:bottom w:val="none" w:sz="0" w:space="0" w:color="auto"/>
        <w:right w:val="none" w:sz="0" w:space="0" w:color="auto"/>
      </w:divBdr>
      <w:divsChild>
        <w:div w:id="2024549184">
          <w:marLeft w:val="0"/>
          <w:marRight w:val="0"/>
          <w:marTop w:val="0"/>
          <w:marBottom w:val="0"/>
          <w:divBdr>
            <w:top w:val="none" w:sz="0" w:space="0" w:color="auto"/>
            <w:left w:val="none" w:sz="0" w:space="0" w:color="auto"/>
            <w:bottom w:val="none" w:sz="0" w:space="0" w:color="auto"/>
            <w:right w:val="none" w:sz="0" w:space="0" w:color="auto"/>
          </w:divBdr>
          <w:divsChild>
            <w:div w:id="531302941">
              <w:blockQuote w:val="1"/>
              <w:marLeft w:val="0"/>
              <w:marRight w:val="0"/>
              <w:marTop w:val="0"/>
              <w:marBottom w:val="0"/>
              <w:divBdr>
                <w:top w:val="none" w:sz="0" w:space="0" w:color="auto"/>
                <w:left w:val="none" w:sz="0" w:space="0" w:color="auto"/>
                <w:bottom w:val="none" w:sz="0" w:space="0" w:color="auto"/>
                <w:right w:val="none" w:sz="0" w:space="0" w:color="auto"/>
              </w:divBdr>
              <w:divsChild>
                <w:div w:id="1242904884">
                  <w:marLeft w:val="0"/>
                  <w:marRight w:val="0"/>
                  <w:marTop w:val="0"/>
                  <w:marBottom w:val="0"/>
                  <w:divBdr>
                    <w:top w:val="none" w:sz="0" w:space="0" w:color="auto"/>
                    <w:left w:val="none" w:sz="0" w:space="0" w:color="auto"/>
                    <w:bottom w:val="none" w:sz="0" w:space="0" w:color="auto"/>
                    <w:right w:val="none" w:sz="0" w:space="0" w:color="auto"/>
                  </w:divBdr>
                  <w:divsChild>
                    <w:div w:id="154698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932681">
          <w:marLeft w:val="0"/>
          <w:marRight w:val="0"/>
          <w:marTop w:val="0"/>
          <w:marBottom w:val="0"/>
          <w:divBdr>
            <w:top w:val="none" w:sz="0" w:space="0" w:color="auto"/>
            <w:left w:val="none" w:sz="0" w:space="0" w:color="auto"/>
            <w:bottom w:val="none" w:sz="0" w:space="0" w:color="auto"/>
            <w:right w:val="none" w:sz="0" w:space="0" w:color="auto"/>
          </w:divBdr>
          <w:divsChild>
            <w:div w:id="1016154992">
              <w:blockQuote w:val="1"/>
              <w:marLeft w:val="0"/>
              <w:marRight w:val="0"/>
              <w:marTop w:val="0"/>
              <w:marBottom w:val="0"/>
              <w:divBdr>
                <w:top w:val="none" w:sz="0" w:space="0" w:color="auto"/>
                <w:left w:val="none" w:sz="0" w:space="0" w:color="auto"/>
                <w:bottom w:val="none" w:sz="0" w:space="0" w:color="auto"/>
                <w:right w:val="none" w:sz="0" w:space="0" w:color="auto"/>
              </w:divBdr>
              <w:divsChild>
                <w:div w:id="1318800851">
                  <w:marLeft w:val="0"/>
                  <w:marRight w:val="0"/>
                  <w:marTop w:val="0"/>
                  <w:marBottom w:val="0"/>
                  <w:divBdr>
                    <w:top w:val="none" w:sz="0" w:space="0" w:color="auto"/>
                    <w:left w:val="none" w:sz="0" w:space="0" w:color="auto"/>
                    <w:bottom w:val="none" w:sz="0" w:space="0" w:color="auto"/>
                    <w:right w:val="none" w:sz="0" w:space="0" w:color="auto"/>
                  </w:divBdr>
                  <w:divsChild>
                    <w:div w:id="10862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459594">
          <w:marLeft w:val="0"/>
          <w:marRight w:val="0"/>
          <w:marTop w:val="0"/>
          <w:marBottom w:val="0"/>
          <w:divBdr>
            <w:top w:val="none" w:sz="0" w:space="0" w:color="auto"/>
            <w:left w:val="none" w:sz="0" w:space="0" w:color="auto"/>
            <w:bottom w:val="none" w:sz="0" w:space="0" w:color="auto"/>
            <w:right w:val="none" w:sz="0" w:space="0" w:color="auto"/>
          </w:divBdr>
          <w:divsChild>
            <w:div w:id="1119563897">
              <w:blockQuote w:val="1"/>
              <w:marLeft w:val="0"/>
              <w:marRight w:val="0"/>
              <w:marTop w:val="0"/>
              <w:marBottom w:val="0"/>
              <w:divBdr>
                <w:top w:val="none" w:sz="0" w:space="0" w:color="auto"/>
                <w:left w:val="none" w:sz="0" w:space="0" w:color="auto"/>
                <w:bottom w:val="none" w:sz="0" w:space="0" w:color="auto"/>
                <w:right w:val="none" w:sz="0" w:space="0" w:color="auto"/>
              </w:divBdr>
              <w:divsChild>
                <w:div w:id="734470758">
                  <w:marLeft w:val="0"/>
                  <w:marRight w:val="0"/>
                  <w:marTop w:val="0"/>
                  <w:marBottom w:val="0"/>
                  <w:divBdr>
                    <w:top w:val="none" w:sz="0" w:space="0" w:color="auto"/>
                    <w:left w:val="none" w:sz="0" w:space="0" w:color="auto"/>
                    <w:bottom w:val="none" w:sz="0" w:space="0" w:color="auto"/>
                    <w:right w:val="none" w:sz="0" w:space="0" w:color="auto"/>
                  </w:divBdr>
                  <w:divsChild>
                    <w:div w:id="192826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2901">
          <w:marLeft w:val="0"/>
          <w:marRight w:val="0"/>
          <w:marTop w:val="0"/>
          <w:marBottom w:val="0"/>
          <w:divBdr>
            <w:top w:val="none" w:sz="0" w:space="0" w:color="auto"/>
            <w:left w:val="none" w:sz="0" w:space="0" w:color="auto"/>
            <w:bottom w:val="none" w:sz="0" w:space="0" w:color="auto"/>
            <w:right w:val="none" w:sz="0" w:space="0" w:color="auto"/>
          </w:divBdr>
          <w:divsChild>
            <w:div w:id="1420715025">
              <w:blockQuote w:val="1"/>
              <w:marLeft w:val="0"/>
              <w:marRight w:val="0"/>
              <w:marTop w:val="0"/>
              <w:marBottom w:val="0"/>
              <w:divBdr>
                <w:top w:val="none" w:sz="0" w:space="0" w:color="auto"/>
                <w:left w:val="none" w:sz="0" w:space="0" w:color="auto"/>
                <w:bottom w:val="none" w:sz="0" w:space="0" w:color="auto"/>
                <w:right w:val="none" w:sz="0" w:space="0" w:color="auto"/>
              </w:divBdr>
              <w:divsChild>
                <w:div w:id="1962109104">
                  <w:marLeft w:val="0"/>
                  <w:marRight w:val="0"/>
                  <w:marTop w:val="0"/>
                  <w:marBottom w:val="0"/>
                  <w:divBdr>
                    <w:top w:val="none" w:sz="0" w:space="0" w:color="auto"/>
                    <w:left w:val="none" w:sz="0" w:space="0" w:color="auto"/>
                    <w:bottom w:val="none" w:sz="0" w:space="0" w:color="auto"/>
                    <w:right w:val="none" w:sz="0" w:space="0" w:color="auto"/>
                  </w:divBdr>
                  <w:divsChild>
                    <w:div w:id="162372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808697">
          <w:marLeft w:val="0"/>
          <w:marRight w:val="0"/>
          <w:marTop w:val="0"/>
          <w:marBottom w:val="0"/>
          <w:divBdr>
            <w:top w:val="none" w:sz="0" w:space="0" w:color="auto"/>
            <w:left w:val="none" w:sz="0" w:space="0" w:color="auto"/>
            <w:bottom w:val="none" w:sz="0" w:space="0" w:color="auto"/>
            <w:right w:val="none" w:sz="0" w:space="0" w:color="auto"/>
          </w:divBdr>
          <w:divsChild>
            <w:div w:id="447315933">
              <w:blockQuote w:val="1"/>
              <w:marLeft w:val="0"/>
              <w:marRight w:val="0"/>
              <w:marTop w:val="0"/>
              <w:marBottom w:val="0"/>
              <w:divBdr>
                <w:top w:val="none" w:sz="0" w:space="0" w:color="auto"/>
                <w:left w:val="none" w:sz="0" w:space="0" w:color="auto"/>
                <w:bottom w:val="none" w:sz="0" w:space="0" w:color="auto"/>
                <w:right w:val="none" w:sz="0" w:space="0" w:color="auto"/>
              </w:divBdr>
              <w:divsChild>
                <w:div w:id="1143351616">
                  <w:marLeft w:val="0"/>
                  <w:marRight w:val="0"/>
                  <w:marTop w:val="0"/>
                  <w:marBottom w:val="0"/>
                  <w:divBdr>
                    <w:top w:val="none" w:sz="0" w:space="0" w:color="auto"/>
                    <w:left w:val="none" w:sz="0" w:space="0" w:color="auto"/>
                    <w:bottom w:val="none" w:sz="0" w:space="0" w:color="auto"/>
                    <w:right w:val="none" w:sz="0" w:space="0" w:color="auto"/>
                  </w:divBdr>
                  <w:divsChild>
                    <w:div w:id="45398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48645">
          <w:marLeft w:val="0"/>
          <w:marRight w:val="0"/>
          <w:marTop w:val="0"/>
          <w:marBottom w:val="0"/>
          <w:divBdr>
            <w:top w:val="none" w:sz="0" w:space="0" w:color="auto"/>
            <w:left w:val="none" w:sz="0" w:space="0" w:color="auto"/>
            <w:bottom w:val="none" w:sz="0" w:space="0" w:color="auto"/>
            <w:right w:val="none" w:sz="0" w:space="0" w:color="auto"/>
          </w:divBdr>
          <w:divsChild>
            <w:div w:id="981037478">
              <w:blockQuote w:val="1"/>
              <w:marLeft w:val="0"/>
              <w:marRight w:val="0"/>
              <w:marTop w:val="0"/>
              <w:marBottom w:val="0"/>
              <w:divBdr>
                <w:top w:val="none" w:sz="0" w:space="0" w:color="auto"/>
                <w:left w:val="none" w:sz="0" w:space="0" w:color="auto"/>
                <w:bottom w:val="none" w:sz="0" w:space="0" w:color="auto"/>
                <w:right w:val="none" w:sz="0" w:space="0" w:color="auto"/>
              </w:divBdr>
              <w:divsChild>
                <w:div w:id="1773475139">
                  <w:marLeft w:val="0"/>
                  <w:marRight w:val="0"/>
                  <w:marTop w:val="0"/>
                  <w:marBottom w:val="0"/>
                  <w:divBdr>
                    <w:top w:val="none" w:sz="0" w:space="0" w:color="auto"/>
                    <w:left w:val="none" w:sz="0" w:space="0" w:color="auto"/>
                    <w:bottom w:val="none" w:sz="0" w:space="0" w:color="auto"/>
                    <w:right w:val="none" w:sz="0" w:space="0" w:color="auto"/>
                  </w:divBdr>
                  <w:divsChild>
                    <w:div w:id="48558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tutor.com/active-listening-in-counselling-egan-soler-model/" TargetMode="External"/><Relationship Id="rId13" Type="http://schemas.openxmlformats.org/officeDocument/2006/relationships/hyperlink" Target="https://www.cqc.org.uk/guidance-providers/regulations-enforcement/regulation-17-requirements-relating-records" TargetMode="External"/><Relationship Id="rId18" Type="http://schemas.openxmlformats.org/officeDocument/2006/relationships/hyperlink" Target="https://www.scie.org.uk/social-work-recording" TargetMode="External"/><Relationship Id="rId3" Type="http://schemas.openxmlformats.org/officeDocument/2006/relationships/webSettings" Target="webSettings.xml"/><Relationship Id="rId21" Type="http://schemas.openxmlformats.org/officeDocument/2006/relationships/hyperlink" Target="https://www.scie.org.uk/effective-practice/multi-agency-working" TargetMode="External"/><Relationship Id="rId7" Type="http://schemas.openxmlformats.org/officeDocument/2006/relationships/hyperlink" Target="https://www.cqc.org.uk/guidance-regulation/providers/regulations-service-providers-and-managers/health-social-care-act/regulation-9" TargetMode="External"/><Relationship Id="rId12" Type="http://schemas.openxmlformats.org/officeDocument/2006/relationships/hyperlink" Target="https://www.legislation.gov.uk/ukpga/2010/15/enacted/data.pdf" TargetMode="External"/><Relationship Id="rId17" Type="http://schemas.openxmlformats.org/officeDocument/2006/relationships/hyperlink" Target="https://transform.england.nhs.uk/media/documents/NHSE_Records_Management_CoP_2023_V5.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legislation.gov.uk/ukpga/2018/12/contents" TargetMode="External"/><Relationship Id="rId20" Type="http://schemas.openxmlformats.org/officeDocument/2006/relationships/hyperlink" Target="https://www.nhsconfed.org/topics/integrated-care"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ransform.england.nhs.uk/media/documents/NHSE_Records_Management_CoP_2023_V5.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ico.org.uk/for-organisations/guide-to-data-protection/guide-to-the-uk-gdpr/" TargetMode="External"/><Relationship Id="rId23" Type="http://schemas.openxmlformats.org/officeDocument/2006/relationships/footer" Target="footer1.xml"/><Relationship Id="rId10" Type="http://schemas.openxmlformats.org/officeDocument/2006/relationships/hyperlink" Target="https://webarchive.nationalarchives.gov.uk/ukgwa/20180307212659tf_/http:/content.digital.nhs.uk/media/12822/Guide-to-confidentiality-in-health-and-social-care/pdf/HSCIC-guide-to-confidentiality.pdf" TargetMode="External"/><Relationship Id="rId19" Type="http://schemas.openxmlformats.org/officeDocument/2006/relationships/hyperlink" Target="https://www.cqc.org.uk/guidance-regulation/local-authorities/assessment-framework/theme2/partnerships" TargetMode="External"/><Relationship Id="rId4" Type="http://schemas.openxmlformats.org/officeDocument/2006/relationships/footnotes" Target="footnotes.xml"/><Relationship Id="rId9" Type="http://schemas.openxmlformats.org/officeDocument/2006/relationships/hyperlink" Target="https://www.equalityhumanrights.com/sites/default/files/your_rights_to_equality_from_healthcare_and_social_care_services.pdf" TargetMode="External"/><Relationship Id="rId14" Type="http://schemas.openxmlformats.org/officeDocument/2006/relationships/hyperlink" Target="https://www.gov.uk/government/publications/caldicott-principles/caldicott-principles" TargetMode="External"/><Relationship Id="rId22" Type="http://schemas.openxmlformats.org/officeDocument/2006/relationships/hyperlink" Target="https://www.cqc.org.uk/guidance-regulation/local-authorities/assessment-framework/theme2/partnershi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9</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2026-08-20T20:39:00Z</dcterms:created>
  <dcterms:modified xsi:type="dcterms:W3CDTF">2026-08-20T22:26:00Z</dcterms:modified>
</cp:coreProperties>
</file>