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780B35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D02F2">
              <w:rPr>
                <w:rFonts w:ascii="Times New Roman" w:hAnsi="Times New Roman" w:cs="Times New Roman"/>
                <w:b/>
                <w:color w:val="auto"/>
                <w:sz w:val="48"/>
              </w:rPr>
              <w:t>Amy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FFDBB1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D02F2">
              <w:rPr>
                <w:rFonts w:ascii="Times New Roman" w:hAnsi="Times New Roman" w:cs="Times New Roman"/>
                <w:b/>
                <w:color w:val="auto"/>
                <w:sz w:val="48"/>
              </w:rPr>
              <w:t xml:space="preserve"> 2011919@student.uwtsd.ac.uk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67A18882" w14:textId="77777777" w:rsidR="004D02F2" w:rsidRPr="004D02F2" w:rsidRDefault="004D02F2" w:rsidP="004D02F2">
      <w:pPr>
        <w:rPr>
          <w:rFonts w:asciiTheme="minorHAnsi" w:hAnsiTheme="minorHAnsi" w:cstheme="minorHAnsi"/>
          <w:sz w:val="22"/>
          <w:szCs w:val="22"/>
        </w:rPr>
      </w:pPr>
      <w:proofErr w:type="spellStart"/>
      <w:r w:rsidRPr="004D02F2">
        <w:rPr>
          <w:rFonts w:asciiTheme="minorHAnsi" w:hAnsiTheme="minorHAnsi" w:cstheme="minorHAnsi"/>
          <w:sz w:val="22"/>
          <w:szCs w:val="22"/>
        </w:rPr>
        <w:t>Aaltio</w:t>
      </w:r>
      <w:proofErr w:type="spellEnd"/>
      <w:r w:rsidRPr="004D02F2">
        <w:rPr>
          <w:rFonts w:asciiTheme="minorHAnsi" w:hAnsiTheme="minorHAnsi" w:cstheme="minorHAnsi"/>
          <w:sz w:val="22"/>
          <w:szCs w:val="22"/>
        </w:rPr>
        <w:t>, E. (2023) 'Evaluating the effectiveness of the systemic practice model of children’s social care – A pilot study on child- and family-level outcomes,' </w:t>
      </w:r>
      <w:r w:rsidRPr="004D02F2">
        <w:rPr>
          <w:rFonts w:asciiTheme="minorHAnsi" w:hAnsiTheme="minorHAnsi" w:cstheme="minorHAnsi"/>
          <w:i/>
          <w:iCs/>
          <w:sz w:val="22"/>
          <w:szCs w:val="22"/>
        </w:rPr>
        <w:t>Children and Youth Services Review</w:t>
      </w:r>
      <w:r w:rsidRPr="004D02F2">
        <w:rPr>
          <w:rFonts w:asciiTheme="minorHAnsi" w:hAnsiTheme="minorHAnsi" w:cstheme="minorHAnsi"/>
          <w:sz w:val="22"/>
          <w:szCs w:val="22"/>
        </w:rPr>
        <w:t>, 144, p. 106732. Available from: </w:t>
      </w:r>
      <w:hyperlink r:id="rId11" w:history="1">
        <w:r w:rsidRPr="004D02F2">
          <w:rPr>
            <w:rStyle w:val="Hyperlink"/>
            <w:rFonts w:asciiTheme="minorHAnsi" w:hAnsiTheme="minorHAnsi" w:cstheme="minorHAnsi"/>
            <w:sz w:val="22"/>
            <w:szCs w:val="22"/>
          </w:rPr>
          <w:t>https://doi.org/10.1016/j.childyouth.2022.106732</w:t>
        </w:r>
      </w:hyperlink>
      <w:r w:rsidRPr="004D02F2">
        <w:rPr>
          <w:rFonts w:asciiTheme="minorHAnsi" w:hAnsiTheme="minorHAnsi" w:cstheme="minorHAnsi"/>
          <w:sz w:val="22"/>
          <w:szCs w:val="22"/>
        </w:rPr>
        <w:t>. (accessed on 11/09/2024)</w:t>
      </w:r>
    </w:p>
    <w:p w14:paraId="417ED0E0" w14:textId="77777777" w:rsidR="004D02F2" w:rsidRPr="004D02F2" w:rsidRDefault="004D02F2" w:rsidP="004D02F2">
      <w:pPr>
        <w:rPr>
          <w:rFonts w:asciiTheme="minorHAnsi" w:hAnsiTheme="minorHAnsi" w:cstheme="minorHAnsi"/>
          <w:sz w:val="22"/>
          <w:szCs w:val="22"/>
        </w:rPr>
      </w:pPr>
    </w:p>
    <w:p w14:paraId="3AFEC5AF"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Age Cymru Advice (2024) </w:t>
      </w:r>
      <w:r w:rsidRPr="004D02F2">
        <w:rPr>
          <w:rFonts w:asciiTheme="minorHAnsi" w:hAnsiTheme="minorHAnsi" w:cstheme="minorHAnsi"/>
          <w:i/>
          <w:iCs/>
          <w:sz w:val="22"/>
          <w:szCs w:val="22"/>
        </w:rPr>
        <w:t>Safeguarding older people in Wales from abuse and neglect</w:t>
      </w:r>
      <w:r w:rsidRPr="004D02F2">
        <w:rPr>
          <w:rFonts w:asciiTheme="minorHAnsi" w:hAnsiTheme="minorHAnsi" w:cstheme="minorHAnsi"/>
          <w:sz w:val="22"/>
          <w:szCs w:val="22"/>
        </w:rPr>
        <w:t xml:space="preserve">. </w:t>
      </w:r>
      <w:hyperlink r:id="rId12" w:history="1">
        <w:r w:rsidRPr="004D02F2">
          <w:rPr>
            <w:rStyle w:val="Hyperlink"/>
            <w:rFonts w:asciiTheme="minorHAnsi" w:hAnsiTheme="minorHAnsi" w:cstheme="minorHAnsi"/>
            <w:sz w:val="22"/>
            <w:szCs w:val="22"/>
          </w:rPr>
          <w:t>https://www.agecymru.wales/siteassets/documents/information-guides-and-factsheets/fs78w.pdf</w:t>
        </w:r>
      </w:hyperlink>
      <w:r w:rsidRPr="004D02F2">
        <w:rPr>
          <w:rFonts w:asciiTheme="minorHAnsi" w:hAnsiTheme="minorHAnsi" w:cstheme="minorHAnsi"/>
          <w:sz w:val="22"/>
          <w:szCs w:val="22"/>
        </w:rPr>
        <w:t>. (accessed on 11/09/2024)</w:t>
      </w:r>
    </w:p>
    <w:p w14:paraId="7C872BF9" w14:textId="77777777" w:rsidR="004D02F2" w:rsidRPr="004D02F2" w:rsidRDefault="004D02F2" w:rsidP="004D02F2">
      <w:pPr>
        <w:rPr>
          <w:rFonts w:asciiTheme="minorHAnsi" w:hAnsiTheme="minorHAnsi" w:cstheme="minorHAnsi"/>
          <w:sz w:val="22"/>
          <w:szCs w:val="22"/>
        </w:rPr>
      </w:pPr>
    </w:p>
    <w:p w14:paraId="5AF297F9"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Aspinwall-Roberts (2016) </w:t>
      </w:r>
      <w:r w:rsidRPr="004D02F2">
        <w:rPr>
          <w:rFonts w:asciiTheme="minorHAnsi" w:hAnsiTheme="minorHAnsi" w:cstheme="minorHAnsi"/>
          <w:i/>
          <w:iCs/>
          <w:sz w:val="22"/>
          <w:szCs w:val="22"/>
        </w:rPr>
        <w:t>Assessment</w:t>
      </w:r>
      <w:r w:rsidRPr="004D02F2">
        <w:rPr>
          <w:rFonts w:asciiTheme="minorHAnsi" w:hAnsiTheme="minorHAnsi" w:cstheme="minorHAnsi"/>
          <w:sz w:val="22"/>
          <w:szCs w:val="22"/>
        </w:rPr>
        <w:t xml:space="preserve">. </w:t>
      </w:r>
      <w:hyperlink r:id="rId13" w:history="1">
        <w:r w:rsidRPr="004D02F2">
          <w:rPr>
            <w:rStyle w:val="Hyperlink"/>
            <w:rFonts w:asciiTheme="minorHAnsi" w:hAnsiTheme="minorHAnsi" w:cstheme="minorHAnsi"/>
            <w:sz w:val="22"/>
            <w:szCs w:val="22"/>
          </w:rPr>
          <w:t>https://proceduresonline.com/trixcms/media/4236/doc-guide-to-assessment.pdf</w:t>
        </w:r>
      </w:hyperlink>
      <w:r w:rsidRPr="004D02F2">
        <w:rPr>
          <w:rFonts w:asciiTheme="minorHAnsi" w:hAnsiTheme="minorHAnsi" w:cstheme="minorHAnsi"/>
          <w:sz w:val="22"/>
          <w:szCs w:val="22"/>
        </w:rPr>
        <w:t>. (accessed 10/10/2024)</w:t>
      </w:r>
    </w:p>
    <w:p w14:paraId="2A6E9368" w14:textId="77777777" w:rsidR="004D02F2" w:rsidRPr="004D02F2" w:rsidRDefault="004D02F2" w:rsidP="004D02F2">
      <w:pPr>
        <w:rPr>
          <w:rFonts w:asciiTheme="minorHAnsi" w:hAnsiTheme="minorHAnsi" w:cstheme="minorHAnsi"/>
          <w:sz w:val="22"/>
          <w:szCs w:val="22"/>
        </w:rPr>
      </w:pPr>
    </w:p>
    <w:p w14:paraId="27BD1DA6" w14:textId="32E9383E"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Bai, R. </w:t>
      </w:r>
      <w:r w:rsidRPr="004D02F2">
        <w:rPr>
          <w:rFonts w:asciiTheme="minorHAnsi" w:hAnsiTheme="minorHAnsi" w:cstheme="minorHAnsi"/>
          <w:i/>
          <w:iCs/>
          <w:sz w:val="22"/>
          <w:szCs w:val="22"/>
        </w:rPr>
        <w:t>et al.</w:t>
      </w:r>
      <w:r w:rsidRPr="004D02F2">
        <w:rPr>
          <w:rFonts w:asciiTheme="minorHAnsi" w:hAnsiTheme="minorHAnsi" w:cstheme="minorHAnsi"/>
          <w:sz w:val="22"/>
          <w:szCs w:val="22"/>
        </w:rPr>
        <w:t xml:space="preserve"> (2019) 'Pursuing collaboration to improve services for child welfare-involved housing unstable families,' </w:t>
      </w:r>
      <w:r w:rsidRPr="004D02F2">
        <w:rPr>
          <w:rFonts w:asciiTheme="minorHAnsi" w:hAnsiTheme="minorHAnsi" w:cstheme="minorHAnsi"/>
          <w:i/>
          <w:iCs/>
          <w:sz w:val="22"/>
          <w:szCs w:val="22"/>
        </w:rPr>
        <w:t>Children and Youth Services Review</w:t>
      </w:r>
      <w:r w:rsidRPr="004D02F2">
        <w:rPr>
          <w:rFonts w:asciiTheme="minorHAnsi" w:hAnsiTheme="minorHAnsi" w:cstheme="minorHAnsi"/>
          <w:sz w:val="22"/>
          <w:szCs w:val="22"/>
        </w:rPr>
        <w:t xml:space="preserve">, 104, p. 104405. </w:t>
      </w:r>
      <w:hyperlink r:id="rId14" w:history="1">
        <w:r w:rsidRPr="004D02F2">
          <w:rPr>
            <w:rStyle w:val="Hyperlink"/>
            <w:rFonts w:asciiTheme="minorHAnsi" w:hAnsiTheme="minorHAnsi" w:cstheme="minorHAnsi"/>
            <w:sz w:val="22"/>
            <w:szCs w:val="22"/>
          </w:rPr>
          <w:t>https://doi.org/10.1016/j.childyouth.2019.104405</w:t>
        </w:r>
      </w:hyperlink>
      <w:r w:rsidRPr="004D02F2">
        <w:rPr>
          <w:rFonts w:asciiTheme="minorHAnsi" w:hAnsiTheme="minorHAnsi" w:cstheme="minorHAnsi"/>
          <w:sz w:val="22"/>
          <w:szCs w:val="22"/>
        </w:rPr>
        <w:t>. (accessed on 11/09/2024)</w:t>
      </w:r>
    </w:p>
    <w:p w14:paraId="4CE3E817" w14:textId="77777777" w:rsidR="004D02F2" w:rsidRPr="004D02F2" w:rsidRDefault="004D02F2" w:rsidP="004D02F2">
      <w:pPr>
        <w:rPr>
          <w:rFonts w:asciiTheme="minorHAnsi" w:hAnsiTheme="minorHAnsi" w:cstheme="minorHAnsi"/>
          <w:sz w:val="22"/>
          <w:szCs w:val="22"/>
        </w:rPr>
      </w:pPr>
    </w:p>
    <w:p w14:paraId="1D273C41"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BASW (2015) </w:t>
      </w:r>
      <w:r w:rsidRPr="004D02F2">
        <w:rPr>
          <w:rFonts w:asciiTheme="minorHAnsi" w:hAnsiTheme="minorHAnsi" w:cstheme="minorHAnsi"/>
          <w:i/>
          <w:iCs/>
          <w:sz w:val="22"/>
          <w:szCs w:val="22"/>
        </w:rPr>
        <w:t xml:space="preserve">Collaboration isn’t easy but essential in Social Work. </w:t>
      </w:r>
      <w:r w:rsidRPr="004D02F2">
        <w:rPr>
          <w:rFonts w:asciiTheme="minorHAnsi" w:hAnsiTheme="minorHAnsi" w:cstheme="minorHAnsi"/>
          <w:sz w:val="22"/>
          <w:szCs w:val="22"/>
        </w:rPr>
        <w:t xml:space="preserve">Available from: Collaboration isn’t easy but essential in social work| </w:t>
      </w:r>
      <w:hyperlink r:id="rId15" w:history="1">
        <w:r w:rsidRPr="004D02F2">
          <w:rPr>
            <w:rStyle w:val="Hyperlink"/>
            <w:rFonts w:asciiTheme="minorHAnsi" w:hAnsiTheme="minorHAnsi" w:cstheme="minorHAnsi"/>
            <w:sz w:val="22"/>
            <w:szCs w:val="22"/>
          </w:rPr>
          <w:t>www.basw.co.uk</w:t>
        </w:r>
      </w:hyperlink>
      <w:r w:rsidRPr="004D02F2">
        <w:rPr>
          <w:rFonts w:asciiTheme="minorHAnsi" w:hAnsiTheme="minorHAnsi" w:cstheme="minorHAnsi"/>
          <w:sz w:val="22"/>
          <w:szCs w:val="22"/>
        </w:rPr>
        <w:t xml:space="preserve"> (accessed 3/09/2024)</w:t>
      </w:r>
    </w:p>
    <w:p w14:paraId="13B21D27" w14:textId="77777777" w:rsidR="004D02F2" w:rsidRPr="004D02F2" w:rsidRDefault="004D02F2" w:rsidP="004D02F2">
      <w:pPr>
        <w:rPr>
          <w:rFonts w:asciiTheme="minorHAnsi" w:hAnsiTheme="minorHAnsi" w:cstheme="minorHAnsi"/>
          <w:sz w:val="22"/>
          <w:szCs w:val="22"/>
        </w:rPr>
      </w:pPr>
    </w:p>
    <w:p w14:paraId="053F4004"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Bryan, A., Hingley-Jones, H. and Ruch, G. (2016) 'Relationship-based Practice Revisited,' </w:t>
      </w:r>
      <w:r w:rsidRPr="004D02F2">
        <w:rPr>
          <w:rFonts w:asciiTheme="minorHAnsi" w:hAnsiTheme="minorHAnsi" w:cstheme="minorHAnsi"/>
          <w:i/>
          <w:iCs/>
          <w:sz w:val="22"/>
          <w:szCs w:val="22"/>
        </w:rPr>
        <w:t>Journal of Social Work Practice</w:t>
      </w:r>
      <w:r w:rsidRPr="004D02F2">
        <w:rPr>
          <w:rFonts w:asciiTheme="minorHAnsi" w:hAnsiTheme="minorHAnsi" w:cstheme="minorHAnsi"/>
          <w:sz w:val="22"/>
          <w:szCs w:val="22"/>
        </w:rPr>
        <w:t xml:space="preserve">, 30(3), pp. 229–233. Available from: </w:t>
      </w:r>
      <w:hyperlink r:id="rId16" w:history="1">
        <w:r w:rsidRPr="004D02F2">
          <w:rPr>
            <w:rStyle w:val="Hyperlink"/>
            <w:rFonts w:asciiTheme="minorHAnsi" w:hAnsiTheme="minorHAnsi" w:cstheme="minorHAnsi"/>
            <w:sz w:val="22"/>
            <w:szCs w:val="22"/>
          </w:rPr>
          <w:t>https://doi.org/10.1080/02650533.2016.1215978</w:t>
        </w:r>
      </w:hyperlink>
      <w:r w:rsidRPr="004D02F2">
        <w:rPr>
          <w:rFonts w:asciiTheme="minorHAnsi" w:hAnsiTheme="minorHAnsi" w:cstheme="minorHAnsi"/>
          <w:sz w:val="22"/>
          <w:szCs w:val="22"/>
        </w:rPr>
        <w:t>. (accessed on 11/09/2024)</w:t>
      </w:r>
    </w:p>
    <w:p w14:paraId="492DA1FA" w14:textId="77777777" w:rsidR="004D02F2" w:rsidRPr="004D02F2" w:rsidRDefault="004D02F2" w:rsidP="004D02F2">
      <w:pPr>
        <w:rPr>
          <w:rFonts w:asciiTheme="minorHAnsi" w:hAnsiTheme="minorHAnsi" w:cstheme="minorHAnsi"/>
          <w:sz w:val="22"/>
          <w:szCs w:val="22"/>
        </w:rPr>
      </w:pPr>
    </w:p>
    <w:p w14:paraId="668787FB"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Burnham, J. (2012). Developments in Social GRRRAAACCEEESSS: Visible-invisible and voiced-unvoiced, in I.B. Krause (Ed.) Culture and reflexivity in systemic psychotherapy: Mutual perspectives (pp.139-160). London: </w:t>
      </w:r>
      <w:proofErr w:type="spellStart"/>
      <w:r w:rsidRPr="004D02F2">
        <w:rPr>
          <w:rFonts w:asciiTheme="minorHAnsi" w:hAnsiTheme="minorHAnsi" w:cstheme="minorHAnsi"/>
          <w:sz w:val="22"/>
          <w:szCs w:val="22"/>
        </w:rPr>
        <w:t>Karnac</w:t>
      </w:r>
      <w:proofErr w:type="spellEnd"/>
      <w:r w:rsidRPr="004D02F2">
        <w:rPr>
          <w:rFonts w:asciiTheme="minorHAnsi" w:hAnsiTheme="minorHAnsi" w:cstheme="minorHAnsi"/>
          <w:sz w:val="22"/>
          <w:szCs w:val="22"/>
        </w:rPr>
        <w:t xml:space="preserve"> Books.</w:t>
      </w:r>
    </w:p>
    <w:p w14:paraId="39620E08" w14:textId="77777777" w:rsidR="004D02F2" w:rsidRPr="004D02F2" w:rsidRDefault="004D02F2" w:rsidP="004D02F2">
      <w:pPr>
        <w:rPr>
          <w:rFonts w:asciiTheme="minorHAnsi" w:hAnsiTheme="minorHAnsi" w:cstheme="minorHAnsi"/>
          <w:sz w:val="22"/>
          <w:szCs w:val="22"/>
        </w:rPr>
      </w:pPr>
    </w:p>
    <w:p w14:paraId="7878A0AA" w14:textId="77777777" w:rsidR="004D02F2" w:rsidRDefault="004D02F2" w:rsidP="004D02F2">
      <w:pPr>
        <w:rPr>
          <w:rFonts w:asciiTheme="minorHAnsi" w:hAnsiTheme="minorHAnsi" w:cstheme="minorHAnsi"/>
          <w:sz w:val="22"/>
          <w:szCs w:val="22"/>
        </w:rPr>
      </w:pPr>
      <w:proofErr w:type="spellStart"/>
      <w:r w:rsidRPr="004D02F2">
        <w:rPr>
          <w:rFonts w:asciiTheme="minorHAnsi" w:hAnsiTheme="minorHAnsi" w:cstheme="minorHAnsi"/>
          <w:sz w:val="22"/>
          <w:szCs w:val="22"/>
        </w:rPr>
        <w:t>Coulshed</w:t>
      </w:r>
      <w:proofErr w:type="spellEnd"/>
      <w:r w:rsidRPr="004D02F2">
        <w:rPr>
          <w:rFonts w:asciiTheme="minorHAnsi" w:hAnsiTheme="minorHAnsi" w:cstheme="minorHAnsi"/>
          <w:sz w:val="22"/>
          <w:szCs w:val="22"/>
        </w:rPr>
        <w:t xml:space="preserve">, V. &amp; Orme, J. (2018) </w:t>
      </w:r>
      <w:r w:rsidRPr="004D02F2">
        <w:rPr>
          <w:rFonts w:asciiTheme="minorHAnsi" w:hAnsiTheme="minorHAnsi" w:cstheme="minorHAnsi"/>
          <w:i/>
          <w:iCs/>
          <w:sz w:val="22"/>
          <w:szCs w:val="22"/>
        </w:rPr>
        <w:t>Social Work Practice</w:t>
      </w:r>
      <w:r w:rsidRPr="004D02F2">
        <w:rPr>
          <w:rFonts w:asciiTheme="minorHAnsi" w:hAnsiTheme="minorHAnsi" w:cstheme="minorHAnsi"/>
          <w:sz w:val="22"/>
          <w:szCs w:val="22"/>
        </w:rPr>
        <w:t>. London: Bloomsbury Publishing.</w:t>
      </w:r>
    </w:p>
    <w:p w14:paraId="677BE0C9" w14:textId="77777777" w:rsidR="004D02F2" w:rsidRPr="004D02F2" w:rsidRDefault="004D02F2" w:rsidP="004D02F2">
      <w:pPr>
        <w:rPr>
          <w:rFonts w:asciiTheme="minorHAnsi" w:hAnsiTheme="minorHAnsi" w:cstheme="minorHAnsi"/>
          <w:sz w:val="22"/>
          <w:szCs w:val="22"/>
        </w:rPr>
      </w:pPr>
    </w:p>
    <w:p w14:paraId="46B89CF5"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Crime Rates UK (2024) </w:t>
      </w:r>
      <w:r w:rsidRPr="004D02F2">
        <w:rPr>
          <w:rFonts w:asciiTheme="minorHAnsi" w:hAnsiTheme="minorHAnsi" w:cstheme="minorHAnsi"/>
          <w:i/>
          <w:iCs/>
          <w:sz w:val="22"/>
          <w:szCs w:val="22"/>
        </w:rPr>
        <w:t xml:space="preserve">Crime and Safety in </w:t>
      </w:r>
      <w:r w:rsidRPr="004D02F2">
        <w:rPr>
          <w:rFonts w:asciiTheme="minorHAnsi" w:hAnsiTheme="minorHAnsi" w:cstheme="minorHAnsi"/>
          <w:b/>
          <w:bCs/>
          <w:i/>
          <w:iCs/>
          <w:sz w:val="22"/>
          <w:szCs w:val="22"/>
        </w:rPr>
        <w:t>XX</w:t>
      </w:r>
      <w:r w:rsidRPr="004D02F2">
        <w:rPr>
          <w:rFonts w:asciiTheme="minorHAnsi" w:hAnsiTheme="minorHAnsi" w:cstheme="minorHAnsi"/>
          <w:sz w:val="22"/>
          <w:szCs w:val="22"/>
        </w:rPr>
        <w:t>. Available from: www.crimerates.co.uk/</w:t>
      </w:r>
      <w:r w:rsidRPr="004D02F2">
        <w:rPr>
          <w:rFonts w:asciiTheme="minorHAnsi" w:hAnsiTheme="minorHAnsi" w:cstheme="minorHAnsi"/>
          <w:b/>
          <w:bCs/>
          <w:sz w:val="22"/>
          <w:szCs w:val="22"/>
        </w:rPr>
        <w:t xml:space="preserve">XX </w:t>
      </w:r>
      <w:r w:rsidRPr="004D02F2">
        <w:rPr>
          <w:rFonts w:asciiTheme="minorHAnsi" w:hAnsiTheme="minorHAnsi" w:cstheme="minorHAnsi"/>
          <w:sz w:val="22"/>
          <w:szCs w:val="22"/>
        </w:rPr>
        <w:t>(accessed 13/09/2024)</w:t>
      </w:r>
    </w:p>
    <w:p w14:paraId="2F709645" w14:textId="77777777" w:rsidR="004D02F2" w:rsidRPr="004D02F2" w:rsidRDefault="004D02F2" w:rsidP="004D02F2">
      <w:pPr>
        <w:rPr>
          <w:rFonts w:asciiTheme="minorHAnsi" w:hAnsiTheme="minorHAnsi" w:cstheme="minorHAnsi"/>
          <w:sz w:val="22"/>
          <w:szCs w:val="22"/>
        </w:rPr>
      </w:pPr>
    </w:p>
    <w:p w14:paraId="336A3EF1"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Equality and Human Rights Commission (2021) </w:t>
      </w:r>
      <w:r w:rsidRPr="004D02F2">
        <w:rPr>
          <w:rFonts w:asciiTheme="minorHAnsi" w:hAnsiTheme="minorHAnsi" w:cstheme="minorHAnsi"/>
          <w:i/>
          <w:iCs/>
          <w:sz w:val="22"/>
          <w:szCs w:val="22"/>
        </w:rPr>
        <w:t>Article 8: Respect for your private and family life</w:t>
      </w:r>
      <w:r w:rsidRPr="004D02F2">
        <w:rPr>
          <w:rFonts w:asciiTheme="minorHAnsi" w:hAnsiTheme="minorHAnsi" w:cstheme="minorHAnsi"/>
          <w:sz w:val="22"/>
          <w:szCs w:val="22"/>
        </w:rPr>
        <w:t xml:space="preserve">. Available from: </w:t>
      </w:r>
      <w:hyperlink r:id="rId17" w:anchor=":~:text=You%20have%20the%20right%20to,way%20you%20look%20and%20dress" w:history="1">
        <w:r w:rsidRPr="004D02F2">
          <w:rPr>
            <w:rStyle w:val="Hyperlink"/>
            <w:rFonts w:asciiTheme="minorHAnsi" w:hAnsiTheme="minorHAnsi" w:cstheme="minorHAnsi"/>
            <w:sz w:val="22"/>
            <w:szCs w:val="22"/>
          </w:rPr>
          <w:t>https://www.equalityhumanrights.com/human-rights/human-rights-act/article-8-respect-your-private-and-family-life#:~:text=You%20have%20the%20right%20to,way%20you%20look%20and%20dress</w:t>
        </w:r>
      </w:hyperlink>
      <w:r w:rsidRPr="004D02F2">
        <w:rPr>
          <w:rFonts w:asciiTheme="minorHAnsi" w:hAnsiTheme="minorHAnsi" w:cstheme="minorHAnsi"/>
          <w:sz w:val="22"/>
          <w:szCs w:val="22"/>
        </w:rPr>
        <w:t>. (accessed 11/09/2024)</w:t>
      </w:r>
    </w:p>
    <w:p w14:paraId="2AD477FB" w14:textId="77777777" w:rsidR="004D02F2" w:rsidRPr="004D02F2" w:rsidRDefault="004D02F2" w:rsidP="004D02F2">
      <w:pPr>
        <w:rPr>
          <w:rFonts w:asciiTheme="minorHAnsi" w:hAnsiTheme="minorHAnsi" w:cstheme="minorHAnsi"/>
          <w:sz w:val="22"/>
          <w:szCs w:val="22"/>
        </w:rPr>
      </w:pPr>
    </w:p>
    <w:p w14:paraId="0DFD7886" w14:textId="77777777" w:rsidR="004D02F2" w:rsidRP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Ferguson, H. </w:t>
      </w:r>
      <w:r w:rsidRPr="004D02F2">
        <w:rPr>
          <w:rFonts w:asciiTheme="minorHAnsi" w:hAnsiTheme="minorHAnsi" w:cstheme="minorHAnsi"/>
          <w:i/>
          <w:iCs/>
          <w:sz w:val="22"/>
          <w:szCs w:val="22"/>
        </w:rPr>
        <w:t>et al.</w:t>
      </w:r>
      <w:r w:rsidRPr="004D02F2">
        <w:rPr>
          <w:rFonts w:asciiTheme="minorHAnsi" w:hAnsiTheme="minorHAnsi" w:cstheme="minorHAnsi"/>
          <w:sz w:val="22"/>
          <w:szCs w:val="22"/>
        </w:rPr>
        <w:t xml:space="preserve"> (2020) 'Relationship-based practice and the creation of therapeutic change in long-term work: social work as a holding relationship,' </w:t>
      </w:r>
      <w:r w:rsidRPr="004D02F2">
        <w:rPr>
          <w:rFonts w:asciiTheme="minorHAnsi" w:hAnsiTheme="minorHAnsi" w:cstheme="minorHAnsi"/>
          <w:i/>
          <w:iCs/>
          <w:sz w:val="22"/>
          <w:szCs w:val="22"/>
        </w:rPr>
        <w:t>Social Work Education</w:t>
      </w:r>
      <w:r w:rsidRPr="004D02F2">
        <w:rPr>
          <w:rFonts w:asciiTheme="minorHAnsi" w:hAnsiTheme="minorHAnsi" w:cstheme="minorHAnsi"/>
          <w:sz w:val="22"/>
          <w:szCs w:val="22"/>
        </w:rPr>
        <w:t xml:space="preserve">, 41(2), pp. 209–227. </w:t>
      </w:r>
      <w:hyperlink r:id="rId18" w:history="1">
        <w:r w:rsidRPr="004D02F2">
          <w:rPr>
            <w:rStyle w:val="Hyperlink"/>
            <w:rFonts w:asciiTheme="minorHAnsi" w:hAnsiTheme="minorHAnsi" w:cstheme="minorHAnsi"/>
            <w:sz w:val="22"/>
            <w:szCs w:val="22"/>
          </w:rPr>
          <w:t>https://doi.org/10.1080/02615479.2020.1837105</w:t>
        </w:r>
      </w:hyperlink>
      <w:r w:rsidRPr="004D02F2">
        <w:rPr>
          <w:rFonts w:asciiTheme="minorHAnsi" w:hAnsiTheme="minorHAnsi" w:cstheme="minorHAnsi"/>
          <w:sz w:val="22"/>
          <w:szCs w:val="22"/>
        </w:rPr>
        <w:t>. (accessed 12/12/2024)</w:t>
      </w:r>
    </w:p>
    <w:p w14:paraId="50055F68"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lastRenderedPageBreak/>
        <w:t xml:space="preserve">Forrester, D., Westlake, D. and Glynn, G. (2012) 'Parental resistance and social worker skills: towards a theory of motivational social work,' </w:t>
      </w:r>
      <w:r w:rsidRPr="004D02F2">
        <w:rPr>
          <w:rFonts w:asciiTheme="minorHAnsi" w:hAnsiTheme="minorHAnsi" w:cstheme="minorHAnsi"/>
          <w:i/>
          <w:iCs/>
          <w:sz w:val="22"/>
          <w:szCs w:val="22"/>
        </w:rPr>
        <w:t>Child &amp; Family Social Work</w:t>
      </w:r>
      <w:r w:rsidRPr="004D02F2">
        <w:rPr>
          <w:rFonts w:asciiTheme="minorHAnsi" w:hAnsiTheme="minorHAnsi" w:cstheme="minorHAnsi"/>
          <w:sz w:val="22"/>
          <w:szCs w:val="22"/>
        </w:rPr>
        <w:t xml:space="preserve">, 17(2), pp. 118–129. </w:t>
      </w:r>
      <w:hyperlink r:id="rId19" w:history="1">
        <w:r w:rsidRPr="004D02F2">
          <w:rPr>
            <w:rStyle w:val="Hyperlink"/>
            <w:rFonts w:asciiTheme="minorHAnsi" w:hAnsiTheme="minorHAnsi" w:cstheme="minorHAnsi"/>
            <w:sz w:val="22"/>
            <w:szCs w:val="22"/>
          </w:rPr>
          <w:t>https://doi.org/10.1111/j.1365-2206.2012.00837.x</w:t>
        </w:r>
      </w:hyperlink>
      <w:r w:rsidRPr="004D02F2">
        <w:rPr>
          <w:rFonts w:asciiTheme="minorHAnsi" w:hAnsiTheme="minorHAnsi" w:cstheme="minorHAnsi"/>
          <w:sz w:val="22"/>
          <w:szCs w:val="22"/>
        </w:rPr>
        <w:t>. (accessed 12/11/2024)</w:t>
      </w:r>
    </w:p>
    <w:p w14:paraId="3F99C346" w14:textId="77777777" w:rsidR="004D02F2" w:rsidRPr="004D02F2" w:rsidRDefault="004D02F2" w:rsidP="004D02F2">
      <w:pPr>
        <w:rPr>
          <w:rFonts w:asciiTheme="minorHAnsi" w:hAnsiTheme="minorHAnsi" w:cstheme="minorHAnsi"/>
          <w:sz w:val="22"/>
          <w:szCs w:val="22"/>
        </w:rPr>
      </w:pPr>
    </w:p>
    <w:p w14:paraId="7929F17E"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Freeman, P. (2022) 'Book Review: Decision making in child and family social work. Perspectives on children’s participation by Clive Diaz,' </w:t>
      </w:r>
      <w:r w:rsidRPr="004D02F2">
        <w:rPr>
          <w:rFonts w:asciiTheme="minorHAnsi" w:hAnsiTheme="minorHAnsi" w:cstheme="minorHAnsi"/>
          <w:i/>
          <w:iCs/>
          <w:sz w:val="22"/>
          <w:szCs w:val="22"/>
        </w:rPr>
        <w:t>Journal of Social Work</w:t>
      </w:r>
      <w:r w:rsidRPr="004D02F2">
        <w:rPr>
          <w:rFonts w:asciiTheme="minorHAnsi" w:hAnsiTheme="minorHAnsi" w:cstheme="minorHAnsi"/>
          <w:sz w:val="22"/>
          <w:szCs w:val="22"/>
        </w:rPr>
        <w:t>, 22(4), pp. 1129–1132. </w:t>
      </w:r>
      <w:hyperlink r:id="rId20" w:history="1">
        <w:r w:rsidRPr="004D02F2">
          <w:rPr>
            <w:rStyle w:val="Hyperlink"/>
            <w:rFonts w:asciiTheme="minorHAnsi" w:hAnsiTheme="minorHAnsi" w:cstheme="minorHAnsi"/>
            <w:sz w:val="22"/>
            <w:szCs w:val="22"/>
          </w:rPr>
          <w:t>https://doi.org/10.1177/14680173221087040</w:t>
        </w:r>
      </w:hyperlink>
      <w:r w:rsidRPr="004D02F2">
        <w:rPr>
          <w:rFonts w:asciiTheme="minorHAnsi" w:hAnsiTheme="minorHAnsi" w:cstheme="minorHAnsi"/>
          <w:sz w:val="22"/>
          <w:szCs w:val="22"/>
        </w:rPr>
        <w:t>. (accessed 12/11/2024)</w:t>
      </w:r>
    </w:p>
    <w:p w14:paraId="0C9B4C98" w14:textId="77777777" w:rsidR="004D02F2" w:rsidRDefault="004D02F2" w:rsidP="004D02F2">
      <w:pPr>
        <w:rPr>
          <w:rFonts w:asciiTheme="minorHAnsi" w:hAnsiTheme="minorHAnsi" w:cstheme="minorHAnsi"/>
          <w:sz w:val="22"/>
          <w:szCs w:val="22"/>
        </w:rPr>
      </w:pPr>
    </w:p>
    <w:p w14:paraId="5C26F37C" w14:textId="77777777" w:rsidR="004D02F2" w:rsidRPr="004D02F2" w:rsidRDefault="004D02F2" w:rsidP="004D02F2">
      <w:pPr>
        <w:rPr>
          <w:rFonts w:asciiTheme="minorHAnsi" w:hAnsiTheme="minorHAnsi" w:cstheme="minorHAnsi"/>
          <w:sz w:val="22"/>
          <w:szCs w:val="22"/>
        </w:rPr>
      </w:pPr>
    </w:p>
    <w:p w14:paraId="5922715F"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Hardy, R. (2018) </w:t>
      </w:r>
      <w:r w:rsidRPr="004D02F2">
        <w:rPr>
          <w:rFonts w:asciiTheme="minorHAnsi" w:hAnsiTheme="minorHAnsi" w:cstheme="minorHAnsi"/>
          <w:i/>
          <w:iCs/>
          <w:sz w:val="22"/>
          <w:szCs w:val="22"/>
        </w:rPr>
        <w:t xml:space="preserve">What is Systemic Practice? </w:t>
      </w:r>
      <w:r w:rsidRPr="004D02F2">
        <w:rPr>
          <w:rFonts w:asciiTheme="minorHAnsi" w:hAnsiTheme="minorHAnsi" w:cstheme="minorHAnsi"/>
          <w:sz w:val="22"/>
          <w:szCs w:val="22"/>
        </w:rPr>
        <w:t xml:space="preserve">Available from: </w:t>
      </w:r>
      <w:hyperlink r:id="rId21" w:history="1">
        <w:r w:rsidRPr="004D02F2">
          <w:rPr>
            <w:rStyle w:val="Hyperlink"/>
            <w:rFonts w:asciiTheme="minorHAnsi" w:hAnsiTheme="minorHAnsi" w:cstheme="minorHAnsi"/>
            <w:sz w:val="22"/>
            <w:szCs w:val="22"/>
          </w:rPr>
          <w:t>https://www.communitycare.co.uk/2018/04/30/systemic-practice/</w:t>
        </w:r>
      </w:hyperlink>
      <w:r w:rsidRPr="004D02F2">
        <w:rPr>
          <w:rFonts w:asciiTheme="minorHAnsi" w:hAnsiTheme="minorHAnsi" w:cstheme="minorHAnsi"/>
          <w:sz w:val="22"/>
          <w:szCs w:val="22"/>
        </w:rPr>
        <w:t xml:space="preserve"> (accessed 13/09/2024)</w:t>
      </w:r>
    </w:p>
    <w:p w14:paraId="7A2933BE" w14:textId="77777777" w:rsidR="004D02F2" w:rsidRPr="004D02F2" w:rsidRDefault="004D02F2" w:rsidP="004D02F2">
      <w:pPr>
        <w:rPr>
          <w:rFonts w:asciiTheme="minorHAnsi" w:hAnsiTheme="minorHAnsi" w:cstheme="minorHAnsi"/>
          <w:sz w:val="22"/>
          <w:szCs w:val="22"/>
        </w:rPr>
      </w:pPr>
    </w:p>
    <w:p w14:paraId="19643A6E"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HM Government (2023) </w:t>
      </w:r>
      <w:r w:rsidRPr="004D02F2">
        <w:rPr>
          <w:rFonts w:asciiTheme="minorHAnsi" w:hAnsiTheme="minorHAnsi" w:cstheme="minorHAnsi"/>
          <w:i/>
          <w:iCs/>
          <w:sz w:val="22"/>
          <w:szCs w:val="22"/>
        </w:rPr>
        <w:t xml:space="preserve">Working Together </w:t>
      </w:r>
      <w:proofErr w:type="gramStart"/>
      <w:r w:rsidRPr="004D02F2">
        <w:rPr>
          <w:rFonts w:asciiTheme="minorHAnsi" w:hAnsiTheme="minorHAnsi" w:cstheme="minorHAnsi"/>
          <w:i/>
          <w:iCs/>
          <w:sz w:val="22"/>
          <w:szCs w:val="22"/>
        </w:rPr>
        <w:t>to  Safeguard</w:t>
      </w:r>
      <w:proofErr w:type="gramEnd"/>
      <w:r w:rsidRPr="004D02F2">
        <w:rPr>
          <w:rFonts w:asciiTheme="minorHAnsi" w:hAnsiTheme="minorHAnsi" w:cstheme="minorHAnsi"/>
          <w:i/>
          <w:iCs/>
          <w:sz w:val="22"/>
          <w:szCs w:val="22"/>
        </w:rPr>
        <w:t xml:space="preserve"> Children 2023  A guide to multi-agency working to help, protect and promote the welfare  of children</w:t>
      </w:r>
      <w:r w:rsidRPr="004D02F2">
        <w:rPr>
          <w:rFonts w:asciiTheme="minorHAnsi" w:hAnsiTheme="minorHAnsi" w:cstheme="minorHAnsi"/>
          <w:sz w:val="22"/>
          <w:szCs w:val="22"/>
        </w:rPr>
        <w:t>. https://assets.publishing.service.gov.uk/media/669e7501ab418ab055592a7b/Working_together_to_safeguard_children_2023.pdf (Accessed 17/1/2025).</w:t>
      </w:r>
    </w:p>
    <w:p w14:paraId="7FD8085F" w14:textId="77777777" w:rsidR="004D02F2" w:rsidRPr="004D02F2" w:rsidRDefault="004D02F2" w:rsidP="004D02F2">
      <w:pPr>
        <w:rPr>
          <w:rFonts w:asciiTheme="minorHAnsi" w:hAnsiTheme="minorHAnsi" w:cstheme="minorHAnsi"/>
          <w:sz w:val="22"/>
          <w:szCs w:val="22"/>
        </w:rPr>
      </w:pPr>
    </w:p>
    <w:p w14:paraId="026B26DE" w14:textId="1DC62E3B" w:rsidR="004D02F2" w:rsidRPr="004D02F2" w:rsidRDefault="004D02F2" w:rsidP="004D02F2">
      <w:pPr>
        <w:spacing w:after="160" w:line="259" w:lineRule="auto"/>
        <w:rPr>
          <w:rFonts w:asciiTheme="minorHAnsi" w:hAnsiTheme="minorHAnsi" w:cstheme="minorHAnsi"/>
          <w:sz w:val="22"/>
          <w:szCs w:val="22"/>
        </w:rPr>
      </w:pPr>
      <w:r w:rsidRPr="00223B88">
        <w:rPr>
          <w:rFonts w:asciiTheme="minorHAnsi" w:hAnsiTheme="minorHAnsi" w:cstheme="minorHAnsi"/>
          <w:sz w:val="22"/>
          <w:szCs w:val="22"/>
        </w:rPr>
        <w:t xml:space="preserve">HM Government (2023a) </w:t>
      </w:r>
      <w:r w:rsidRPr="00223B88">
        <w:rPr>
          <w:rFonts w:asciiTheme="minorHAnsi" w:hAnsiTheme="minorHAnsi" w:cstheme="minorHAnsi"/>
          <w:i/>
          <w:iCs/>
          <w:sz w:val="22"/>
          <w:szCs w:val="22"/>
        </w:rPr>
        <w:t>Supporting social workers on their development journey to leadership</w:t>
      </w:r>
      <w:r w:rsidRPr="00223B88">
        <w:rPr>
          <w:rFonts w:asciiTheme="minorHAnsi" w:hAnsiTheme="minorHAnsi" w:cstheme="minorHAnsi"/>
          <w:sz w:val="22"/>
          <w:szCs w:val="22"/>
        </w:rPr>
        <w:t>. https://childrenssocialcare.blog.gov.uk/2023/11/14/supporting-social-workers-on-their-development-and-journey-to-leadership/#:~:text=My%20understanding%20of%20what%20a,member%20we%20are%20working%20with. (Accessed</w:t>
      </w:r>
      <w:r w:rsidRPr="004D02F2">
        <w:rPr>
          <w:rFonts w:asciiTheme="minorHAnsi" w:hAnsiTheme="minorHAnsi" w:cstheme="minorHAnsi"/>
          <w:sz w:val="22"/>
          <w:szCs w:val="22"/>
        </w:rPr>
        <w:t xml:space="preserve"> 19/01/2025</w:t>
      </w:r>
      <w:r w:rsidRPr="00223B88">
        <w:rPr>
          <w:rFonts w:asciiTheme="minorHAnsi" w:hAnsiTheme="minorHAnsi" w:cstheme="minorHAnsi"/>
          <w:sz w:val="22"/>
          <w:szCs w:val="22"/>
        </w:rPr>
        <w:t>).</w:t>
      </w:r>
    </w:p>
    <w:p w14:paraId="63BEBACF"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Holt, K. and Kelly, N. (2012) 'Rhetoric and reality surrounding care proceedings: family justice under strain,' </w:t>
      </w:r>
      <w:r w:rsidRPr="004D02F2">
        <w:rPr>
          <w:rFonts w:asciiTheme="minorHAnsi" w:hAnsiTheme="minorHAnsi" w:cstheme="minorHAnsi"/>
          <w:i/>
          <w:iCs/>
          <w:sz w:val="22"/>
          <w:szCs w:val="22"/>
        </w:rPr>
        <w:t>Journal of Social Welfare and Family Law</w:t>
      </w:r>
      <w:r w:rsidRPr="004D02F2">
        <w:rPr>
          <w:rFonts w:asciiTheme="minorHAnsi" w:hAnsiTheme="minorHAnsi" w:cstheme="minorHAnsi"/>
          <w:sz w:val="22"/>
          <w:szCs w:val="22"/>
        </w:rPr>
        <w:t xml:space="preserve">, 34(2), pp. 155–166. </w:t>
      </w:r>
      <w:hyperlink r:id="rId22" w:history="1">
        <w:r w:rsidRPr="004D02F2">
          <w:rPr>
            <w:rStyle w:val="Hyperlink"/>
            <w:rFonts w:asciiTheme="minorHAnsi" w:hAnsiTheme="minorHAnsi" w:cstheme="minorHAnsi"/>
            <w:sz w:val="22"/>
            <w:szCs w:val="22"/>
          </w:rPr>
          <w:t>https://doi.org/10.1080/09649069.2012.718531</w:t>
        </w:r>
      </w:hyperlink>
      <w:r w:rsidRPr="004D02F2">
        <w:rPr>
          <w:rFonts w:asciiTheme="minorHAnsi" w:hAnsiTheme="minorHAnsi" w:cstheme="minorHAnsi"/>
          <w:sz w:val="22"/>
          <w:szCs w:val="22"/>
        </w:rPr>
        <w:t>. (accessed 12/11/2024)</w:t>
      </w:r>
    </w:p>
    <w:p w14:paraId="2BFFC36A" w14:textId="77777777" w:rsidR="004D02F2" w:rsidRPr="004D02F2" w:rsidRDefault="004D02F2" w:rsidP="004D02F2">
      <w:pPr>
        <w:rPr>
          <w:rFonts w:asciiTheme="minorHAnsi" w:hAnsiTheme="minorHAnsi" w:cstheme="minorHAnsi"/>
          <w:sz w:val="22"/>
          <w:szCs w:val="22"/>
        </w:rPr>
      </w:pPr>
    </w:p>
    <w:p w14:paraId="27117ED4"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Houston, S., Montgomery, L. and MacDonald, M. (2016) 'Assessing and Enhancing Parenting Capacity in Child Protection: A Monograph for Social Workers,' </w:t>
      </w:r>
      <w:r w:rsidRPr="004D02F2">
        <w:rPr>
          <w:rFonts w:asciiTheme="minorHAnsi" w:hAnsiTheme="minorHAnsi" w:cstheme="minorHAnsi"/>
          <w:i/>
          <w:iCs/>
          <w:sz w:val="22"/>
          <w:szCs w:val="22"/>
        </w:rPr>
        <w:t>Queen’s University Belfast</w:t>
      </w:r>
      <w:r w:rsidRPr="004D02F2">
        <w:rPr>
          <w:rFonts w:asciiTheme="minorHAnsi" w:hAnsiTheme="minorHAnsi" w:cstheme="minorHAnsi"/>
          <w:sz w:val="22"/>
          <w:szCs w:val="22"/>
        </w:rPr>
        <w:t xml:space="preserve"> [Preprint]. </w:t>
      </w:r>
      <w:hyperlink r:id="rId23" w:history="1">
        <w:r w:rsidRPr="004D02F2">
          <w:rPr>
            <w:rStyle w:val="Hyperlink"/>
            <w:rFonts w:asciiTheme="minorHAnsi" w:hAnsiTheme="minorHAnsi" w:cstheme="minorHAnsi"/>
            <w:sz w:val="22"/>
            <w:szCs w:val="22"/>
          </w:rPr>
          <w:t>https://pure.qub.ac.uk/en/publications/assessing-and-enhancing-parenting-capacity-in-child-protection-a--3</w:t>
        </w:r>
      </w:hyperlink>
      <w:r w:rsidRPr="004D02F2">
        <w:rPr>
          <w:rFonts w:asciiTheme="minorHAnsi" w:hAnsiTheme="minorHAnsi" w:cstheme="minorHAnsi"/>
          <w:sz w:val="22"/>
          <w:szCs w:val="22"/>
        </w:rPr>
        <w:t>. (accessed 12/1/25)</w:t>
      </w:r>
    </w:p>
    <w:p w14:paraId="12A1615F" w14:textId="77777777" w:rsidR="004D02F2" w:rsidRPr="004D02F2" w:rsidRDefault="004D02F2" w:rsidP="004D02F2">
      <w:pPr>
        <w:rPr>
          <w:rFonts w:asciiTheme="minorHAnsi" w:hAnsiTheme="minorHAnsi" w:cstheme="minorHAnsi"/>
          <w:sz w:val="22"/>
          <w:szCs w:val="22"/>
        </w:rPr>
      </w:pPr>
    </w:p>
    <w:p w14:paraId="653B5D82"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Huss, E. and </w:t>
      </w:r>
      <w:proofErr w:type="spellStart"/>
      <w:r w:rsidRPr="004D02F2">
        <w:rPr>
          <w:rFonts w:asciiTheme="minorHAnsi" w:hAnsiTheme="minorHAnsi" w:cstheme="minorHAnsi"/>
          <w:sz w:val="22"/>
          <w:szCs w:val="22"/>
        </w:rPr>
        <w:t>Kapulnik</w:t>
      </w:r>
      <w:proofErr w:type="spellEnd"/>
      <w:r w:rsidRPr="004D02F2">
        <w:rPr>
          <w:rFonts w:asciiTheme="minorHAnsi" w:hAnsiTheme="minorHAnsi" w:cstheme="minorHAnsi"/>
          <w:sz w:val="22"/>
          <w:szCs w:val="22"/>
        </w:rPr>
        <w:t xml:space="preserve">, E. (2021) 'Using creative genograms in family social work to integrate subjective and objective knowledge about the family: a participatory study,' </w:t>
      </w:r>
      <w:r w:rsidRPr="004D02F2">
        <w:rPr>
          <w:rFonts w:asciiTheme="minorHAnsi" w:hAnsiTheme="minorHAnsi" w:cstheme="minorHAnsi"/>
          <w:i/>
          <w:iCs/>
          <w:sz w:val="22"/>
          <w:szCs w:val="22"/>
        </w:rPr>
        <w:t>Research on Social Work Practice</w:t>
      </w:r>
      <w:r w:rsidRPr="004D02F2">
        <w:rPr>
          <w:rFonts w:asciiTheme="minorHAnsi" w:hAnsiTheme="minorHAnsi" w:cstheme="minorHAnsi"/>
          <w:sz w:val="22"/>
          <w:szCs w:val="22"/>
        </w:rPr>
        <w:t xml:space="preserve">, 31(4), pp. 390–399. Available from: </w:t>
      </w:r>
      <w:hyperlink r:id="rId24" w:history="1">
        <w:r w:rsidRPr="004D02F2">
          <w:rPr>
            <w:rStyle w:val="Hyperlink"/>
            <w:rFonts w:asciiTheme="minorHAnsi" w:hAnsiTheme="minorHAnsi" w:cstheme="minorHAnsi"/>
            <w:sz w:val="22"/>
            <w:szCs w:val="22"/>
          </w:rPr>
          <w:t>https://doi.org/10.1177/1049731521992843</w:t>
        </w:r>
      </w:hyperlink>
      <w:r w:rsidRPr="004D02F2">
        <w:rPr>
          <w:rFonts w:asciiTheme="minorHAnsi" w:hAnsiTheme="minorHAnsi" w:cstheme="minorHAnsi"/>
          <w:sz w:val="22"/>
          <w:szCs w:val="22"/>
        </w:rPr>
        <w:t>. (accessed 11/09/2024)</w:t>
      </w:r>
    </w:p>
    <w:p w14:paraId="192C278C" w14:textId="77777777" w:rsidR="004D02F2" w:rsidRPr="004D02F2" w:rsidRDefault="004D02F2" w:rsidP="004D02F2">
      <w:pPr>
        <w:rPr>
          <w:rFonts w:asciiTheme="minorHAnsi" w:hAnsiTheme="minorHAnsi" w:cstheme="minorHAnsi"/>
          <w:sz w:val="22"/>
          <w:szCs w:val="22"/>
        </w:rPr>
      </w:pPr>
    </w:p>
    <w:p w14:paraId="317F43E8"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Ingram, R. (2013) 'Locating emotional intelligence at the heart of social work practice,' </w:t>
      </w:r>
      <w:r w:rsidRPr="004D02F2">
        <w:rPr>
          <w:rFonts w:asciiTheme="minorHAnsi" w:hAnsiTheme="minorHAnsi" w:cstheme="minorHAnsi"/>
          <w:i/>
          <w:iCs/>
          <w:sz w:val="22"/>
          <w:szCs w:val="22"/>
        </w:rPr>
        <w:t>The British Journal of Social Work</w:t>
      </w:r>
      <w:r w:rsidRPr="004D02F2">
        <w:rPr>
          <w:rFonts w:asciiTheme="minorHAnsi" w:hAnsiTheme="minorHAnsi" w:cstheme="minorHAnsi"/>
          <w:sz w:val="22"/>
          <w:szCs w:val="22"/>
        </w:rPr>
        <w:t xml:space="preserve">, 43(5), pp. 987–1004. </w:t>
      </w:r>
      <w:hyperlink r:id="rId25" w:history="1">
        <w:r w:rsidRPr="004D02F2">
          <w:rPr>
            <w:rStyle w:val="Hyperlink"/>
            <w:rFonts w:asciiTheme="minorHAnsi" w:hAnsiTheme="minorHAnsi" w:cstheme="minorHAnsi"/>
            <w:sz w:val="22"/>
            <w:szCs w:val="22"/>
          </w:rPr>
          <w:t>https://doi.org/10.1093/bjsw/bcs029</w:t>
        </w:r>
      </w:hyperlink>
      <w:r w:rsidRPr="004D02F2">
        <w:rPr>
          <w:rFonts w:asciiTheme="minorHAnsi" w:hAnsiTheme="minorHAnsi" w:cstheme="minorHAnsi"/>
          <w:sz w:val="22"/>
          <w:szCs w:val="22"/>
        </w:rPr>
        <w:t>.</w:t>
      </w:r>
    </w:p>
    <w:p w14:paraId="6F769DAF" w14:textId="77777777" w:rsidR="004D02F2" w:rsidRPr="004D02F2" w:rsidRDefault="004D02F2" w:rsidP="004D02F2">
      <w:pPr>
        <w:rPr>
          <w:rFonts w:asciiTheme="minorHAnsi" w:hAnsiTheme="minorHAnsi" w:cstheme="minorHAnsi"/>
          <w:sz w:val="22"/>
          <w:szCs w:val="22"/>
        </w:rPr>
      </w:pPr>
    </w:p>
    <w:p w14:paraId="7A5CE289"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Jason, L.A. and Bobak, T. (2022) 'Using systems theory to improve intervention outcomes.,' </w:t>
      </w:r>
      <w:r w:rsidRPr="004D02F2">
        <w:rPr>
          <w:rFonts w:asciiTheme="minorHAnsi" w:hAnsiTheme="minorHAnsi" w:cstheme="minorHAnsi"/>
          <w:i/>
          <w:iCs/>
          <w:sz w:val="22"/>
          <w:szCs w:val="22"/>
        </w:rPr>
        <w:t>Professional Psychology Research and Practice</w:t>
      </w:r>
      <w:r w:rsidRPr="004D02F2">
        <w:rPr>
          <w:rFonts w:asciiTheme="minorHAnsi" w:hAnsiTheme="minorHAnsi" w:cstheme="minorHAnsi"/>
          <w:sz w:val="22"/>
          <w:szCs w:val="22"/>
        </w:rPr>
        <w:t>, 53(4), pp. 415–422. Available from: https://doi.org/10.1037/pro0000467. (accessed 11/09/2024)</w:t>
      </w:r>
    </w:p>
    <w:p w14:paraId="7F9ACFB3" w14:textId="77777777" w:rsidR="004D02F2" w:rsidRPr="004D02F2" w:rsidRDefault="004D02F2" w:rsidP="004D02F2">
      <w:pPr>
        <w:rPr>
          <w:rFonts w:asciiTheme="minorHAnsi" w:hAnsiTheme="minorHAnsi" w:cstheme="minorHAnsi"/>
          <w:sz w:val="22"/>
          <w:szCs w:val="22"/>
        </w:rPr>
      </w:pPr>
    </w:p>
    <w:p w14:paraId="586B9801"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Jasper, M. (2013) Beginning Reflective Practice, 2</w:t>
      </w:r>
      <w:r w:rsidRPr="004D02F2">
        <w:rPr>
          <w:rFonts w:asciiTheme="minorHAnsi" w:hAnsiTheme="minorHAnsi" w:cstheme="minorHAnsi"/>
          <w:sz w:val="22"/>
          <w:szCs w:val="22"/>
          <w:vertAlign w:val="superscript"/>
        </w:rPr>
        <w:t>nd</w:t>
      </w:r>
      <w:r w:rsidRPr="004D02F2">
        <w:rPr>
          <w:rFonts w:asciiTheme="minorHAnsi" w:hAnsiTheme="minorHAnsi" w:cstheme="minorHAnsi"/>
          <w:sz w:val="22"/>
          <w:szCs w:val="22"/>
        </w:rPr>
        <w:t xml:space="preserve"> ed. Andover: Cengage Learning.</w:t>
      </w:r>
    </w:p>
    <w:p w14:paraId="4AE91DAA" w14:textId="77777777" w:rsidR="004D02F2" w:rsidRPr="004D02F2" w:rsidRDefault="004D02F2" w:rsidP="004D02F2">
      <w:pPr>
        <w:rPr>
          <w:rFonts w:asciiTheme="minorHAnsi" w:hAnsiTheme="minorHAnsi" w:cstheme="minorHAnsi"/>
          <w:sz w:val="22"/>
          <w:szCs w:val="22"/>
        </w:rPr>
      </w:pPr>
    </w:p>
    <w:p w14:paraId="32B3507B" w14:textId="77777777" w:rsidR="004D02F2" w:rsidRP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Karim, S. (2023) 'Power-informed practice in social work,' </w:t>
      </w:r>
      <w:r w:rsidRPr="004D02F2">
        <w:rPr>
          <w:rFonts w:asciiTheme="minorHAnsi" w:hAnsiTheme="minorHAnsi" w:cstheme="minorHAnsi"/>
          <w:i/>
          <w:iCs/>
          <w:sz w:val="22"/>
          <w:szCs w:val="22"/>
        </w:rPr>
        <w:t>Journal of Social Work</w:t>
      </w:r>
      <w:r w:rsidRPr="004D02F2">
        <w:rPr>
          <w:rFonts w:asciiTheme="minorHAnsi" w:hAnsiTheme="minorHAnsi" w:cstheme="minorHAnsi"/>
          <w:sz w:val="22"/>
          <w:szCs w:val="22"/>
        </w:rPr>
        <w:t>, 23(6), pp. 1062–1079. https://doi.org/10.1177/14680173231180307.</w:t>
      </w:r>
    </w:p>
    <w:p w14:paraId="24234AAA" w14:textId="6A01A650"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lastRenderedPageBreak/>
        <w:t xml:space="preserve">Kennedy (2019) </w:t>
      </w:r>
      <w:r w:rsidRPr="004D02F2">
        <w:rPr>
          <w:rFonts w:asciiTheme="minorHAnsi" w:hAnsiTheme="minorHAnsi" w:cstheme="minorHAnsi"/>
          <w:i/>
          <w:iCs/>
          <w:sz w:val="22"/>
          <w:szCs w:val="22"/>
        </w:rPr>
        <w:t>The Importance of Relationships in Social Work</w:t>
      </w:r>
      <w:r w:rsidRPr="004D02F2">
        <w:rPr>
          <w:rFonts w:asciiTheme="minorHAnsi" w:hAnsiTheme="minorHAnsi" w:cstheme="minorHAnsi"/>
          <w:sz w:val="22"/>
          <w:szCs w:val="22"/>
        </w:rPr>
        <w:t xml:space="preserve">. https://www.careknowledge.com/media/44813/sw-and-relationships.pdf (Accessed: </w:t>
      </w:r>
      <w:r>
        <w:rPr>
          <w:rFonts w:asciiTheme="minorHAnsi" w:hAnsiTheme="minorHAnsi" w:cstheme="minorHAnsi"/>
          <w:sz w:val="22"/>
          <w:szCs w:val="22"/>
        </w:rPr>
        <w:t>1/2/</w:t>
      </w:r>
      <w:r w:rsidRPr="004D02F2">
        <w:rPr>
          <w:rFonts w:asciiTheme="minorHAnsi" w:hAnsiTheme="minorHAnsi" w:cstheme="minorHAnsi"/>
          <w:sz w:val="22"/>
          <w:szCs w:val="22"/>
        </w:rPr>
        <w:t>2025).</w:t>
      </w:r>
    </w:p>
    <w:p w14:paraId="384E1A2F" w14:textId="77777777" w:rsidR="004D02F2" w:rsidRPr="004D02F2" w:rsidRDefault="004D02F2" w:rsidP="004D02F2">
      <w:pPr>
        <w:rPr>
          <w:rFonts w:asciiTheme="minorHAnsi" w:hAnsiTheme="minorHAnsi" w:cstheme="minorHAnsi"/>
          <w:sz w:val="22"/>
          <w:szCs w:val="22"/>
        </w:rPr>
      </w:pPr>
    </w:p>
    <w:p w14:paraId="46AA15E0"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Lewis, B., Pipe, C. and Bostock, L. (2022) </w:t>
      </w:r>
      <w:r w:rsidRPr="004D02F2">
        <w:rPr>
          <w:rFonts w:asciiTheme="minorHAnsi" w:hAnsiTheme="minorHAnsi" w:cstheme="minorHAnsi"/>
          <w:i/>
          <w:iCs/>
          <w:sz w:val="22"/>
          <w:szCs w:val="22"/>
        </w:rPr>
        <w:t>Systemic Social Work and Contextual Safeguarding</w:t>
      </w:r>
      <w:r w:rsidRPr="004D02F2">
        <w:rPr>
          <w:rFonts w:asciiTheme="minorHAnsi" w:hAnsiTheme="minorHAnsi" w:cstheme="minorHAnsi"/>
          <w:sz w:val="22"/>
          <w:szCs w:val="22"/>
        </w:rPr>
        <w:t xml:space="preserve">. Available from: </w:t>
      </w:r>
      <w:hyperlink r:id="rId26" w:history="1">
        <w:r w:rsidRPr="004D02F2">
          <w:rPr>
            <w:rStyle w:val="Hyperlink"/>
            <w:rFonts w:asciiTheme="minorHAnsi" w:hAnsiTheme="minorHAnsi" w:cstheme="minorHAnsi"/>
            <w:sz w:val="22"/>
            <w:szCs w:val="22"/>
          </w:rPr>
          <w:t>https://www.contextualsafeguarding.org.uk/media/nbtc2yui/cs-and-systemic-practice_08-03-22_final-1.pdf</w:t>
        </w:r>
      </w:hyperlink>
      <w:r w:rsidRPr="004D02F2">
        <w:rPr>
          <w:rFonts w:asciiTheme="minorHAnsi" w:hAnsiTheme="minorHAnsi" w:cstheme="minorHAnsi"/>
          <w:sz w:val="22"/>
          <w:szCs w:val="22"/>
        </w:rPr>
        <w:t>. (accessed 12/09/2024)</w:t>
      </w:r>
    </w:p>
    <w:p w14:paraId="153BBE89" w14:textId="77777777" w:rsidR="004D02F2" w:rsidRDefault="004D02F2" w:rsidP="004D02F2">
      <w:pPr>
        <w:rPr>
          <w:rFonts w:asciiTheme="minorHAnsi" w:hAnsiTheme="minorHAnsi" w:cstheme="minorHAnsi"/>
          <w:sz w:val="22"/>
          <w:szCs w:val="22"/>
        </w:rPr>
      </w:pPr>
    </w:p>
    <w:p w14:paraId="47077650" w14:textId="06160147"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 xml:space="preserve">Mental Capacity Act 2005. </w:t>
      </w:r>
      <w:r w:rsidRPr="004D02F2">
        <w:rPr>
          <w:rFonts w:asciiTheme="minorHAnsi" w:hAnsiTheme="minorHAnsi" w:cstheme="minorHAnsi"/>
          <w:sz w:val="22"/>
          <w:szCs w:val="22"/>
        </w:rPr>
        <w:t xml:space="preserve">Available from Mental Capacity Act 2005 </w:t>
      </w:r>
      <w:hyperlink r:id="rId27" w:history="1">
        <w:r w:rsidRPr="004D02F2">
          <w:rPr>
            <w:rStyle w:val="Hyperlink"/>
            <w:rFonts w:asciiTheme="minorHAnsi" w:hAnsiTheme="minorHAnsi" w:cstheme="minorHAnsi"/>
            <w:sz w:val="22"/>
            <w:szCs w:val="22"/>
          </w:rPr>
          <w:t>https://www.legislation.gov.uk/ukpga/2005/9gov.uk</w:t>
        </w:r>
      </w:hyperlink>
      <w:r w:rsidRPr="004D02F2">
        <w:rPr>
          <w:rFonts w:asciiTheme="minorHAnsi" w:hAnsiTheme="minorHAnsi" w:cstheme="minorHAnsi"/>
          <w:sz w:val="22"/>
          <w:szCs w:val="22"/>
        </w:rPr>
        <w:t xml:space="preserve"> (accessed 12/12/2024)</w:t>
      </w:r>
    </w:p>
    <w:p w14:paraId="71F5B311" w14:textId="77777777" w:rsidR="004D02F2" w:rsidRPr="004D02F2" w:rsidRDefault="004D02F2" w:rsidP="004D02F2">
      <w:pPr>
        <w:rPr>
          <w:rFonts w:asciiTheme="minorHAnsi" w:hAnsiTheme="minorHAnsi" w:cstheme="minorHAnsi"/>
          <w:sz w:val="22"/>
          <w:szCs w:val="22"/>
        </w:rPr>
      </w:pPr>
    </w:p>
    <w:p w14:paraId="50ED86A0"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Milner, J. Myer, S., and O’Byrne, P. (2015) </w:t>
      </w:r>
      <w:r w:rsidRPr="004D02F2">
        <w:rPr>
          <w:rFonts w:asciiTheme="minorHAnsi" w:hAnsiTheme="minorHAnsi" w:cstheme="minorHAnsi"/>
          <w:i/>
          <w:iCs/>
          <w:sz w:val="22"/>
          <w:szCs w:val="22"/>
        </w:rPr>
        <w:t xml:space="preserve">Assessment in Social Work. </w:t>
      </w:r>
      <w:r w:rsidRPr="004D02F2">
        <w:rPr>
          <w:rFonts w:asciiTheme="minorHAnsi" w:hAnsiTheme="minorHAnsi" w:cstheme="minorHAnsi"/>
          <w:sz w:val="22"/>
          <w:szCs w:val="22"/>
        </w:rPr>
        <w:t>Basingstoke: Palgrave Macmillan.</w:t>
      </w:r>
    </w:p>
    <w:p w14:paraId="4EACD9C6" w14:textId="77777777" w:rsidR="004D02F2" w:rsidRDefault="004D02F2" w:rsidP="004D02F2">
      <w:pPr>
        <w:rPr>
          <w:rFonts w:asciiTheme="minorHAnsi" w:hAnsiTheme="minorHAnsi" w:cstheme="minorHAnsi"/>
          <w:sz w:val="22"/>
          <w:szCs w:val="22"/>
        </w:rPr>
      </w:pPr>
    </w:p>
    <w:p w14:paraId="7351DAD4" w14:textId="43527DB1"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 xml:space="preserve">More Than Just Words: delivering the Active Offer 2012. </w:t>
      </w:r>
      <w:r w:rsidRPr="004D02F2">
        <w:rPr>
          <w:rFonts w:asciiTheme="minorHAnsi" w:hAnsiTheme="minorHAnsi" w:cstheme="minorHAnsi"/>
          <w:sz w:val="22"/>
          <w:szCs w:val="22"/>
        </w:rPr>
        <w:t>Available from: Active offer information pack – Social Services and Social Care (</w:t>
      </w:r>
      <w:proofErr w:type="spellStart"/>
      <w:proofErr w:type="gramStart"/>
      <w:r w:rsidRPr="004D02F2">
        <w:rPr>
          <w:rFonts w:asciiTheme="minorHAnsi" w:hAnsiTheme="minorHAnsi" w:cstheme="minorHAnsi"/>
          <w:sz w:val="22"/>
          <w:szCs w:val="22"/>
        </w:rPr>
        <w:t>gov.wales</w:t>
      </w:r>
      <w:proofErr w:type="spellEnd"/>
      <w:proofErr w:type="gramEnd"/>
      <w:r w:rsidRPr="004D02F2">
        <w:rPr>
          <w:rFonts w:asciiTheme="minorHAnsi" w:hAnsiTheme="minorHAnsi" w:cstheme="minorHAnsi"/>
          <w:sz w:val="22"/>
          <w:szCs w:val="22"/>
        </w:rPr>
        <w:t>) (accessed 2/11/2024)</w:t>
      </w:r>
    </w:p>
    <w:p w14:paraId="2ACD7FA9" w14:textId="77777777" w:rsidR="004D02F2" w:rsidRPr="004D02F2" w:rsidRDefault="004D02F2" w:rsidP="004D02F2">
      <w:pPr>
        <w:rPr>
          <w:rFonts w:asciiTheme="minorHAnsi" w:hAnsiTheme="minorHAnsi" w:cstheme="minorHAnsi"/>
          <w:sz w:val="22"/>
          <w:szCs w:val="22"/>
        </w:rPr>
      </w:pPr>
    </w:p>
    <w:p w14:paraId="2644F75F"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Munroe, E (2011) </w:t>
      </w:r>
      <w:r w:rsidRPr="004D02F2">
        <w:rPr>
          <w:rFonts w:asciiTheme="minorHAnsi" w:hAnsiTheme="minorHAnsi" w:cstheme="minorHAnsi"/>
          <w:i/>
          <w:iCs/>
          <w:sz w:val="22"/>
          <w:szCs w:val="22"/>
        </w:rPr>
        <w:t xml:space="preserve">The Munroe Review of Child Protection: Final Report. </w:t>
      </w:r>
      <w:r w:rsidRPr="004D02F2">
        <w:rPr>
          <w:rFonts w:asciiTheme="minorHAnsi" w:hAnsiTheme="minorHAnsi" w:cstheme="minorHAnsi"/>
          <w:sz w:val="22"/>
          <w:szCs w:val="22"/>
        </w:rPr>
        <w:t xml:space="preserve">Available from: </w:t>
      </w:r>
      <w:hyperlink r:id="rId28" w:history="1">
        <w:r w:rsidRPr="004D02F2">
          <w:rPr>
            <w:rStyle w:val="Hyperlink"/>
            <w:rFonts w:asciiTheme="minorHAnsi" w:hAnsiTheme="minorHAnsi" w:cstheme="minorHAnsi"/>
            <w:sz w:val="22"/>
            <w:szCs w:val="22"/>
          </w:rPr>
          <w:t>https://assets.publishing.service.gov.uk/media/5a7b455ee5274a34770ea939/Munro-Review.pdf</w:t>
        </w:r>
      </w:hyperlink>
      <w:r w:rsidRPr="004D02F2">
        <w:rPr>
          <w:rFonts w:asciiTheme="minorHAnsi" w:hAnsiTheme="minorHAnsi" w:cstheme="minorHAnsi"/>
          <w:sz w:val="22"/>
          <w:szCs w:val="22"/>
        </w:rPr>
        <w:t xml:space="preserve"> (accessed, 11/09/2024)</w:t>
      </w:r>
    </w:p>
    <w:p w14:paraId="12E9E1DF" w14:textId="77777777" w:rsidR="004D02F2" w:rsidRPr="004D02F2" w:rsidRDefault="004D02F2" w:rsidP="004D02F2">
      <w:pPr>
        <w:rPr>
          <w:rFonts w:asciiTheme="minorHAnsi" w:hAnsiTheme="minorHAnsi" w:cstheme="minorHAnsi"/>
          <w:sz w:val="22"/>
          <w:szCs w:val="22"/>
        </w:rPr>
      </w:pPr>
    </w:p>
    <w:p w14:paraId="3ED2B0D5"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National Association of Social Workers (2025) </w:t>
      </w:r>
      <w:r w:rsidRPr="004D02F2">
        <w:rPr>
          <w:rFonts w:asciiTheme="minorHAnsi" w:hAnsiTheme="minorHAnsi" w:cstheme="minorHAnsi"/>
          <w:i/>
          <w:iCs/>
          <w:sz w:val="22"/>
          <w:szCs w:val="22"/>
        </w:rPr>
        <w:t>Read the Code of Ethics</w:t>
      </w:r>
      <w:r w:rsidRPr="004D02F2">
        <w:rPr>
          <w:rFonts w:asciiTheme="minorHAnsi" w:hAnsiTheme="minorHAnsi" w:cstheme="minorHAnsi"/>
          <w:sz w:val="22"/>
          <w:szCs w:val="22"/>
        </w:rPr>
        <w:t xml:space="preserve">. </w:t>
      </w:r>
      <w:hyperlink r:id="rId29" w:history="1">
        <w:r w:rsidRPr="004D02F2">
          <w:rPr>
            <w:rStyle w:val="Hyperlink"/>
            <w:rFonts w:asciiTheme="minorHAnsi" w:hAnsiTheme="minorHAnsi" w:cstheme="minorHAnsi"/>
            <w:sz w:val="22"/>
            <w:szCs w:val="22"/>
          </w:rPr>
          <w:t>https://www.socialworkers.org/About/Ethics/Code-of-Ethics/Code-of-Ethics-English#:~:text=The%20following%20broad%20ethical%20principles,relationships%2C%20integrity%2C%20and%20competence</w:t>
        </w:r>
      </w:hyperlink>
      <w:r w:rsidRPr="004D02F2">
        <w:rPr>
          <w:rFonts w:asciiTheme="minorHAnsi" w:hAnsiTheme="minorHAnsi" w:cstheme="minorHAnsi"/>
          <w:sz w:val="22"/>
          <w:szCs w:val="22"/>
        </w:rPr>
        <w:t>.</w:t>
      </w:r>
    </w:p>
    <w:p w14:paraId="364CC502" w14:textId="77777777" w:rsidR="004D02F2" w:rsidRPr="004D02F2" w:rsidRDefault="004D02F2" w:rsidP="004D02F2">
      <w:pPr>
        <w:rPr>
          <w:rFonts w:asciiTheme="minorHAnsi" w:hAnsiTheme="minorHAnsi" w:cstheme="minorHAnsi"/>
          <w:sz w:val="22"/>
          <w:szCs w:val="22"/>
        </w:rPr>
      </w:pPr>
    </w:p>
    <w:p w14:paraId="33D6B37F"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NSPCC (2021) </w:t>
      </w:r>
      <w:r w:rsidRPr="004D02F2">
        <w:rPr>
          <w:rFonts w:asciiTheme="minorHAnsi" w:hAnsiTheme="minorHAnsi" w:cstheme="minorHAnsi"/>
          <w:i/>
          <w:iCs/>
          <w:sz w:val="22"/>
          <w:szCs w:val="22"/>
        </w:rPr>
        <w:t>Duty of care and safeguarding | NSPCC Learning</w:t>
      </w:r>
      <w:r w:rsidRPr="004D02F2">
        <w:rPr>
          <w:rFonts w:asciiTheme="minorHAnsi" w:hAnsiTheme="minorHAnsi" w:cstheme="minorHAnsi"/>
          <w:sz w:val="22"/>
          <w:szCs w:val="22"/>
        </w:rPr>
        <w:t xml:space="preserve">. Available from: </w:t>
      </w:r>
      <w:hyperlink r:id="rId30" w:anchor=":~:text=It%20is%20everyone%27s%20responsibility%20to,is%20equally%20protected%20from%20harm" w:history="1">
        <w:r w:rsidRPr="004D02F2">
          <w:rPr>
            <w:rStyle w:val="Hyperlink"/>
            <w:rFonts w:asciiTheme="minorHAnsi" w:hAnsiTheme="minorHAnsi" w:cstheme="minorHAnsi"/>
            <w:sz w:val="22"/>
            <w:szCs w:val="22"/>
          </w:rPr>
          <w:t>https://learning.nspcc.org.uk/safeguarding-child-protection/duty-of-care-and-safeguarding#:~:text=It%20is%20everyone%27s%20responsibility%20to,is%20equally%20protected%20from%20harm</w:t>
        </w:r>
      </w:hyperlink>
      <w:r w:rsidRPr="004D02F2">
        <w:rPr>
          <w:rFonts w:asciiTheme="minorHAnsi" w:hAnsiTheme="minorHAnsi" w:cstheme="minorHAnsi"/>
          <w:sz w:val="22"/>
          <w:szCs w:val="22"/>
        </w:rPr>
        <w:t xml:space="preserve">. (accessed: 13/09/2024). </w:t>
      </w:r>
    </w:p>
    <w:p w14:paraId="29D28F0D" w14:textId="77777777" w:rsidR="004D02F2" w:rsidRPr="004D02F2" w:rsidRDefault="004D02F2" w:rsidP="004D02F2">
      <w:pPr>
        <w:rPr>
          <w:rFonts w:asciiTheme="minorHAnsi" w:hAnsiTheme="minorHAnsi" w:cstheme="minorHAnsi"/>
          <w:sz w:val="22"/>
          <w:szCs w:val="22"/>
        </w:rPr>
      </w:pPr>
    </w:p>
    <w:p w14:paraId="4EB0D9FD"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Office of National Statistics (2021) </w:t>
      </w:r>
      <w:r w:rsidRPr="004D02F2">
        <w:rPr>
          <w:rFonts w:asciiTheme="minorHAnsi" w:hAnsiTheme="minorHAnsi" w:cstheme="minorHAnsi"/>
          <w:i/>
          <w:iCs/>
          <w:sz w:val="22"/>
          <w:szCs w:val="22"/>
        </w:rPr>
        <w:t>How life has changed in X: Census 2021</w:t>
      </w:r>
      <w:r w:rsidRPr="004D02F2">
        <w:rPr>
          <w:rFonts w:asciiTheme="minorHAnsi" w:hAnsiTheme="minorHAnsi" w:cstheme="minorHAnsi"/>
          <w:sz w:val="22"/>
          <w:szCs w:val="22"/>
        </w:rPr>
        <w:t xml:space="preserve">. Available from: </w:t>
      </w:r>
      <w:hyperlink r:id="rId31" w:history="1">
        <w:r w:rsidRPr="004D02F2">
          <w:rPr>
            <w:rStyle w:val="Hyperlink"/>
            <w:rFonts w:asciiTheme="minorHAnsi" w:hAnsiTheme="minorHAnsi" w:cstheme="minorHAnsi"/>
            <w:sz w:val="22"/>
            <w:szCs w:val="22"/>
          </w:rPr>
          <w:t>https://www.ons.gov.uk/visualisations/censusareachanges/W06000010/</w:t>
        </w:r>
      </w:hyperlink>
      <w:r w:rsidRPr="004D02F2">
        <w:rPr>
          <w:rFonts w:asciiTheme="minorHAnsi" w:hAnsiTheme="minorHAnsi" w:cstheme="minorHAnsi"/>
          <w:sz w:val="22"/>
          <w:szCs w:val="22"/>
        </w:rPr>
        <w:t>.(accessed: 13/09/2024)</w:t>
      </w:r>
    </w:p>
    <w:p w14:paraId="1C7EEB2F" w14:textId="77777777" w:rsidR="004D02F2" w:rsidRPr="004D02F2" w:rsidRDefault="004D02F2" w:rsidP="004D02F2">
      <w:pPr>
        <w:rPr>
          <w:rFonts w:asciiTheme="minorHAnsi" w:hAnsiTheme="minorHAnsi" w:cstheme="minorHAnsi"/>
          <w:sz w:val="22"/>
          <w:szCs w:val="22"/>
        </w:rPr>
      </w:pPr>
    </w:p>
    <w:p w14:paraId="71A7AA5B"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O’Reilly, L. and Dolan, P. (2015) 'The Voice of the Child in Social Work Assessments: Age-Appropriate Communication with Children,' </w:t>
      </w:r>
      <w:r w:rsidRPr="004D02F2">
        <w:rPr>
          <w:rFonts w:asciiTheme="minorHAnsi" w:hAnsiTheme="minorHAnsi" w:cstheme="minorHAnsi"/>
          <w:i/>
          <w:iCs/>
          <w:sz w:val="22"/>
          <w:szCs w:val="22"/>
        </w:rPr>
        <w:t>The British Journal of Social Work</w:t>
      </w:r>
      <w:r w:rsidRPr="004D02F2">
        <w:rPr>
          <w:rFonts w:asciiTheme="minorHAnsi" w:hAnsiTheme="minorHAnsi" w:cstheme="minorHAnsi"/>
          <w:sz w:val="22"/>
          <w:szCs w:val="22"/>
        </w:rPr>
        <w:t>, 46(5), pp. 1191–1207. Available from: </w:t>
      </w:r>
      <w:hyperlink r:id="rId32" w:history="1">
        <w:r w:rsidRPr="004D02F2">
          <w:rPr>
            <w:rStyle w:val="Hyperlink"/>
            <w:rFonts w:asciiTheme="minorHAnsi" w:hAnsiTheme="minorHAnsi" w:cstheme="minorHAnsi"/>
            <w:sz w:val="22"/>
            <w:szCs w:val="22"/>
          </w:rPr>
          <w:t>https://doi.org/10.1093/bjsw/bcv040</w:t>
        </w:r>
      </w:hyperlink>
      <w:r w:rsidRPr="004D02F2">
        <w:rPr>
          <w:rFonts w:asciiTheme="minorHAnsi" w:hAnsiTheme="minorHAnsi" w:cstheme="minorHAnsi"/>
          <w:sz w:val="22"/>
          <w:szCs w:val="22"/>
        </w:rPr>
        <w:t>. (accessed on 10/09/2024)</w:t>
      </w:r>
    </w:p>
    <w:p w14:paraId="4C5625F7" w14:textId="77777777" w:rsidR="004D02F2" w:rsidRPr="004D02F2" w:rsidRDefault="004D02F2" w:rsidP="004D02F2">
      <w:pPr>
        <w:rPr>
          <w:rFonts w:asciiTheme="minorHAnsi" w:hAnsiTheme="minorHAnsi" w:cstheme="minorHAnsi"/>
          <w:sz w:val="22"/>
          <w:szCs w:val="22"/>
        </w:rPr>
      </w:pPr>
    </w:p>
    <w:p w14:paraId="483F5108" w14:textId="47EC2480"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Owens, R. </w:t>
      </w:r>
      <w:r w:rsidRPr="004D02F2">
        <w:rPr>
          <w:rFonts w:asciiTheme="minorHAnsi" w:hAnsiTheme="minorHAnsi" w:cstheme="minorHAnsi"/>
          <w:i/>
          <w:iCs/>
          <w:sz w:val="22"/>
          <w:szCs w:val="22"/>
        </w:rPr>
        <w:t>et al.</w:t>
      </w:r>
      <w:r w:rsidRPr="004D02F2">
        <w:rPr>
          <w:rFonts w:asciiTheme="minorHAnsi" w:hAnsiTheme="minorHAnsi" w:cstheme="minorHAnsi"/>
          <w:sz w:val="22"/>
          <w:szCs w:val="22"/>
        </w:rPr>
        <w:t xml:space="preserve"> (2020) </w:t>
      </w:r>
      <w:r w:rsidRPr="004D02F2">
        <w:rPr>
          <w:rFonts w:asciiTheme="minorHAnsi" w:hAnsiTheme="minorHAnsi" w:cstheme="minorHAnsi"/>
          <w:i/>
          <w:iCs/>
          <w:sz w:val="22"/>
          <w:szCs w:val="22"/>
        </w:rPr>
        <w:t>Relationship-based practice and contextual safeguarding: key messages for practice</w:t>
      </w:r>
      <w:r w:rsidRPr="004D02F2">
        <w:rPr>
          <w:rFonts w:asciiTheme="minorHAnsi" w:hAnsiTheme="minorHAnsi" w:cstheme="minorHAnsi"/>
          <w:sz w:val="22"/>
          <w:szCs w:val="22"/>
        </w:rPr>
        <w:t xml:space="preserve">. </w:t>
      </w:r>
      <w:hyperlink r:id="rId33" w:history="1">
        <w:r w:rsidRPr="00764256">
          <w:rPr>
            <w:rStyle w:val="Hyperlink"/>
            <w:rFonts w:asciiTheme="minorHAnsi" w:hAnsiTheme="minorHAnsi" w:cstheme="minorHAnsi"/>
            <w:sz w:val="22"/>
            <w:szCs w:val="22"/>
          </w:rPr>
          <w:t>https://uobrep.openrepository.com/handle/10547/624922</w:t>
        </w:r>
      </w:hyperlink>
      <w:r w:rsidRPr="004D02F2">
        <w:rPr>
          <w:rFonts w:asciiTheme="minorHAnsi" w:hAnsiTheme="minorHAnsi" w:cstheme="minorHAnsi"/>
          <w:sz w:val="22"/>
          <w:szCs w:val="22"/>
        </w:rPr>
        <w:t>.</w:t>
      </w:r>
    </w:p>
    <w:p w14:paraId="081E9BE9" w14:textId="77777777" w:rsidR="004D02F2" w:rsidRPr="004D02F2" w:rsidRDefault="004D02F2" w:rsidP="004D02F2">
      <w:pPr>
        <w:rPr>
          <w:rFonts w:asciiTheme="minorHAnsi" w:hAnsiTheme="minorHAnsi" w:cstheme="minorHAnsi"/>
          <w:sz w:val="22"/>
          <w:szCs w:val="22"/>
        </w:rPr>
      </w:pPr>
    </w:p>
    <w:p w14:paraId="40147001"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Race, T. and Frost, N. (2022) 'Hearing the voice of the child in safeguarding processes: exploring different voices and competing narratives,' </w:t>
      </w:r>
      <w:r w:rsidRPr="004D02F2">
        <w:rPr>
          <w:rFonts w:asciiTheme="minorHAnsi" w:hAnsiTheme="minorHAnsi" w:cstheme="minorHAnsi"/>
          <w:i/>
          <w:iCs/>
          <w:sz w:val="22"/>
          <w:szCs w:val="22"/>
        </w:rPr>
        <w:t>Child Abuse Review</w:t>
      </w:r>
      <w:r w:rsidRPr="004D02F2">
        <w:rPr>
          <w:rFonts w:asciiTheme="minorHAnsi" w:hAnsiTheme="minorHAnsi" w:cstheme="minorHAnsi"/>
          <w:sz w:val="22"/>
          <w:szCs w:val="22"/>
        </w:rPr>
        <w:t xml:space="preserve">, 31(6). </w:t>
      </w:r>
      <w:hyperlink r:id="rId34" w:history="1">
        <w:r w:rsidRPr="004D02F2">
          <w:rPr>
            <w:rStyle w:val="Hyperlink"/>
            <w:rFonts w:asciiTheme="minorHAnsi" w:hAnsiTheme="minorHAnsi" w:cstheme="minorHAnsi"/>
            <w:sz w:val="22"/>
            <w:szCs w:val="22"/>
          </w:rPr>
          <w:t>https://doi.org/10.1002/car.2779</w:t>
        </w:r>
      </w:hyperlink>
      <w:r w:rsidRPr="004D02F2">
        <w:rPr>
          <w:rFonts w:asciiTheme="minorHAnsi" w:hAnsiTheme="minorHAnsi" w:cstheme="minorHAnsi"/>
          <w:sz w:val="22"/>
          <w:szCs w:val="22"/>
        </w:rPr>
        <w:t>.</w:t>
      </w:r>
    </w:p>
    <w:p w14:paraId="21FCC501" w14:textId="77777777" w:rsidR="004D02F2" w:rsidRPr="004D02F2" w:rsidRDefault="004D02F2" w:rsidP="004D02F2">
      <w:pPr>
        <w:rPr>
          <w:rFonts w:asciiTheme="minorHAnsi" w:hAnsiTheme="minorHAnsi" w:cstheme="minorHAnsi"/>
          <w:sz w:val="22"/>
          <w:szCs w:val="22"/>
        </w:rPr>
      </w:pPr>
    </w:p>
    <w:p w14:paraId="6B19B6DE" w14:textId="77777777" w:rsidR="004D02F2" w:rsidRDefault="004D02F2" w:rsidP="004D02F2">
      <w:pPr>
        <w:rPr>
          <w:rFonts w:asciiTheme="minorHAnsi" w:hAnsiTheme="minorHAnsi" w:cstheme="minorHAnsi"/>
          <w:sz w:val="22"/>
          <w:szCs w:val="22"/>
        </w:rPr>
      </w:pPr>
      <w:proofErr w:type="spellStart"/>
      <w:r w:rsidRPr="004D02F2">
        <w:rPr>
          <w:rFonts w:asciiTheme="minorHAnsi" w:hAnsiTheme="minorHAnsi" w:cstheme="minorHAnsi"/>
          <w:sz w:val="22"/>
          <w:szCs w:val="22"/>
        </w:rPr>
        <w:t>Raitasalo</w:t>
      </w:r>
      <w:proofErr w:type="spellEnd"/>
      <w:r w:rsidRPr="004D02F2">
        <w:rPr>
          <w:rFonts w:asciiTheme="minorHAnsi" w:hAnsiTheme="minorHAnsi" w:cstheme="minorHAnsi"/>
          <w:sz w:val="22"/>
          <w:szCs w:val="22"/>
        </w:rPr>
        <w:t xml:space="preserve">, K </w:t>
      </w:r>
      <w:r w:rsidRPr="004D02F2">
        <w:rPr>
          <w:rFonts w:asciiTheme="minorHAnsi" w:hAnsiTheme="minorHAnsi" w:cstheme="minorHAnsi"/>
          <w:i/>
          <w:iCs/>
          <w:sz w:val="22"/>
          <w:szCs w:val="22"/>
        </w:rPr>
        <w:t>et al.</w:t>
      </w:r>
      <w:r w:rsidRPr="004D02F2">
        <w:rPr>
          <w:rFonts w:asciiTheme="minorHAnsi" w:hAnsiTheme="minorHAnsi" w:cstheme="minorHAnsi"/>
          <w:sz w:val="22"/>
          <w:szCs w:val="22"/>
        </w:rPr>
        <w:t xml:space="preserve"> (2015) 'Hospitalisations and out-of-home placements of children of substance-abusing mothers: A register-based cohort study.,' </w:t>
      </w:r>
      <w:r w:rsidRPr="004D02F2">
        <w:rPr>
          <w:rFonts w:asciiTheme="minorHAnsi" w:hAnsiTheme="minorHAnsi" w:cstheme="minorHAnsi"/>
          <w:i/>
          <w:iCs/>
          <w:sz w:val="22"/>
          <w:szCs w:val="22"/>
        </w:rPr>
        <w:t>Drug and Alcohol Review</w:t>
      </w:r>
      <w:r w:rsidRPr="004D02F2">
        <w:rPr>
          <w:rFonts w:asciiTheme="minorHAnsi" w:hAnsiTheme="minorHAnsi" w:cstheme="minorHAnsi"/>
          <w:sz w:val="22"/>
          <w:szCs w:val="22"/>
        </w:rPr>
        <w:t>, 34, pp. 38–445.</w:t>
      </w:r>
    </w:p>
    <w:p w14:paraId="1F90C4CC" w14:textId="77777777" w:rsidR="004D02F2" w:rsidRPr="004D02F2" w:rsidRDefault="004D02F2" w:rsidP="004D02F2">
      <w:pPr>
        <w:rPr>
          <w:rFonts w:asciiTheme="minorHAnsi" w:hAnsiTheme="minorHAnsi" w:cstheme="minorHAnsi"/>
          <w:sz w:val="22"/>
          <w:szCs w:val="22"/>
        </w:rPr>
      </w:pPr>
    </w:p>
    <w:p w14:paraId="5489610D" w14:textId="77777777" w:rsidR="004D02F2" w:rsidRP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Reith-Hall, E. (2022) 'The teaching and learning of communication skills for social work students: a realist synthesis protocol,' </w:t>
      </w:r>
      <w:r w:rsidRPr="004D02F2">
        <w:rPr>
          <w:rFonts w:asciiTheme="minorHAnsi" w:hAnsiTheme="minorHAnsi" w:cstheme="minorHAnsi"/>
          <w:i/>
          <w:iCs/>
          <w:sz w:val="22"/>
          <w:szCs w:val="22"/>
        </w:rPr>
        <w:t>Systematic Reviews</w:t>
      </w:r>
      <w:r w:rsidRPr="004D02F2">
        <w:rPr>
          <w:rFonts w:asciiTheme="minorHAnsi" w:hAnsiTheme="minorHAnsi" w:cstheme="minorHAnsi"/>
          <w:sz w:val="22"/>
          <w:szCs w:val="22"/>
        </w:rPr>
        <w:t xml:space="preserve">, 11(1). </w:t>
      </w:r>
      <w:hyperlink r:id="rId35" w:history="1">
        <w:r w:rsidRPr="004D02F2">
          <w:rPr>
            <w:rStyle w:val="Hyperlink"/>
            <w:rFonts w:asciiTheme="minorHAnsi" w:hAnsiTheme="minorHAnsi" w:cstheme="minorHAnsi"/>
            <w:sz w:val="22"/>
            <w:szCs w:val="22"/>
          </w:rPr>
          <w:t>https://doi.org/10.1186/s13643-022-02125-w</w:t>
        </w:r>
      </w:hyperlink>
      <w:r w:rsidRPr="004D02F2">
        <w:rPr>
          <w:rFonts w:asciiTheme="minorHAnsi" w:hAnsiTheme="minorHAnsi" w:cstheme="minorHAnsi"/>
          <w:sz w:val="22"/>
          <w:szCs w:val="22"/>
        </w:rPr>
        <w:t>.</w:t>
      </w:r>
    </w:p>
    <w:p w14:paraId="355D1A0C"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lastRenderedPageBreak/>
        <w:t xml:space="preserve">Roy, J. (2020) 'Children living with parental substance misuse: A cross‐sectional profile of children and families referred to children’s social care,' </w:t>
      </w:r>
      <w:r w:rsidRPr="004D02F2">
        <w:rPr>
          <w:rFonts w:asciiTheme="minorHAnsi" w:hAnsiTheme="minorHAnsi" w:cstheme="minorHAnsi"/>
          <w:i/>
          <w:iCs/>
          <w:sz w:val="22"/>
          <w:szCs w:val="22"/>
        </w:rPr>
        <w:t>Child &amp; Family Social Work</w:t>
      </w:r>
      <w:r w:rsidRPr="004D02F2">
        <w:rPr>
          <w:rFonts w:asciiTheme="minorHAnsi" w:hAnsiTheme="minorHAnsi" w:cstheme="minorHAnsi"/>
          <w:sz w:val="22"/>
          <w:szCs w:val="22"/>
        </w:rPr>
        <w:t xml:space="preserve">, 26(1), pp. 122–131. Available from: </w:t>
      </w:r>
      <w:hyperlink r:id="rId36" w:history="1">
        <w:r w:rsidRPr="004D02F2">
          <w:rPr>
            <w:rStyle w:val="Hyperlink"/>
            <w:rFonts w:asciiTheme="minorHAnsi" w:hAnsiTheme="minorHAnsi" w:cstheme="minorHAnsi"/>
            <w:sz w:val="22"/>
            <w:szCs w:val="22"/>
          </w:rPr>
          <w:t>https://doi.org/10.1111/cfs.12795</w:t>
        </w:r>
      </w:hyperlink>
      <w:r w:rsidRPr="004D02F2">
        <w:rPr>
          <w:rFonts w:asciiTheme="minorHAnsi" w:hAnsiTheme="minorHAnsi" w:cstheme="minorHAnsi"/>
          <w:sz w:val="22"/>
          <w:szCs w:val="22"/>
        </w:rPr>
        <w:t>. (accessed 10/09/2024)</w:t>
      </w:r>
    </w:p>
    <w:p w14:paraId="4C8B34C0" w14:textId="77777777" w:rsidR="004D02F2" w:rsidRPr="004D02F2" w:rsidRDefault="004D02F2" w:rsidP="004D02F2">
      <w:pPr>
        <w:rPr>
          <w:rFonts w:asciiTheme="minorHAnsi" w:hAnsiTheme="minorHAnsi" w:cstheme="minorHAnsi"/>
          <w:sz w:val="22"/>
          <w:szCs w:val="22"/>
        </w:rPr>
      </w:pPr>
    </w:p>
    <w:p w14:paraId="4FBD0E88"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Ruch, G. Turney, D. and Ward A. (2018) </w:t>
      </w:r>
      <w:r w:rsidRPr="004D02F2">
        <w:rPr>
          <w:rFonts w:asciiTheme="minorHAnsi" w:hAnsiTheme="minorHAnsi" w:cstheme="minorHAnsi"/>
          <w:i/>
          <w:iCs/>
          <w:sz w:val="22"/>
          <w:szCs w:val="22"/>
        </w:rPr>
        <w:t xml:space="preserve">Relationship Based Social Work. Getting to the Heart of Practice. </w:t>
      </w:r>
      <w:r w:rsidRPr="004D02F2">
        <w:rPr>
          <w:rFonts w:asciiTheme="minorHAnsi" w:hAnsiTheme="minorHAnsi" w:cstheme="minorHAnsi"/>
          <w:sz w:val="22"/>
          <w:szCs w:val="22"/>
        </w:rPr>
        <w:t>2</w:t>
      </w:r>
      <w:r w:rsidRPr="004D02F2">
        <w:rPr>
          <w:rFonts w:asciiTheme="minorHAnsi" w:hAnsiTheme="minorHAnsi" w:cstheme="minorHAnsi"/>
          <w:sz w:val="22"/>
          <w:szCs w:val="22"/>
          <w:vertAlign w:val="superscript"/>
        </w:rPr>
        <w:t>nd</w:t>
      </w:r>
      <w:r w:rsidRPr="004D02F2">
        <w:rPr>
          <w:rFonts w:asciiTheme="minorHAnsi" w:hAnsiTheme="minorHAnsi" w:cstheme="minorHAnsi"/>
          <w:sz w:val="22"/>
          <w:szCs w:val="22"/>
        </w:rPr>
        <w:t xml:space="preserve"> ed. London. Jessica Kinglsey Publishers.</w:t>
      </w:r>
    </w:p>
    <w:p w14:paraId="4FAEDEFF" w14:textId="77777777" w:rsidR="004D02F2" w:rsidRPr="004D02F2" w:rsidRDefault="004D02F2" w:rsidP="004D02F2">
      <w:pPr>
        <w:rPr>
          <w:rFonts w:asciiTheme="minorHAnsi" w:hAnsiTheme="minorHAnsi" w:cstheme="minorHAnsi"/>
          <w:sz w:val="22"/>
          <w:szCs w:val="22"/>
        </w:rPr>
      </w:pPr>
    </w:p>
    <w:p w14:paraId="22E35EE2"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Schon, D. (1983) </w:t>
      </w:r>
      <w:r w:rsidRPr="004D02F2">
        <w:rPr>
          <w:rFonts w:asciiTheme="minorHAnsi" w:hAnsiTheme="minorHAnsi" w:cstheme="minorHAnsi"/>
          <w:i/>
          <w:iCs/>
          <w:sz w:val="22"/>
          <w:szCs w:val="22"/>
        </w:rPr>
        <w:t xml:space="preserve">The reflective practitioner: How professionals think in action. </w:t>
      </w:r>
      <w:r w:rsidRPr="004D02F2">
        <w:rPr>
          <w:rFonts w:asciiTheme="minorHAnsi" w:hAnsiTheme="minorHAnsi" w:cstheme="minorHAnsi"/>
          <w:sz w:val="22"/>
          <w:szCs w:val="22"/>
        </w:rPr>
        <w:t>New York, NY: Basic Books.</w:t>
      </w:r>
    </w:p>
    <w:p w14:paraId="5C35C3E4" w14:textId="77777777" w:rsidR="004D02F2" w:rsidRPr="004D02F2" w:rsidRDefault="004D02F2" w:rsidP="004D02F2">
      <w:pPr>
        <w:rPr>
          <w:rFonts w:asciiTheme="minorHAnsi" w:hAnsiTheme="minorHAnsi" w:cstheme="minorHAnsi"/>
          <w:sz w:val="22"/>
          <w:szCs w:val="22"/>
        </w:rPr>
      </w:pPr>
    </w:p>
    <w:p w14:paraId="07BBD806"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SCIE (2023). </w:t>
      </w:r>
      <w:r w:rsidRPr="004D02F2">
        <w:rPr>
          <w:rFonts w:asciiTheme="minorHAnsi" w:hAnsiTheme="minorHAnsi" w:cstheme="minorHAnsi"/>
          <w:i/>
          <w:iCs/>
          <w:sz w:val="22"/>
          <w:szCs w:val="22"/>
        </w:rPr>
        <w:t xml:space="preserve">Prevention and Wellbeing: Person Centred Care. </w:t>
      </w:r>
      <w:r w:rsidRPr="004D02F2">
        <w:rPr>
          <w:rFonts w:asciiTheme="minorHAnsi" w:hAnsiTheme="minorHAnsi" w:cstheme="minorHAnsi"/>
          <w:sz w:val="22"/>
          <w:szCs w:val="22"/>
        </w:rPr>
        <w:t xml:space="preserve">Available from: </w:t>
      </w:r>
      <w:hyperlink r:id="rId37" w:history="1">
        <w:r w:rsidRPr="004D02F2">
          <w:rPr>
            <w:rStyle w:val="Hyperlink"/>
            <w:rFonts w:asciiTheme="minorHAnsi" w:hAnsiTheme="minorHAnsi" w:cstheme="minorHAnsi"/>
            <w:sz w:val="22"/>
            <w:szCs w:val="22"/>
          </w:rPr>
          <w:t>https://www.scie.org.uk/prevention/choice/person-centred-care</w:t>
        </w:r>
      </w:hyperlink>
      <w:r w:rsidRPr="004D02F2">
        <w:rPr>
          <w:rFonts w:asciiTheme="minorHAnsi" w:hAnsiTheme="minorHAnsi" w:cstheme="minorHAnsi"/>
          <w:sz w:val="22"/>
          <w:szCs w:val="22"/>
        </w:rPr>
        <w:t>. (accessed 9/12/2024)</w:t>
      </w:r>
    </w:p>
    <w:p w14:paraId="09426056" w14:textId="77777777" w:rsidR="004D02F2" w:rsidRPr="004D02F2" w:rsidRDefault="004D02F2" w:rsidP="004D02F2">
      <w:pPr>
        <w:rPr>
          <w:rFonts w:asciiTheme="minorHAnsi" w:hAnsiTheme="minorHAnsi" w:cstheme="minorHAnsi"/>
          <w:sz w:val="22"/>
          <w:szCs w:val="22"/>
        </w:rPr>
      </w:pPr>
    </w:p>
    <w:p w14:paraId="4C5B2270"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Sidebotham, P. </w:t>
      </w:r>
      <w:r w:rsidRPr="004D02F2">
        <w:rPr>
          <w:rFonts w:asciiTheme="minorHAnsi" w:hAnsiTheme="minorHAnsi" w:cstheme="minorHAnsi"/>
          <w:i/>
          <w:iCs/>
          <w:sz w:val="22"/>
          <w:szCs w:val="22"/>
        </w:rPr>
        <w:t>et al.</w:t>
      </w:r>
      <w:r w:rsidRPr="004D02F2">
        <w:rPr>
          <w:rFonts w:asciiTheme="minorHAnsi" w:hAnsiTheme="minorHAnsi" w:cstheme="minorHAnsi"/>
          <w:sz w:val="22"/>
          <w:szCs w:val="22"/>
        </w:rPr>
        <w:t xml:space="preserve"> (2016) </w:t>
      </w:r>
      <w:r w:rsidRPr="004D02F2">
        <w:rPr>
          <w:rFonts w:asciiTheme="minorHAnsi" w:hAnsiTheme="minorHAnsi" w:cstheme="minorHAnsi"/>
          <w:i/>
          <w:iCs/>
          <w:sz w:val="22"/>
          <w:szCs w:val="22"/>
        </w:rPr>
        <w:t>Pathways to harm, pathways to protection: a triennial analysis of serious case reviews 2011 to 2014: Final report</w:t>
      </w:r>
      <w:r w:rsidRPr="004D02F2">
        <w:rPr>
          <w:rFonts w:asciiTheme="minorHAnsi" w:hAnsiTheme="minorHAnsi" w:cstheme="minorHAnsi"/>
          <w:sz w:val="22"/>
          <w:szCs w:val="22"/>
        </w:rPr>
        <w:t xml:space="preserve">. Available from: </w:t>
      </w:r>
      <w:hyperlink r:id="rId38" w:history="1">
        <w:r w:rsidRPr="004D02F2">
          <w:rPr>
            <w:rStyle w:val="Hyperlink"/>
            <w:rFonts w:asciiTheme="minorHAnsi" w:hAnsiTheme="minorHAnsi" w:cstheme="minorHAnsi"/>
            <w:sz w:val="22"/>
            <w:szCs w:val="22"/>
          </w:rPr>
          <w:t>https://research-portal.uea.ac.uk/en/publications/pathways-to-harm-pathways-to-protection-a-triennial-analysis-of-s</w:t>
        </w:r>
      </w:hyperlink>
      <w:r w:rsidRPr="004D02F2">
        <w:rPr>
          <w:rFonts w:asciiTheme="minorHAnsi" w:hAnsiTheme="minorHAnsi" w:cstheme="minorHAnsi"/>
          <w:sz w:val="22"/>
          <w:szCs w:val="22"/>
        </w:rPr>
        <w:t>. (accessed 11/09/2024)</w:t>
      </w:r>
    </w:p>
    <w:p w14:paraId="24CC6CFE" w14:textId="77777777" w:rsidR="004D02F2" w:rsidRPr="004D02F2" w:rsidRDefault="004D02F2" w:rsidP="004D02F2">
      <w:pPr>
        <w:rPr>
          <w:rFonts w:asciiTheme="minorHAnsi" w:hAnsiTheme="minorHAnsi" w:cstheme="minorHAnsi"/>
          <w:sz w:val="22"/>
          <w:szCs w:val="22"/>
        </w:rPr>
      </w:pPr>
    </w:p>
    <w:p w14:paraId="5F450EBC"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Smale, G. (1993) </w:t>
      </w:r>
      <w:r w:rsidRPr="004D02F2">
        <w:rPr>
          <w:rFonts w:asciiTheme="minorHAnsi" w:hAnsiTheme="minorHAnsi" w:cstheme="minorHAnsi"/>
          <w:i/>
          <w:iCs/>
          <w:sz w:val="22"/>
          <w:szCs w:val="22"/>
        </w:rPr>
        <w:t xml:space="preserve">Empowerment, Assessment, Care Management and the Skilled Worker. </w:t>
      </w:r>
      <w:r w:rsidRPr="004D02F2">
        <w:rPr>
          <w:rFonts w:asciiTheme="minorHAnsi" w:hAnsiTheme="minorHAnsi" w:cstheme="minorHAnsi"/>
          <w:sz w:val="22"/>
          <w:szCs w:val="22"/>
        </w:rPr>
        <w:t>London: National Institute for Social Care.</w:t>
      </w:r>
    </w:p>
    <w:p w14:paraId="6DBFECC4" w14:textId="77777777" w:rsidR="004D02F2" w:rsidRPr="004D02F2" w:rsidRDefault="004D02F2" w:rsidP="004D02F2">
      <w:pPr>
        <w:rPr>
          <w:rFonts w:asciiTheme="minorHAnsi" w:hAnsiTheme="minorHAnsi" w:cstheme="minorHAnsi"/>
          <w:sz w:val="22"/>
          <w:szCs w:val="22"/>
        </w:rPr>
      </w:pPr>
    </w:p>
    <w:p w14:paraId="77531949"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Smith, M.A. (2021) 'Social learning and addiction,' </w:t>
      </w:r>
      <w:r w:rsidRPr="004D02F2">
        <w:rPr>
          <w:rFonts w:asciiTheme="minorHAnsi" w:hAnsiTheme="minorHAnsi" w:cstheme="minorHAnsi"/>
          <w:i/>
          <w:iCs/>
          <w:sz w:val="22"/>
          <w:szCs w:val="22"/>
        </w:rPr>
        <w:t>Behavioural Brain Research</w:t>
      </w:r>
      <w:r w:rsidRPr="004D02F2">
        <w:rPr>
          <w:rFonts w:asciiTheme="minorHAnsi" w:hAnsiTheme="minorHAnsi" w:cstheme="minorHAnsi"/>
          <w:sz w:val="22"/>
          <w:szCs w:val="22"/>
        </w:rPr>
        <w:t xml:space="preserve">, 398, p. 112954. Available from: </w:t>
      </w:r>
      <w:hyperlink r:id="rId39" w:history="1">
        <w:r w:rsidRPr="004D02F2">
          <w:rPr>
            <w:rStyle w:val="Hyperlink"/>
            <w:rFonts w:asciiTheme="minorHAnsi" w:hAnsiTheme="minorHAnsi" w:cstheme="minorHAnsi"/>
            <w:sz w:val="22"/>
            <w:szCs w:val="22"/>
          </w:rPr>
          <w:t>https://doi.org/10.1016/j.bbr.2020.112954</w:t>
        </w:r>
      </w:hyperlink>
      <w:r w:rsidRPr="004D02F2">
        <w:rPr>
          <w:rFonts w:asciiTheme="minorHAnsi" w:hAnsiTheme="minorHAnsi" w:cstheme="minorHAnsi"/>
          <w:sz w:val="22"/>
          <w:szCs w:val="22"/>
        </w:rPr>
        <w:t>. (accessed:13/09/2024)</w:t>
      </w:r>
    </w:p>
    <w:p w14:paraId="34EBD214" w14:textId="77777777" w:rsidR="004D02F2" w:rsidRPr="004D02F2" w:rsidRDefault="004D02F2" w:rsidP="004D02F2">
      <w:pPr>
        <w:rPr>
          <w:rFonts w:asciiTheme="minorHAnsi" w:hAnsiTheme="minorHAnsi" w:cstheme="minorHAnsi"/>
          <w:sz w:val="22"/>
          <w:szCs w:val="22"/>
        </w:rPr>
      </w:pPr>
    </w:p>
    <w:p w14:paraId="49FE014D" w14:textId="5C5587C9"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Smith (2017) </w:t>
      </w:r>
      <w:r w:rsidRPr="004D02F2">
        <w:rPr>
          <w:rFonts w:asciiTheme="minorHAnsi" w:hAnsiTheme="minorHAnsi" w:cstheme="minorHAnsi"/>
          <w:i/>
          <w:iCs/>
          <w:sz w:val="22"/>
          <w:szCs w:val="22"/>
        </w:rPr>
        <w:t>Active Listening in Social Work: The Value and Rewards</w:t>
      </w:r>
      <w:r w:rsidRPr="004D02F2">
        <w:rPr>
          <w:rFonts w:asciiTheme="minorHAnsi" w:hAnsiTheme="minorHAnsi" w:cstheme="minorHAnsi"/>
          <w:sz w:val="22"/>
          <w:szCs w:val="22"/>
        </w:rPr>
        <w:t xml:space="preserve">. https://www.socialworker.com/extras/social-work-month-2017/active-listening-in-social-work-the-value-and-rewards/#:~:text=Active%20listening%20validates%20one%27s%20need,is%20like%20for%20the%20client. (Accessed: </w:t>
      </w:r>
      <w:r>
        <w:rPr>
          <w:rFonts w:asciiTheme="minorHAnsi" w:hAnsiTheme="minorHAnsi" w:cstheme="minorHAnsi"/>
          <w:sz w:val="22"/>
          <w:szCs w:val="22"/>
        </w:rPr>
        <w:t>1/2/</w:t>
      </w:r>
      <w:r w:rsidRPr="004D02F2">
        <w:rPr>
          <w:rFonts w:asciiTheme="minorHAnsi" w:hAnsiTheme="minorHAnsi" w:cstheme="minorHAnsi"/>
          <w:sz w:val="22"/>
          <w:szCs w:val="22"/>
        </w:rPr>
        <w:t>2025).</w:t>
      </w:r>
    </w:p>
    <w:p w14:paraId="37BF3CD8" w14:textId="77777777" w:rsidR="004D02F2" w:rsidRPr="004D02F2" w:rsidRDefault="004D02F2" w:rsidP="004D02F2">
      <w:pPr>
        <w:rPr>
          <w:rFonts w:asciiTheme="minorHAnsi" w:hAnsiTheme="minorHAnsi" w:cstheme="minorHAnsi"/>
          <w:sz w:val="22"/>
          <w:szCs w:val="22"/>
        </w:rPr>
      </w:pPr>
    </w:p>
    <w:p w14:paraId="3084C383" w14:textId="0F9386C6"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Social Care Institute for Excellence (SCIE) (2023) </w:t>
      </w:r>
      <w:r w:rsidRPr="004D02F2">
        <w:rPr>
          <w:rFonts w:asciiTheme="minorHAnsi" w:hAnsiTheme="minorHAnsi" w:cstheme="minorHAnsi"/>
          <w:i/>
          <w:iCs/>
          <w:sz w:val="22"/>
          <w:szCs w:val="22"/>
        </w:rPr>
        <w:t>Social care practice, strengths-based practice and meaningful relationships in hybrid working - SCIE</w:t>
      </w:r>
      <w:r w:rsidRPr="004D02F2">
        <w:rPr>
          <w:rFonts w:asciiTheme="minorHAnsi" w:hAnsiTheme="minorHAnsi" w:cstheme="minorHAnsi"/>
          <w:sz w:val="22"/>
          <w:szCs w:val="22"/>
        </w:rPr>
        <w:t>. https://www.scie.org.uk/social-work/advice-best-practice/meaningful-relationships-in-hybrid-working/#:~:text=Effective%20relationships%20are%20central%20to,relationships%20with%20those%20they%20support. (Accessed</w:t>
      </w:r>
      <w:r>
        <w:rPr>
          <w:rFonts w:asciiTheme="minorHAnsi" w:hAnsiTheme="minorHAnsi" w:cstheme="minorHAnsi"/>
          <w:sz w:val="22"/>
          <w:szCs w:val="22"/>
        </w:rPr>
        <w:t xml:space="preserve"> 1/2/2025</w:t>
      </w:r>
      <w:r w:rsidRPr="004D02F2">
        <w:rPr>
          <w:rFonts w:asciiTheme="minorHAnsi" w:hAnsiTheme="minorHAnsi" w:cstheme="minorHAnsi"/>
          <w:sz w:val="22"/>
          <w:szCs w:val="22"/>
        </w:rPr>
        <w:t>).</w:t>
      </w:r>
    </w:p>
    <w:p w14:paraId="62D8BAE4" w14:textId="77777777" w:rsidR="004D02F2" w:rsidRPr="004D02F2" w:rsidRDefault="004D02F2" w:rsidP="004D02F2">
      <w:pPr>
        <w:rPr>
          <w:rFonts w:asciiTheme="minorHAnsi" w:hAnsiTheme="minorHAnsi" w:cstheme="minorHAnsi"/>
          <w:sz w:val="22"/>
          <w:szCs w:val="22"/>
        </w:rPr>
      </w:pPr>
    </w:p>
    <w:p w14:paraId="704D3893"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Social Care Wales (2017) </w:t>
      </w:r>
      <w:r w:rsidRPr="004D02F2">
        <w:rPr>
          <w:rFonts w:asciiTheme="minorHAnsi" w:hAnsiTheme="minorHAnsi" w:cstheme="minorHAnsi"/>
          <w:i/>
          <w:iCs/>
          <w:sz w:val="22"/>
          <w:szCs w:val="22"/>
        </w:rPr>
        <w:t>Code of Professional Practice for Social Care staff.</w:t>
      </w:r>
      <w:r w:rsidRPr="004D02F2">
        <w:rPr>
          <w:rFonts w:asciiTheme="minorHAnsi" w:hAnsiTheme="minorHAnsi" w:cstheme="minorHAnsi"/>
          <w:sz w:val="22"/>
          <w:szCs w:val="22"/>
        </w:rPr>
        <w:t xml:space="preserve"> Cardiff: Social Care Wales</w:t>
      </w:r>
    </w:p>
    <w:p w14:paraId="5B6E3759" w14:textId="77777777" w:rsidR="004D02F2" w:rsidRPr="004D02F2" w:rsidRDefault="004D02F2" w:rsidP="004D02F2">
      <w:pPr>
        <w:rPr>
          <w:rFonts w:asciiTheme="minorHAnsi" w:hAnsiTheme="minorHAnsi" w:cstheme="minorHAnsi"/>
          <w:sz w:val="22"/>
          <w:szCs w:val="22"/>
        </w:rPr>
      </w:pPr>
    </w:p>
    <w:p w14:paraId="5D806440" w14:textId="77777777" w:rsidR="004D02F2" w:rsidRP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Social Care Wales (2018) </w:t>
      </w:r>
      <w:r w:rsidRPr="004D02F2">
        <w:rPr>
          <w:rFonts w:asciiTheme="minorHAnsi" w:hAnsiTheme="minorHAnsi" w:cstheme="minorHAnsi"/>
          <w:i/>
          <w:iCs/>
          <w:sz w:val="22"/>
          <w:szCs w:val="22"/>
        </w:rPr>
        <w:t xml:space="preserve">Consolidation Programme for Newly Qualified Workers Learning Outcomes. </w:t>
      </w:r>
      <w:r w:rsidRPr="004D02F2">
        <w:rPr>
          <w:rFonts w:asciiTheme="minorHAnsi" w:hAnsiTheme="minorHAnsi" w:cstheme="minorHAnsi"/>
          <w:sz w:val="22"/>
          <w:szCs w:val="22"/>
        </w:rPr>
        <w:t xml:space="preserve">Available from: </w:t>
      </w:r>
      <w:hyperlink r:id="rId40" w:history="1">
        <w:r w:rsidRPr="004D02F2">
          <w:rPr>
            <w:rStyle w:val="Hyperlink"/>
            <w:rFonts w:asciiTheme="minorHAnsi" w:hAnsiTheme="minorHAnsi" w:cstheme="minorHAnsi"/>
            <w:sz w:val="22"/>
            <w:szCs w:val="22"/>
          </w:rPr>
          <w:t>https://socialcare.wales/cms-assets/documents/Requirements-for-the-Consolidation-Programme-for-Newly-Qualified-Social-Workers.pdf</w:t>
        </w:r>
      </w:hyperlink>
      <w:r w:rsidRPr="004D02F2">
        <w:rPr>
          <w:rFonts w:asciiTheme="minorHAnsi" w:hAnsiTheme="minorHAnsi" w:cstheme="minorHAnsi"/>
          <w:sz w:val="22"/>
          <w:szCs w:val="22"/>
        </w:rPr>
        <w:t>. (accessed: 11/09/2024)</w:t>
      </w:r>
    </w:p>
    <w:p w14:paraId="2192C70A"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 xml:space="preserve">Social Services and Wellbeing (Wales) Act 2014. </w:t>
      </w:r>
      <w:r w:rsidRPr="004D02F2">
        <w:rPr>
          <w:rFonts w:asciiTheme="minorHAnsi" w:hAnsiTheme="minorHAnsi" w:cstheme="minorHAnsi"/>
          <w:sz w:val="22"/>
          <w:szCs w:val="22"/>
        </w:rPr>
        <w:t>Available from Social Services and Wellbeing (Wales) Act 2014. (legislation.gov.uk) (Accessed 1/12/2024)</w:t>
      </w:r>
    </w:p>
    <w:p w14:paraId="0BCBFB44" w14:textId="77777777" w:rsidR="004D02F2" w:rsidRPr="004D02F2" w:rsidRDefault="004D02F2" w:rsidP="004D02F2">
      <w:pPr>
        <w:rPr>
          <w:rFonts w:asciiTheme="minorHAnsi" w:hAnsiTheme="minorHAnsi" w:cstheme="minorHAnsi"/>
          <w:sz w:val="22"/>
          <w:szCs w:val="22"/>
        </w:rPr>
      </w:pPr>
    </w:p>
    <w:p w14:paraId="16EA91AB" w14:textId="53E3FE28"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Sutton (2021) </w:t>
      </w:r>
      <w:r w:rsidRPr="004D02F2">
        <w:rPr>
          <w:rFonts w:asciiTheme="minorHAnsi" w:hAnsiTheme="minorHAnsi" w:cstheme="minorHAnsi"/>
          <w:i/>
          <w:iCs/>
          <w:sz w:val="22"/>
          <w:szCs w:val="22"/>
        </w:rPr>
        <w:t>What Is Systems Therapy? 7 Theories &amp; Techniques Explained</w:t>
      </w:r>
      <w:r w:rsidRPr="004D02F2">
        <w:rPr>
          <w:rFonts w:asciiTheme="minorHAnsi" w:hAnsiTheme="minorHAnsi" w:cstheme="minorHAnsi"/>
          <w:sz w:val="22"/>
          <w:szCs w:val="22"/>
        </w:rPr>
        <w:t>. https://positivepsychology.com/systems-therapy/ (Accesse</w:t>
      </w:r>
      <w:r>
        <w:rPr>
          <w:rFonts w:asciiTheme="minorHAnsi" w:hAnsiTheme="minorHAnsi" w:cstheme="minorHAnsi"/>
          <w:sz w:val="22"/>
          <w:szCs w:val="22"/>
        </w:rPr>
        <w:t>d 17/1/</w:t>
      </w:r>
      <w:r w:rsidRPr="004D02F2">
        <w:rPr>
          <w:rFonts w:asciiTheme="minorHAnsi" w:hAnsiTheme="minorHAnsi" w:cstheme="minorHAnsi"/>
          <w:sz w:val="22"/>
          <w:szCs w:val="22"/>
        </w:rPr>
        <w:t>2025).</w:t>
      </w:r>
    </w:p>
    <w:p w14:paraId="6E6101A2" w14:textId="77777777" w:rsidR="004D02F2" w:rsidRPr="004D02F2" w:rsidRDefault="004D02F2" w:rsidP="004D02F2">
      <w:pPr>
        <w:rPr>
          <w:rFonts w:asciiTheme="minorHAnsi" w:hAnsiTheme="minorHAnsi" w:cstheme="minorHAnsi"/>
          <w:sz w:val="22"/>
          <w:szCs w:val="22"/>
        </w:rPr>
      </w:pPr>
    </w:p>
    <w:p w14:paraId="3FE30817" w14:textId="77777777" w:rsidR="004D02F2" w:rsidRP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 xml:space="preserve">The Children Act 1989. </w:t>
      </w:r>
      <w:r w:rsidRPr="004D02F2">
        <w:rPr>
          <w:rFonts w:asciiTheme="minorHAnsi" w:hAnsiTheme="minorHAnsi" w:cstheme="minorHAnsi"/>
          <w:sz w:val="22"/>
          <w:szCs w:val="22"/>
        </w:rPr>
        <w:t xml:space="preserve">Available from </w:t>
      </w:r>
      <w:hyperlink r:id="rId41" w:history="1">
        <w:r w:rsidRPr="004D02F2">
          <w:rPr>
            <w:rStyle w:val="Hyperlink"/>
            <w:rFonts w:asciiTheme="minorHAnsi" w:hAnsiTheme="minorHAnsi" w:cstheme="minorHAnsi"/>
            <w:sz w:val="22"/>
            <w:szCs w:val="22"/>
          </w:rPr>
          <w:t>https://www.legislation.gov.uk/ukpga/1989/41/contents</w:t>
        </w:r>
      </w:hyperlink>
      <w:r w:rsidRPr="004D02F2">
        <w:rPr>
          <w:rFonts w:asciiTheme="minorHAnsi" w:hAnsiTheme="minorHAnsi" w:cstheme="minorHAnsi"/>
          <w:sz w:val="22"/>
          <w:szCs w:val="22"/>
        </w:rPr>
        <w:t xml:space="preserve"> (accessed: 10/09/2024)</w:t>
      </w:r>
    </w:p>
    <w:p w14:paraId="03BA3253"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lastRenderedPageBreak/>
        <w:t xml:space="preserve">The Children Act 2004. </w:t>
      </w:r>
      <w:r w:rsidRPr="004D02F2">
        <w:rPr>
          <w:rFonts w:asciiTheme="minorHAnsi" w:hAnsiTheme="minorHAnsi" w:cstheme="minorHAnsi"/>
          <w:sz w:val="22"/>
          <w:szCs w:val="22"/>
        </w:rPr>
        <w:t>Available from: Children Act 2004 https: www.legistlation.gov.uk/ukpga/2004/31/contents.gov.uk (accessed 10/09/</w:t>
      </w:r>
      <w:proofErr w:type="gramStart"/>
      <w:r w:rsidRPr="004D02F2">
        <w:rPr>
          <w:rFonts w:asciiTheme="minorHAnsi" w:hAnsiTheme="minorHAnsi" w:cstheme="minorHAnsi"/>
          <w:sz w:val="22"/>
          <w:szCs w:val="22"/>
        </w:rPr>
        <w:t>2024)</w:t>
      </w:r>
      <w:r w:rsidRPr="004D02F2">
        <w:rPr>
          <w:rFonts w:asciiTheme="minorHAnsi" w:hAnsiTheme="minorHAnsi" w:cstheme="minorHAnsi"/>
          <w:i/>
          <w:iCs/>
          <w:sz w:val="22"/>
          <w:szCs w:val="22"/>
        </w:rPr>
        <w:t>The</w:t>
      </w:r>
      <w:proofErr w:type="gramEnd"/>
      <w:r w:rsidRPr="004D02F2">
        <w:rPr>
          <w:rFonts w:asciiTheme="minorHAnsi" w:hAnsiTheme="minorHAnsi" w:cstheme="minorHAnsi"/>
          <w:i/>
          <w:iCs/>
          <w:sz w:val="22"/>
          <w:szCs w:val="22"/>
        </w:rPr>
        <w:t xml:space="preserve"> Equality Act 2010. </w:t>
      </w:r>
      <w:r w:rsidRPr="004D02F2">
        <w:rPr>
          <w:rFonts w:asciiTheme="minorHAnsi" w:hAnsiTheme="minorHAnsi" w:cstheme="minorHAnsi"/>
          <w:sz w:val="22"/>
          <w:szCs w:val="22"/>
        </w:rPr>
        <w:t xml:space="preserve">Available from </w:t>
      </w:r>
      <w:hyperlink r:id="rId42" w:history="1">
        <w:r w:rsidRPr="004D02F2">
          <w:rPr>
            <w:rStyle w:val="Hyperlink"/>
            <w:rFonts w:asciiTheme="minorHAnsi" w:hAnsiTheme="minorHAnsi" w:cstheme="minorHAnsi"/>
            <w:sz w:val="22"/>
            <w:szCs w:val="22"/>
          </w:rPr>
          <w:t>https://www.gov.uk/guidance/equality-act-2010-guidance.gov.uk</w:t>
        </w:r>
      </w:hyperlink>
      <w:r w:rsidRPr="004D02F2">
        <w:rPr>
          <w:rFonts w:asciiTheme="minorHAnsi" w:hAnsiTheme="minorHAnsi" w:cstheme="minorHAnsi"/>
          <w:sz w:val="22"/>
          <w:szCs w:val="22"/>
        </w:rPr>
        <w:t xml:space="preserve"> (accessed 10/09/2024)</w:t>
      </w:r>
    </w:p>
    <w:p w14:paraId="023C3630" w14:textId="77777777" w:rsidR="004D02F2" w:rsidRPr="004D02F2" w:rsidRDefault="004D02F2" w:rsidP="004D02F2">
      <w:pPr>
        <w:rPr>
          <w:rFonts w:asciiTheme="minorHAnsi" w:hAnsiTheme="minorHAnsi" w:cstheme="minorHAnsi"/>
          <w:sz w:val="22"/>
          <w:szCs w:val="22"/>
        </w:rPr>
      </w:pPr>
    </w:p>
    <w:p w14:paraId="19295712"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 xml:space="preserve">The Human Rights Act 1998. </w:t>
      </w:r>
      <w:r w:rsidRPr="004D02F2">
        <w:rPr>
          <w:rFonts w:asciiTheme="minorHAnsi" w:hAnsiTheme="minorHAnsi" w:cstheme="minorHAnsi"/>
          <w:sz w:val="22"/>
          <w:szCs w:val="22"/>
        </w:rPr>
        <w:t xml:space="preserve">Available from </w:t>
      </w:r>
      <w:hyperlink r:id="rId43" w:history="1">
        <w:r w:rsidRPr="004D02F2">
          <w:rPr>
            <w:rStyle w:val="Hyperlink"/>
            <w:rFonts w:asciiTheme="minorHAnsi" w:hAnsiTheme="minorHAnsi" w:cstheme="minorHAnsi"/>
            <w:sz w:val="22"/>
            <w:szCs w:val="22"/>
          </w:rPr>
          <w:t>https://www.legislation.gov.uk/ukpga/1998/42/contents</w:t>
        </w:r>
      </w:hyperlink>
      <w:r w:rsidRPr="004D02F2">
        <w:rPr>
          <w:rFonts w:asciiTheme="minorHAnsi" w:hAnsiTheme="minorHAnsi" w:cstheme="minorHAnsi"/>
          <w:sz w:val="22"/>
          <w:szCs w:val="22"/>
        </w:rPr>
        <w:t>. (accessed: 10/09/2024)</w:t>
      </w:r>
    </w:p>
    <w:p w14:paraId="653DB2FB" w14:textId="77777777" w:rsidR="004D02F2" w:rsidRPr="004D02F2" w:rsidRDefault="004D02F2" w:rsidP="004D02F2">
      <w:pPr>
        <w:rPr>
          <w:rFonts w:asciiTheme="minorHAnsi" w:hAnsiTheme="minorHAnsi" w:cstheme="minorHAnsi"/>
          <w:sz w:val="22"/>
          <w:szCs w:val="22"/>
        </w:rPr>
      </w:pPr>
    </w:p>
    <w:p w14:paraId="61FE1ADD"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 xml:space="preserve">The Mental Health Act 1983. </w:t>
      </w:r>
      <w:r w:rsidRPr="004D02F2">
        <w:rPr>
          <w:rFonts w:asciiTheme="minorHAnsi" w:hAnsiTheme="minorHAnsi" w:cstheme="minorHAnsi"/>
          <w:sz w:val="22"/>
          <w:szCs w:val="22"/>
        </w:rPr>
        <w:t xml:space="preserve">Available from </w:t>
      </w:r>
      <w:hyperlink r:id="rId44" w:history="1">
        <w:r w:rsidRPr="004D02F2">
          <w:rPr>
            <w:rStyle w:val="Hyperlink"/>
            <w:rFonts w:asciiTheme="minorHAnsi" w:hAnsiTheme="minorHAnsi" w:cstheme="minorHAnsi"/>
            <w:sz w:val="22"/>
            <w:szCs w:val="22"/>
          </w:rPr>
          <w:t>https://www.legislation.gov.uk/ukpga/1983/42/schedule/1/part/I/chapter/7ation.gov.uk</w:t>
        </w:r>
      </w:hyperlink>
      <w:r w:rsidRPr="004D02F2">
        <w:rPr>
          <w:rFonts w:asciiTheme="minorHAnsi" w:hAnsiTheme="minorHAnsi" w:cstheme="minorHAnsi"/>
          <w:sz w:val="22"/>
          <w:szCs w:val="22"/>
        </w:rPr>
        <w:t>. (Accessed 1/11/2024)</w:t>
      </w:r>
    </w:p>
    <w:p w14:paraId="54F591AD" w14:textId="77777777" w:rsidR="004D02F2" w:rsidRPr="004D02F2" w:rsidRDefault="004D02F2" w:rsidP="004D02F2">
      <w:pPr>
        <w:rPr>
          <w:rFonts w:asciiTheme="minorHAnsi" w:hAnsiTheme="minorHAnsi" w:cstheme="minorHAnsi"/>
          <w:sz w:val="22"/>
          <w:szCs w:val="22"/>
        </w:rPr>
      </w:pPr>
    </w:p>
    <w:p w14:paraId="6C597B81" w14:textId="3B87847F"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The Royal College of Nursing (2024) </w:t>
      </w:r>
      <w:r w:rsidRPr="004D02F2">
        <w:rPr>
          <w:rFonts w:asciiTheme="minorHAnsi" w:hAnsiTheme="minorHAnsi" w:cstheme="minorHAnsi"/>
          <w:i/>
          <w:iCs/>
          <w:sz w:val="22"/>
          <w:szCs w:val="22"/>
        </w:rPr>
        <w:t>Adult Safeguarding: Roles and competencies for health care staff | Publications | Royal College of Nursing</w:t>
      </w:r>
      <w:r w:rsidRPr="004D02F2">
        <w:rPr>
          <w:rFonts w:asciiTheme="minorHAnsi" w:hAnsiTheme="minorHAnsi" w:cstheme="minorHAnsi"/>
          <w:sz w:val="22"/>
          <w:szCs w:val="22"/>
        </w:rPr>
        <w:t>. https://www.rcn.org.uk/Professional-Development/publications/rcn-adult-safeguarding-roles-and-competencies-for-health-care-staff-011-256#:~:text=One%20of%20the%20most%20important,of%20people%20they%20care%20for. (Accessed</w:t>
      </w:r>
      <w:r>
        <w:rPr>
          <w:rFonts w:asciiTheme="minorHAnsi" w:hAnsiTheme="minorHAnsi" w:cstheme="minorHAnsi"/>
          <w:sz w:val="22"/>
          <w:szCs w:val="22"/>
        </w:rPr>
        <w:t xml:space="preserve"> 4/2/</w:t>
      </w:r>
      <w:r w:rsidRPr="004D02F2">
        <w:rPr>
          <w:rFonts w:asciiTheme="minorHAnsi" w:hAnsiTheme="minorHAnsi" w:cstheme="minorHAnsi"/>
          <w:sz w:val="22"/>
          <w:szCs w:val="22"/>
        </w:rPr>
        <w:t xml:space="preserve"> 2025).</w:t>
      </w:r>
    </w:p>
    <w:p w14:paraId="6829C7DE" w14:textId="77777777" w:rsidR="004D02F2" w:rsidRPr="004D02F2" w:rsidRDefault="004D02F2" w:rsidP="004D02F2">
      <w:pPr>
        <w:rPr>
          <w:rFonts w:asciiTheme="minorHAnsi" w:hAnsiTheme="minorHAnsi" w:cstheme="minorHAnsi"/>
          <w:sz w:val="22"/>
          <w:szCs w:val="22"/>
        </w:rPr>
      </w:pPr>
    </w:p>
    <w:p w14:paraId="3FE4014B"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UNICEF (2010) </w:t>
      </w:r>
      <w:r w:rsidRPr="004D02F2">
        <w:rPr>
          <w:rFonts w:asciiTheme="minorHAnsi" w:hAnsiTheme="minorHAnsi" w:cstheme="minorHAnsi"/>
          <w:i/>
          <w:iCs/>
          <w:sz w:val="22"/>
          <w:szCs w:val="22"/>
        </w:rPr>
        <w:t xml:space="preserve">A Summary of the UN Convention on the Rights of the Child. </w:t>
      </w:r>
      <w:r w:rsidRPr="004D02F2">
        <w:rPr>
          <w:rFonts w:asciiTheme="minorHAnsi" w:hAnsiTheme="minorHAnsi" w:cstheme="minorHAnsi"/>
          <w:sz w:val="22"/>
          <w:szCs w:val="22"/>
        </w:rPr>
        <w:t>Available from: UNCRC_summary-1.pdf (unicef.org.uk) (accessed 10/09/2024)</w:t>
      </w:r>
    </w:p>
    <w:p w14:paraId="3263FF33" w14:textId="77777777" w:rsidR="004D02F2" w:rsidRPr="004D02F2" w:rsidRDefault="004D02F2" w:rsidP="004D02F2">
      <w:pPr>
        <w:rPr>
          <w:rFonts w:asciiTheme="minorHAnsi" w:hAnsiTheme="minorHAnsi" w:cstheme="minorHAnsi"/>
          <w:sz w:val="22"/>
          <w:szCs w:val="22"/>
        </w:rPr>
      </w:pPr>
    </w:p>
    <w:p w14:paraId="291276C9"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 xml:space="preserve">Violence against Women, Domestic Abuse and Sexual Violence (Wales) Act 2015. </w:t>
      </w:r>
      <w:r w:rsidRPr="004D02F2">
        <w:rPr>
          <w:rFonts w:asciiTheme="minorHAnsi" w:hAnsiTheme="minorHAnsi" w:cstheme="minorHAnsi"/>
          <w:sz w:val="22"/>
          <w:szCs w:val="22"/>
        </w:rPr>
        <w:t>Available from: https://www.gov.wales/violence-against-women-domestic-abuse (accessed 12/09/2024)</w:t>
      </w:r>
    </w:p>
    <w:p w14:paraId="7591FA4D" w14:textId="77777777" w:rsidR="004D02F2" w:rsidRPr="004D02F2" w:rsidRDefault="004D02F2" w:rsidP="004D02F2">
      <w:pPr>
        <w:rPr>
          <w:rFonts w:asciiTheme="minorHAnsi" w:hAnsiTheme="minorHAnsi" w:cstheme="minorHAnsi"/>
          <w:sz w:val="22"/>
          <w:szCs w:val="22"/>
          <w:u w:val="single"/>
        </w:rPr>
      </w:pPr>
    </w:p>
    <w:p w14:paraId="4463BD02"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Wales Safeguard Procedures (2023) </w:t>
      </w:r>
      <w:r w:rsidRPr="004D02F2">
        <w:rPr>
          <w:rFonts w:asciiTheme="minorHAnsi" w:hAnsiTheme="minorHAnsi" w:cstheme="minorHAnsi"/>
          <w:i/>
          <w:iCs/>
          <w:sz w:val="22"/>
          <w:szCs w:val="22"/>
        </w:rPr>
        <w:t xml:space="preserve">The Wales Safeguarding Procedures for children and adults at risk of abuse and neglect. </w:t>
      </w:r>
      <w:r w:rsidRPr="004D02F2">
        <w:rPr>
          <w:rFonts w:asciiTheme="minorHAnsi" w:hAnsiTheme="minorHAnsi" w:cstheme="minorHAnsi"/>
          <w:sz w:val="22"/>
          <w:szCs w:val="22"/>
        </w:rPr>
        <w:t xml:space="preserve">Available from: </w:t>
      </w:r>
      <w:hyperlink r:id="rId45" w:history="1">
        <w:r w:rsidRPr="004D02F2">
          <w:rPr>
            <w:rStyle w:val="Hyperlink"/>
            <w:rFonts w:asciiTheme="minorHAnsi" w:hAnsiTheme="minorHAnsi" w:cstheme="minorHAnsi"/>
            <w:sz w:val="22"/>
            <w:szCs w:val="22"/>
          </w:rPr>
          <w:t>https://safeguarding.wales/en/int-i/int-i-i1/i1-p1/</w:t>
        </w:r>
      </w:hyperlink>
      <w:r w:rsidRPr="004D02F2">
        <w:rPr>
          <w:rFonts w:asciiTheme="minorHAnsi" w:hAnsiTheme="minorHAnsi" w:cstheme="minorHAnsi"/>
          <w:sz w:val="22"/>
          <w:szCs w:val="22"/>
        </w:rPr>
        <w:t>. (accessed: 10/09/2024)</w:t>
      </w:r>
    </w:p>
    <w:p w14:paraId="1F96F560" w14:textId="77777777" w:rsidR="004D02F2" w:rsidRPr="004D02F2" w:rsidRDefault="004D02F2" w:rsidP="004D02F2">
      <w:pPr>
        <w:rPr>
          <w:rFonts w:asciiTheme="minorHAnsi" w:hAnsiTheme="minorHAnsi" w:cstheme="minorHAnsi"/>
          <w:sz w:val="22"/>
          <w:szCs w:val="22"/>
        </w:rPr>
      </w:pPr>
    </w:p>
    <w:p w14:paraId="4156D436" w14:textId="332F16E9"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Welsh Government (2015) </w:t>
      </w:r>
      <w:r w:rsidRPr="004D02F2">
        <w:rPr>
          <w:rFonts w:asciiTheme="minorHAnsi" w:hAnsiTheme="minorHAnsi" w:cstheme="minorHAnsi"/>
          <w:i/>
          <w:iCs/>
          <w:sz w:val="22"/>
          <w:szCs w:val="22"/>
        </w:rPr>
        <w:t>Social Services and Well-being (Wales) Act 2014 Part 3 Code of Practice (assessing the needs of individuals)</w:t>
      </w:r>
      <w:r w:rsidRPr="004D02F2">
        <w:rPr>
          <w:rFonts w:asciiTheme="minorHAnsi" w:hAnsiTheme="minorHAnsi" w:cstheme="minorHAnsi"/>
          <w:sz w:val="22"/>
          <w:szCs w:val="22"/>
        </w:rPr>
        <w:t>. https://www.gov.wales/sites/default/files/publications/2019-05/part-3-code-of-practice-assessing-the-needs-of-individuals.pdf (Accessed</w:t>
      </w:r>
      <w:r>
        <w:rPr>
          <w:rFonts w:asciiTheme="minorHAnsi" w:hAnsiTheme="minorHAnsi" w:cstheme="minorHAnsi"/>
          <w:sz w:val="22"/>
          <w:szCs w:val="22"/>
        </w:rPr>
        <w:t xml:space="preserve"> 1/2/</w:t>
      </w:r>
      <w:r w:rsidRPr="004D02F2">
        <w:rPr>
          <w:rFonts w:asciiTheme="minorHAnsi" w:hAnsiTheme="minorHAnsi" w:cstheme="minorHAnsi"/>
          <w:sz w:val="22"/>
          <w:szCs w:val="22"/>
        </w:rPr>
        <w:t>2025).</w:t>
      </w:r>
    </w:p>
    <w:p w14:paraId="6C190B23" w14:textId="77777777" w:rsidR="004D02F2" w:rsidRPr="004D02F2" w:rsidRDefault="004D02F2" w:rsidP="004D02F2">
      <w:pPr>
        <w:rPr>
          <w:rFonts w:asciiTheme="minorHAnsi" w:hAnsiTheme="minorHAnsi" w:cstheme="minorHAnsi"/>
          <w:sz w:val="22"/>
          <w:szCs w:val="22"/>
        </w:rPr>
      </w:pPr>
    </w:p>
    <w:p w14:paraId="3B17F754"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Welsh Government (2016) </w:t>
      </w:r>
      <w:r w:rsidRPr="004D02F2">
        <w:rPr>
          <w:rFonts w:asciiTheme="minorHAnsi" w:hAnsiTheme="minorHAnsi" w:cstheme="minorHAnsi"/>
          <w:i/>
          <w:iCs/>
          <w:sz w:val="22"/>
          <w:szCs w:val="22"/>
        </w:rPr>
        <w:t>The Mental Health Act 1983: Code of Practice for Wales Review.</w:t>
      </w:r>
      <w:r w:rsidRPr="004D02F2">
        <w:rPr>
          <w:rFonts w:asciiTheme="minorHAnsi" w:hAnsiTheme="minorHAnsi" w:cstheme="minorHAnsi"/>
          <w:sz w:val="22"/>
          <w:szCs w:val="22"/>
        </w:rPr>
        <w:t xml:space="preserve"> Available from: mental-health-act-1983-code-of-practice-mental-healthact-1983-for-wales-review-revised-2016.pdf (</w:t>
      </w:r>
      <w:proofErr w:type="spellStart"/>
      <w:proofErr w:type="gramStart"/>
      <w:r w:rsidRPr="004D02F2">
        <w:rPr>
          <w:rFonts w:asciiTheme="minorHAnsi" w:hAnsiTheme="minorHAnsi" w:cstheme="minorHAnsi"/>
          <w:sz w:val="22"/>
          <w:szCs w:val="22"/>
        </w:rPr>
        <w:t>gov.wales</w:t>
      </w:r>
      <w:proofErr w:type="spellEnd"/>
      <w:proofErr w:type="gramEnd"/>
      <w:r w:rsidRPr="004D02F2">
        <w:rPr>
          <w:rFonts w:asciiTheme="minorHAnsi" w:hAnsiTheme="minorHAnsi" w:cstheme="minorHAnsi"/>
          <w:sz w:val="22"/>
          <w:szCs w:val="22"/>
        </w:rPr>
        <w:t>) (Accessed 04/11/2024)</w:t>
      </w:r>
    </w:p>
    <w:p w14:paraId="33552597" w14:textId="77777777" w:rsidR="004D02F2" w:rsidRPr="004D02F2" w:rsidRDefault="004D02F2" w:rsidP="004D02F2">
      <w:pPr>
        <w:rPr>
          <w:rFonts w:asciiTheme="minorHAnsi" w:hAnsiTheme="minorHAnsi" w:cstheme="minorHAnsi"/>
          <w:sz w:val="22"/>
          <w:szCs w:val="22"/>
        </w:rPr>
      </w:pPr>
    </w:p>
    <w:p w14:paraId="217837F2"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Welsh Language (Wales) Measure 2011.</w:t>
      </w:r>
      <w:r w:rsidRPr="004D02F2">
        <w:rPr>
          <w:rFonts w:asciiTheme="minorHAnsi" w:hAnsiTheme="minorHAnsi" w:cstheme="minorHAnsi"/>
          <w:sz w:val="22"/>
          <w:szCs w:val="22"/>
        </w:rPr>
        <w:t xml:space="preserve"> Available from: Welsh Language (Wales) Measure Law Wales (</w:t>
      </w:r>
      <w:proofErr w:type="spellStart"/>
      <w:proofErr w:type="gramStart"/>
      <w:r w:rsidRPr="004D02F2">
        <w:rPr>
          <w:rFonts w:asciiTheme="minorHAnsi" w:hAnsiTheme="minorHAnsi" w:cstheme="minorHAnsi"/>
          <w:sz w:val="22"/>
          <w:szCs w:val="22"/>
        </w:rPr>
        <w:t>gov.wales</w:t>
      </w:r>
      <w:proofErr w:type="spellEnd"/>
      <w:proofErr w:type="gramEnd"/>
      <w:r w:rsidRPr="004D02F2">
        <w:rPr>
          <w:rFonts w:asciiTheme="minorHAnsi" w:hAnsiTheme="minorHAnsi" w:cstheme="minorHAnsi"/>
          <w:sz w:val="22"/>
          <w:szCs w:val="22"/>
        </w:rPr>
        <w:t>) (Accessed 4/10/2024)</w:t>
      </w:r>
    </w:p>
    <w:p w14:paraId="7FE1C260" w14:textId="77777777" w:rsidR="004D02F2" w:rsidRPr="004D02F2" w:rsidRDefault="004D02F2" w:rsidP="004D02F2">
      <w:pPr>
        <w:rPr>
          <w:rFonts w:asciiTheme="minorHAnsi" w:hAnsiTheme="minorHAnsi" w:cstheme="minorHAnsi"/>
          <w:sz w:val="22"/>
          <w:szCs w:val="22"/>
        </w:rPr>
      </w:pPr>
    </w:p>
    <w:p w14:paraId="1C06FE02"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i/>
          <w:iCs/>
          <w:sz w:val="22"/>
          <w:szCs w:val="22"/>
        </w:rPr>
        <w:t xml:space="preserve">Working Together to Safeguard People: Code of Safeguarding Practice 2022. </w:t>
      </w:r>
      <w:r w:rsidRPr="004D02F2">
        <w:rPr>
          <w:rFonts w:asciiTheme="minorHAnsi" w:hAnsiTheme="minorHAnsi" w:cstheme="minorHAnsi"/>
          <w:sz w:val="22"/>
          <w:szCs w:val="22"/>
        </w:rPr>
        <w:t>Available from: Working together to safeguard people: national action plan on preventing and responding to child sexual abuse (</w:t>
      </w:r>
      <w:proofErr w:type="spellStart"/>
      <w:proofErr w:type="gramStart"/>
      <w:r w:rsidRPr="004D02F2">
        <w:rPr>
          <w:rFonts w:asciiTheme="minorHAnsi" w:hAnsiTheme="minorHAnsi" w:cstheme="minorHAnsi"/>
          <w:sz w:val="22"/>
          <w:szCs w:val="22"/>
        </w:rPr>
        <w:t>gov.wales</w:t>
      </w:r>
      <w:proofErr w:type="spellEnd"/>
      <w:proofErr w:type="gramEnd"/>
      <w:r w:rsidRPr="004D02F2">
        <w:rPr>
          <w:rFonts w:asciiTheme="minorHAnsi" w:hAnsiTheme="minorHAnsi" w:cstheme="minorHAnsi"/>
          <w:sz w:val="22"/>
          <w:szCs w:val="22"/>
        </w:rPr>
        <w:t>) (Accessed 1/11/2024)</w:t>
      </w:r>
    </w:p>
    <w:p w14:paraId="5835AE51" w14:textId="77777777" w:rsidR="004D02F2" w:rsidRPr="004D02F2" w:rsidRDefault="004D02F2" w:rsidP="004D02F2">
      <w:pPr>
        <w:rPr>
          <w:rFonts w:asciiTheme="minorHAnsi" w:hAnsiTheme="minorHAnsi" w:cstheme="minorHAnsi"/>
          <w:sz w:val="22"/>
          <w:szCs w:val="22"/>
        </w:rPr>
      </w:pPr>
    </w:p>
    <w:p w14:paraId="534B43F4" w14:textId="77777777" w:rsid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 xml:space="preserve">Wise (2019) </w:t>
      </w:r>
      <w:r w:rsidRPr="004D02F2">
        <w:rPr>
          <w:rFonts w:asciiTheme="minorHAnsi" w:hAnsiTheme="minorHAnsi" w:cstheme="minorHAnsi"/>
          <w:i/>
          <w:iCs/>
          <w:sz w:val="22"/>
          <w:szCs w:val="22"/>
        </w:rPr>
        <w:t>A key part of being a social work student is service user feedback – why does this stop after qualifying?</w:t>
      </w:r>
      <w:r w:rsidRPr="004D02F2">
        <w:rPr>
          <w:rFonts w:asciiTheme="minorHAnsi" w:hAnsiTheme="minorHAnsi" w:cstheme="minorHAnsi"/>
          <w:sz w:val="22"/>
          <w:szCs w:val="22"/>
        </w:rPr>
        <w:t xml:space="preserve"> https://www.communitycare.co.uk/2019/03/21/key-part-social-work-student-service-user-feedback-stop-qualification/ (Accessed: 1/2/2025)</w:t>
      </w:r>
    </w:p>
    <w:p w14:paraId="61A48339" w14:textId="77777777" w:rsidR="004D02F2" w:rsidRPr="004D02F2" w:rsidRDefault="004D02F2" w:rsidP="004D02F2">
      <w:pPr>
        <w:rPr>
          <w:rFonts w:asciiTheme="minorHAnsi" w:hAnsiTheme="minorHAnsi" w:cstheme="minorHAnsi"/>
          <w:sz w:val="22"/>
          <w:szCs w:val="22"/>
        </w:rPr>
      </w:pPr>
    </w:p>
    <w:p w14:paraId="097ACE72" w14:textId="77777777" w:rsidR="004D02F2" w:rsidRPr="004D02F2" w:rsidRDefault="004D02F2" w:rsidP="004D02F2">
      <w:pPr>
        <w:rPr>
          <w:rFonts w:asciiTheme="minorHAnsi" w:hAnsiTheme="minorHAnsi" w:cstheme="minorHAnsi"/>
          <w:sz w:val="22"/>
          <w:szCs w:val="22"/>
        </w:rPr>
      </w:pPr>
      <w:r w:rsidRPr="004D02F2">
        <w:rPr>
          <w:rFonts w:asciiTheme="minorHAnsi" w:hAnsiTheme="minorHAnsi" w:cstheme="minorHAnsi"/>
          <w:sz w:val="22"/>
          <w:szCs w:val="22"/>
        </w:rPr>
        <w:t>Yao (2023) </w:t>
      </w:r>
      <w:r w:rsidRPr="004D02F2">
        <w:rPr>
          <w:rFonts w:asciiTheme="minorHAnsi" w:hAnsiTheme="minorHAnsi" w:cstheme="minorHAnsi"/>
          <w:i/>
          <w:iCs/>
          <w:sz w:val="22"/>
          <w:szCs w:val="22"/>
        </w:rPr>
        <w:t>Person-Centred Therapy</w:t>
      </w:r>
      <w:r w:rsidRPr="004D02F2">
        <w:rPr>
          <w:rFonts w:asciiTheme="minorHAnsi" w:hAnsiTheme="minorHAnsi" w:cstheme="minorHAnsi"/>
          <w:sz w:val="22"/>
          <w:szCs w:val="22"/>
        </w:rPr>
        <w:t>. Available from: </w:t>
      </w:r>
      <w:hyperlink r:id="rId46" w:history="1">
        <w:r w:rsidRPr="004D02F2">
          <w:rPr>
            <w:rStyle w:val="Hyperlink"/>
            <w:rFonts w:asciiTheme="minorHAnsi" w:hAnsiTheme="minorHAnsi" w:cstheme="minorHAnsi"/>
            <w:sz w:val="22"/>
            <w:szCs w:val="22"/>
          </w:rPr>
          <w:t>https://www.ncbi.nlm.nih.gov/books/NBK589708/</w:t>
        </w:r>
      </w:hyperlink>
      <w:r w:rsidRPr="004D02F2">
        <w:rPr>
          <w:rFonts w:asciiTheme="minorHAnsi" w:hAnsiTheme="minorHAnsi" w:cstheme="minorHAnsi"/>
          <w:sz w:val="22"/>
          <w:szCs w:val="22"/>
        </w:rPr>
        <w:t xml:space="preserve"> (accessed 1/2/2025)</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7DB2FFF" w:rsidR="00E559CE" w:rsidRPr="00B17FA0" w:rsidRDefault="00BC1989" w:rsidP="00B94443">
            <w:pPr>
              <w:jc w:val="both"/>
              <w:rPr>
                <w:sz w:val="24"/>
                <w:szCs w:val="24"/>
              </w:rPr>
            </w:pPr>
            <w:r>
              <w:rPr>
                <w:sz w:val="24"/>
                <w:szCs w:val="24"/>
              </w:rPr>
              <w:t>16/11/202</w:t>
            </w:r>
            <w:r w:rsidR="00351845">
              <w:rPr>
                <w:sz w:val="24"/>
                <w:szCs w:val="24"/>
              </w:rPr>
              <w:t>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380EB72" w:rsidR="00E559CE" w:rsidRPr="00B17FA0" w:rsidRDefault="00BC1989" w:rsidP="00B94443">
            <w:pPr>
              <w:jc w:val="both"/>
              <w:rPr>
                <w:sz w:val="24"/>
                <w:szCs w:val="24"/>
              </w:rPr>
            </w:pPr>
            <w:r>
              <w:rPr>
                <w:sz w:val="24"/>
                <w:szCs w:val="24"/>
              </w:rPr>
              <w:t>23/01/2024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8EFB2F8" w:rsidR="00E559CE" w:rsidRPr="00B17FA0" w:rsidRDefault="00BC1989" w:rsidP="00B94443">
            <w:pPr>
              <w:jc w:val="both"/>
              <w:rPr>
                <w:sz w:val="24"/>
                <w:szCs w:val="24"/>
              </w:rPr>
            </w:pPr>
            <w:r>
              <w:rPr>
                <w:sz w:val="24"/>
                <w:szCs w:val="24"/>
              </w:rPr>
              <w:t>01/05/2024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lastRenderedPageBreak/>
              <w:t>4</w:t>
            </w:r>
          </w:p>
        </w:tc>
        <w:tc>
          <w:tcPr>
            <w:tcW w:w="5094" w:type="dxa"/>
          </w:tcPr>
          <w:p w14:paraId="16B5309A" w14:textId="5DA7F4CB" w:rsidR="00E559CE" w:rsidRPr="00B17FA0" w:rsidRDefault="00BC1989" w:rsidP="00B94443">
            <w:pPr>
              <w:jc w:val="both"/>
              <w:rPr>
                <w:sz w:val="24"/>
                <w:szCs w:val="24"/>
              </w:rPr>
            </w:pPr>
            <w:r>
              <w:rPr>
                <w:sz w:val="24"/>
                <w:szCs w:val="24"/>
              </w:rPr>
              <w:t>3/09/2024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545CACE6" w:rsidR="00FC0334" w:rsidRDefault="00BC1989" w:rsidP="005D4F72">
            <w:pPr>
              <w:jc w:val="both"/>
              <w:rPr>
                <w:color w:val="auto"/>
                <w:sz w:val="24"/>
                <w:szCs w:val="24"/>
              </w:rPr>
            </w:pPr>
            <w:r>
              <w:rPr>
                <w:color w:val="auto"/>
                <w:sz w:val="24"/>
                <w:szCs w:val="24"/>
              </w:rPr>
              <w:t xml:space="preserve">I have been the line manager for the learner since she qualified as a social </w:t>
            </w:r>
            <w:proofErr w:type="gramStart"/>
            <w:r>
              <w:rPr>
                <w:color w:val="auto"/>
                <w:sz w:val="24"/>
                <w:szCs w:val="24"/>
              </w:rPr>
              <w:t>worker</w:t>
            </w:r>
            <w:proofErr w:type="gramEnd"/>
            <w:r>
              <w:rPr>
                <w:color w:val="auto"/>
                <w:sz w:val="24"/>
                <w:szCs w:val="24"/>
              </w:rPr>
              <w:t xml:space="preserve"> and I was also her practice educator during her final placement. The learner uses the task 1 A to show where they had a lack of confidence going into the first year of practice. I am pleased to acknowledge how far they have come during the CPEL year, and this is also shown and reflected in Task 1 B. The learner has had a diverse and complex caseload and has managed this very well. She has a person-centred approach and is friendly and </w:t>
            </w:r>
            <w:proofErr w:type="gramStart"/>
            <w:r>
              <w:rPr>
                <w:color w:val="auto"/>
                <w:sz w:val="24"/>
                <w:szCs w:val="24"/>
              </w:rPr>
              <w:t>approachable .</w:t>
            </w:r>
            <w:proofErr w:type="gramEnd"/>
            <w:r>
              <w:rPr>
                <w:color w:val="auto"/>
                <w:sz w:val="24"/>
                <w:szCs w:val="24"/>
              </w:rPr>
              <w:t xml:space="preserve"> She has undertaking safeguarding work, court report writing. She is worked well with other professionals, demonstrating a great use of multi-agency working. The learner has shown a great understanding of the legislation and procedures needed within their role.</w:t>
            </w:r>
          </w:p>
          <w:p w14:paraId="7CF78E86" w14:textId="77777777" w:rsidR="00BC1989" w:rsidRDefault="00BC1989" w:rsidP="005D4F72">
            <w:pPr>
              <w:jc w:val="both"/>
              <w:rPr>
                <w:color w:val="auto"/>
                <w:sz w:val="24"/>
                <w:szCs w:val="24"/>
              </w:rPr>
            </w:pPr>
          </w:p>
          <w:p w14:paraId="331D6BD4" w14:textId="0F85E607" w:rsidR="00BC1989" w:rsidRDefault="00BC1989" w:rsidP="005D4F72">
            <w:pPr>
              <w:jc w:val="both"/>
              <w:rPr>
                <w:color w:val="auto"/>
                <w:sz w:val="24"/>
                <w:szCs w:val="24"/>
              </w:rPr>
            </w:pPr>
            <w:r>
              <w:rPr>
                <w:color w:val="auto"/>
                <w:sz w:val="24"/>
                <w:szCs w:val="24"/>
              </w:rPr>
              <w:t xml:space="preserve">The learner has used CPEL and supervision support sessions effectively. The learner is motivated to learn and to do well. The learner has referred to the importance of Systemic practice. The learner also uses models and theories well throughout the work they undertake and </w:t>
            </w:r>
            <w:proofErr w:type="gramStart"/>
            <w:r>
              <w:rPr>
                <w:color w:val="auto"/>
                <w:sz w:val="24"/>
                <w:szCs w:val="24"/>
              </w:rPr>
              <w:t>has the ability to</w:t>
            </w:r>
            <w:proofErr w:type="gramEnd"/>
            <w:r>
              <w:rPr>
                <w:color w:val="auto"/>
                <w:sz w:val="24"/>
                <w:szCs w:val="24"/>
              </w:rPr>
              <w:t xml:space="preserve"> reflect on the work they have completed.</w:t>
            </w:r>
          </w:p>
          <w:p w14:paraId="1E3F97DD" w14:textId="77777777" w:rsidR="00BC1989" w:rsidRDefault="00BC1989" w:rsidP="005D4F72">
            <w:pPr>
              <w:jc w:val="both"/>
              <w:rPr>
                <w:color w:val="auto"/>
                <w:sz w:val="24"/>
                <w:szCs w:val="24"/>
              </w:rPr>
            </w:pPr>
          </w:p>
          <w:p w14:paraId="23CD400C" w14:textId="68949928" w:rsidR="00BC1989" w:rsidRDefault="00BC1989" w:rsidP="005D4F72">
            <w:pPr>
              <w:jc w:val="both"/>
              <w:rPr>
                <w:color w:val="auto"/>
                <w:sz w:val="24"/>
                <w:szCs w:val="24"/>
              </w:rPr>
            </w:pPr>
            <w:r>
              <w:rPr>
                <w:color w:val="auto"/>
                <w:sz w:val="24"/>
                <w:szCs w:val="24"/>
              </w:rPr>
              <w:t xml:space="preserve">I carried out the direct observation and the learner was person-centred with their approach and making sure they made the service user comfortable and picking up on body language when issues were of a difficult manner. I was impressed with the </w:t>
            </w:r>
            <w:proofErr w:type="gramStart"/>
            <w:r>
              <w:rPr>
                <w:color w:val="auto"/>
                <w:sz w:val="24"/>
                <w:szCs w:val="24"/>
              </w:rPr>
              <w:t>learners</w:t>
            </w:r>
            <w:proofErr w:type="gramEnd"/>
            <w:r>
              <w:rPr>
                <w:color w:val="auto"/>
                <w:sz w:val="24"/>
                <w:szCs w:val="24"/>
              </w:rPr>
              <w:t xml:space="preserve"> manner during this observation. </w:t>
            </w:r>
          </w:p>
          <w:p w14:paraId="39C397B9" w14:textId="77777777" w:rsidR="00BC1989" w:rsidRDefault="00BC1989" w:rsidP="005D4F72">
            <w:pPr>
              <w:jc w:val="both"/>
              <w:rPr>
                <w:color w:val="auto"/>
                <w:sz w:val="24"/>
                <w:szCs w:val="24"/>
              </w:rPr>
            </w:pPr>
          </w:p>
          <w:p w14:paraId="662990DE" w14:textId="2DF656C4" w:rsidR="00BC1989" w:rsidRDefault="00BC1989" w:rsidP="005D4F72">
            <w:pPr>
              <w:jc w:val="both"/>
              <w:rPr>
                <w:color w:val="auto"/>
                <w:sz w:val="24"/>
                <w:szCs w:val="24"/>
              </w:rPr>
            </w:pPr>
            <w:r>
              <w:rPr>
                <w:color w:val="auto"/>
                <w:sz w:val="24"/>
                <w:szCs w:val="24"/>
              </w:rPr>
              <w:t>The learning has shown where they have implemented safeguarding within Task 3, which evidences her work through a situation whereby risk needed to be managed. The learner was reflected throughout this piece of work/</w:t>
            </w:r>
          </w:p>
          <w:p w14:paraId="592210EE" w14:textId="77777777" w:rsidR="00BC1989" w:rsidRDefault="00BC1989" w:rsidP="005D4F72">
            <w:pPr>
              <w:jc w:val="both"/>
              <w:rPr>
                <w:color w:val="auto"/>
                <w:sz w:val="24"/>
                <w:szCs w:val="24"/>
              </w:rPr>
            </w:pPr>
          </w:p>
          <w:p w14:paraId="4196D75E" w14:textId="5E71F9C8" w:rsidR="00BC1989" w:rsidRDefault="00BC1989" w:rsidP="005D4F72">
            <w:pPr>
              <w:jc w:val="both"/>
              <w:rPr>
                <w:color w:val="auto"/>
                <w:sz w:val="24"/>
                <w:szCs w:val="24"/>
              </w:rPr>
            </w:pPr>
            <w:r>
              <w:rPr>
                <w:color w:val="auto"/>
                <w:sz w:val="24"/>
                <w:szCs w:val="24"/>
              </w:rPr>
              <w:t>The learner has identified their future learning needs, these have been discussed and agreed in supervision</w:t>
            </w:r>
            <w:r w:rsidR="006B170C">
              <w:rPr>
                <w:color w:val="auto"/>
                <w:sz w:val="24"/>
                <w:szCs w:val="24"/>
              </w:rPr>
              <w:t>.</w:t>
            </w:r>
          </w:p>
          <w:p w14:paraId="6967D695" w14:textId="77777777" w:rsidR="006B170C" w:rsidRDefault="006B170C" w:rsidP="005D4F72">
            <w:pPr>
              <w:jc w:val="both"/>
              <w:rPr>
                <w:color w:val="auto"/>
                <w:sz w:val="24"/>
                <w:szCs w:val="24"/>
              </w:rPr>
            </w:pPr>
          </w:p>
          <w:p w14:paraId="46294F63" w14:textId="30C6AAC7" w:rsidR="006B170C" w:rsidRDefault="006B170C" w:rsidP="005D4F72">
            <w:pPr>
              <w:jc w:val="both"/>
              <w:rPr>
                <w:color w:val="auto"/>
                <w:sz w:val="24"/>
                <w:szCs w:val="24"/>
              </w:rPr>
            </w:pPr>
            <w:r>
              <w:rPr>
                <w:color w:val="auto"/>
                <w:sz w:val="24"/>
                <w:szCs w:val="24"/>
              </w:rPr>
              <w:t>Watching the learning grow in confidence and to develop as a professional</w:t>
            </w:r>
            <w:r w:rsidR="005E18D3">
              <w:rPr>
                <w:color w:val="auto"/>
                <w:sz w:val="24"/>
                <w:szCs w:val="24"/>
              </w:rPr>
              <w:t xml:space="preserve">, make their own judgements. They show how they can draw analysis within their own assessments and how </w:t>
            </w:r>
            <w:r w:rsidR="005E18D3">
              <w:rPr>
                <w:color w:val="auto"/>
                <w:sz w:val="24"/>
                <w:szCs w:val="24"/>
              </w:rPr>
              <w:lastRenderedPageBreak/>
              <w:t>they are able to work collaboratively throughout their career, as well as dealing with increasingly complex situations.</w:t>
            </w: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2727C0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E18D3">
        <w:rPr>
          <w:b/>
          <w:sz w:val="24"/>
          <w:szCs w:val="24"/>
        </w:rPr>
        <w:t xml:space="preserve"> Amy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3128AB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E18D3">
        <w:rPr>
          <w:b/>
          <w:sz w:val="24"/>
          <w:szCs w:val="24"/>
        </w:rPr>
        <w:t xml:space="preserve"> 2011919@student.uwtsd.ac.uk</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0D691CA2" w:rsidR="004923DA" w:rsidRDefault="005E18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20 </w:t>
      </w:r>
      <w:proofErr w:type="spellStart"/>
      <w:r>
        <w:rPr>
          <w:b/>
          <w:sz w:val="24"/>
          <w:szCs w:val="24"/>
        </w:rPr>
        <w:t>wentworth</w:t>
      </w:r>
      <w:proofErr w:type="spellEnd"/>
      <w:r>
        <w:rPr>
          <w:b/>
          <w:sz w:val="24"/>
          <w:szCs w:val="24"/>
        </w:rPr>
        <w:t xml:space="preserve"> crescent</w:t>
      </w:r>
    </w:p>
    <w:p w14:paraId="7A0813FC" w14:textId="2B25880E" w:rsidR="005E18D3" w:rsidRDefault="005E18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332561E5" w14:textId="2F977830" w:rsidR="005E18D3" w:rsidRPr="008B28E7" w:rsidRDefault="005E18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Sa4 5ht</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C5CE3C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E18D3">
        <w:rPr>
          <w:b/>
          <w:sz w:val="24"/>
          <w:szCs w:val="24"/>
        </w:rPr>
        <w:t xml:space="preserve"> 07812475999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A7732D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E18D3">
        <w:rPr>
          <w:b/>
          <w:sz w:val="24"/>
          <w:szCs w:val="24"/>
        </w:rPr>
        <w:t xml:space="preserve"> AmLJJones@carmarthenshire.gov.uk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AC620F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5E18D3">
        <w:rPr>
          <w:b/>
          <w:sz w:val="24"/>
          <w:szCs w:val="24"/>
        </w:rPr>
        <w:t>June 2022</w:t>
      </w:r>
      <w:r w:rsidR="005E18D3">
        <w:rPr>
          <w:b/>
          <w:sz w:val="24"/>
          <w:szCs w:val="24"/>
        </w:rPr>
        <w:tab/>
      </w:r>
      <w:r w:rsidR="005E18D3">
        <w:rPr>
          <w:b/>
          <w:sz w:val="24"/>
          <w:szCs w:val="24"/>
        </w:rPr>
        <w:tab/>
      </w:r>
      <w:r w:rsidR="005E18D3">
        <w:rPr>
          <w:b/>
          <w:sz w:val="24"/>
          <w:szCs w:val="24"/>
        </w:rPr>
        <w:tab/>
      </w:r>
      <w:r w:rsidR="005E18D3">
        <w:rPr>
          <w:b/>
          <w:sz w:val="24"/>
          <w:szCs w:val="24"/>
        </w:rPr>
        <w:tab/>
      </w:r>
      <w:r w:rsidR="005E18D3">
        <w:rPr>
          <w:b/>
          <w:sz w:val="24"/>
          <w:szCs w:val="24"/>
        </w:rPr>
        <w:tab/>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D</w:t>
      </w:r>
      <w:r w:rsidRPr="008B28E7">
        <w:rPr>
          <w:b/>
          <w:sz w:val="24"/>
          <w:szCs w:val="24"/>
        </w:rPr>
        <w:t xml:space="preserve">ate of registration with </w:t>
      </w:r>
      <w:r w:rsidR="00012B16">
        <w:rPr>
          <w:b/>
          <w:sz w:val="24"/>
          <w:szCs w:val="24"/>
        </w:rPr>
        <w:t>Social Care Wales</w:t>
      </w:r>
      <w:r w:rsidRPr="008B28E7">
        <w:rPr>
          <w:b/>
          <w:sz w:val="24"/>
          <w:szCs w:val="24"/>
        </w:rPr>
        <w:t>:</w:t>
      </w:r>
    </w:p>
    <w:p w14:paraId="3DA05451" w14:textId="5D49A63E" w:rsidR="00B17FA0" w:rsidRPr="008B28E7" w:rsidRDefault="005E18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August 2022</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3090E7B7" w:rsidR="004923DA" w:rsidRPr="008B28E7" w:rsidRDefault="005E18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Carmarthenshire County Council</w:t>
      </w: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4DDD1ECB" w:rsidR="004923DA" w:rsidRDefault="005E18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Carmarthen child Care Team</w:t>
      </w:r>
      <w:r>
        <w:rPr>
          <w:b/>
          <w:sz w:val="24"/>
          <w:szCs w:val="24"/>
        </w:rPr>
        <w:tab/>
      </w:r>
      <w:r>
        <w:rPr>
          <w:b/>
          <w:sz w:val="24"/>
          <w:szCs w:val="24"/>
        </w:rPr>
        <w:tab/>
      </w:r>
      <w:r>
        <w:rPr>
          <w:b/>
          <w:sz w:val="24"/>
          <w:szCs w:val="24"/>
        </w:rPr>
        <w:tab/>
      </w: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ADCDD05" w:rsidR="004923DA" w:rsidRDefault="005E18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Block 1 </w:t>
      </w:r>
      <w:r>
        <w:rPr>
          <w:b/>
          <w:sz w:val="24"/>
          <w:szCs w:val="24"/>
        </w:rPr>
        <w:br/>
        <w:t>Parc Myrddin</w:t>
      </w:r>
    </w:p>
    <w:p w14:paraId="5FCBFCD8" w14:textId="4B746AE1" w:rsidR="005E18D3" w:rsidRDefault="005E18D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Richmond Terrace</w:t>
      </w:r>
    </w:p>
    <w:p w14:paraId="36974772" w14:textId="7A3E655E" w:rsidR="00871823" w:rsidRDefault="0087182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SA31 1HQ</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1F16D443" w:rsidR="004923DA" w:rsidRDefault="0087182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01267 224417</w:t>
      </w: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5C1747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71823">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p>
    <w:p w14:paraId="1286878A" w14:textId="6D5ED66A" w:rsidR="004923DA" w:rsidRPr="008B28E7" w:rsidRDefault="0087182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Sara Altman</w:t>
      </w: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66754D83" w14:textId="77777777" w:rsidR="00871823" w:rsidRDefault="00871823" w:rsidP="0087182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Block 1 </w:t>
      </w:r>
      <w:r>
        <w:rPr>
          <w:b/>
          <w:sz w:val="24"/>
          <w:szCs w:val="24"/>
        </w:rPr>
        <w:br/>
        <w:t>Parc Myrddin</w:t>
      </w:r>
    </w:p>
    <w:p w14:paraId="3D2B8C2E" w14:textId="77777777" w:rsidR="00871823" w:rsidRDefault="00871823" w:rsidP="0087182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Richmond Terrace</w:t>
      </w:r>
    </w:p>
    <w:p w14:paraId="4AADA8A3" w14:textId="77777777" w:rsidR="00871823" w:rsidRDefault="00871823" w:rsidP="0087182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SA31 1HQ</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9D8A54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71823">
        <w:rPr>
          <w:b/>
          <w:sz w:val="24"/>
          <w:szCs w:val="24"/>
        </w:rPr>
        <w:t xml:space="preserve"> 01267 224417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611A69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71823">
        <w:rPr>
          <w:b/>
          <w:sz w:val="24"/>
          <w:szCs w:val="24"/>
        </w:rPr>
        <w:t xml:space="preserve"> saraltman@carmarthenshire.gov.uk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D471590" w:rsidR="004923DA" w:rsidRDefault="004923DA" w:rsidP="00FF7EBB">
            <w:pPr>
              <w:jc w:val="both"/>
              <w:rPr>
                <w:b/>
                <w:sz w:val="24"/>
                <w:szCs w:val="24"/>
              </w:rPr>
            </w:pPr>
            <w:r w:rsidRPr="008B28E7">
              <w:rPr>
                <w:b/>
                <w:sz w:val="24"/>
                <w:szCs w:val="24"/>
              </w:rPr>
              <w:t>Name:</w:t>
            </w:r>
            <w:r w:rsidR="00871823">
              <w:rPr>
                <w:b/>
                <w:sz w:val="24"/>
                <w:szCs w:val="24"/>
              </w:rPr>
              <w:t xml:space="preserve"> Sara Altman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79058A95" w14:textId="77777777" w:rsidR="00871823" w:rsidRDefault="00871823" w:rsidP="0087182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Block 1 </w:t>
            </w:r>
            <w:r>
              <w:rPr>
                <w:b/>
                <w:sz w:val="24"/>
                <w:szCs w:val="24"/>
              </w:rPr>
              <w:br/>
              <w:t>Parc Myrddin</w:t>
            </w:r>
          </w:p>
          <w:p w14:paraId="64A27AD3" w14:textId="77777777" w:rsidR="00871823" w:rsidRDefault="00871823" w:rsidP="0087182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Richmond Terrace</w:t>
            </w:r>
          </w:p>
          <w:p w14:paraId="484EE4DE" w14:textId="77777777" w:rsidR="00871823" w:rsidRDefault="00871823" w:rsidP="0087182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SA31 1HQ</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4896B927" w:rsidR="004923DA" w:rsidRDefault="009D59C2" w:rsidP="00FF7EBB">
            <w:pPr>
              <w:jc w:val="both"/>
              <w:rPr>
                <w:b/>
                <w:sz w:val="24"/>
                <w:szCs w:val="24"/>
              </w:rPr>
            </w:pPr>
            <w:r>
              <w:rPr>
                <w:b/>
                <w:sz w:val="24"/>
                <w:szCs w:val="24"/>
              </w:rPr>
              <w:t>T</w:t>
            </w:r>
            <w:r w:rsidR="004923DA" w:rsidRPr="008B28E7">
              <w:rPr>
                <w:b/>
                <w:sz w:val="24"/>
                <w:szCs w:val="24"/>
              </w:rPr>
              <w:t>elephone number:</w:t>
            </w:r>
            <w:r w:rsidR="00871823">
              <w:rPr>
                <w:b/>
                <w:sz w:val="24"/>
                <w:szCs w:val="24"/>
              </w:rPr>
              <w:t xml:space="preserve"> 01267 224417</w:t>
            </w:r>
          </w:p>
          <w:p w14:paraId="0BB87919" w14:textId="548A11EF" w:rsidR="009D59C2" w:rsidRDefault="009D59C2" w:rsidP="00FF7EBB">
            <w:pPr>
              <w:jc w:val="both"/>
              <w:rPr>
                <w:b/>
                <w:sz w:val="24"/>
                <w:szCs w:val="24"/>
              </w:rPr>
            </w:pPr>
          </w:p>
          <w:p w14:paraId="4FDEE73F" w14:textId="7B46D550" w:rsidR="009D59C2" w:rsidRPr="008B28E7" w:rsidRDefault="009D59C2" w:rsidP="00FF7EBB">
            <w:pPr>
              <w:jc w:val="both"/>
              <w:rPr>
                <w:b/>
                <w:sz w:val="24"/>
                <w:szCs w:val="24"/>
              </w:rPr>
            </w:pPr>
            <w:r>
              <w:rPr>
                <w:b/>
                <w:sz w:val="24"/>
                <w:szCs w:val="24"/>
              </w:rPr>
              <w:t>Email address:</w:t>
            </w:r>
            <w:r w:rsidR="00871823">
              <w:rPr>
                <w:b/>
                <w:sz w:val="24"/>
                <w:szCs w:val="24"/>
              </w:rPr>
              <w:t xml:space="preserve"> saraltman@carmarthenshire.gov.uk</w:t>
            </w:r>
          </w:p>
          <w:p w14:paraId="4346D2ED" w14:textId="77777777" w:rsidR="00B17FA0" w:rsidRPr="008B28E7" w:rsidRDefault="00B17FA0" w:rsidP="000E38C3">
            <w:pPr>
              <w:jc w:val="both"/>
              <w:rPr>
                <w:b/>
                <w:sz w:val="24"/>
                <w:szCs w:val="24"/>
              </w:rPr>
            </w:pPr>
          </w:p>
        </w:tc>
      </w:tr>
      <w:tr w:rsidR="00871823" w:rsidRPr="008B28E7" w14:paraId="0F03DE25" w14:textId="77777777" w:rsidTr="00B17FA0">
        <w:tc>
          <w:tcPr>
            <w:tcW w:w="10278" w:type="dxa"/>
            <w:shd w:val="clear" w:color="auto" w:fill="auto"/>
          </w:tcPr>
          <w:p w14:paraId="3247FEB9" w14:textId="77777777" w:rsidR="00871823" w:rsidRDefault="00871823" w:rsidP="00FF7EBB">
            <w:pPr>
              <w:jc w:val="both"/>
              <w:rPr>
                <w:b/>
                <w:sz w:val="24"/>
                <w:szCs w:val="24"/>
              </w:rPr>
            </w:pPr>
          </w:p>
        </w:tc>
      </w:tr>
      <w:tr w:rsidR="00871823" w:rsidRPr="008B28E7" w14:paraId="77FB269F" w14:textId="77777777" w:rsidTr="00B17FA0">
        <w:tc>
          <w:tcPr>
            <w:tcW w:w="10278" w:type="dxa"/>
            <w:shd w:val="clear" w:color="auto" w:fill="auto"/>
          </w:tcPr>
          <w:p w14:paraId="6DBFF3DC" w14:textId="77777777" w:rsidR="00871823" w:rsidRDefault="00871823" w:rsidP="00FF7EBB">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82CF8B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w:t>
      </w:r>
      <w:r w:rsidR="00871823">
        <w:rPr>
          <w:noProof/>
          <w:sz w:val="24"/>
          <w:szCs w:val="24"/>
        </w:rPr>
        <w:drawing>
          <wp:inline distT="0" distB="0" distL="0" distR="0" wp14:anchorId="604F85E9" wp14:editId="48137B5F">
            <wp:extent cx="1754038" cy="387350"/>
            <wp:effectExtent l="0" t="0" r="0" b="0"/>
            <wp:docPr id="243357845" name="Picture 1" descr="A black circl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57845" name="Picture 1" descr="A black circle on a white background&#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762211" cy="389155"/>
                    </a:xfrm>
                    <a:prstGeom prst="rect">
                      <a:avLst/>
                    </a:prstGeom>
                  </pic:spPr>
                </pic:pic>
              </a:graphicData>
            </a:graphic>
          </wp:inline>
        </w:drawing>
      </w:r>
      <w:r>
        <w:rPr>
          <w:sz w:val="24"/>
          <w:szCs w:val="24"/>
        </w:rPr>
        <w:t>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97E804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871823">
        <w:rPr>
          <w:noProof/>
          <w:sz w:val="24"/>
          <w:szCs w:val="24"/>
        </w:rPr>
        <w:t>10/01/2024</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AA467BD"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871823">
        <w:rPr>
          <w:noProof/>
          <w:sz w:val="24"/>
          <w:szCs w:val="24"/>
        </w:rPr>
        <w:drawing>
          <wp:inline distT="0" distB="0" distL="0" distR="0" wp14:anchorId="002C83A6" wp14:editId="6B44C3AC">
            <wp:extent cx="1762897" cy="304800"/>
            <wp:effectExtent l="0" t="0" r="8890" b="0"/>
            <wp:docPr id="628900297" name="Picture 2"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00297" name="Picture 2" descr="A close up of a let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79074" cy="307597"/>
                    </a:xfrm>
                    <a:prstGeom prst="rect">
                      <a:avLst/>
                    </a:prstGeom>
                  </pic:spPr>
                </pic:pic>
              </a:graphicData>
            </a:graphic>
          </wp:inline>
        </w:drawing>
      </w:r>
      <w:r w:rsidR="00B577D3">
        <w:rPr>
          <w:sz w:val="24"/>
          <w:szCs w:val="24"/>
        </w:rPr>
        <w:t xml:space="preserve">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DDDBE8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871823">
        <w:rPr>
          <w:sz w:val="24"/>
          <w:szCs w:val="24"/>
        </w:rPr>
        <w:t>10/01/2024</w:t>
      </w:r>
      <w:r>
        <w:rPr>
          <w:sz w:val="24"/>
          <w:szCs w:val="24"/>
        </w:rPr>
        <w:t xml:space="preserve">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EE448FF" w:rsidR="00335C41" w:rsidRPr="00D3203C" w:rsidRDefault="00335C41" w:rsidP="00335C41">
            <w:pPr>
              <w:ind w:right="180"/>
              <w:jc w:val="both"/>
              <w:rPr>
                <w:sz w:val="24"/>
                <w:szCs w:val="24"/>
              </w:rPr>
            </w:pPr>
            <w:r w:rsidRPr="00D3203C">
              <w:rPr>
                <w:sz w:val="24"/>
                <w:szCs w:val="24"/>
              </w:rPr>
              <w:t>Signed__________</w:t>
            </w:r>
            <w:r w:rsidR="00871823">
              <w:rPr>
                <w:noProof/>
                <w:sz w:val="24"/>
                <w:szCs w:val="24"/>
              </w:rPr>
              <w:drawing>
                <wp:inline distT="0" distB="0" distL="0" distR="0" wp14:anchorId="36D11855" wp14:editId="01491204">
                  <wp:extent cx="3232150" cy="558830"/>
                  <wp:effectExtent l="0" t="0" r="6350" b="0"/>
                  <wp:docPr id="142589633" name="Picture 2"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00297" name="Picture 2" descr="A close up of a let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52996" cy="562434"/>
                          </a:xfrm>
                          <a:prstGeom prst="rect">
                            <a:avLst/>
                          </a:prstGeom>
                        </pic:spPr>
                      </pic:pic>
                    </a:graphicData>
                  </a:graphic>
                </wp:inline>
              </w:drawing>
            </w:r>
            <w:r w:rsidRPr="00D3203C">
              <w:rPr>
                <w:sz w:val="24"/>
                <w:szCs w:val="24"/>
              </w:rPr>
              <w:t>______________ (Mentor)</w:t>
            </w:r>
          </w:p>
          <w:p w14:paraId="5D3F0767" w14:textId="77777777" w:rsidR="00335C41" w:rsidRPr="00D3203C" w:rsidRDefault="00335C41" w:rsidP="00335C41">
            <w:pPr>
              <w:ind w:right="180"/>
              <w:jc w:val="both"/>
              <w:rPr>
                <w:sz w:val="24"/>
                <w:szCs w:val="24"/>
              </w:rPr>
            </w:pPr>
          </w:p>
          <w:p w14:paraId="24E1B8A5" w14:textId="42066BF6" w:rsidR="00335C41" w:rsidRPr="00D3203C" w:rsidRDefault="00335C41" w:rsidP="00335C41">
            <w:pPr>
              <w:ind w:right="180"/>
              <w:jc w:val="both"/>
              <w:rPr>
                <w:sz w:val="24"/>
                <w:szCs w:val="24"/>
              </w:rPr>
            </w:pPr>
            <w:r w:rsidRPr="00D3203C">
              <w:rPr>
                <w:sz w:val="24"/>
                <w:szCs w:val="24"/>
              </w:rPr>
              <w:t>Date ________</w:t>
            </w:r>
            <w:r w:rsidR="00871823">
              <w:rPr>
                <w:sz w:val="24"/>
                <w:szCs w:val="24"/>
              </w:rPr>
              <w:t>10/02/2025</w:t>
            </w:r>
            <w:r w:rsidRPr="00D3203C">
              <w:rPr>
                <w:sz w:val="24"/>
                <w:szCs w:val="24"/>
              </w:rPr>
              <w:t>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B5DEC1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_ _ </w:t>
      </w:r>
      <w:r w:rsidR="00871823">
        <w:rPr>
          <w:caps/>
          <w:sz w:val="24"/>
          <w:szCs w:val="24"/>
        </w:rPr>
        <w:t>Sara Altman</w:t>
      </w:r>
      <w:r w:rsidR="00B577D3">
        <w:rPr>
          <w:caps/>
          <w:sz w:val="24"/>
          <w:szCs w:val="24"/>
        </w:rPr>
        <w:t>_ _ _ _ _ _ _ _ _ _ _ _ _ _ _ _ _ _ _ _</w:t>
      </w:r>
    </w:p>
    <w:p w14:paraId="7C11F360" w14:textId="4D3813E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w:t>
      </w:r>
      <w:r w:rsidR="00871823">
        <w:rPr>
          <w:noProof/>
          <w:sz w:val="24"/>
          <w:szCs w:val="24"/>
        </w:rPr>
        <w:drawing>
          <wp:inline distT="0" distB="0" distL="0" distR="0" wp14:anchorId="7B60C9C0" wp14:editId="228C73F4">
            <wp:extent cx="3232150" cy="558830"/>
            <wp:effectExtent l="0" t="0" r="6350" b="0"/>
            <wp:docPr id="259099790" name="Picture 2"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00297" name="Picture 2" descr="A close up of a let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52996" cy="562434"/>
                    </a:xfrm>
                    <a:prstGeom prst="rect">
                      <a:avLst/>
                    </a:prstGeom>
                  </pic:spPr>
                </pic:pic>
              </a:graphicData>
            </a:graphic>
          </wp:inline>
        </w:drawing>
      </w:r>
      <w:r w:rsidR="00B577D3" w:rsidRPr="00B577D3">
        <w:rPr>
          <w:sz w:val="24"/>
          <w:szCs w:val="24"/>
        </w:rPr>
        <w:t>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21636F8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871823">
        <w:rPr>
          <w:sz w:val="24"/>
          <w:szCs w:val="24"/>
        </w:rPr>
        <w:t>10/02/2025</w:t>
      </w:r>
      <w:r w:rsidR="00B577D3" w:rsidRPr="00B577D3">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49CDA2A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w:t>
      </w:r>
      <w:r w:rsidR="00C8152A">
        <w:rPr>
          <w:caps/>
          <w:sz w:val="24"/>
          <w:szCs w:val="24"/>
        </w:rPr>
        <w:t>Sara Altman</w:t>
      </w:r>
      <w:r w:rsidRPr="00B436BF">
        <w:rPr>
          <w:caps/>
          <w:sz w:val="24"/>
          <w:szCs w:val="24"/>
        </w:rPr>
        <w:t xml:space="preserve"> _ _ _ _ _ _ _ _ _ _ _ _</w:t>
      </w:r>
    </w:p>
    <w:p w14:paraId="4903E782" w14:textId="4E3B63A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r w:rsidR="00C8152A">
        <w:rPr>
          <w:noProof/>
          <w:sz w:val="24"/>
          <w:szCs w:val="24"/>
        </w:rPr>
        <w:drawing>
          <wp:inline distT="0" distB="0" distL="0" distR="0" wp14:anchorId="5769C5B8" wp14:editId="0FD30075">
            <wp:extent cx="3232150" cy="558830"/>
            <wp:effectExtent l="0" t="0" r="6350" b="0"/>
            <wp:docPr id="1969570640" name="Picture 2"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00297" name="Picture 2" descr="A close up of a let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52996" cy="562434"/>
                    </a:xfrm>
                    <a:prstGeom prst="rect">
                      <a:avLst/>
                    </a:prstGeom>
                  </pic:spPr>
                </pic:pic>
              </a:graphicData>
            </a:graphic>
          </wp:inline>
        </w:drawing>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7967B47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w:t>
      </w:r>
      <w:r w:rsidR="00C8152A">
        <w:rPr>
          <w:sz w:val="24"/>
          <w:szCs w:val="24"/>
        </w:rPr>
        <w:t xml:space="preserve">Assistant Team </w:t>
      </w:r>
      <w:proofErr w:type="gramStart"/>
      <w:r w:rsidR="00C8152A">
        <w:rPr>
          <w:sz w:val="24"/>
          <w:szCs w:val="24"/>
        </w:rPr>
        <w:t>Manager</w:t>
      </w:r>
      <w:r w:rsidR="001359EE">
        <w:rPr>
          <w:sz w:val="24"/>
          <w:szCs w:val="24"/>
        </w:rPr>
        <w:t xml:space="preserve"> </w:t>
      </w:r>
      <w:r w:rsidRPr="00B436BF">
        <w:rPr>
          <w:sz w:val="24"/>
          <w:szCs w:val="24"/>
        </w:rPr>
        <w:t xml:space="preserve"> _</w:t>
      </w:r>
      <w:proofErr w:type="gramEnd"/>
      <w:r w:rsidRPr="00B436BF">
        <w:rPr>
          <w:sz w:val="24"/>
          <w:szCs w:val="24"/>
        </w:rPr>
        <w:t xml:space="preserve"> _ _ _ _ _ _ _ _ _ _ _ _ _ _ _ _ _ _ _</w:t>
      </w:r>
    </w:p>
    <w:p w14:paraId="4FB74CFA" w14:textId="3F7A0521"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w:t>
      </w:r>
      <w:r w:rsidR="00C8152A">
        <w:rPr>
          <w:sz w:val="24"/>
          <w:szCs w:val="24"/>
        </w:rPr>
        <w:t>10/02/2025</w:t>
      </w:r>
      <w:r w:rsidR="00C8152A">
        <w:rPr>
          <w:sz w:val="24"/>
          <w:szCs w:val="24"/>
        </w:rPr>
        <w:tab/>
      </w:r>
      <w:r w:rsidR="00C8152A">
        <w:rPr>
          <w:sz w:val="24"/>
          <w:szCs w:val="24"/>
        </w:rPr>
        <w:tab/>
      </w:r>
      <w:r w:rsidRPr="00B436BF">
        <w:rPr>
          <w:sz w:val="24"/>
          <w:szCs w:val="24"/>
        </w:rPr>
        <w:t xml:space="preserve"> _ _ _ _ _ _ __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102404A9" w:rsidR="00D05A5D" w:rsidRPr="00DA5682" w:rsidRDefault="00C8152A" w:rsidP="00CC14B6">
            <w:pPr>
              <w:rPr>
                <w:sz w:val="24"/>
                <w:szCs w:val="24"/>
              </w:rPr>
            </w:pPr>
            <w:r>
              <w:rPr>
                <w:sz w:val="24"/>
                <w:szCs w:val="24"/>
              </w:rPr>
              <w:t>Amy Jones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C6792BF" w:rsidR="00D05A5D" w:rsidRPr="00DA5682" w:rsidRDefault="00C8152A" w:rsidP="00CC14B6">
            <w:pPr>
              <w:rPr>
                <w:sz w:val="24"/>
                <w:szCs w:val="24"/>
              </w:rPr>
            </w:pPr>
            <w:r>
              <w:rPr>
                <w:sz w:val="24"/>
                <w:szCs w:val="24"/>
              </w:rPr>
              <w:t>Carmarthen Child Care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B9F0C30" w:rsidR="00D05A5D" w:rsidRPr="00DA5682" w:rsidRDefault="00C8152A" w:rsidP="00CC14B6">
            <w:pPr>
              <w:rPr>
                <w:sz w:val="24"/>
                <w:szCs w:val="24"/>
              </w:rPr>
            </w:pPr>
            <w:r>
              <w:rPr>
                <w:sz w:val="24"/>
                <w:szCs w:val="24"/>
              </w:rPr>
              <w:t>Sara Altman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E691865" w:rsidR="00D05A5D" w:rsidRPr="00DA5682" w:rsidRDefault="00C8152A" w:rsidP="00CC14B6">
            <w:pPr>
              <w:rPr>
                <w:sz w:val="24"/>
                <w:szCs w:val="24"/>
              </w:rPr>
            </w:pPr>
            <w:r>
              <w:rPr>
                <w:sz w:val="24"/>
                <w:szCs w:val="24"/>
              </w:rPr>
              <w:t>Karla Gorlach</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F2DBD0B"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C8152A">
        <w:rPr>
          <w:noProof/>
          <w:sz w:val="24"/>
          <w:szCs w:val="24"/>
        </w:rPr>
        <w:drawing>
          <wp:inline distT="0" distB="0" distL="0" distR="0" wp14:anchorId="38BA0D30" wp14:editId="548BD741">
            <wp:extent cx="1797050" cy="396849"/>
            <wp:effectExtent l="0" t="0" r="0" b="3810"/>
            <wp:docPr id="1412091100" name="Picture 3" descr="A black circl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091100" name="Picture 3" descr="A black circle on a white background&#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830856" cy="404314"/>
                    </a:xfrm>
                    <a:prstGeom prst="rect">
                      <a:avLst/>
                    </a:prstGeom>
                  </pic:spPr>
                </pic:pic>
              </a:graphicData>
            </a:graphic>
          </wp:inline>
        </w:drawing>
      </w:r>
      <w:r w:rsidRPr="00DA5682">
        <w:rPr>
          <w:sz w:val="24"/>
          <w:szCs w:val="24"/>
        </w:rPr>
        <w:t xml:space="preserve">……….. Print </w:t>
      </w:r>
      <w:proofErr w:type="gramStart"/>
      <w:r w:rsidRPr="00DA5682">
        <w:rPr>
          <w:sz w:val="24"/>
          <w:szCs w:val="24"/>
        </w:rPr>
        <w:t>Name:…</w:t>
      </w:r>
      <w:proofErr w:type="gramEnd"/>
      <w:r w:rsidRPr="00DA5682">
        <w:rPr>
          <w:sz w:val="24"/>
          <w:szCs w:val="24"/>
        </w:rPr>
        <w:t>…</w:t>
      </w:r>
      <w:r w:rsidR="00C8152A">
        <w:rPr>
          <w:sz w:val="24"/>
          <w:szCs w:val="24"/>
        </w:rPr>
        <w:t>Amy Jones</w:t>
      </w:r>
      <w:r w:rsidRPr="00DA5682">
        <w:rPr>
          <w:sz w:val="24"/>
          <w:szCs w:val="24"/>
        </w:rPr>
        <w:t>…………………… Date:………</w:t>
      </w:r>
      <w:r w:rsidR="00C8152A">
        <w:rPr>
          <w:sz w:val="24"/>
          <w:szCs w:val="24"/>
        </w:rPr>
        <w:t>10/02/2024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383016DB"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C8152A" w:rsidRPr="00C8152A">
        <w:rPr>
          <w:noProof/>
          <w:sz w:val="24"/>
          <w:szCs w:val="24"/>
        </w:rPr>
        <w:t xml:space="preserve"> </w:t>
      </w:r>
      <w:r w:rsidR="00C8152A">
        <w:rPr>
          <w:noProof/>
          <w:sz w:val="24"/>
          <w:szCs w:val="24"/>
        </w:rPr>
        <w:drawing>
          <wp:inline distT="0" distB="0" distL="0" distR="0" wp14:anchorId="74AE513E" wp14:editId="5E6FBB9F">
            <wp:extent cx="3232150" cy="558830"/>
            <wp:effectExtent l="0" t="0" r="6350" b="0"/>
            <wp:docPr id="456257372" name="Picture 2"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00297" name="Picture 2" descr="A close up of a let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52996" cy="562434"/>
                    </a:xfrm>
                    <a:prstGeom prst="rect">
                      <a:avLst/>
                    </a:prstGeom>
                  </pic:spPr>
                </pic:pic>
              </a:graphicData>
            </a:graphic>
          </wp:inline>
        </w:drawing>
      </w:r>
      <w:r w:rsidRPr="00DA5682">
        <w:rPr>
          <w:sz w:val="24"/>
          <w:szCs w:val="24"/>
        </w:rPr>
        <w:t>………………….. Print N</w:t>
      </w:r>
      <w:r w:rsidR="00C8152A">
        <w:rPr>
          <w:sz w:val="24"/>
          <w:szCs w:val="24"/>
        </w:rPr>
        <w:t>ame: Sara Altman</w:t>
      </w:r>
      <w:r w:rsidRPr="00DA5682">
        <w:rPr>
          <w:sz w:val="24"/>
          <w:szCs w:val="24"/>
        </w:rPr>
        <w:t>…</w:t>
      </w:r>
      <w:proofErr w:type="gramStart"/>
      <w:r w:rsidRPr="00DA5682">
        <w:rPr>
          <w:sz w:val="24"/>
          <w:szCs w:val="24"/>
        </w:rPr>
        <w:t>….Date:…</w:t>
      </w:r>
      <w:proofErr w:type="gramEnd"/>
      <w:r w:rsidRPr="00DA5682">
        <w:rPr>
          <w:sz w:val="24"/>
          <w:szCs w:val="24"/>
        </w:rPr>
        <w:t>…</w:t>
      </w:r>
      <w:r w:rsidR="00C8152A">
        <w:rPr>
          <w:sz w:val="24"/>
          <w:szCs w:val="24"/>
        </w:rPr>
        <w:t xml:space="preserve"> 10/02/2024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51B5277C" w:rsidR="00D05A5D" w:rsidRPr="00DA5682" w:rsidRDefault="00D05A5D" w:rsidP="00D05A5D">
      <w:pPr>
        <w:rPr>
          <w:sz w:val="24"/>
          <w:szCs w:val="24"/>
        </w:rPr>
      </w:pPr>
      <w:proofErr w:type="gramStart"/>
      <w:r w:rsidRPr="00DA5682">
        <w:rPr>
          <w:sz w:val="24"/>
          <w:szCs w:val="24"/>
        </w:rPr>
        <w:lastRenderedPageBreak/>
        <w:t>Signed:…</w:t>
      </w:r>
      <w:proofErr w:type="gramEnd"/>
      <w:r w:rsidRPr="00DA5682">
        <w:rPr>
          <w:sz w:val="24"/>
          <w:szCs w:val="24"/>
        </w:rPr>
        <w:t>………</w:t>
      </w:r>
      <w:r w:rsidR="00C8152A" w:rsidRPr="00C8152A">
        <w:rPr>
          <w:noProof/>
          <w:sz w:val="24"/>
          <w:szCs w:val="24"/>
        </w:rPr>
        <w:t xml:space="preserve"> </w:t>
      </w:r>
      <w:r w:rsidR="00C8152A">
        <w:rPr>
          <w:noProof/>
          <w:sz w:val="24"/>
          <w:szCs w:val="24"/>
        </w:rPr>
        <w:drawing>
          <wp:inline distT="0" distB="0" distL="0" distR="0" wp14:anchorId="0064F77F" wp14:editId="3C7760F5">
            <wp:extent cx="3232150" cy="558830"/>
            <wp:effectExtent l="0" t="0" r="6350" b="0"/>
            <wp:docPr id="646910565" name="Picture 2"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00297" name="Picture 2" descr="A close up of a let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52996" cy="562434"/>
                    </a:xfrm>
                    <a:prstGeom prst="rect">
                      <a:avLst/>
                    </a:prstGeom>
                  </pic:spPr>
                </pic:pic>
              </a:graphicData>
            </a:graphic>
          </wp:inline>
        </w:drawing>
      </w:r>
      <w:r w:rsidRPr="00DA5682">
        <w:rPr>
          <w:sz w:val="24"/>
          <w:szCs w:val="24"/>
        </w:rPr>
        <w:t xml:space="preserve">…………….. Print </w:t>
      </w:r>
      <w:proofErr w:type="gramStart"/>
      <w:r w:rsidRPr="00DA5682">
        <w:rPr>
          <w:sz w:val="24"/>
          <w:szCs w:val="24"/>
        </w:rPr>
        <w:t>Name:…</w:t>
      </w:r>
      <w:proofErr w:type="gramEnd"/>
      <w:r w:rsidRPr="00DA5682">
        <w:rPr>
          <w:sz w:val="24"/>
          <w:szCs w:val="24"/>
        </w:rPr>
        <w:t>……</w:t>
      </w:r>
      <w:r w:rsidR="00C8152A">
        <w:rPr>
          <w:sz w:val="24"/>
          <w:szCs w:val="24"/>
        </w:rPr>
        <w:t>Sara Altman</w:t>
      </w:r>
      <w:r w:rsidRPr="00DA5682">
        <w:rPr>
          <w:sz w:val="24"/>
          <w:szCs w:val="24"/>
        </w:rPr>
        <w:t>………………….Date</w:t>
      </w:r>
      <w:r w:rsidR="00C8152A">
        <w:rPr>
          <w:sz w:val="24"/>
          <w:szCs w:val="24"/>
        </w:rPr>
        <w:t xml:space="preserve"> 10/02/2024</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1"/>
      <w:footerReference w:type="default" r:id="rId5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3BA3"/>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1845"/>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2F2"/>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18D3"/>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170C"/>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823"/>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647D"/>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4D"/>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989"/>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152A"/>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4D0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ceduresonline.com/trixcms/media/4236/doc-guide-to-assessment.pdf" TargetMode="External"/><Relationship Id="rId18" Type="http://schemas.openxmlformats.org/officeDocument/2006/relationships/hyperlink" Target="https://doi.org/10.1080/02615479.2020.1837105" TargetMode="External"/><Relationship Id="rId26" Type="http://schemas.openxmlformats.org/officeDocument/2006/relationships/hyperlink" Target="https://www.contextualsafeguarding.org.uk/media/nbtc2yui/cs-and-systemic-practice_08-03-22_final-1.pdf" TargetMode="External"/><Relationship Id="rId39" Type="http://schemas.openxmlformats.org/officeDocument/2006/relationships/hyperlink" Target="https://doi.org/10.1016/j.bbr.2020.112954" TargetMode="External"/><Relationship Id="rId3" Type="http://schemas.openxmlformats.org/officeDocument/2006/relationships/customXml" Target="../customXml/item3.xml"/><Relationship Id="rId21" Type="http://schemas.openxmlformats.org/officeDocument/2006/relationships/hyperlink" Target="https://www.communitycare.co.uk/2018/04/30/systemic-practice/" TargetMode="External"/><Relationship Id="rId34" Type="http://schemas.openxmlformats.org/officeDocument/2006/relationships/hyperlink" Target="https://doi.org/10.1002/car.2779" TargetMode="External"/><Relationship Id="rId42" Type="http://schemas.openxmlformats.org/officeDocument/2006/relationships/hyperlink" Target="https://www.gov.uk/guidance/equality-act-2010-guidance.gov.uk" TargetMode="External"/><Relationship Id="rId47" Type="http://schemas.openxmlformats.org/officeDocument/2006/relationships/image" Target="media/image2.jpeg"/><Relationship Id="rId50" Type="http://schemas.openxmlformats.org/officeDocument/2006/relationships/image" Target="media/image5.jpeg"/><Relationship Id="rId7" Type="http://schemas.openxmlformats.org/officeDocument/2006/relationships/webSettings" Target="webSettings.xml"/><Relationship Id="rId12" Type="http://schemas.openxmlformats.org/officeDocument/2006/relationships/hyperlink" Target="https://www.agecymru.wales/siteassets/documents/information-guides-and-factsheets/fs78w.pdf" TargetMode="External"/><Relationship Id="rId17" Type="http://schemas.openxmlformats.org/officeDocument/2006/relationships/hyperlink" Target="https://www.equalityhumanrights.com/human-rights/human-rights-act/article-8-respect-your-private-and-family-life" TargetMode="External"/><Relationship Id="rId25" Type="http://schemas.openxmlformats.org/officeDocument/2006/relationships/hyperlink" Target="https://doi.org/10.1093/bjsw/bcs029" TargetMode="External"/><Relationship Id="rId33" Type="http://schemas.openxmlformats.org/officeDocument/2006/relationships/hyperlink" Target="https://uobrep.openrepository.com/handle/10547/624922" TargetMode="External"/><Relationship Id="rId38" Type="http://schemas.openxmlformats.org/officeDocument/2006/relationships/hyperlink" Target="https://research-portal.uea.ac.uk/en/publications/pathways-to-harm-pathways-to-protection-a-triennial-analysis-of-s" TargetMode="External"/><Relationship Id="rId46" Type="http://schemas.openxmlformats.org/officeDocument/2006/relationships/hyperlink" Target="https://www.ncbi.nlm.nih.gov/books/NBK589708/" TargetMode="External"/><Relationship Id="rId2" Type="http://schemas.openxmlformats.org/officeDocument/2006/relationships/customXml" Target="../customXml/item2.xml"/><Relationship Id="rId16" Type="http://schemas.openxmlformats.org/officeDocument/2006/relationships/hyperlink" Target="https://doi.org/10.1080/02650533.2016.1215978" TargetMode="External"/><Relationship Id="rId20" Type="http://schemas.openxmlformats.org/officeDocument/2006/relationships/hyperlink" Target="https://doi.org/10.1177/14680173221087040" TargetMode="External"/><Relationship Id="rId29" Type="http://schemas.openxmlformats.org/officeDocument/2006/relationships/hyperlink" Target="https://www.socialworkers.org/About/Ethics/Code-of-Ethics/Code-of-Ethics-English#:~:text=The%20following%20broad%20ethical%20principles,relationships%2C%20integrity%2C%20and%20competence" TargetMode="External"/><Relationship Id="rId41" Type="http://schemas.openxmlformats.org/officeDocument/2006/relationships/hyperlink" Target="https://www.legislation.gov.uk/ukpga/1989/41/content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childyouth.2022.106732" TargetMode="External"/><Relationship Id="rId24" Type="http://schemas.openxmlformats.org/officeDocument/2006/relationships/hyperlink" Target="https://doi.org/10.1177/1049731521992843" TargetMode="External"/><Relationship Id="rId32" Type="http://schemas.openxmlformats.org/officeDocument/2006/relationships/hyperlink" Target="https://doi.org/10.1093/bjsw/bcv040" TargetMode="External"/><Relationship Id="rId37" Type="http://schemas.openxmlformats.org/officeDocument/2006/relationships/hyperlink" Target="https://www.scie.org.uk/prevention/choice/person-centred-care" TargetMode="External"/><Relationship Id="rId40" Type="http://schemas.openxmlformats.org/officeDocument/2006/relationships/hyperlink" Target="https://socialcare.wales/cms-assets/documents/Requirements-for-the-Consolidation-Programme-for-Newly-Qualified-Social-Workers.pdf" TargetMode="External"/><Relationship Id="rId45" Type="http://schemas.openxmlformats.org/officeDocument/2006/relationships/hyperlink" Target="https://safeguarding.wales/en/int-i/int-i-i1/i1-p1/" TargetMode="External"/><Relationship Id="rId53"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basw.co.uk" TargetMode="External"/><Relationship Id="rId23" Type="http://schemas.openxmlformats.org/officeDocument/2006/relationships/hyperlink" Target="https://pure.qub.ac.uk/en/publications/assessing-and-enhancing-parenting-capacity-in-child-protection-a--3" TargetMode="External"/><Relationship Id="rId28" Type="http://schemas.openxmlformats.org/officeDocument/2006/relationships/hyperlink" Target="https://assets.publishing.service.gov.uk/media/5a7b455ee5274a34770ea939/Munro-Review.pdf" TargetMode="External"/><Relationship Id="rId36" Type="http://schemas.openxmlformats.org/officeDocument/2006/relationships/hyperlink" Target="https://doi.org/10.1111/cfs.12795" TargetMode="External"/><Relationship Id="rId49"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hyperlink" Target="https://doi.org/10.1111/j.1365-2206.2012.00837.x" TargetMode="External"/><Relationship Id="rId31" Type="http://schemas.openxmlformats.org/officeDocument/2006/relationships/hyperlink" Target="https://www.ons.gov.uk/visualisations/censusareachanges/W06000010/" TargetMode="External"/><Relationship Id="rId44" Type="http://schemas.openxmlformats.org/officeDocument/2006/relationships/hyperlink" Target="https://www.legislation.gov.uk/ukpga/1983/42/schedule/1/part/I/chapter/7ation.gov.uk"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16/j.childyouth.2019.104405" TargetMode="External"/><Relationship Id="rId22" Type="http://schemas.openxmlformats.org/officeDocument/2006/relationships/hyperlink" Target="https://doi.org/10.1080/09649069.2012.718531" TargetMode="External"/><Relationship Id="rId27" Type="http://schemas.openxmlformats.org/officeDocument/2006/relationships/hyperlink" Target="https://www.legislation.gov.uk/ukpga/2005/9gov.uk" TargetMode="External"/><Relationship Id="rId30" Type="http://schemas.openxmlformats.org/officeDocument/2006/relationships/hyperlink" Target="https://learning.nspcc.org.uk/safeguarding-child-protection/duty-of-care-and-safeguarding" TargetMode="External"/><Relationship Id="rId35" Type="http://schemas.openxmlformats.org/officeDocument/2006/relationships/hyperlink" Target="https://doi.org/10.1186/s13643-022-02125-w" TargetMode="External"/><Relationship Id="rId43" Type="http://schemas.openxmlformats.org/officeDocument/2006/relationships/hyperlink" Target="https://www.legislation.gov.uk/ukpga/1998/42/contents" TargetMode="External"/><Relationship Id="rId48" Type="http://schemas.openxmlformats.org/officeDocument/2006/relationships/image" Target="media/image3.jpeg"/><Relationship Id="rId8" Type="http://schemas.openxmlformats.org/officeDocument/2006/relationships/footnotes" Target="footnotes.xm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4184</Words>
  <Characters>30632</Characters>
  <Application>Microsoft Office Word</Application>
  <DocSecurity>0</DocSecurity>
  <Lines>255</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LJ Jones</cp:lastModifiedBy>
  <cp:revision>2</cp:revision>
  <cp:lastPrinted>2020-02-11T19:20:00Z</cp:lastPrinted>
  <dcterms:created xsi:type="dcterms:W3CDTF">2025-02-19T10:56:00Z</dcterms:created>
  <dcterms:modified xsi:type="dcterms:W3CDTF">2025-02-19T10:56:00Z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