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10F6AB" w14:textId="77777777" w:rsidR="00B371E4" w:rsidRDefault="00000000">
      <w:pP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0" distB="0" distL="0" distR="0" wp14:anchorId="3DF766E2" wp14:editId="32ED6D2E">
            <wp:extent cx="2560320" cy="84582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560572" cy="845903"/>
                    </a:xfrm>
                    <a:prstGeom prst="rect">
                      <a:avLst/>
                    </a:prstGeom>
                    <a:ln/>
                  </pic:spPr>
                </pic:pic>
              </a:graphicData>
            </a:graphic>
          </wp:inline>
        </w:drawing>
      </w:r>
    </w:p>
    <w:p w14:paraId="3ED3E36D" w14:textId="77777777" w:rsidR="00B371E4" w:rsidRDefault="00B371E4">
      <w:pPr>
        <w:rPr>
          <w:rFonts w:ascii="Times New Roman" w:eastAsia="Times New Roman" w:hAnsi="Times New Roman" w:cs="Times New Roman"/>
          <w:b/>
          <w:bCs/>
          <w:sz w:val="24"/>
          <w:szCs w:val="24"/>
        </w:rPr>
      </w:pPr>
    </w:p>
    <w:p w14:paraId="61C89640" w14:textId="77777777" w:rsidR="00B371E4" w:rsidRDefault="00B371E4">
      <w:pPr>
        <w:rPr>
          <w:rFonts w:ascii="Times New Roman" w:eastAsia="Times New Roman" w:hAnsi="Times New Roman" w:cs="Times New Roman"/>
          <w:b/>
          <w:bCs/>
          <w:sz w:val="24"/>
          <w:szCs w:val="24"/>
        </w:rPr>
      </w:pPr>
    </w:p>
    <w:p w14:paraId="6739044B" w14:textId="77777777" w:rsidR="00B371E4" w:rsidRDefault="00B371E4">
      <w:pPr>
        <w:rPr>
          <w:rFonts w:ascii="Times New Roman" w:eastAsia="Times New Roman" w:hAnsi="Times New Roman" w:cs="Times New Roman"/>
          <w:b/>
          <w:bCs/>
          <w:sz w:val="24"/>
          <w:szCs w:val="24"/>
        </w:rPr>
      </w:pPr>
    </w:p>
    <w:p w14:paraId="1166926E" w14:textId="77777777" w:rsidR="00B371E4" w:rsidRDefault="00B371E4">
      <w:pPr>
        <w:jc w:val="center"/>
        <w:rPr>
          <w:rFonts w:ascii="Times New Roman" w:eastAsia="Times New Roman" w:hAnsi="Times New Roman" w:cs="Times New Roman"/>
          <w:b/>
          <w:bCs/>
          <w:sz w:val="24"/>
          <w:szCs w:val="24"/>
        </w:rPr>
      </w:pPr>
    </w:p>
    <w:p w14:paraId="270C4FFE" w14:textId="77777777" w:rsidR="00B371E4"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PROGRAMME: MASTER OF BUSINESS ADMINISTRATION</w:t>
      </w:r>
    </w:p>
    <w:p w14:paraId="1E65886F" w14:textId="77777777" w:rsidR="00B371E4"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MARKETING MANAGEMENT</w:t>
      </w:r>
    </w:p>
    <w:p w14:paraId="382FD6E7" w14:textId="77777777" w:rsidR="00B371E4"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CODE: LCMB7024</w:t>
      </w:r>
    </w:p>
    <w:p w14:paraId="2F105A7B" w14:textId="77777777" w:rsidR="003317DA" w:rsidRDefault="003317DA" w:rsidP="003317DA">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32"/>
          <w:szCs w:val="32"/>
        </w:rPr>
        <w:t xml:space="preserve">ASSIGNMENT TITLE: PORTFOLIO: </w:t>
      </w:r>
      <w:r>
        <w:rPr>
          <w:rFonts w:ascii="Symbol" w:eastAsia="Symbol" w:hAnsi="Symbol" w:cs="Symbol"/>
          <w:b/>
          <w:bCs/>
          <w:sz w:val="32"/>
          <w:szCs w:val="32"/>
        </w:rPr>
        <w:t>∙</w:t>
      </w:r>
      <w:r>
        <w:rPr>
          <w:rFonts w:ascii="Times New Roman" w:eastAsia="Times New Roman" w:hAnsi="Times New Roman" w:cs="Times New Roman"/>
          <w:b/>
          <w:bCs/>
          <w:sz w:val="32"/>
          <w:szCs w:val="32"/>
        </w:rPr>
        <w:t xml:space="preserve"> PRESENTATION </w:t>
      </w:r>
      <w:r>
        <w:rPr>
          <w:rFonts w:ascii="Symbol" w:eastAsia="Symbol" w:hAnsi="Symbol" w:cs="Symbol"/>
          <w:b/>
          <w:bCs/>
          <w:sz w:val="32"/>
          <w:szCs w:val="32"/>
        </w:rPr>
        <w:t>∙</w:t>
      </w:r>
      <w:r>
        <w:rPr>
          <w:rFonts w:ascii="Times New Roman" w:eastAsia="Times New Roman" w:hAnsi="Times New Roman" w:cs="Times New Roman"/>
          <w:b/>
          <w:bCs/>
          <w:sz w:val="32"/>
          <w:szCs w:val="32"/>
        </w:rPr>
        <w:t xml:space="preserve"> REPORT </w:t>
      </w:r>
      <w:r>
        <w:rPr>
          <w:rFonts w:ascii="Symbol" w:eastAsia="Symbol" w:hAnsi="Symbol" w:cs="Symbol"/>
          <w:b/>
          <w:bCs/>
          <w:sz w:val="32"/>
          <w:szCs w:val="32"/>
        </w:rPr>
        <w:t>∙</w:t>
      </w:r>
      <w:r>
        <w:rPr>
          <w:rFonts w:ascii="Times New Roman" w:eastAsia="Times New Roman" w:hAnsi="Times New Roman" w:cs="Times New Roman"/>
          <w:b/>
          <w:bCs/>
          <w:sz w:val="32"/>
          <w:szCs w:val="32"/>
        </w:rPr>
        <w:t xml:space="preserve"> REFLECTION</w:t>
      </w:r>
      <w:r>
        <w:rPr>
          <w:rFonts w:ascii="Times New Roman" w:eastAsia="Times New Roman" w:hAnsi="Times New Roman" w:cs="Times New Roman"/>
          <w:b/>
          <w:bCs/>
          <w:sz w:val="24"/>
          <w:szCs w:val="24"/>
        </w:rPr>
        <w:t xml:space="preserve"> </w:t>
      </w:r>
    </w:p>
    <w:p w14:paraId="61BC75F4" w14:textId="77777777" w:rsidR="003317DA" w:rsidRDefault="003317DA">
      <w:pPr>
        <w:spacing w:line="360" w:lineRule="auto"/>
        <w:jc w:val="center"/>
        <w:rPr>
          <w:rFonts w:ascii="Times New Roman" w:eastAsia="Times New Roman" w:hAnsi="Times New Roman" w:cs="Times New Roman"/>
          <w:b/>
          <w:bCs/>
          <w:sz w:val="32"/>
          <w:szCs w:val="32"/>
        </w:rPr>
      </w:pPr>
    </w:p>
    <w:p w14:paraId="3C12BDCD" w14:textId="77777777" w:rsidR="003317DA"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LECTURER: LAILA MAAZOUZ</w:t>
      </w:r>
    </w:p>
    <w:p w14:paraId="1E5427D3" w14:textId="09D7EFAF" w:rsidR="00B371E4"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w:t>
      </w:r>
    </w:p>
    <w:p w14:paraId="1BEDA93C" w14:textId="4CC9B9DA" w:rsidR="003317DA" w:rsidRDefault="003317DA">
      <w:pP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w:t>
      </w:r>
      <w:r>
        <w:rPr>
          <w:rFonts w:ascii="Times New Roman" w:eastAsia="Times New Roman" w:hAnsi="Times New Roman" w:cs="Times New Roman"/>
          <w:b/>
          <w:bCs/>
          <w:sz w:val="32"/>
          <w:szCs w:val="32"/>
        </w:rPr>
        <w:t xml:space="preserve">STUDENT </w:t>
      </w:r>
      <w:r>
        <w:rPr>
          <w:rFonts w:ascii="Times New Roman" w:eastAsia="Times New Roman" w:hAnsi="Times New Roman" w:cs="Times New Roman"/>
          <w:b/>
          <w:bCs/>
          <w:sz w:val="32"/>
          <w:szCs w:val="32"/>
        </w:rPr>
        <w:t>NAME: BANSARI RAMESH BHAI SHETH</w:t>
      </w:r>
    </w:p>
    <w:p w14:paraId="7E02EDBE" w14:textId="77777777" w:rsidR="003317DA" w:rsidRDefault="003317DA">
      <w:pP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w:t>
      </w:r>
    </w:p>
    <w:p w14:paraId="18380C89" w14:textId="7D30FA60" w:rsidR="00B371E4" w:rsidRDefault="003317DA">
      <w:pPr>
        <w:rPr>
          <w:rFonts w:ascii="Times New Roman" w:eastAsia="Times New Roman" w:hAnsi="Times New Roman" w:cs="Times New Roman"/>
          <w:b/>
          <w:bCs/>
          <w:sz w:val="24"/>
          <w:szCs w:val="24"/>
        </w:rPr>
      </w:pPr>
      <w:r>
        <w:rPr>
          <w:rFonts w:ascii="Times New Roman" w:eastAsia="Times New Roman" w:hAnsi="Times New Roman" w:cs="Times New Roman"/>
          <w:b/>
          <w:bCs/>
          <w:sz w:val="32"/>
          <w:szCs w:val="32"/>
        </w:rPr>
        <w:t xml:space="preserve">                                STUDENT ID NUMBER: </w:t>
      </w:r>
      <w:r w:rsidRPr="003317DA">
        <w:rPr>
          <w:rFonts w:ascii="Times New Roman" w:eastAsia="Times New Roman" w:hAnsi="Times New Roman" w:cs="Times New Roman"/>
          <w:b/>
          <w:bCs/>
          <w:sz w:val="32"/>
          <w:szCs w:val="32"/>
        </w:rPr>
        <w:t>2545069</w:t>
      </w:r>
      <w:r w:rsidR="00000000">
        <w:br w:type="page"/>
      </w:r>
    </w:p>
    <w:p w14:paraId="394592AD" w14:textId="77777777" w:rsidR="00B371E4" w:rsidRDefault="00000000">
      <w:pPr>
        <w:keepNext/>
        <w:keepLines/>
        <w:pBdr>
          <w:top w:val="nil"/>
          <w:left w:val="nil"/>
          <w:bottom w:val="nil"/>
          <w:right w:val="nil"/>
          <w:between w:val="nil"/>
        </w:pBdr>
        <w:spacing w:before="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lastRenderedPageBreak/>
        <w:t>Table of Contents</w:t>
      </w:r>
    </w:p>
    <w:sdt>
      <w:sdtPr>
        <w:id w:val="578021138"/>
        <w:docPartObj>
          <w:docPartGallery w:val="Table of Contents"/>
          <w:docPartUnique/>
        </w:docPartObj>
      </w:sdtPr>
      <w:sdtContent>
        <w:p w14:paraId="3D18C573" w14:textId="77777777" w:rsidR="00B371E4"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bs7fvgcgr4yt">
            <w:r w:rsidR="00B371E4">
              <w:rPr>
                <w:rFonts w:ascii="Times New Roman" w:eastAsia="Times New Roman" w:hAnsi="Times New Roman" w:cs="Times New Roman"/>
                <w:color w:val="000000"/>
                <w:sz w:val="24"/>
                <w:szCs w:val="24"/>
              </w:rPr>
              <w:t>Element 1: Sustainable Brand Extension Poster Presentation</w:t>
            </w:r>
            <w:r w:rsidR="00B371E4">
              <w:rPr>
                <w:rFonts w:ascii="Times New Roman" w:eastAsia="Times New Roman" w:hAnsi="Times New Roman" w:cs="Times New Roman"/>
                <w:color w:val="000000"/>
                <w:sz w:val="24"/>
                <w:szCs w:val="24"/>
              </w:rPr>
              <w:tab/>
              <w:t>3</w:t>
            </w:r>
          </w:hyperlink>
        </w:p>
        <w:p w14:paraId="7A5B9501" w14:textId="77777777" w:rsidR="00B371E4" w:rsidRDefault="00B371E4">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mok18cq6te20">
            <w:r>
              <w:rPr>
                <w:rFonts w:ascii="Times New Roman" w:eastAsia="Times New Roman" w:hAnsi="Times New Roman" w:cs="Times New Roman"/>
                <w:color w:val="000000"/>
                <w:sz w:val="24"/>
                <w:szCs w:val="24"/>
              </w:rPr>
              <w:t>Element 2: Development of a SIDP</w:t>
            </w:r>
            <w:r>
              <w:rPr>
                <w:rFonts w:ascii="Times New Roman" w:eastAsia="Times New Roman" w:hAnsi="Times New Roman" w:cs="Times New Roman"/>
                <w:color w:val="000000"/>
                <w:sz w:val="24"/>
                <w:szCs w:val="24"/>
              </w:rPr>
              <w:tab/>
              <w:t>5</w:t>
            </w:r>
          </w:hyperlink>
        </w:p>
        <w:p w14:paraId="26704B77" w14:textId="77777777" w:rsidR="00B371E4" w:rsidRDefault="00B371E4">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rPr>
          </w:pPr>
          <w:hyperlink w:anchor="_9dl8dma7dvdn">
            <w:r>
              <w:rPr>
                <w:rFonts w:ascii="Times New Roman" w:eastAsia="Times New Roman" w:hAnsi="Times New Roman" w:cs="Times New Roman"/>
                <w:color w:val="000000"/>
                <w:sz w:val="24"/>
                <w:szCs w:val="24"/>
              </w:rPr>
              <w:t>2.1 Key market segments</w:t>
            </w:r>
            <w:r>
              <w:rPr>
                <w:rFonts w:ascii="Times New Roman" w:eastAsia="Times New Roman" w:hAnsi="Times New Roman" w:cs="Times New Roman"/>
                <w:color w:val="000000"/>
                <w:sz w:val="24"/>
                <w:szCs w:val="24"/>
              </w:rPr>
              <w:tab/>
              <w:t>5</w:t>
            </w:r>
          </w:hyperlink>
        </w:p>
        <w:p w14:paraId="3D0BD0B3" w14:textId="77777777" w:rsidR="00B371E4" w:rsidRDefault="00B371E4">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rPr>
          </w:pPr>
          <w:hyperlink w:anchor="_f2abbmjuk5x4">
            <w:r>
              <w:rPr>
                <w:rFonts w:ascii="Times New Roman" w:eastAsia="Times New Roman" w:hAnsi="Times New Roman" w:cs="Times New Roman"/>
                <w:color w:val="000000"/>
                <w:sz w:val="24"/>
                <w:szCs w:val="24"/>
              </w:rPr>
              <w:t>2.2 Chosen target audience</w:t>
            </w:r>
            <w:r>
              <w:rPr>
                <w:rFonts w:ascii="Times New Roman" w:eastAsia="Times New Roman" w:hAnsi="Times New Roman" w:cs="Times New Roman"/>
                <w:color w:val="000000"/>
                <w:sz w:val="24"/>
                <w:szCs w:val="24"/>
              </w:rPr>
              <w:tab/>
              <w:t>6</w:t>
            </w:r>
          </w:hyperlink>
        </w:p>
        <w:p w14:paraId="09522CE9" w14:textId="77777777" w:rsidR="00B371E4" w:rsidRDefault="00B371E4">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rPr>
          </w:pPr>
          <w:hyperlink w:anchor="_pup0x16dq6ym">
            <w:r>
              <w:rPr>
                <w:rFonts w:ascii="Times New Roman" w:eastAsia="Times New Roman" w:hAnsi="Times New Roman" w:cs="Times New Roman"/>
                <w:color w:val="000000"/>
                <w:sz w:val="24"/>
                <w:szCs w:val="24"/>
              </w:rPr>
              <w:t>2.3 Differentiate the brand from other marketers</w:t>
            </w:r>
            <w:r>
              <w:rPr>
                <w:rFonts w:ascii="Times New Roman" w:eastAsia="Times New Roman" w:hAnsi="Times New Roman" w:cs="Times New Roman"/>
                <w:color w:val="000000"/>
                <w:sz w:val="24"/>
                <w:szCs w:val="24"/>
              </w:rPr>
              <w:tab/>
              <w:t>7</w:t>
            </w:r>
          </w:hyperlink>
        </w:p>
        <w:p w14:paraId="30919DDE" w14:textId="77777777" w:rsidR="00B371E4" w:rsidRDefault="00B371E4">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rPr>
          </w:pPr>
          <w:hyperlink w:anchor="_rhztirlz3b1n">
            <w:r>
              <w:rPr>
                <w:rFonts w:ascii="Times New Roman" w:eastAsia="Times New Roman" w:hAnsi="Times New Roman" w:cs="Times New Roman"/>
                <w:color w:val="000000"/>
                <w:sz w:val="24"/>
                <w:szCs w:val="24"/>
              </w:rPr>
              <w:t>2.4 Outlining the position of the sustainable brand extension</w:t>
            </w:r>
            <w:r>
              <w:rPr>
                <w:rFonts w:ascii="Times New Roman" w:eastAsia="Times New Roman" w:hAnsi="Times New Roman" w:cs="Times New Roman"/>
                <w:color w:val="000000"/>
                <w:sz w:val="24"/>
                <w:szCs w:val="24"/>
              </w:rPr>
              <w:tab/>
              <w:t>7</w:t>
            </w:r>
          </w:hyperlink>
        </w:p>
        <w:p w14:paraId="5D622277" w14:textId="77777777" w:rsidR="00B371E4" w:rsidRDefault="00B371E4">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vuknxcl3qb1i">
            <w:r>
              <w:rPr>
                <w:rFonts w:ascii="Times New Roman" w:eastAsia="Times New Roman" w:hAnsi="Times New Roman" w:cs="Times New Roman"/>
                <w:color w:val="000000"/>
                <w:sz w:val="24"/>
                <w:szCs w:val="24"/>
              </w:rPr>
              <w:t>Element 3: Marketing Mix</w:t>
            </w:r>
            <w:r>
              <w:rPr>
                <w:rFonts w:ascii="Times New Roman" w:eastAsia="Times New Roman" w:hAnsi="Times New Roman" w:cs="Times New Roman"/>
                <w:color w:val="000000"/>
                <w:sz w:val="24"/>
                <w:szCs w:val="24"/>
              </w:rPr>
              <w:tab/>
              <w:t>9</w:t>
            </w:r>
          </w:hyperlink>
        </w:p>
        <w:p w14:paraId="18D120C0" w14:textId="77777777" w:rsidR="00B371E4" w:rsidRDefault="00B371E4">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rPr>
          </w:pPr>
          <w:hyperlink w:anchor="_ir4xx1y8ulm">
            <w:r>
              <w:rPr>
                <w:rFonts w:ascii="Times New Roman" w:eastAsia="Times New Roman" w:hAnsi="Times New Roman" w:cs="Times New Roman"/>
                <w:color w:val="000000"/>
                <w:sz w:val="24"/>
                <w:szCs w:val="24"/>
              </w:rPr>
              <w:t>3.1 Product</w:t>
            </w:r>
            <w:r>
              <w:rPr>
                <w:rFonts w:ascii="Times New Roman" w:eastAsia="Times New Roman" w:hAnsi="Times New Roman" w:cs="Times New Roman"/>
                <w:color w:val="000000"/>
                <w:sz w:val="24"/>
                <w:szCs w:val="24"/>
              </w:rPr>
              <w:tab/>
              <w:t>9</w:t>
            </w:r>
          </w:hyperlink>
        </w:p>
        <w:p w14:paraId="29E22058" w14:textId="77777777" w:rsidR="00B371E4" w:rsidRDefault="00B371E4">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rPr>
          </w:pPr>
          <w:hyperlink w:anchor="_tw8gzc3o16jk">
            <w:r>
              <w:rPr>
                <w:rFonts w:ascii="Times New Roman" w:eastAsia="Times New Roman" w:hAnsi="Times New Roman" w:cs="Times New Roman"/>
                <w:color w:val="000000"/>
                <w:sz w:val="24"/>
                <w:szCs w:val="24"/>
              </w:rPr>
              <w:t>3.2 Price</w:t>
            </w:r>
            <w:r>
              <w:rPr>
                <w:rFonts w:ascii="Times New Roman" w:eastAsia="Times New Roman" w:hAnsi="Times New Roman" w:cs="Times New Roman"/>
                <w:color w:val="000000"/>
                <w:sz w:val="24"/>
                <w:szCs w:val="24"/>
              </w:rPr>
              <w:tab/>
              <w:t>11</w:t>
            </w:r>
          </w:hyperlink>
        </w:p>
        <w:p w14:paraId="62FFAB74" w14:textId="77777777" w:rsidR="00B371E4" w:rsidRDefault="00B371E4">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rPr>
          </w:pPr>
          <w:hyperlink w:anchor="_8j5rkvrhxzf3">
            <w:r>
              <w:rPr>
                <w:rFonts w:ascii="Times New Roman" w:eastAsia="Times New Roman" w:hAnsi="Times New Roman" w:cs="Times New Roman"/>
                <w:color w:val="000000"/>
                <w:sz w:val="24"/>
                <w:szCs w:val="24"/>
              </w:rPr>
              <w:t>3.3 Place</w:t>
            </w:r>
            <w:r>
              <w:rPr>
                <w:rFonts w:ascii="Times New Roman" w:eastAsia="Times New Roman" w:hAnsi="Times New Roman" w:cs="Times New Roman"/>
                <w:color w:val="000000"/>
                <w:sz w:val="24"/>
                <w:szCs w:val="24"/>
              </w:rPr>
              <w:tab/>
              <w:t>13</w:t>
            </w:r>
          </w:hyperlink>
        </w:p>
        <w:p w14:paraId="05617908" w14:textId="77777777" w:rsidR="00B371E4" w:rsidRDefault="00B371E4">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rPr>
          </w:pPr>
          <w:hyperlink w:anchor="_rgj9cwjigckw">
            <w:r>
              <w:rPr>
                <w:rFonts w:ascii="Times New Roman" w:eastAsia="Times New Roman" w:hAnsi="Times New Roman" w:cs="Times New Roman"/>
                <w:color w:val="000000"/>
                <w:sz w:val="24"/>
                <w:szCs w:val="24"/>
              </w:rPr>
              <w:t>3.4 Promotion</w:t>
            </w:r>
            <w:r>
              <w:rPr>
                <w:rFonts w:ascii="Times New Roman" w:eastAsia="Times New Roman" w:hAnsi="Times New Roman" w:cs="Times New Roman"/>
                <w:color w:val="000000"/>
                <w:sz w:val="24"/>
                <w:szCs w:val="24"/>
              </w:rPr>
              <w:tab/>
              <w:t>14</w:t>
            </w:r>
          </w:hyperlink>
        </w:p>
        <w:p w14:paraId="076CCD00" w14:textId="77777777" w:rsidR="00B371E4" w:rsidRDefault="00B371E4">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fg5pvrfsopr0">
            <w:r>
              <w:rPr>
                <w:rFonts w:ascii="Times New Roman" w:eastAsia="Times New Roman" w:hAnsi="Times New Roman" w:cs="Times New Roman"/>
                <w:color w:val="000000"/>
                <w:sz w:val="24"/>
                <w:szCs w:val="24"/>
              </w:rPr>
              <w:t>Element 4: Reflection</w:t>
            </w:r>
            <w:r>
              <w:rPr>
                <w:rFonts w:ascii="Times New Roman" w:eastAsia="Times New Roman" w:hAnsi="Times New Roman" w:cs="Times New Roman"/>
                <w:color w:val="000000"/>
                <w:sz w:val="24"/>
                <w:szCs w:val="24"/>
              </w:rPr>
              <w:tab/>
              <w:t>15</w:t>
            </w:r>
          </w:hyperlink>
        </w:p>
        <w:p w14:paraId="7401291A" w14:textId="77777777" w:rsidR="00B371E4" w:rsidRDefault="00B371E4">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r7sijmxgbxke">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17</w:t>
            </w:r>
          </w:hyperlink>
        </w:p>
        <w:p w14:paraId="6B92BBCF" w14:textId="77777777" w:rsidR="00B371E4" w:rsidRDefault="00000000">
          <w:pPr>
            <w:spacing w:line="360" w:lineRule="auto"/>
            <w:jc w:val="both"/>
          </w:pPr>
          <w:r>
            <w:fldChar w:fldCharType="end"/>
          </w:r>
        </w:p>
      </w:sdtContent>
    </w:sdt>
    <w:p w14:paraId="773BEDA8" w14:textId="77777777" w:rsidR="00B371E4" w:rsidRDefault="00000000">
      <w:pPr>
        <w:spacing w:line="360" w:lineRule="auto"/>
        <w:jc w:val="center"/>
        <w:rPr>
          <w:rFonts w:ascii="Times New Roman" w:eastAsia="Times New Roman" w:hAnsi="Times New Roman" w:cs="Times New Roman"/>
          <w:b/>
          <w:bCs/>
          <w:sz w:val="24"/>
          <w:szCs w:val="24"/>
        </w:rPr>
      </w:pPr>
      <w:r>
        <w:br w:type="page"/>
      </w:r>
    </w:p>
    <w:p w14:paraId="511930CE" w14:textId="77777777" w:rsidR="00B371E4" w:rsidRDefault="00000000">
      <w:pPr>
        <w:pStyle w:val="Heading1"/>
      </w:pPr>
      <w:bookmarkStart w:id="0" w:name="_bs7fvgcgr4yt" w:colFirst="0" w:colLast="0"/>
      <w:bookmarkEnd w:id="0"/>
      <w:r>
        <w:lastRenderedPageBreak/>
        <w:t xml:space="preserve">Element 1: Sustainable Brand Extension Poster Presentation </w:t>
      </w:r>
    </w:p>
    <w:p w14:paraId="4E722288" w14:textId="02C05CD6" w:rsidR="00B371E4" w:rsidRDefault="00C53218">
      <w:pPr>
        <w:spacing w:line="360" w:lineRule="auto"/>
        <w:jc w:val="center"/>
        <w:rPr>
          <w:rFonts w:ascii="Times New Roman" w:eastAsia="Times New Roman" w:hAnsi="Times New Roman" w:cs="Times New Roman"/>
          <w:b/>
          <w:bCs/>
          <w:sz w:val="24"/>
          <w:szCs w:val="24"/>
        </w:rPr>
      </w:pPr>
      <w:r>
        <w:rPr>
          <w:noProof/>
        </w:rPr>
        <w:drawing>
          <wp:inline distT="0" distB="0" distL="0" distR="0" wp14:anchorId="28B623CF" wp14:editId="7475C593">
            <wp:extent cx="5259572" cy="7889358"/>
            <wp:effectExtent l="0" t="0" r="0" b="0"/>
            <wp:docPr id="14080395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039559" name=""/>
                    <pic:cNvPicPr/>
                  </pic:nvPicPr>
                  <pic:blipFill>
                    <a:blip r:embed="rId7">
                      <a:extLst>
                        <a:ext uri="{96DAC541-7B7A-43D3-8B79-37D633B846F1}">
                          <asvg:svgBlip xmlns:asvg="http://schemas.microsoft.com/office/drawing/2016/SVG/main" r:embed="rId8"/>
                        </a:ext>
                      </a:extLst>
                    </a:blip>
                    <a:stretch>
                      <a:fillRect/>
                    </a:stretch>
                  </pic:blipFill>
                  <pic:spPr>
                    <a:xfrm>
                      <a:off x="0" y="0"/>
                      <a:ext cx="5261683" cy="7892525"/>
                    </a:xfrm>
                    <a:prstGeom prst="rect">
                      <a:avLst/>
                    </a:prstGeom>
                  </pic:spPr>
                </pic:pic>
              </a:graphicData>
            </a:graphic>
          </wp:inline>
        </w:drawing>
      </w:r>
    </w:p>
    <w:p w14:paraId="0BA39121" w14:textId="77777777" w:rsidR="00B371E4" w:rsidRDefault="00000000">
      <w:pPr>
        <w:pStyle w:val="Heading1"/>
      </w:pPr>
      <w:bookmarkStart w:id="1" w:name="_mok18cq6te20" w:colFirst="0" w:colLast="0"/>
      <w:bookmarkEnd w:id="1"/>
      <w:r>
        <w:lastRenderedPageBreak/>
        <w:t>Element 2: Development of a SIDP</w:t>
      </w:r>
    </w:p>
    <w:p w14:paraId="1D034AAD" w14:textId="77777777" w:rsidR="00B371E4" w:rsidRDefault="00000000">
      <w:pPr>
        <w:pStyle w:val="Heading2"/>
      </w:pPr>
      <w:bookmarkStart w:id="2" w:name="_9dl8dma7dvdn" w:colFirst="0" w:colLast="0"/>
      <w:bookmarkEnd w:id="2"/>
      <w:r>
        <w:t xml:space="preserve">2.1 Key market segments </w:t>
      </w:r>
    </w:p>
    <w:p w14:paraId="22547E5B"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 segmentation is the process of breaking down a broad market into different smaller groups of customers (Lecture slides, slide 5). </w:t>
      </w:r>
    </w:p>
    <w:p w14:paraId="1E8022AE"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Geographically,</w:t>
      </w:r>
      <w:r>
        <w:rPr>
          <w:rFonts w:ascii="Times New Roman" w:eastAsia="Times New Roman" w:hAnsi="Times New Roman" w:cs="Times New Roman"/>
          <w:sz w:val="24"/>
          <w:szCs w:val="24"/>
        </w:rPr>
        <w:t xml:space="preserve"> the strongest initial opportunity is observed in metropolitan, Tier 1 and Tier 2 cities. Urban cities like Mumbai, Delhi NCR, Hyderabad, Bengaluru, Kolkata and Pune contain a high concentration of the dual income households, pharmacies, retailers and digitally connected customers. For instance, the per capita income of Delhi at current prices has been identified as Rs.492592 in 2024-25 and Rs.531610 in 2029 (Delhi.gov.in, 2026). Moreover, at constant prices, the income has been found out as Rs.305433 in Delhi and Rs.121968 at all India (figure below). </w:t>
      </w:r>
    </w:p>
    <w:p w14:paraId="34BF3AD6" w14:textId="77777777" w:rsidR="00B371E4"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09C9FB5" wp14:editId="63A79AA6">
            <wp:extent cx="5943600" cy="37084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708400"/>
                    </a:xfrm>
                    <a:prstGeom prst="rect">
                      <a:avLst/>
                    </a:prstGeom>
                    <a:ln w="25400">
                      <a:solidFill>
                        <a:srgbClr val="000000"/>
                      </a:solidFill>
                      <a:prstDash val="solid"/>
                    </a:ln>
                  </pic:spPr>
                </pic:pic>
              </a:graphicData>
            </a:graphic>
          </wp:inline>
        </w:drawing>
      </w:r>
    </w:p>
    <w:p w14:paraId="2741047A" w14:textId="77777777" w:rsidR="00B371E4"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Per capita income of Delhi from 2011-12 to 2025-26</w:t>
      </w:r>
    </w:p>
    <w:p w14:paraId="045582E8" w14:textId="77777777" w:rsidR="00B371E4"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Delhi.gov.in, 2026) </w:t>
      </w:r>
    </w:p>
    <w:p w14:paraId="5F8BB5CD"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Tier-2 cities are relevant as premium-packaged food demand, along with e-commerce access, is rapidly expanding here. The e-retail market of India has exceeded US$65 billion in 2025, and </w:t>
      </w:r>
      <w:r>
        <w:rPr>
          <w:rFonts w:ascii="Times New Roman" w:eastAsia="Times New Roman" w:hAnsi="Times New Roman" w:cs="Times New Roman"/>
          <w:sz w:val="24"/>
          <w:szCs w:val="24"/>
        </w:rPr>
        <w:lastRenderedPageBreak/>
        <w:t xml:space="preserve">quick commerce has shaped the grocery purchases, making the urban city patterns even more reachable through </w:t>
      </w:r>
      <w:proofErr w:type="spellStart"/>
      <w:r>
        <w:rPr>
          <w:rFonts w:ascii="Times New Roman" w:eastAsia="Times New Roman" w:hAnsi="Times New Roman" w:cs="Times New Roman"/>
          <w:sz w:val="24"/>
          <w:szCs w:val="24"/>
        </w:rPr>
        <w:t>Blinkit</w:t>
      </w:r>
      <w:proofErr w:type="spellEnd"/>
      <w:r>
        <w:rPr>
          <w:rFonts w:ascii="Times New Roman" w:eastAsia="Times New Roman" w:hAnsi="Times New Roman" w:cs="Times New Roman"/>
          <w:sz w:val="24"/>
          <w:szCs w:val="24"/>
        </w:rPr>
        <w:t xml:space="preserve">, Amazon, and other platforms (Bain, 2025). </w:t>
      </w:r>
    </w:p>
    <w:p w14:paraId="0DCA6A2B"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Demographically,</w:t>
      </w:r>
      <w:r>
        <w:rPr>
          <w:rFonts w:ascii="Times New Roman" w:eastAsia="Times New Roman" w:hAnsi="Times New Roman" w:cs="Times New Roman"/>
          <w:sz w:val="24"/>
          <w:szCs w:val="24"/>
        </w:rPr>
        <w:t xml:space="preserve"> the market can be divided as per parental age, education, household income, occupation, and the life cycle stages of children. The principal segment consists of parents aged 25 years to 40 years with toddlers and babies aged between 6 months and 3 years. Foods for the babies from 6 months must support the complementary feeding, while the older infants and toddlers can include porridges, textured meals, and healthy snacks. Another demographic segment comprises the affluent households who already purchase premium organic infant products (Liu and Sam, 2022). Another one is the middle-income families who are seeking trusted nutrition whereas requires smaller packs and an affordable price structure. </w:t>
      </w:r>
    </w:p>
    <w:p w14:paraId="2957AE4B" w14:textId="77777777" w:rsidR="00B371E4"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bCs/>
          <w:sz w:val="24"/>
          <w:szCs w:val="24"/>
        </w:rPr>
        <w:t>Psychographically</w:t>
      </w:r>
      <w:proofErr w:type="spellEnd"/>
      <w:r>
        <w:rPr>
          <w:rFonts w:ascii="Times New Roman" w:eastAsia="Times New Roman" w:hAnsi="Times New Roman" w:cs="Times New Roman"/>
          <w:sz w:val="24"/>
          <w:szCs w:val="24"/>
        </w:rPr>
        <w:t xml:space="preserve">, the extension is quite relevant to the health-conscious parents who scrutinize labels deeply and prefer the natural as well as preservative-free foods for their children (Tata Consumer, 2026). In this group, sustainability-oriented consumers can additionally value the sustainable packaging, responsible sourcing, and the reduced environmental impacts. Another psychographic segment is the “convenience-oriented working parents,” as they require food that is easy and quick to prepare with high nutrients like homemade meals. </w:t>
      </w:r>
    </w:p>
    <w:p w14:paraId="23C62F57"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Behavioral segmentation</w:t>
      </w:r>
      <w:r>
        <w:rPr>
          <w:rFonts w:ascii="Times New Roman" w:eastAsia="Times New Roman" w:hAnsi="Times New Roman" w:cs="Times New Roman"/>
          <w:sz w:val="24"/>
          <w:szCs w:val="24"/>
        </w:rPr>
        <w:t xml:space="preserve"> must distinguish the benefits sought, loyalty, frequency of purchase, and channel preferences. Indian parents who are looking for the safety, convenience, nutrition, value for money, and organic ingredients. Baby food is also a repeat-purchase category, and hence, Tata must try to establish trust during the initial trial to ensure long-term purchase (Dass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Digital subscribers as well as quick commerce users also represent an actionable group, and along with them, the firm must keep focus on the traditional buyers also. </w:t>
      </w:r>
    </w:p>
    <w:p w14:paraId="0512EA03" w14:textId="77777777" w:rsidR="00B371E4" w:rsidRDefault="00000000">
      <w:pPr>
        <w:pStyle w:val="Heading2"/>
      </w:pPr>
      <w:bookmarkStart w:id="3" w:name="_f2abbmjuk5x4" w:colFirst="0" w:colLast="0"/>
      <w:bookmarkEnd w:id="3"/>
      <w:r>
        <w:t xml:space="preserve">2.2 Chosen target audience </w:t>
      </w:r>
    </w:p>
    <w:p w14:paraId="41A81A8E"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primary target is the upper-middle-income parents from metro cities and Tier-1 &amp; Tier-2 cities aged 25-40 years who have children aged 6 months to 3 years and seek the safe, convenient, and nutritious packaged food from the credible Indian companies. In this regard, adoption of the concentrated launch strategy can be preferable for the immediate mass targeting by Tata, as infant nutrition is a high-involvement category where parents evaluate safety and quality of ingredients. </w:t>
      </w:r>
    </w:p>
    <w:p w14:paraId="690F8C88"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audience is attractive for three particular reasons. Initially, its needs correspond directly with the proposed extension, such as millet porridges, age-specific cereals, and so on (Tata Consumer, </w:t>
      </w:r>
      <w:r>
        <w:rPr>
          <w:rFonts w:ascii="Times New Roman" w:eastAsia="Times New Roman" w:hAnsi="Times New Roman" w:cs="Times New Roman"/>
          <w:sz w:val="24"/>
          <w:szCs w:val="24"/>
        </w:rPr>
        <w:lastRenderedPageBreak/>
        <w:t>2026). Secondly, these customers can afford the moderate premium whereas stay price conscious to appreciate the proposed affordable premium approach. Thirdly, they are easily accessible through the organized retail and also digital platforms. Among this audience, first-time parents must get extra attention, and Tata should develop confidence through the “evidence-based feeding guidance” and transparent labelling.</w:t>
      </w:r>
    </w:p>
    <w:p w14:paraId="148F1A2C" w14:textId="77777777" w:rsidR="00B371E4" w:rsidRDefault="00000000">
      <w:pPr>
        <w:pStyle w:val="Heading2"/>
      </w:pPr>
      <w:bookmarkStart w:id="4" w:name="_pup0x16dq6ym" w:colFirst="0" w:colLast="0"/>
      <w:bookmarkEnd w:id="4"/>
      <w:r>
        <w:t xml:space="preserve">2.3 Differentiate the brand from other marketers </w:t>
      </w:r>
    </w:p>
    <w:p w14:paraId="50EBB884"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first differentiator must be the</w:t>
      </w:r>
      <w:r>
        <w:rPr>
          <w:rFonts w:ascii="Times New Roman" w:eastAsia="Times New Roman" w:hAnsi="Times New Roman" w:cs="Times New Roman"/>
          <w:b/>
          <w:bCs/>
          <w:sz w:val="24"/>
          <w:szCs w:val="24"/>
        </w:rPr>
        <w:t xml:space="preserve"> trusted Indian nutrition at scale</w:t>
      </w:r>
      <w:r>
        <w:rPr>
          <w:rFonts w:ascii="Times New Roman" w:eastAsia="Times New Roman" w:hAnsi="Times New Roman" w:cs="Times New Roman"/>
          <w:sz w:val="24"/>
          <w:szCs w:val="24"/>
        </w:rPr>
        <w:t xml:space="preserve">. Its products combine a strong corporate reputation with the extensive distribution, which allows the extension of offering special nutrition without being confined to the online channels. Tata reported a total revenue of Rs.20,290 crore in 2025-26 and access to 4.5 million retail outlets, indicating higher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capacity that smaller organic firms cannot reproduce (Tata Consumer, 2026). </w:t>
      </w:r>
    </w:p>
    <w:p w14:paraId="7E127212"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one is the </w:t>
      </w:r>
      <w:r>
        <w:rPr>
          <w:rFonts w:ascii="Times New Roman" w:eastAsia="Times New Roman" w:hAnsi="Times New Roman" w:cs="Times New Roman"/>
          <w:b/>
          <w:bCs/>
          <w:sz w:val="24"/>
          <w:szCs w:val="24"/>
        </w:rPr>
        <w:t>Indianized nutritional relevance</w:t>
      </w:r>
      <w:r>
        <w:rPr>
          <w:rFonts w:ascii="Times New Roman" w:eastAsia="Times New Roman" w:hAnsi="Times New Roman" w:cs="Times New Roman"/>
          <w:sz w:val="24"/>
          <w:szCs w:val="24"/>
        </w:rPr>
        <w:t xml:space="preserve">, where the millet-based porridges, familiar fruits and local recipes can distinguish Tata’s product range from the heavily </w:t>
      </w: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multinational formulations. </w:t>
      </w:r>
    </w:p>
    <w:p w14:paraId="24AF1FBE"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third one is offering </w:t>
      </w:r>
      <w:r>
        <w:rPr>
          <w:rFonts w:ascii="Times New Roman" w:eastAsia="Times New Roman" w:hAnsi="Times New Roman" w:cs="Times New Roman"/>
          <w:b/>
          <w:bCs/>
          <w:sz w:val="24"/>
          <w:szCs w:val="24"/>
        </w:rPr>
        <w:t>verifiable sustainability</w:t>
      </w:r>
      <w:r>
        <w:rPr>
          <w:rFonts w:ascii="Times New Roman" w:eastAsia="Times New Roman" w:hAnsi="Times New Roman" w:cs="Times New Roman"/>
          <w:sz w:val="24"/>
          <w:szCs w:val="24"/>
        </w:rPr>
        <w:t xml:space="preserve"> consisting of “responsibly sourced ingredients”, transparent sourcing accessible through QR codes and recyclable packaging.  </w:t>
      </w:r>
    </w:p>
    <w:p w14:paraId="6D617198" w14:textId="77777777" w:rsidR="00B371E4" w:rsidRDefault="00000000">
      <w:pPr>
        <w:pStyle w:val="Heading2"/>
      </w:pPr>
      <w:bookmarkStart w:id="5" w:name="_rhztirlz3b1n" w:colFirst="0" w:colLast="0"/>
      <w:bookmarkEnd w:id="5"/>
      <w:r>
        <w:t xml:space="preserve">2.4 Outlining the position of the sustainable brand extension </w:t>
      </w:r>
    </w:p>
    <w:p w14:paraId="4E4FCF8D"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proposed positioning statement is: </w:t>
      </w:r>
    </w:p>
    <w:p w14:paraId="66DA2D76"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the modern Indian parents who seek the safe and convenient nutrition for their babies and toddlers aged 6 months to 3 years, Tata Baby Foods offers “age-appropriate cereals”, purées, meals and “snacks made with natural ingredients” and responsible packaging. Unlike the mass market baby foods or expensive brands, it combines Tata’s trusted Indian heritage with nutritional standards and wide accessibility at an affordable premium price”. </w:t>
      </w:r>
    </w:p>
    <w:p w14:paraId="5B0EEE85" w14:textId="77777777" w:rsidR="00B371E4"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2FE4BF7A" wp14:editId="759277BF">
            <wp:extent cx="5943600" cy="3911600"/>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3911600"/>
                    </a:xfrm>
                    <a:prstGeom prst="rect">
                      <a:avLst/>
                    </a:prstGeom>
                    <a:ln w="25400">
                      <a:solidFill>
                        <a:srgbClr val="000000"/>
                      </a:solidFill>
                      <a:prstDash val="solid"/>
                    </a:ln>
                  </pic:spPr>
                </pic:pic>
              </a:graphicData>
            </a:graphic>
          </wp:inline>
        </w:drawing>
      </w:r>
    </w:p>
    <w:p w14:paraId="66E1384F" w14:textId="77777777" w:rsidR="00B371E4"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2: Positioning map </w:t>
      </w:r>
    </w:p>
    <w:p w14:paraId="693A204A" w14:textId="77777777" w:rsidR="00B371E4"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75F59ECE" w14:textId="77777777" w:rsidR="00B371E4" w:rsidRDefault="00000000">
      <w:pPr>
        <w:rPr>
          <w:rFonts w:ascii="Times New Roman" w:eastAsia="Times New Roman" w:hAnsi="Times New Roman" w:cs="Times New Roman"/>
          <w:b/>
          <w:bCs/>
          <w:sz w:val="24"/>
          <w:szCs w:val="24"/>
        </w:rPr>
      </w:pPr>
      <w:r>
        <w:br w:type="page"/>
      </w:r>
    </w:p>
    <w:p w14:paraId="6ADA4290" w14:textId="77777777" w:rsidR="00B371E4" w:rsidRDefault="00000000">
      <w:pPr>
        <w:pStyle w:val="Heading1"/>
      </w:pPr>
      <w:bookmarkStart w:id="6" w:name="_vuknxcl3qb1i" w:colFirst="0" w:colLast="0"/>
      <w:bookmarkEnd w:id="6"/>
      <w:r>
        <w:lastRenderedPageBreak/>
        <w:t>Element 3: Marketing Mix</w:t>
      </w:r>
    </w:p>
    <w:p w14:paraId="523886B9" w14:textId="77777777" w:rsidR="00B371E4" w:rsidRDefault="00000000">
      <w:pPr>
        <w:pStyle w:val="Heading2"/>
      </w:pPr>
      <w:bookmarkStart w:id="7" w:name="_ir4xx1y8ulm" w:colFirst="0" w:colLast="0"/>
      <w:bookmarkEnd w:id="7"/>
      <w:r>
        <w:t xml:space="preserve">3.1 Product </w:t>
      </w:r>
    </w:p>
    <w:p w14:paraId="5D953D26"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Kotler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a product must be viewed as an effective solution to consumer needs rather than merely a single physical item. This is well aligned with the proposed brand extension of Tata Baby Foods that addresses the growing demand of customers regarding convenient, nutritious, and environmentally responsible infant nutrition, where data-driven design thinking must be used to develop products as per consumer needs. </w:t>
      </w:r>
    </w:p>
    <w:p w14:paraId="4157C1C2"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proposed product line must include the organic infant cereals, fruit and vegetable purées, healthy snacks, and millet-based porridges formulated for the babies aged 6 months to 24 months. This approach is mainly taken into focus based on the increased parental preferences for the minimally processed foods consisting of natural ingredients and totally free from the artificial preservatives, added colors, and flavors. Hence, the product strategy supports both the customer health and sustainability objectives of Tata (Lecture slides, slide 5). </w:t>
      </w:r>
    </w:p>
    <w:p w14:paraId="5EB0F8FB"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Product differentiation is essential in the baby food market of India as here, purchasing decisions are mostly influenced by the safety, quality, and the credibility of brands. The firm possesses a highly competitive advantage due to its nationwide distribution network reaching 290 million households in India, along with 4.5 million retail outlets (Tata Consumer, 2026). </w:t>
      </w:r>
    </w:p>
    <w:p w14:paraId="464C964A" w14:textId="77777777" w:rsidR="00B371E4"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F08BEB8" wp14:editId="5D8954B6">
            <wp:extent cx="4814888" cy="4629700"/>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814888" cy="4629700"/>
                    </a:xfrm>
                    <a:prstGeom prst="rect">
                      <a:avLst/>
                    </a:prstGeom>
                    <a:ln w="25400">
                      <a:solidFill>
                        <a:srgbClr val="000000"/>
                      </a:solidFill>
                      <a:prstDash val="solid"/>
                    </a:ln>
                  </pic:spPr>
                </pic:pic>
              </a:graphicData>
            </a:graphic>
          </wp:inline>
        </w:drawing>
      </w:r>
    </w:p>
    <w:p w14:paraId="032E7E50" w14:textId="77777777" w:rsidR="00B371E4"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3: Performance portfolio </w:t>
      </w:r>
    </w:p>
    <w:p w14:paraId="29B065FB" w14:textId="77777777" w:rsidR="00B371E4"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Tata Consumer, 2026)</w:t>
      </w:r>
    </w:p>
    <w:p w14:paraId="6F451A63"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market trend, it has been found out that the Indian baby care products market was valued at 4.82 billion in 2025, and it is expected to reach USD 10.62 billion by 2034 with a CAGR of 9.17% from 2026-2034 (IMARC, 2026). These market conditions are able to offer a favorable environment for Tata Consumer Products to introduce a new product portfolio. </w:t>
      </w:r>
    </w:p>
    <w:p w14:paraId="49122E64" w14:textId="77777777" w:rsidR="00B371E4"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883A8F9" wp14:editId="6DF65702">
            <wp:extent cx="5943600" cy="3568700"/>
            <wp:effectExtent l="25400" t="25400" r="25400" b="2540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943600" cy="3568700"/>
                    </a:xfrm>
                    <a:prstGeom prst="rect">
                      <a:avLst/>
                    </a:prstGeom>
                    <a:ln w="25400">
                      <a:solidFill>
                        <a:srgbClr val="000000"/>
                      </a:solidFill>
                      <a:prstDash val="solid"/>
                    </a:ln>
                  </pic:spPr>
                </pic:pic>
              </a:graphicData>
            </a:graphic>
          </wp:inline>
        </w:drawing>
      </w:r>
    </w:p>
    <w:p w14:paraId="598A97DB" w14:textId="77777777" w:rsidR="00B371E4"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4: Market forecast </w:t>
      </w:r>
    </w:p>
    <w:p w14:paraId="34F08B1E" w14:textId="77777777" w:rsidR="00B371E4"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IMARC, 2026)</w:t>
      </w:r>
    </w:p>
    <w:p w14:paraId="0B15E095"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Referring to the </w:t>
      </w:r>
      <w:r>
        <w:rPr>
          <w:rFonts w:ascii="Times New Roman" w:eastAsia="Times New Roman" w:hAnsi="Times New Roman" w:cs="Times New Roman"/>
          <w:b/>
          <w:bCs/>
          <w:sz w:val="24"/>
          <w:szCs w:val="24"/>
        </w:rPr>
        <w:t>Kotler's three levels of product</w:t>
      </w:r>
      <w:r>
        <w:rPr>
          <w:rFonts w:ascii="Times New Roman" w:eastAsia="Times New Roman" w:hAnsi="Times New Roman" w:cs="Times New Roman"/>
          <w:sz w:val="24"/>
          <w:szCs w:val="24"/>
        </w:rPr>
        <w:t xml:space="preserve">, the </w:t>
      </w:r>
      <w:r>
        <w:rPr>
          <w:rFonts w:ascii="Times New Roman" w:eastAsia="Times New Roman" w:hAnsi="Times New Roman" w:cs="Times New Roman"/>
          <w:b/>
          <w:bCs/>
          <w:sz w:val="24"/>
          <w:szCs w:val="24"/>
        </w:rPr>
        <w:t>core product</w:t>
      </w:r>
      <w:r>
        <w:rPr>
          <w:rFonts w:ascii="Times New Roman" w:eastAsia="Times New Roman" w:hAnsi="Times New Roman" w:cs="Times New Roman"/>
          <w:sz w:val="24"/>
          <w:szCs w:val="24"/>
        </w:rPr>
        <w:t xml:space="preserve"> is the safe as well as nutritionally balanced infant food through which it would be possible to support the healthy development of children and ensure value for money (Marcelo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The </w:t>
      </w:r>
      <w:r>
        <w:rPr>
          <w:rFonts w:ascii="Times New Roman" w:eastAsia="Times New Roman" w:hAnsi="Times New Roman" w:cs="Times New Roman"/>
          <w:b/>
          <w:bCs/>
          <w:sz w:val="24"/>
          <w:szCs w:val="24"/>
        </w:rPr>
        <w:t>actual product</w:t>
      </w:r>
      <w:r>
        <w:rPr>
          <w:rFonts w:ascii="Times New Roman" w:eastAsia="Times New Roman" w:hAnsi="Times New Roman" w:cs="Times New Roman"/>
          <w:sz w:val="24"/>
          <w:szCs w:val="24"/>
        </w:rPr>
        <w:t xml:space="preserve"> comprises Tata-branded baby food manufactured under the stringent food safety standards, integrating recyclable packaging, having age-specific formulations, and clear labelling about nutrients. The </w:t>
      </w:r>
      <w:r>
        <w:rPr>
          <w:rFonts w:ascii="Times New Roman" w:eastAsia="Times New Roman" w:hAnsi="Times New Roman" w:cs="Times New Roman"/>
          <w:b/>
          <w:bCs/>
          <w:sz w:val="24"/>
          <w:szCs w:val="24"/>
        </w:rPr>
        <w:t>augmented product</w:t>
      </w:r>
      <w:r>
        <w:rPr>
          <w:rFonts w:ascii="Times New Roman" w:eastAsia="Times New Roman" w:hAnsi="Times New Roman" w:cs="Times New Roman"/>
          <w:sz w:val="24"/>
          <w:szCs w:val="24"/>
        </w:rPr>
        <w:t xml:space="preserve"> mainly consists of QR codes that will deliver the appropriate feeding guidance, “subscription-based home delivery”, nutrition education for the parents, and dedicated consumer support, creating additional value beyond the product. </w:t>
      </w:r>
    </w:p>
    <w:p w14:paraId="61557012" w14:textId="77777777" w:rsidR="00B371E4" w:rsidRDefault="00000000">
      <w:pPr>
        <w:pStyle w:val="Heading2"/>
      </w:pPr>
      <w:bookmarkStart w:id="8" w:name="_tw8gzc3o16jk" w:colFirst="0" w:colLast="0"/>
      <w:bookmarkEnd w:id="8"/>
      <w:r>
        <w:t xml:space="preserve">3.2 Price </w:t>
      </w:r>
    </w:p>
    <w:p w14:paraId="25B9485E"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Price mainly represents the particular value that consumers exchange while obtaining the benefits of a product and should reflect the cost of the product, demand elasticity, and desired positioning (</w:t>
      </w:r>
      <w:proofErr w:type="spellStart"/>
      <w:r>
        <w:rPr>
          <w:rFonts w:ascii="Times New Roman" w:eastAsia="Times New Roman" w:hAnsi="Times New Roman" w:cs="Times New Roman"/>
          <w:sz w:val="24"/>
          <w:szCs w:val="24"/>
        </w:rPr>
        <w:t>Baharun</w:t>
      </w:r>
      <w:proofErr w:type="spellEnd"/>
      <w:r>
        <w:rPr>
          <w:rFonts w:ascii="Times New Roman" w:eastAsia="Times New Roman" w:hAnsi="Times New Roman" w:cs="Times New Roman"/>
          <w:sz w:val="24"/>
          <w:szCs w:val="24"/>
        </w:rPr>
        <w:t xml:space="preserve"> and Diana, 2023). For Tata Baby Foods, the </w:t>
      </w:r>
      <w:r>
        <w:rPr>
          <w:rFonts w:ascii="Times New Roman" w:eastAsia="Times New Roman" w:hAnsi="Times New Roman" w:cs="Times New Roman"/>
          <w:b/>
          <w:bCs/>
          <w:sz w:val="24"/>
          <w:szCs w:val="24"/>
        </w:rPr>
        <w:t>value-based penetration strategy</w:t>
      </w:r>
      <w:r>
        <w:rPr>
          <w:rFonts w:ascii="Times New Roman" w:eastAsia="Times New Roman" w:hAnsi="Times New Roman" w:cs="Times New Roman"/>
          <w:sz w:val="24"/>
          <w:szCs w:val="24"/>
        </w:rPr>
        <w:t xml:space="preserve"> is highly recommended as under this strategy, the firm can assess the parental needs first along with perceived benefits before establishing the target price (Lecture slides, slide 6). </w:t>
      </w:r>
    </w:p>
    <w:p w14:paraId="501A1238"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extension needs to be positioned as an </w:t>
      </w:r>
      <w:r>
        <w:rPr>
          <w:rFonts w:ascii="Times New Roman" w:eastAsia="Times New Roman" w:hAnsi="Times New Roman" w:cs="Times New Roman"/>
          <w:b/>
          <w:bCs/>
          <w:sz w:val="24"/>
          <w:szCs w:val="24"/>
        </w:rPr>
        <w:t>affordable premium</w:t>
      </w:r>
      <w:r>
        <w:rPr>
          <w:rFonts w:ascii="Times New Roman" w:eastAsia="Times New Roman" w:hAnsi="Times New Roman" w:cs="Times New Roman"/>
          <w:sz w:val="24"/>
          <w:szCs w:val="24"/>
        </w:rPr>
        <w:t xml:space="preserve"> rather than a low-cost product, and Indian parents can accept the moderate premium regarding trusted ingredients, sustainable packaging, food safety, and nutritional transparency. An excessive premium pricing range would restrict its adoption among the middle-income families. Moreover, the market penetration pricing would be relevant during the launch, as an accessible introductory price structure will encourage the trial and help the new extension to overcome customer uncertainty. </w:t>
      </w:r>
    </w:p>
    <w:p w14:paraId="1339C08B"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current retail prices also reveal a highly competitive range, such as the official Indian platform lists 300-gram Cerelac products at Rs. 290 - Rs. 299, whereas the selected variants seem to be priced around Rs. 325 before the discount (</w:t>
      </w:r>
      <w:proofErr w:type="spellStart"/>
      <w:r>
        <w:rPr>
          <w:rFonts w:ascii="Times New Roman" w:eastAsia="Times New Roman" w:hAnsi="Times New Roman" w:cs="Times New Roman"/>
          <w:sz w:val="24"/>
          <w:szCs w:val="24"/>
        </w:rPr>
        <w:t>Familynes</w:t>
      </w:r>
      <w:proofErr w:type="spellEnd"/>
      <w:r>
        <w:rPr>
          <w:rFonts w:ascii="Times New Roman" w:eastAsia="Times New Roman" w:hAnsi="Times New Roman" w:cs="Times New Roman"/>
          <w:sz w:val="24"/>
          <w:szCs w:val="24"/>
        </w:rPr>
        <w:t>, 2026). Moreover, a 200-gram “</w:t>
      </w:r>
      <w:proofErr w:type="spellStart"/>
      <w:r>
        <w:rPr>
          <w:rFonts w:ascii="Times New Roman" w:eastAsia="Times New Roman" w:hAnsi="Times New Roman" w:cs="Times New Roman"/>
          <w:sz w:val="24"/>
          <w:szCs w:val="24"/>
        </w:rPr>
        <w:t>Slurrp</w:t>
      </w:r>
      <w:proofErr w:type="spellEnd"/>
      <w:r>
        <w:rPr>
          <w:rFonts w:ascii="Times New Roman" w:eastAsia="Times New Roman" w:hAnsi="Times New Roman" w:cs="Times New Roman"/>
          <w:sz w:val="24"/>
          <w:szCs w:val="24"/>
        </w:rPr>
        <w:t xml:space="preserve"> Farm millet-based cereal” seems to be listed at Rs. 349 (approx.), which is equivalent to around ₹174.50 per 100 grams (figure below). This difference shows that the price premium is strongly attached to the natural and </w:t>
      </w:r>
      <w:proofErr w:type="spellStart"/>
      <w:r>
        <w:rPr>
          <w:rFonts w:ascii="Times New Roman" w:eastAsia="Times New Roman" w:hAnsi="Times New Roman" w:cs="Times New Roman"/>
          <w:sz w:val="24"/>
          <w:szCs w:val="24"/>
        </w:rPr>
        <w:t>specialised</w:t>
      </w:r>
      <w:proofErr w:type="spellEnd"/>
      <w:r>
        <w:rPr>
          <w:rFonts w:ascii="Times New Roman" w:eastAsia="Times New Roman" w:hAnsi="Times New Roman" w:cs="Times New Roman"/>
          <w:sz w:val="24"/>
          <w:szCs w:val="24"/>
        </w:rPr>
        <w:t xml:space="preserve"> positioning. </w:t>
      </w:r>
    </w:p>
    <w:p w14:paraId="299C51F0" w14:textId="77777777" w:rsidR="00B371E4"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E74DFFD" wp14:editId="04C1B4EC">
            <wp:extent cx="5943600" cy="2451100"/>
            <wp:effectExtent l="25400" t="25400" r="25400" b="254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943600" cy="2451100"/>
                    </a:xfrm>
                    <a:prstGeom prst="rect">
                      <a:avLst/>
                    </a:prstGeom>
                    <a:ln w="25400">
                      <a:solidFill>
                        <a:srgbClr val="000000"/>
                      </a:solidFill>
                      <a:prstDash val="solid"/>
                    </a:ln>
                  </pic:spPr>
                </pic:pic>
              </a:graphicData>
            </a:graphic>
          </wp:inline>
        </w:drawing>
      </w:r>
    </w:p>
    <w:p w14:paraId="6D003BED" w14:textId="77777777" w:rsidR="00B371E4"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5: Price of </w:t>
      </w:r>
      <w:proofErr w:type="spellStart"/>
      <w:r>
        <w:rPr>
          <w:rFonts w:ascii="Times New Roman" w:eastAsia="Times New Roman" w:hAnsi="Times New Roman" w:cs="Times New Roman"/>
          <w:b/>
          <w:bCs/>
          <w:color w:val="0F1111"/>
          <w:sz w:val="24"/>
          <w:szCs w:val="24"/>
        </w:rPr>
        <w:t>Slurrp</w:t>
      </w:r>
      <w:proofErr w:type="spellEnd"/>
      <w:r>
        <w:rPr>
          <w:rFonts w:ascii="Times New Roman" w:eastAsia="Times New Roman" w:hAnsi="Times New Roman" w:cs="Times New Roman"/>
          <w:b/>
          <w:bCs/>
          <w:color w:val="0F1111"/>
          <w:sz w:val="24"/>
          <w:szCs w:val="24"/>
        </w:rPr>
        <w:t xml:space="preserve"> Farm Cereal</w:t>
      </w:r>
    </w:p>
    <w:p w14:paraId="3D07E7D6" w14:textId="77777777" w:rsidR="00B371E4"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Amazon, 2026)</w:t>
      </w:r>
    </w:p>
    <w:p w14:paraId="7355D694"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“tiered product-line strategy” can be relevant to offer the “smaller tier packs”, “standard monthly packs” along with value bundles.  </w:t>
      </w:r>
    </w:p>
    <w:p w14:paraId="3F15E3CD" w14:textId="77777777" w:rsidR="00B371E4" w:rsidRDefault="00000000">
      <w:pPr>
        <w:pStyle w:val="Heading2"/>
      </w:pPr>
      <w:bookmarkStart w:id="9" w:name="_8j5rkvrhxzf3" w:colFirst="0" w:colLast="0"/>
      <w:bookmarkEnd w:id="9"/>
      <w:r>
        <w:t xml:space="preserve">3.3 Place </w:t>
      </w:r>
    </w:p>
    <w:p w14:paraId="45D10903"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Baby Foods must acquire an </w:t>
      </w:r>
      <w:r>
        <w:rPr>
          <w:rFonts w:ascii="Times New Roman" w:eastAsia="Times New Roman" w:hAnsi="Times New Roman" w:cs="Times New Roman"/>
          <w:b/>
          <w:bCs/>
          <w:sz w:val="24"/>
          <w:szCs w:val="24"/>
        </w:rPr>
        <w:t>“intensive omnichannel distribution strategy”</w:t>
      </w:r>
      <w:r>
        <w:rPr>
          <w:rFonts w:ascii="Times New Roman" w:eastAsia="Times New Roman" w:hAnsi="Times New Roman" w:cs="Times New Roman"/>
          <w:sz w:val="24"/>
          <w:szCs w:val="24"/>
        </w:rPr>
        <w:t xml:space="preserve"> that will combine supermarkets, pharmacies, neighborhood retailers, baby stores, e-commerce, as well as quick commerce platforms. Marketing channels are effective to add value through the consumer </w:t>
      </w:r>
      <w:r>
        <w:rPr>
          <w:rFonts w:ascii="Times New Roman" w:eastAsia="Times New Roman" w:hAnsi="Times New Roman" w:cs="Times New Roman"/>
          <w:sz w:val="24"/>
          <w:szCs w:val="24"/>
        </w:rPr>
        <w:lastRenderedPageBreak/>
        <w:t xml:space="preserve">contact, product matching, and risk management, whereas the indirect channels can deliver wider coverage at the cost of the reduced control over the price structure, presentation, and storage (Lecture slides, slide 3). Hence, the firm must combine the indirect retail reach with the direct digital channels that can deliver stronger consumer data and better control over the subscriptions. </w:t>
      </w:r>
    </w:p>
    <w:p w14:paraId="7F539440"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strategy is well justified by the rapidly expanding digital retail environment in India, such as the e-retail reaching US$60 billion in GMV, which seems to be supported by the 2nd largest “online shopping population” (Bain, 2025). Moreover, the e-retail increased to US$65-66 billion in 2025. By 2030, the GDP per capita is expected to cross US$3.5-US$4K, where the inflection in e-retail spending will be seen globally (figure below). </w:t>
      </w:r>
    </w:p>
    <w:p w14:paraId="446B4520" w14:textId="77777777" w:rsidR="00B371E4"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6466434" wp14:editId="257EE7A6">
            <wp:extent cx="5943600" cy="2984500"/>
            <wp:effectExtent l="25400" t="25400" r="25400" b="254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5943600" cy="2984500"/>
                    </a:xfrm>
                    <a:prstGeom prst="rect">
                      <a:avLst/>
                    </a:prstGeom>
                    <a:ln w="25400">
                      <a:solidFill>
                        <a:srgbClr val="000000"/>
                      </a:solidFill>
                      <a:prstDash val="solid"/>
                    </a:ln>
                  </pic:spPr>
                </pic:pic>
              </a:graphicData>
            </a:graphic>
          </wp:inline>
        </w:drawing>
      </w:r>
    </w:p>
    <w:p w14:paraId="6247A96D" w14:textId="77777777" w:rsidR="00B371E4"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6: Online shopping in India </w:t>
      </w:r>
    </w:p>
    <w:p w14:paraId="723B9B67" w14:textId="77777777" w:rsidR="00B371E4"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Bain, 2025)</w:t>
      </w:r>
    </w:p>
    <w:p w14:paraId="73C5B254"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Availability of the Tata’s products through Amazon, </w:t>
      </w:r>
      <w:proofErr w:type="spellStart"/>
      <w:r>
        <w:rPr>
          <w:rFonts w:ascii="Times New Roman" w:eastAsia="Times New Roman" w:hAnsi="Times New Roman" w:cs="Times New Roman"/>
          <w:sz w:val="24"/>
          <w:szCs w:val="24"/>
        </w:rPr>
        <w:t>Blinkit</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Zepto</w:t>
      </w:r>
      <w:proofErr w:type="spellEnd"/>
      <w:r>
        <w:rPr>
          <w:rFonts w:ascii="Times New Roman" w:eastAsia="Times New Roman" w:hAnsi="Times New Roman" w:cs="Times New Roman"/>
          <w:sz w:val="24"/>
          <w:szCs w:val="24"/>
        </w:rPr>
        <w:t xml:space="preserve">, and others will improve the convenience and product trial eventually. </w:t>
      </w:r>
    </w:p>
    <w:p w14:paraId="025740B9" w14:textId="77777777" w:rsidR="00B371E4" w:rsidRDefault="00000000">
      <w:pPr>
        <w:pStyle w:val="Heading2"/>
      </w:pPr>
      <w:bookmarkStart w:id="10" w:name="_rgj9cwjigckw" w:colFirst="0" w:colLast="0"/>
      <w:bookmarkEnd w:id="10"/>
      <w:r>
        <w:t>3.4 Promotion</w:t>
      </w:r>
    </w:p>
    <w:p w14:paraId="685AA497"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w:t>
      </w:r>
      <w:r>
        <w:rPr>
          <w:rFonts w:ascii="Times New Roman" w:eastAsia="Times New Roman" w:hAnsi="Times New Roman" w:cs="Times New Roman"/>
          <w:b/>
          <w:bCs/>
          <w:sz w:val="24"/>
          <w:szCs w:val="24"/>
        </w:rPr>
        <w:t>“integrated marketing communication strategy”</w:t>
      </w:r>
      <w:r>
        <w:rPr>
          <w:rFonts w:ascii="Times New Roman" w:eastAsia="Times New Roman" w:hAnsi="Times New Roman" w:cs="Times New Roman"/>
          <w:sz w:val="24"/>
          <w:szCs w:val="24"/>
        </w:rPr>
        <w:t xml:space="preserve"> can be beneficial for Tata Baby Foods to ensure that public relations, sales promotion, advertising, and direct marketing convey the consistent message of transparency, trusted nutrition, and sustainability (Hooley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2020). Referring to the IMC framework, coordinated consumer touchpoints mostly strengthen the brand </w:t>
      </w:r>
      <w:r>
        <w:rPr>
          <w:rFonts w:ascii="Times New Roman" w:eastAsia="Times New Roman" w:hAnsi="Times New Roman" w:cs="Times New Roman"/>
          <w:sz w:val="24"/>
          <w:szCs w:val="24"/>
        </w:rPr>
        <w:lastRenderedPageBreak/>
        <w:t xml:space="preserve">meaning and also reduce the confusion caused by the fragmented communication (Lecture slides, slide 18). </w:t>
      </w:r>
    </w:p>
    <w:p w14:paraId="78691536"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w:t>
      </w:r>
      <w:r>
        <w:rPr>
          <w:rFonts w:ascii="Times New Roman" w:eastAsia="Times New Roman" w:hAnsi="Times New Roman" w:cs="Times New Roman"/>
          <w:b/>
          <w:bCs/>
          <w:sz w:val="24"/>
          <w:szCs w:val="24"/>
        </w:rPr>
        <w:t>digital-first campaign</w:t>
      </w:r>
      <w:r>
        <w:rPr>
          <w:rFonts w:ascii="Times New Roman" w:eastAsia="Times New Roman" w:hAnsi="Times New Roman" w:cs="Times New Roman"/>
          <w:sz w:val="24"/>
          <w:szCs w:val="24"/>
        </w:rPr>
        <w:t xml:space="preserve"> is well justified here as there were nearly 1.03 billion internet users in India in 2025, which represents 70% of the internet penetration, along with 500 million social media user identities (Kemp, 2025). Hence, the firm can undertake targeted video advertising, parenting content, and social media campaigns aimed at the digitally active parents. Influencer marketing alone can be risky, and hence, Tata must combine it with qualified nutrition experts, evidence-based content, and “transparent sustainability reporting”. Trial packs as well as introductory coupons will encourage the initial purchase eventually (Kotler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2020). </w:t>
      </w:r>
    </w:p>
    <w:p w14:paraId="725FC016" w14:textId="77777777" w:rsidR="00B371E4" w:rsidRDefault="00000000">
      <w:pPr>
        <w:rPr>
          <w:rFonts w:ascii="Times New Roman" w:eastAsia="Times New Roman" w:hAnsi="Times New Roman" w:cs="Times New Roman"/>
          <w:b/>
          <w:bCs/>
          <w:sz w:val="24"/>
          <w:szCs w:val="24"/>
        </w:rPr>
      </w:pPr>
      <w:r>
        <w:br w:type="page"/>
      </w:r>
    </w:p>
    <w:p w14:paraId="5E58F56A" w14:textId="77777777" w:rsidR="00B371E4" w:rsidRDefault="00000000">
      <w:pPr>
        <w:pStyle w:val="Heading1"/>
      </w:pPr>
      <w:bookmarkStart w:id="11" w:name="_fg5pvrfsopr0" w:colFirst="0" w:colLast="0"/>
      <w:bookmarkEnd w:id="11"/>
      <w:r>
        <w:lastRenderedPageBreak/>
        <w:t>Element 4: Reflection</w:t>
      </w:r>
    </w:p>
    <w:p w14:paraId="15CBD33B"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Development of the sustainable brand extension strategy for the Tata Baby Foods has been identified as a valuable yet demanding experience, as it required me to connect the marketing theories with the realistic business opportunities. At the beginning, I felt confident enough regarding Tata’s products due to its strong reputation, large network, and established presence in the Indian market. However, later I observed that entering the baby-food category is quite challenging as parents are highly concerned about the product safety, brand credibility, and nutritional quality. This made the task even more complex than simply talking about a new product, as each marketing decision had to be justified properly from commercial as well as sustainability perspective (Kotler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2021). These elements are relevant enough for strengthening the customer trust level and differentiating the brand from existing competitors like Nestlé Cerelac.</w:t>
      </w:r>
    </w:p>
    <w:p w14:paraId="47732B3E"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strongest aspect related to the project was the deployment of the idea of brand extension with the existing capabilities of Tata. I was able to connect the proposed products such as baby cereals, purées, and others with the retail reach of the firm, experience, and trusted identity in the food products. Through the STDP analysis, I was able to understand that a broad market must not be treated as a single consumer group, and segmentation of the customers enabled me for identifying upper middle-income parents from the metro cities, along with Tier-1 as well as Tier-2 cities, as the most suitable target audience (Harrison and Owens, 2000). I also understood that effective positioning is also required rather than merely claiming a product as healthy. A distinctive value proposition is essential for Tata Baby Foods based on adequate nutrition, natural ingredients, and the affordable premium pricing. </w:t>
      </w:r>
    </w:p>
    <w:p w14:paraId="284EB4D4"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some aspects need to be improved. In the early stages, I highly relied on the company's strengths and marketing growth figures, whereas I did not give much attention to the risks related to entering the highly sensitive category. The existing competitors already have the strong market recognition, and hence, Tata’s reputation would not guarantee success alone. Such evidence, transparent labelling, and credible communication would be relevant. This improved my critical thinking perceptions as I moved from promoting my idea to questioning.</w:t>
      </w:r>
    </w:p>
    <w:p w14:paraId="6E7BF18B"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Preparation of the poster presentation also helped me to develop my capability for converting the detailed research into a visually engaging format. Selecting reliable statistics, images, and other </w:t>
      </w:r>
      <w:r>
        <w:rPr>
          <w:rFonts w:ascii="Times New Roman" w:eastAsia="Times New Roman" w:hAnsi="Times New Roman" w:cs="Times New Roman"/>
          <w:sz w:val="24"/>
          <w:szCs w:val="24"/>
        </w:rPr>
        <w:lastRenderedPageBreak/>
        <w:t xml:space="preserve">elements was difficult as the poster could not contain each element of the report. This improved my communication and visual design skills. </w:t>
      </w:r>
    </w:p>
    <w:p w14:paraId="23EE5B1B"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Overall, the project improved my understanding of consumer-driven strategy, sustainable marketing, integrated decision-making, as well as competitive differentiation. It also strongly contributed to my professional development by improving my research, presentation, and analytical skills. Personally, I would be able to gather more relevant information for future research and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it in-depth to develop adequate concluding statements. In the future, I would conduct primary research with relevant individuals, test the positioning through the consumer feedback, and conduct detailed competitor analysis. I would rehearse the presentation even more frequently and simplify the visual content properly. </w:t>
      </w:r>
    </w:p>
    <w:p w14:paraId="0A29ED29" w14:textId="77777777" w:rsidR="00B371E4" w:rsidRDefault="00000000">
      <w:pPr>
        <w:rPr>
          <w:rFonts w:ascii="Times New Roman" w:eastAsia="Times New Roman" w:hAnsi="Times New Roman" w:cs="Times New Roman"/>
          <w:sz w:val="24"/>
          <w:szCs w:val="24"/>
        </w:rPr>
      </w:pPr>
      <w:r>
        <w:br w:type="page"/>
      </w:r>
    </w:p>
    <w:p w14:paraId="057BE2EA" w14:textId="77777777" w:rsidR="00B371E4" w:rsidRDefault="00000000">
      <w:pPr>
        <w:pStyle w:val="Heading1"/>
      </w:pPr>
      <w:bookmarkStart w:id="12" w:name="_r7sijmxgbxke" w:colFirst="0" w:colLast="0"/>
      <w:bookmarkEnd w:id="12"/>
      <w:r>
        <w:lastRenderedPageBreak/>
        <w:t>References</w:t>
      </w:r>
    </w:p>
    <w:p w14:paraId="7CBCD424"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Amazon, (2026). </w:t>
      </w:r>
      <w:proofErr w:type="spellStart"/>
      <w:r>
        <w:rPr>
          <w:rFonts w:ascii="Times New Roman" w:eastAsia="Times New Roman" w:hAnsi="Times New Roman" w:cs="Times New Roman"/>
          <w:i/>
          <w:iCs/>
          <w:sz w:val="24"/>
          <w:szCs w:val="24"/>
        </w:rPr>
        <w:t>Slurrp</w:t>
      </w:r>
      <w:proofErr w:type="spellEnd"/>
      <w:r>
        <w:rPr>
          <w:rFonts w:ascii="Times New Roman" w:eastAsia="Times New Roman" w:hAnsi="Times New Roman" w:cs="Times New Roman"/>
          <w:i/>
          <w:iCs/>
          <w:sz w:val="24"/>
          <w:szCs w:val="24"/>
        </w:rPr>
        <w:t xml:space="preserve"> Farm Cereal, Ragi, Rice and Strawberry with Milk, Instant Healthy Food, NO Added Sugar, Mildly Sweetened with Date Powder, 200 g.</w:t>
      </w:r>
      <w:r>
        <w:rPr>
          <w:rFonts w:ascii="Times New Roman" w:eastAsia="Times New Roman" w:hAnsi="Times New Roman" w:cs="Times New Roman"/>
          <w:sz w:val="24"/>
          <w:szCs w:val="24"/>
        </w:rPr>
        <w:t xml:space="preserve"> Available at: </w:t>
      </w:r>
      <w:hyperlink r:id="rId15">
        <w:r w:rsidR="00B371E4">
          <w:rPr>
            <w:rFonts w:ascii="Times New Roman" w:eastAsia="Times New Roman" w:hAnsi="Times New Roman" w:cs="Times New Roman"/>
            <w:color w:val="0000FF"/>
            <w:sz w:val="24"/>
            <w:szCs w:val="24"/>
            <w:u w:val="single"/>
          </w:rPr>
          <w:t>https://www.amazon.in/Slurrp-Farm-Organic-Strawberry-Wholesome/dp/B07VPZGRL7</w:t>
        </w:r>
      </w:hyperlink>
      <w:r>
        <w:rPr>
          <w:rFonts w:ascii="Times New Roman" w:eastAsia="Times New Roman" w:hAnsi="Times New Roman" w:cs="Times New Roman"/>
          <w:sz w:val="24"/>
          <w:szCs w:val="24"/>
        </w:rPr>
        <w:t xml:space="preserve"> (Accessed: 16 July 2026)</w:t>
      </w:r>
    </w:p>
    <w:p w14:paraId="73235E90" w14:textId="77777777" w:rsidR="00B371E4" w:rsidRDefault="00000000">
      <w:pPr>
        <w:spacing w:line="360" w:lineRule="auto"/>
        <w:jc w:val="both"/>
        <w:rPr>
          <w:sz w:val="24"/>
          <w:szCs w:val="24"/>
        </w:rPr>
      </w:pPr>
      <w:proofErr w:type="spellStart"/>
      <w:r>
        <w:rPr>
          <w:rFonts w:ascii="Times New Roman" w:eastAsia="Times New Roman" w:hAnsi="Times New Roman" w:cs="Times New Roman"/>
          <w:sz w:val="24"/>
          <w:szCs w:val="24"/>
        </w:rPr>
        <w:t>Baharun</w:t>
      </w:r>
      <w:proofErr w:type="spellEnd"/>
      <w:r>
        <w:rPr>
          <w:rFonts w:ascii="Times New Roman" w:eastAsia="Times New Roman" w:hAnsi="Times New Roman" w:cs="Times New Roman"/>
          <w:sz w:val="24"/>
          <w:szCs w:val="24"/>
        </w:rPr>
        <w:t>, H. and Diana, U., (2023). Consumer Behavior in Choosing Madrasah‎ Education Institutions: Kotler’s Perspective. </w:t>
      </w:r>
      <w:r>
        <w:rPr>
          <w:rFonts w:ascii="Times New Roman" w:eastAsia="Times New Roman" w:hAnsi="Times New Roman" w:cs="Times New Roman"/>
          <w:i/>
          <w:iCs/>
          <w:sz w:val="24"/>
          <w:szCs w:val="24"/>
        </w:rPr>
        <w:t xml:space="preserve">TADRIS: </w:t>
      </w:r>
      <w:proofErr w:type="spellStart"/>
      <w:r>
        <w:rPr>
          <w:rFonts w:ascii="Times New Roman" w:eastAsia="Times New Roman" w:hAnsi="Times New Roman" w:cs="Times New Roman"/>
          <w:i/>
          <w:iCs/>
          <w:sz w:val="24"/>
          <w:szCs w:val="24"/>
        </w:rPr>
        <w:t>Jurnal</w:t>
      </w:r>
      <w:proofErr w:type="spellEnd"/>
      <w:r>
        <w:rPr>
          <w:rFonts w:ascii="Times New Roman" w:eastAsia="Times New Roman" w:hAnsi="Times New Roman" w:cs="Times New Roman"/>
          <w:i/>
          <w:iCs/>
          <w:sz w:val="24"/>
          <w:szCs w:val="24"/>
        </w:rPr>
        <w:t xml:space="preserve"> Pendidikan Islam</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18</w:t>
      </w:r>
      <w:r>
        <w:rPr>
          <w:rFonts w:ascii="Times New Roman" w:eastAsia="Times New Roman" w:hAnsi="Times New Roman" w:cs="Times New Roman"/>
          <w:sz w:val="24"/>
          <w:szCs w:val="24"/>
        </w:rPr>
        <w:t xml:space="preserve">(1), pp.52-67. Available at: </w:t>
      </w:r>
      <w:hyperlink r:id="rId16">
        <w:r w:rsidR="00B371E4">
          <w:rPr>
            <w:rFonts w:ascii="Times New Roman" w:eastAsia="Times New Roman" w:hAnsi="Times New Roman" w:cs="Times New Roman"/>
            <w:color w:val="0000FF"/>
            <w:sz w:val="24"/>
            <w:szCs w:val="24"/>
            <w:u w:val="single"/>
          </w:rPr>
          <w:t>https://ejournal.uinmadura.ac.id/index.php/tadris/article/download/8422/3517</w:t>
        </w:r>
      </w:hyperlink>
    </w:p>
    <w:p w14:paraId="2EEFB353"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Bain, (2025). </w:t>
      </w:r>
      <w:r>
        <w:rPr>
          <w:rFonts w:ascii="Times New Roman" w:eastAsia="Times New Roman" w:hAnsi="Times New Roman" w:cs="Times New Roman"/>
          <w:i/>
          <w:iCs/>
          <w:sz w:val="24"/>
          <w:szCs w:val="24"/>
        </w:rPr>
        <w:t>How India Shops Online 2025</w:t>
      </w:r>
      <w:r>
        <w:rPr>
          <w:rFonts w:ascii="Times New Roman" w:eastAsia="Times New Roman" w:hAnsi="Times New Roman" w:cs="Times New Roman"/>
          <w:sz w:val="24"/>
          <w:szCs w:val="24"/>
        </w:rPr>
        <w:t xml:space="preserve">. Available at: </w:t>
      </w:r>
      <w:hyperlink r:id="rId17">
        <w:r w:rsidR="00B371E4">
          <w:rPr>
            <w:rFonts w:ascii="Times New Roman" w:eastAsia="Times New Roman" w:hAnsi="Times New Roman" w:cs="Times New Roman"/>
            <w:color w:val="0000FF"/>
            <w:sz w:val="24"/>
            <w:szCs w:val="24"/>
            <w:u w:val="single"/>
          </w:rPr>
          <w:t>https://www.bain.com/insights/how-india-shops-online-2025/</w:t>
        </w:r>
      </w:hyperlink>
      <w:r>
        <w:rPr>
          <w:rFonts w:ascii="Times New Roman" w:eastAsia="Times New Roman" w:hAnsi="Times New Roman" w:cs="Times New Roman"/>
          <w:sz w:val="24"/>
          <w:szCs w:val="24"/>
        </w:rPr>
        <w:t xml:space="preserve"> (Accessed: 18 July 2026)</w:t>
      </w:r>
    </w:p>
    <w:p w14:paraId="3CBF381E"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Dass, M., Moradi, M. and </w:t>
      </w:r>
      <w:proofErr w:type="spellStart"/>
      <w:r>
        <w:rPr>
          <w:rFonts w:ascii="Times New Roman" w:eastAsia="Times New Roman" w:hAnsi="Times New Roman" w:cs="Times New Roman"/>
          <w:sz w:val="24"/>
          <w:szCs w:val="24"/>
        </w:rPr>
        <w:t>Zihagh</w:t>
      </w:r>
      <w:proofErr w:type="spellEnd"/>
      <w:r>
        <w:rPr>
          <w:rFonts w:ascii="Times New Roman" w:eastAsia="Times New Roman" w:hAnsi="Times New Roman" w:cs="Times New Roman"/>
          <w:sz w:val="24"/>
          <w:szCs w:val="24"/>
        </w:rPr>
        <w:t>, F., (2023). Forecasting purchase rates of new products introduced in existing categories. </w:t>
      </w:r>
      <w:r>
        <w:rPr>
          <w:rFonts w:ascii="Times New Roman" w:eastAsia="Times New Roman" w:hAnsi="Times New Roman" w:cs="Times New Roman"/>
          <w:i/>
          <w:iCs/>
          <w:sz w:val="24"/>
          <w:szCs w:val="24"/>
        </w:rPr>
        <w:t>Journal of Marketing Analytics</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11</w:t>
      </w:r>
      <w:r>
        <w:rPr>
          <w:rFonts w:ascii="Times New Roman" w:eastAsia="Times New Roman" w:hAnsi="Times New Roman" w:cs="Times New Roman"/>
          <w:sz w:val="24"/>
          <w:szCs w:val="24"/>
        </w:rPr>
        <w:t xml:space="preserve">(3), pp.385-408. Available at: </w:t>
      </w:r>
      <w:hyperlink r:id="rId18">
        <w:r w:rsidR="00B371E4">
          <w:rPr>
            <w:rFonts w:ascii="Times New Roman" w:eastAsia="Times New Roman" w:hAnsi="Times New Roman" w:cs="Times New Roman"/>
            <w:color w:val="0000FF"/>
            <w:sz w:val="24"/>
            <w:szCs w:val="24"/>
            <w:u w:val="single"/>
          </w:rPr>
          <w:t>https://link.springer.com/article/10.1057/s41270-022-00169-4</w:t>
        </w:r>
      </w:hyperlink>
    </w:p>
    <w:p w14:paraId="0ED89CE3"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Delhi.gov.in, (2026). </w:t>
      </w:r>
      <w:r>
        <w:rPr>
          <w:rFonts w:ascii="Times New Roman" w:eastAsia="Times New Roman" w:hAnsi="Times New Roman" w:cs="Times New Roman"/>
          <w:i/>
          <w:iCs/>
          <w:sz w:val="24"/>
          <w:szCs w:val="24"/>
        </w:rPr>
        <w:t>Evonomics survey of Delhi 2025-26.</w:t>
      </w:r>
      <w:r>
        <w:rPr>
          <w:rFonts w:ascii="Times New Roman" w:eastAsia="Times New Roman" w:hAnsi="Times New Roman" w:cs="Times New Roman"/>
          <w:sz w:val="24"/>
          <w:szCs w:val="24"/>
        </w:rPr>
        <w:t xml:space="preserve"> Available at: </w:t>
      </w:r>
      <w:hyperlink r:id="rId19">
        <w:r w:rsidR="00B371E4">
          <w:rPr>
            <w:rFonts w:ascii="Times New Roman" w:eastAsia="Times New Roman" w:hAnsi="Times New Roman" w:cs="Times New Roman"/>
            <w:color w:val="0000FF"/>
            <w:sz w:val="24"/>
            <w:szCs w:val="24"/>
            <w:u w:val="single"/>
          </w:rPr>
          <w:t>https://delhiplanning.delhi.gov.in/sites/default/files/2026-03/economic_survey_english_0.pdf</w:t>
        </w:r>
      </w:hyperlink>
      <w:r>
        <w:rPr>
          <w:rFonts w:ascii="Times New Roman" w:eastAsia="Times New Roman" w:hAnsi="Times New Roman" w:cs="Times New Roman"/>
          <w:sz w:val="24"/>
          <w:szCs w:val="24"/>
        </w:rPr>
        <w:t xml:space="preserve"> (Accessed: 20 July 2026)</w:t>
      </w:r>
    </w:p>
    <w:p w14:paraId="2707569B" w14:textId="77777777" w:rsidR="00B371E4"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Familynes</w:t>
      </w:r>
      <w:proofErr w:type="spellEnd"/>
      <w:r>
        <w:rPr>
          <w:rFonts w:ascii="Times New Roman" w:eastAsia="Times New Roman" w:hAnsi="Times New Roman" w:cs="Times New Roman"/>
          <w:sz w:val="24"/>
          <w:szCs w:val="24"/>
        </w:rPr>
        <w:t xml:space="preserve">, (2026). </w:t>
      </w:r>
      <w:r>
        <w:rPr>
          <w:rFonts w:ascii="Times New Roman" w:eastAsia="Times New Roman" w:hAnsi="Times New Roman" w:cs="Times New Roman"/>
          <w:i/>
          <w:iCs/>
          <w:sz w:val="24"/>
          <w:szCs w:val="24"/>
        </w:rPr>
        <w:t>Explore Nestlé CERELAC by age range</w:t>
      </w:r>
      <w:r>
        <w:rPr>
          <w:rFonts w:ascii="Times New Roman" w:eastAsia="Times New Roman" w:hAnsi="Times New Roman" w:cs="Times New Roman"/>
          <w:sz w:val="24"/>
          <w:szCs w:val="24"/>
        </w:rPr>
        <w:t xml:space="preserve">. Available at: </w:t>
      </w:r>
      <w:hyperlink r:id="rId20">
        <w:r w:rsidR="00B371E4">
          <w:rPr>
            <w:rFonts w:ascii="Times New Roman" w:eastAsia="Times New Roman" w:hAnsi="Times New Roman" w:cs="Times New Roman"/>
            <w:color w:val="0000FF"/>
            <w:sz w:val="24"/>
            <w:szCs w:val="24"/>
            <w:u w:val="single"/>
          </w:rPr>
          <w:t>https://www.familynes.in/brands/nestle-cerelac/cerelac-products</w:t>
        </w:r>
      </w:hyperlink>
      <w:r>
        <w:rPr>
          <w:rFonts w:ascii="Times New Roman" w:eastAsia="Times New Roman" w:hAnsi="Times New Roman" w:cs="Times New Roman"/>
          <w:sz w:val="24"/>
          <w:szCs w:val="24"/>
        </w:rPr>
        <w:t xml:space="preserve"> (Accessed: 17 July 2026)</w:t>
      </w:r>
    </w:p>
    <w:p w14:paraId="5F923D3E"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Harrison, K. and Owens, K. (2000) Choices &amp; change: microeconomics. Lesson 5, Elasticity. Part 1. Dallas, TX: Dallas County Community College District</w:t>
      </w:r>
    </w:p>
    <w:p w14:paraId="08445190"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Hooley, G. J., </w:t>
      </w:r>
      <w:proofErr w:type="spellStart"/>
      <w:r>
        <w:rPr>
          <w:rFonts w:ascii="Times New Roman" w:eastAsia="Times New Roman" w:hAnsi="Times New Roman" w:cs="Times New Roman"/>
          <w:sz w:val="24"/>
          <w:szCs w:val="24"/>
        </w:rPr>
        <w:t>Nicoulaud</w:t>
      </w:r>
      <w:proofErr w:type="spellEnd"/>
      <w:r>
        <w:rPr>
          <w:rFonts w:ascii="Times New Roman" w:eastAsia="Times New Roman" w:hAnsi="Times New Roman" w:cs="Times New Roman"/>
          <w:sz w:val="24"/>
          <w:szCs w:val="24"/>
        </w:rPr>
        <w:t xml:space="preserve">, B., Rudd, J. M., and Lee, N. (2020) Marketing strategy and competitive positioning. Seventh edition. Harlow, </w:t>
      </w:r>
      <w:proofErr w:type="gramStart"/>
      <w:r>
        <w:rPr>
          <w:rFonts w:ascii="Times New Roman" w:eastAsia="Times New Roman" w:hAnsi="Times New Roman" w:cs="Times New Roman"/>
          <w:sz w:val="24"/>
          <w:szCs w:val="24"/>
        </w:rPr>
        <w:t>England ;</w:t>
      </w:r>
      <w:proofErr w:type="gramEnd"/>
      <w:r>
        <w:rPr>
          <w:rFonts w:ascii="Times New Roman" w:eastAsia="Times New Roman" w:hAnsi="Times New Roman" w:cs="Times New Roman"/>
          <w:sz w:val="24"/>
          <w:szCs w:val="24"/>
        </w:rPr>
        <w:t xml:space="preserve"> Pearson. </w:t>
      </w:r>
    </w:p>
    <w:p w14:paraId="3FF9B337"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IMARC, (2026). </w:t>
      </w:r>
      <w:r>
        <w:rPr>
          <w:rFonts w:ascii="Times New Roman" w:eastAsia="Times New Roman" w:hAnsi="Times New Roman" w:cs="Times New Roman"/>
          <w:i/>
          <w:iCs/>
          <w:sz w:val="24"/>
          <w:szCs w:val="24"/>
        </w:rPr>
        <w:t>‘India Baby Care Products Market Size, Share, Trends and Forecast by Product Type, Category, Distribution Channel, and Region, 2026-2034’</w:t>
      </w:r>
      <w:r>
        <w:rPr>
          <w:rFonts w:ascii="Times New Roman" w:eastAsia="Times New Roman" w:hAnsi="Times New Roman" w:cs="Times New Roman"/>
          <w:sz w:val="24"/>
          <w:szCs w:val="24"/>
        </w:rPr>
        <w:t xml:space="preserve">. Available at: </w:t>
      </w:r>
      <w:hyperlink r:id="rId21">
        <w:r w:rsidR="00B371E4">
          <w:rPr>
            <w:rFonts w:ascii="Times New Roman" w:eastAsia="Times New Roman" w:hAnsi="Times New Roman" w:cs="Times New Roman"/>
            <w:color w:val="0000FF"/>
            <w:sz w:val="24"/>
            <w:szCs w:val="24"/>
            <w:u w:val="single"/>
          </w:rPr>
          <w:t>https://www.imarcgroup.com/india-baby-care-products-market</w:t>
        </w:r>
      </w:hyperlink>
      <w:r>
        <w:rPr>
          <w:rFonts w:ascii="Times New Roman" w:eastAsia="Times New Roman" w:hAnsi="Times New Roman" w:cs="Times New Roman"/>
          <w:sz w:val="24"/>
          <w:szCs w:val="24"/>
        </w:rPr>
        <w:t xml:space="preserve"> (Accessed: 15 July 2026)</w:t>
      </w:r>
    </w:p>
    <w:p w14:paraId="695D1DC5"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Kemp, S., (2025). </w:t>
      </w:r>
      <w:r>
        <w:rPr>
          <w:rFonts w:ascii="Times New Roman" w:eastAsia="Times New Roman" w:hAnsi="Times New Roman" w:cs="Times New Roman"/>
          <w:i/>
          <w:iCs/>
          <w:sz w:val="24"/>
          <w:szCs w:val="24"/>
        </w:rPr>
        <w:t>Digital 2026: India.</w:t>
      </w:r>
      <w:r>
        <w:rPr>
          <w:rFonts w:ascii="Times New Roman" w:eastAsia="Times New Roman" w:hAnsi="Times New Roman" w:cs="Times New Roman"/>
          <w:sz w:val="24"/>
          <w:szCs w:val="24"/>
        </w:rPr>
        <w:t xml:space="preserve"> Available at: </w:t>
      </w:r>
      <w:hyperlink r:id="rId22">
        <w:r w:rsidR="00B371E4">
          <w:rPr>
            <w:rFonts w:ascii="Times New Roman" w:eastAsia="Times New Roman" w:hAnsi="Times New Roman" w:cs="Times New Roman"/>
            <w:color w:val="0000FF"/>
            <w:sz w:val="24"/>
            <w:szCs w:val="24"/>
            <w:u w:val="single"/>
          </w:rPr>
          <w:t>https://datareportal.com/reports/digital-2026-india</w:t>
        </w:r>
      </w:hyperlink>
      <w:r>
        <w:rPr>
          <w:rFonts w:ascii="Times New Roman" w:eastAsia="Times New Roman" w:hAnsi="Times New Roman" w:cs="Times New Roman"/>
          <w:sz w:val="24"/>
          <w:szCs w:val="24"/>
        </w:rPr>
        <w:t xml:space="preserve"> (Accessed: 17 July 2026)</w:t>
      </w:r>
    </w:p>
    <w:p w14:paraId="344BF1C6"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Kotler, P., Armstrong, G., Harris, L. and Piercy, N. (2020) Principles of marketing. 8th European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Harlow: Pearson.</w:t>
      </w:r>
    </w:p>
    <w:p w14:paraId="6086FF49" w14:textId="77777777" w:rsidR="00B371E4"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Kotler, P., Keller, K. and Chernev, A. (2021) Marketing management. 16th ed.</w:t>
      </w:r>
    </w:p>
    <w:p w14:paraId="35FC82DD"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Kumar, V. and Kotler, P., (2024). ‘A market management approach to transformative business </w:t>
      </w:r>
      <w:proofErr w:type="gramStart"/>
      <w:r>
        <w:rPr>
          <w:rFonts w:ascii="Times New Roman" w:eastAsia="Times New Roman" w:hAnsi="Times New Roman" w:cs="Times New Roman"/>
          <w:sz w:val="24"/>
          <w:szCs w:val="24"/>
        </w:rPr>
        <w:t>operations’</w:t>
      </w:r>
      <w:proofErr w:type="gramEnd"/>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Marketing Strategy Journal</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1</w:t>
      </w:r>
      <w:r>
        <w:rPr>
          <w:rFonts w:ascii="Times New Roman" w:eastAsia="Times New Roman" w:hAnsi="Times New Roman" w:cs="Times New Roman"/>
          <w:sz w:val="24"/>
          <w:szCs w:val="24"/>
        </w:rPr>
        <w:t xml:space="preserve">, p.100005. Available at: </w:t>
      </w:r>
      <w:hyperlink r:id="rId23">
        <w:r w:rsidR="00B371E4">
          <w:rPr>
            <w:rFonts w:ascii="Times New Roman" w:eastAsia="Times New Roman" w:hAnsi="Times New Roman" w:cs="Times New Roman"/>
            <w:color w:val="0000FF"/>
            <w:sz w:val="24"/>
            <w:szCs w:val="24"/>
            <w:u w:val="single"/>
          </w:rPr>
          <w:t>https://www.sciencedirect.com/science/article/pii/S2950308625000055</w:t>
        </w:r>
      </w:hyperlink>
    </w:p>
    <w:p w14:paraId="33352EFA"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Liu, Y. and Sam, A.G., (2022). The organic premium of baby food based on market segments. </w:t>
      </w:r>
      <w:r>
        <w:rPr>
          <w:rFonts w:ascii="Times New Roman" w:eastAsia="Times New Roman" w:hAnsi="Times New Roman" w:cs="Times New Roman"/>
          <w:i/>
          <w:iCs/>
          <w:sz w:val="24"/>
          <w:szCs w:val="24"/>
        </w:rPr>
        <w:t>Agribusiness</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38</w:t>
      </w:r>
      <w:r>
        <w:rPr>
          <w:rFonts w:ascii="Times New Roman" w:eastAsia="Times New Roman" w:hAnsi="Times New Roman" w:cs="Times New Roman"/>
          <w:sz w:val="24"/>
          <w:szCs w:val="24"/>
        </w:rPr>
        <w:t xml:space="preserve">(3), pp.533-556. Available at: </w:t>
      </w:r>
      <w:hyperlink r:id="rId24">
        <w:r w:rsidR="00B371E4">
          <w:rPr>
            <w:rFonts w:ascii="Times New Roman" w:eastAsia="Times New Roman" w:hAnsi="Times New Roman" w:cs="Times New Roman"/>
            <w:color w:val="0000FF"/>
            <w:sz w:val="24"/>
            <w:szCs w:val="24"/>
            <w:u w:val="single"/>
          </w:rPr>
          <w:t>https://onlinelibrary.wiley.com/doi/pdfdirect/10.1002/agr.21745</w:t>
        </w:r>
      </w:hyperlink>
    </w:p>
    <w:p w14:paraId="1A580CBB"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Marcelo, J., Maliwat, M.C. and Salacata, I.D.S., (2024). ‘Kotler’s decision-making model as a predictor of the consumer buying behavior of young professionals in the Philippines’. </w:t>
      </w:r>
      <w:r>
        <w:rPr>
          <w:rFonts w:ascii="Times New Roman" w:eastAsia="Times New Roman" w:hAnsi="Times New Roman" w:cs="Times New Roman"/>
          <w:i/>
          <w:iCs/>
          <w:sz w:val="24"/>
          <w:szCs w:val="24"/>
        </w:rPr>
        <w:t>International journal of marketing and digital creative</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2</w:t>
      </w:r>
      <w:r>
        <w:rPr>
          <w:rFonts w:ascii="Times New Roman" w:eastAsia="Times New Roman" w:hAnsi="Times New Roman" w:cs="Times New Roman"/>
          <w:sz w:val="24"/>
          <w:szCs w:val="24"/>
        </w:rPr>
        <w:t xml:space="preserve">(1), pp.59-70. Available at: </w:t>
      </w:r>
      <w:hyperlink r:id="rId25">
        <w:r w:rsidR="00B371E4">
          <w:rPr>
            <w:rFonts w:ascii="Times New Roman" w:eastAsia="Times New Roman" w:hAnsi="Times New Roman" w:cs="Times New Roman"/>
            <w:color w:val="0000FF"/>
            <w:sz w:val="24"/>
            <w:szCs w:val="24"/>
            <w:u w:val="single"/>
          </w:rPr>
          <w:t>https://pdfs.semanticscholar.org/62b9/7cf6b0da37a4bc1ae322b226483e52747e74.pdf</w:t>
        </w:r>
      </w:hyperlink>
    </w:p>
    <w:p w14:paraId="3EED2897" w14:textId="77777777" w:rsidR="00B371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Tata Consumer, (2026). </w:t>
      </w:r>
      <w:r>
        <w:rPr>
          <w:rFonts w:ascii="Times New Roman" w:eastAsia="Times New Roman" w:hAnsi="Times New Roman" w:cs="Times New Roman"/>
          <w:i/>
          <w:iCs/>
          <w:sz w:val="24"/>
          <w:szCs w:val="24"/>
        </w:rPr>
        <w:t>‘INTEGRATED ANNUAL REPORT 2025-26’</w:t>
      </w:r>
      <w:r>
        <w:rPr>
          <w:rFonts w:ascii="Times New Roman" w:eastAsia="Times New Roman" w:hAnsi="Times New Roman" w:cs="Times New Roman"/>
          <w:sz w:val="24"/>
          <w:szCs w:val="24"/>
        </w:rPr>
        <w:t xml:space="preserve">. Available at: </w:t>
      </w:r>
      <w:hyperlink r:id="rId26">
        <w:r w:rsidR="00B371E4">
          <w:rPr>
            <w:rFonts w:ascii="Times New Roman" w:eastAsia="Times New Roman" w:hAnsi="Times New Roman" w:cs="Times New Roman"/>
            <w:color w:val="0000FF"/>
            <w:sz w:val="24"/>
            <w:szCs w:val="24"/>
            <w:u w:val="single"/>
          </w:rPr>
          <w:t>https://www.tataconsumer.com/sites/g/files/gfwrlq316/files/2026-06/INTEGRATED_ANNUAL_REPORT_F_Y_2025_26.pdf</w:t>
        </w:r>
      </w:hyperlink>
      <w:r>
        <w:rPr>
          <w:rFonts w:ascii="Times New Roman" w:eastAsia="Times New Roman" w:hAnsi="Times New Roman" w:cs="Times New Roman"/>
          <w:sz w:val="24"/>
          <w:szCs w:val="24"/>
        </w:rPr>
        <w:t xml:space="preserve"> (Accessed: 15 July 2026)</w:t>
      </w:r>
    </w:p>
    <w:p w14:paraId="2B3B0DB6" w14:textId="77777777" w:rsidR="00B371E4" w:rsidRDefault="00B371E4">
      <w:pPr>
        <w:spacing w:line="360" w:lineRule="auto"/>
        <w:jc w:val="both"/>
        <w:rPr>
          <w:rFonts w:ascii="Times New Roman" w:eastAsia="Times New Roman" w:hAnsi="Times New Roman" w:cs="Times New Roman"/>
        </w:rPr>
      </w:pPr>
    </w:p>
    <w:p w14:paraId="1389C554" w14:textId="77777777" w:rsidR="00B371E4" w:rsidRDefault="00B371E4">
      <w:pPr>
        <w:spacing w:line="360" w:lineRule="auto"/>
        <w:jc w:val="both"/>
        <w:rPr>
          <w:rFonts w:ascii="Times New Roman" w:eastAsia="Times New Roman" w:hAnsi="Times New Roman" w:cs="Times New Roman"/>
        </w:rPr>
      </w:pPr>
    </w:p>
    <w:p w14:paraId="2763E290" w14:textId="77777777" w:rsidR="00B371E4" w:rsidRDefault="00B371E4">
      <w:pPr>
        <w:spacing w:line="360" w:lineRule="auto"/>
        <w:jc w:val="both"/>
        <w:rPr>
          <w:rFonts w:ascii="Times New Roman" w:eastAsia="Times New Roman" w:hAnsi="Times New Roman" w:cs="Times New Roman"/>
          <w:sz w:val="24"/>
          <w:szCs w:val="24"/>
        </w:rPr>
      </w:pPr>
    </w:p>
    <w:sectPr w:rsidR="00B371E4">
      <w:footerReference w:type="default" r:id="rId2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827789" w14:textId="77777777" w:rsidR="008F6E24" w:rsidRDefault="008F6E24">
      <w:pPr>
        <w:spacing w:line="240" w:lineRule="auto"/>
      </w:pPr>
      <w:r>
        <w:separator/>
      </w:r>
    </w:p>
  </w:endnote>
  <w:endnote w:type="continuationSeparator" w:id="0">
    <w:p w14:paraId="3D82918F" w14:textId="77777777" w:rsidR="008F6E24" w:rsidRDefault="008F6E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1" w:fontKey="{3EFB0ACF-3A2E-4D84-8765-BBB66CE9B92C}"/>
  </w:font>
  <w:font w:name="Shruti">
    <w:panose1 w:val="02000500000000000000"/>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2" w:fontKey="{65FEFD88-2CD9-4E97-B105-4F7B0B9BBA3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1D8B23" w14:textId="77777777" w:rsidR="00B371E4" w:rsidRDefault="00000000">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2E0CBA">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14:paraId="266F8B0B" w14:textId="77777777" w:rsidR="00B371E4" w:rsidRDefault="00B371E4">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58A900" w14:textId="77777777" w:rsidR="008F6E24" w:rsidRDefault="008F6E24">
      <w:pPr>
        <w:spacing w:line="240" w:lineRule="auto"/>
      </w:pPr>
      <w:r>
        <w:separator/>
      </w:r>
    </w:p>
  </w:footnote>
  <w:footnote w:type="continuationSeparator" w:id="0">
    <w:p w14:paraId="34F98992" w14:textId="77777777" w:rsidR="008F6E24" w:rsidRDefault="008F6E2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71E4"/>
    <w:rsid w:val="001A4C2D"/>
    <w:rsid w:val="002E0CBA"/>
    <w:rsid w:val="003317DA"/>
    <w:rsid w:val="00571D66"/>
    <w:rsid w:val="00587C6F"/>
    <w:rsid w:val="008F6E24"/>
    <w:rsid w:val="00B371E4"/>
    <w:rsid w:val="00C53218"/>
    <w:rsid w:val="00DC4482"/>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CAD02"/>
  <w15:docId w15:val="{2A821C7C-11C4-4247-AF6B-27EEEDAB3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gu-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rFonts w:ascii="Times New Roman" w:eastAsia="Times New Roman" w:hAnsi="Times New Roman" w:cs="Times New Roman"/>
      <w:b/>
      <w:bCs/>
      <w:color w:val="000000"/>
      <w:sz w:val="24"/>
      <w:szCs w:val="24"/>
    </w:rPr>
  </w:style>
  <w:style w:type="paragraph" w:styleId="Heading2">
    <w:name w:val="heading 2"/>
    <w:basedOn w:val="Normal"/>
    <w:next w:val="Normal"/>
    <w:uiPriority w:val="9"/>
    <w:unhideWhenUsed/>
    <w:qFormat/>
    <w:pPr>
      <w:keepNext/>
      <w:keepLines/>
      <w:spacing w:before="360" w:after="120" w:line="360" w:lineRule="auto"/>
      <w:jc w:val="both"/>
      <w:outlineLvl w:val="1"/>
    </w:pPr>
    <w:rPr>
      <w:rFonts w:ascii="Times New Roman" w:eastAsia="Times New Roman" w:hAnsi="Times New Roman" w:cs="Times New Roman"/>
      <w:b/>
      <w:bCs/>
      <w:color w:val="000000"/>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image" Target="media/image8.png"/><Relationship Id="rId18" Type="http://schemas.openxmlformats.org/officeDocument/2006/relationships/hyperlink" Target="https://link.springer.com/article/10.1057/s41270-022-00169-4" TargetMode="External"/><Relationship Id="rId26" Type="http://schemas.openxmlformats.org/officeDocument/2006/relationships/hyperlink" Target="https://www.tataconsumer.com/sites/g/files/gfwrlq316/files/2026-06/INTEGRATED_ANNUAL_REPORT_F_Y_2025_26.pdf" TargetMode="External"/><Relationship Id="rId3" Type="http://schemas.openxmlformats.org/officeDocument/2006/relationships/webSettings" Target="webSettings.xml"/><Relationship Id="rId21" Type="http://schemas.openxmlformats.org/officeDocument/2006/relationships/hyperlink" Target="https://www.imarcgroup.com/india-baby-care-products-market"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bain.com/insights/how-india-shops-online-2025/" TargetMode="External"/><Relationship Id="rId25" Type="http://schemas.openxmlformats.org/officeDocument/2006/relationships/hyperlink" Target="https://pdfs.semanticscholar.org/62b9/7cf6b0da37a4bc1ae322b226483e52747e74.pdf?utm_source=chatgpt.com" TargetMode="External"/><Relationship Id="rId2" Type="http://schemas.openxmlformats.org/officeDocument/2006/relationships/settings" Target="settings.xml"/><Relationship Id="rId16" Type="http://schemas.openxmlformats.org/officeDocument/2006/relationships/hyperlink" Target="https://ejournal.uinmadura.ac.id/index.php/tadris/article/download/8422/3517" TargetMode="External"/><Relationship Id="rId20" Type="http://schemas.openxmlformats.org/officeDocument/2006/relationships/hyperlink" Target="https://www.familynes.in/brands/nestle-cerelac/cerelac-products"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onlinelibrary.wiley.com/doi/pdfdirect/10.1002/agr.21745" TargetMode="External"/><Relationship Id="rId5" Type="http://schemas.openxmlformats.org/officeDocument/2006/relationships/endnotes" Target="endnotes.xml"/><Relationship Id="rId15" Type="http://schemas.openxmlformats.org/officeDocument/2006/relationships/hyperlink" Target="https://www.amazon.in/Slurrp-Farm-Organic-Strawberry-Wholesome/dp/B07VPZGRL7" TargetMode="External"/><Relationship Id="rId23" Type="http://schemas.openxmlformats.org/officeDocument/2006/relationships/hyperlink" Target="https://www.sciencedirect.com/science/article/pii/S2950308625000055" TargetMode="External"/><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delhiplanning.delhi.gov.in/sites/default/files/2026-03/economic_survey_english_0.pdf"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datareportal.com/reports/digital-2026-india" TargetMode="External"/><Relationship Id="rId27"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17</Pages>
  <Words>3224</Words>
  <Characters>18382</Characters>
  <Application>Microsoft Office Word</Application>
  <DocSecurity>0</DocSecurity>
  <Lines>153</Lines>
  <Paragraphs>43</Paragraphs>
  <ScaleCrop>false</ScaleCrop>
  <Company/>
  <LinksUpToDate>false</LinksUpToDate>
  <CharactersWithSpaces>21563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Shethbansari14@outlook.com</cp:lastModifiedBy>
  <cp:revision>5</cp:revision>
  <dcterms:created xsi:type="dcterms:W3CDTF">2026-08-09T09:04:00Z</dcterms:created>
  <dcterms:modified xsi:type="dcterms:W3CDTF">2026-08-12T00:36:00Z</dcterms:modified>
</cp:coreProperties>
</file>