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DB4AF" w14:textId="7C5C3F75" w:rsidR="00357DEB" w:rsidRDefault="00291291">
      <w:r>
        <w:rPr>
          <w:noProof/>
        </w:rPr>
        <w:drawing>
          <wp:inline distT="0" distB="0" distL="0" distR="0" wp14:anchorId="79FB669C" wp14:editId="7D7297E9">
            <wp:extent cx="2056130" cy="1142365"/>
            <wp:effectExtent l="0" t="0" r="1270" b="635"/>
            <wp:docPr id="162" name="Picture 1"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162" name="Picture 1" descr="A logo for a university&#10;&#10;AI-generated content may be incorrect."/>
                    <pic:cNvPicPr/>
                  </pic:nvPicPr>
                  <pic:blipFill>
                    <a:blip r:embed="rId10"/>
                    <a:stretch>
                      <a:fillRect/>
                    </a:stretch>
                  </pic:blipFill>
                  <pic:spPr>
                    <a:xfrm>
                      <a:off x="0" y="0"/>
                      <a:ext cx="2056130" cy="1142365"/>
                    </a:xfrm>
                    <a:prstGeom prst="rect">
                      <a:avLst/>
                    </a:prstGeom>
                  </pic:spPr>
                </pic:pic>
              </a:graphicData>
            </a:graphic>
          </wp:inline>
        </w:drawing>
      </w:r>
    </w:p>
    <w:tbl>
      <w:tblPr>
        <w:tblW w:w="9019" w:type="dxa"/>
        <w:tblInd w:w="5" w:type="dxa"/>
        <w:tblCellMar>
          <w:top w:w="154" w:type="dxa"/>
          <w:left w:w="105" w:type="dxa"/>
          <w:right w:w="73" w:type="dxa"/>
        </w:tblCellMar>
        <w:tblLook w:val="04A0" w:firstRow="1" w:lastRow="0" w:firstColumn="1" w:lastColumn="0" w:noHBand="0" w:noVBand="1"/>
      </w:tblPr>
      <w:tblGrid>
        <w:gridCol w:w="1966"/>
        <w:gridCol w:w="2532"/>
        <w:gridCol w:w="2158"/>
        <w:gridCol w:w="2363"/>
      </w:tblGrid>
      <w:tr w:rsidR="00DF72A4" w:rsidRPr="00DF72A4" w14:paraId="4A82466A" w14:textId="77777777" w:rsidTr="00DF72A4">
        <w:trPr>
          <w:trHeight w:val="598"/>
        </w:trPr>
        <w:tc>
          <w:tcPr>
            <w:tcW w:w="1966" w:type="dxa"/>
            <w:tcBorders>
              <w:top w:val="single" w:sz="4" w:space="0" w:color="000000"/>
              <w:left w:val="single" w:sz="4" w:space="0" w:color="000000"/>
              <w:bottom w:val="single" w:sz="4" w:space="0" w:color="000000"/>
              <w:right w:val="single" w:sz="4" w:space="0" w:color="000000"/>
            </w:tcBorders>
            <w:vAlign w:val="center"/>
            <w:hideMark/>
          </w:tcPr>
          <w:p w14:paraId="71C2584C" w14:textId="77777777" w:rsidR="00DF72A4" w:rsidRPr="00DF72A4" w:rsidRDefault="00DF72A4" w:rsidP="00DF72A4">
            <w:r w:rsidRPr="00DF72A4">
              <w:rPr>
                <w:b/>
                <w:color w:val="000000" w:themeColor="text1"/>
              </w:rPr>
              <w:t xml:space="preserve">Student name </w:t>
            </w:r>
          </w:p>
        </w:tc>
        <w:tc>
          <w:tcPr>
            <w:tcW w:w="2532" w:type="dxa"/>
            <w:tcBorders>
              <w:top w:val="single" w:sz="4" w:space="0" w:color="000000"/>
              <w:left w:val="single" w:sz="4" w:space="0" w:color="000000"/>
              <w:bottom w:val="single" w:sz="4" w:space="0" w:color="000000"/>
              <w:right w:val="single" w:sz="4" w:space="0" w:color="000000"/>
            </w:tcBorders>
            <w:vAlign w:val="center"/>
            <w:hideMark/>
          </w:tcPr>
          <w:p w14:paraId="47C25811" w14:textId="6F74B023" w:rsidR="00DF72A4" w:rsidRPr="00DF72A4" w:rsidRDefault="00DF72A4" w:rsidP="00DF72A4">
            <w:r>
              <w:rPr>
                <w:b/>
              </w:rPr>
              <w:t>Riddhi</w:t>
            </w:r>
            <w:r w:rsidRPr="00DF72A4">
              <w:rPr>
                <w:b/>
              </w:rPr>
              <w:t xml:space="preserve"> Patel </w:t>
            </w:r>
          </w:p>
        </w:tc>
        <w:tc>
          <w:tcPr>
            <w:tcW w:w="21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B952C8" w14:textId="77777777" w:rsidR="00DF72A4" w:rsidRPr="00DF72A4" w:rsidRDefault="00DF72A4" w:rsidP="00DF72A4">
            <w:r w:rsidRPr="00DF72A4">
              <w:rPr>
                <w:b/>
              </w:rPr>
              <w:t xml:space="preserve">Student ID No. </w:t>
            </w:r>
          </w:p>
        </w:tc>
        <w:tc>
          <w:tcPr>
            <w:tcW w:w="2363" w:type="dxa"/>
            <w:tcBorders>
              <w:top w:val="single" w:sz="4" w:space="0" w:color="000000"/>
              <w:left w:val="single" w:sz="4" w:space="0" w:color="000000"/>
              <w:bottom w:val="single" w:sz="4" w:space="0" w:color="000000"/>
              <w:right w:val="single" w:sz="4" w:space="0" w:color="000000"/>
            </w:tcBorders>
            <w:vAlign w:val="center"/>
            <w:hideMark/>
          </w:tcPr>
          <w:p w14:paraId="31A96486" w14:textId="6A39B9A0" w:rsidR="00DF72A4" w:rsidRPr="00DF72A4" w:rsidRDefault="00DF72A4" w:rsidP="00DF72A4">
            <w:r w:rsidRPr="00DF72A4">
              <w:rPr>
                <w:b/>
              </w:rPr>
              <w:t>2</w:t>
            </w:r>
            <w:r>
              <w:rPr>
                <w:b/>
              </w:rPr>
              <w:t>506528</w:t>
            </w:r>
          </w:p>
        </w:tc>
      </w:tr>
      <w:tr w:rsidR="00DF72A4" w:rsidRPr="00DF72A4" w14:paraId="49CFBABE" w14:textId="77777777">
        <w:trPr>
          <w:trHeight w:val="587"/>
        </w:trPr>
        <w:tc>
          <w:tcPr>
            <w:tcW w:w="1966" w:type="dxa"/>
            <w:tcBorders>
              <w:top w:val="single" w:sz="4" w:space="0" w:color="000000"/>
              <w:left w:val="single" w:sz="4" w:space="0" w:color="000000"/>
              <w:bottom w:val="single" w:sz="4" w:space="0" w:color="000000"/>
              <w:right w:val="single" w:sz="4" w:space="0" w:color="000000"/>
            </w:tcBorders>
            <w:vAlign w:val="center"/>
            <w:hideMark/>
          </w:tcPr>
          <w:p w14:paraId="02D43344" w14:textId="77777777" w:rsidR="00DF72A4" w:rsidRPr="00DF72A4" w:rsidRDefault="00DF72A4" w:rsidP="00DF72A4">
            <w:r w:rsidRPr="00DF72A4">
              <w:rPr>
                <w:b/>
              </w:rPr>
              <w:t xml:space="preserve">Programme </w:t>
            </w:r>
          </w:p>
        </w:tc>
        <w:tc>
          <w:tcPr>
            <w:tcW w:w="7053" w:type="dxa"/>
            <w:gridSpan w:val="3"/>
            <w:tcBorders>
              <w:top w:val="single" w:sz="4" w:space="0" w:color="000000"/>
              <w:left w:val="single" w:sz="4" w:space="0" w:color="000000"/>
              <w:bottom w:val="single" w:sz="4" w:space="0" w:color="000000"/>
              <w:right w:val="single" w:sz="4" w:space="0" w:color="000000"/>
            </w:tcBorders>
            <w:vAlign w:val="center"/>
            <w:hideMark/>
          </w:tcPr>
          <w:p w14:paraId="21BF7A9E" w14:textId="77777777" w:rsidR="00DF72A4" w:rsidRPr="00DF72A4" w:rsidRDefault="00DF72A4" w:rsidP="00DF72A4">
            <w:r w:rsidRPr="00DF72A4">
              <w:rPr>
                <w:b/>
              </w:rPr>
              <w:t xml:space="preserve">MSc Public Health and Social Care in Practice </w:t>
            </w:r>
            <w:r w:rsidRPr="00DF72A4">
              <w:t xml:space="preserve"> </w:t>
            </w:r>
          </w:p>
        </w:tc>
      </w:tr>
      <w:tr w:rsidR="00DF72A4" w:rsidRPr="00DF72A4" w14:paraId="12589BB4" w14:textId="77777777">
        <w:trPr>
          <w:trHeight w:val="590"/>
        </w:trPr>
        <w:tc>
          <w:tcPr>
            <w:tcW w:w="1966" w:type="dxa"/>
            <w:tcBorders>
              <w:top w:val="single" w:sz="4" w:space="0" w:color="000000"/>
              <w:left w:val="single" w:sz="4" w:space="0" w:color="000000"/>
              <w:bottom w:val="single" w:sz="4" w:space="0" w:color="000000"/>
              <w:right w:val="single" w:sz="4" w:space="0" w:color="000000"/>
            </w:tcBorders>
            <w:vAlign w:val="center"/>
            <w:hideMark/>
          </w:tcPr>
          <w:p w14:paraId="413BF679" w14:textId="77777777" w:rsidR="00DF72A4" w:rsidRPr="00DF72A4" w:rsidRDefault="00DF72A4" w:rsidP="00DF72A4">
            <w:r w:rsidRPr="00DF72A4">
              <w:rPr>
                <w:b/>
              </w:rPr>
              <w:t xml:space="preserve">Module </w:t>
            </w:r>
          </w:p>
        </w:tc>
        <w:tc>
          <w:tcPr>
            <w:tcW w:w="7053" w:type="dxa"/>
            <w:gridSpan w:val="3"/>
            <w:tcBorders>
              <w:top w:val="single" w:sz="4" w:space="0" w:color="000000"/>
              <w:left w:val="single" w:sz="4" w:space="0" w:color="000000"/>
              <w:bottom w:val="single" w:sz="4" w:space="0" w:color="000000"/>
              <w:right w:val="single" w:sz="4" w:space="0" w:color="000000"/>
            </w:tcBorders>
            <w:vAlign w:val="center"/>
            <w:hideMark/>
          </w:tcPr>
          <w:p w14:paraId="346B4591" w14:textId="77777777" w:rsidR="00DF72A4" w:rsidRPr="00DF72A4" w:rsidRDefault="00DF72A4" w:rsidP="00DF72A4">
            <w:r w:rsidRPr="00DF72A4">
              <w:rPr>
                <w:b/>
              </w:rPr>
              <w:t xml:space="preserve">Social Epidemiology and Public Health Development </w:t>
            </w:r>
          </w:p>
        </w:tc>
      </w:tr>
      <w:tr w:rsidR="00DF72A4" w:rsidRPr="00DF72A4" w14:paraId="5EF68CC4" w14:textId="77777777">
        <w:trPr>
          <w:trHeight w:val="586"/>
        </w:trPr>
        <w:tc>
          <w:tcPr>
            <w:tcW w:w="1966" w:type="dxa"/>
            <w:tcBorders>
              <w:top w:val="single" w:sz="4" w:space="0" w:color="000000"/>
              <w:left w:val="single" w:sz="4" w:space="0" w:color="000000"/>
              <w:bottom w:val="single" w:sz="4" w:space="0" w:color="000000"/>
              <w:right w:val="single" w:sz="4" w:space="0" w:color="000000"/>
            </w:tcBorders>
            <w:vAlign w:val="center"/>
            <w:hideMark/>
          </w:tcPr>
          <w:p w14:paraId="6C59FB90" w14:textId="77777777" w:rsidR="00DF72A4" w:rsidRPr="00DF72A4" w:rsidRDefault="00DF72A4" w:rsidP="00DF72A4">
            <w:r w:rsidRPr="00DF72A4">
              <w:rPr>
                <w:b/>
              </w:rPr>
              <w:t xml:space="preserve">Module code </w:t>
            </w:r>
          </w:p>
        </w:tc>
        <w:tc>
          <w:tcPr>
            <w:tcW w:w="7053" w:type="dxa"/>
            <w:gridSpan w:val="3"/>
            <w:tcBorders>
              <w:top w:val="single" w:sz="4" w:space="0" w:color="000000"/>
              <w:left w:val="single" w:sz="4" w:space="0" w:color="000000"/>
              <w:bottom w:val="single" w:sz="4" w:space="0" w:color="000000"/>
              <w:right w:val="single" w:sz="4" w:space="0" w:color="000000"/>
            </w:tcBorders>
            <w:vAlign w:val="center"/>
            <w:hideMark/>
          </w:tcPr>
          <w:p w14:paraId="5314C5D6" w14:textId="77777777" w:rsidR="00DF72A4" w:rsidRPr="00DF72A4" w:rsidRDefault="00DF72A4" w:rsidP="00DF72A4">
            <w:r w:rsidRPr="00DF72A4">
              <w:rPr>
                <w:b/>
              </w:rPr>
              <w:t xml:space="preserve">LCHS7000 </w:t>
            </w:r>
          </w:p>
        </w:tc>
      </w:tr>
      <w:tr w:rsidR="00DF72A4" w:rsidRPr="00DF72A4" w14:paraId="63992ABC" w14:textId="77777777">
        <w:trPr>
          <w:gridAfter w:val="2"/>
          <w:wAfter w:w="4521" w:type="dxa"/>
          <w:trHeight w:val="598"/>
        </w:trPr>
        <w:tc>
          <w:tcPr>
            <w:tcW w:w="1966" w:type="dxa"/>
            <w:tcBorders>
              <w:top w:val="single" w:sz="4" w:space="0" w:color="000000"/>
              <w:left w:val="single" w:sz="4" w:space="0" w:color="000000"/>
              <w:bottom w:val="single" w:sz="4" w:space="0" w:color="000000"/>
              <w:right w:val="single" w:sz="4" w:space="0" w:color="000000"/>
            </w:tcBorders>
            <w:vAlign w:val="center"/>
            <w:hideMark/>
          </w:tcPr>
          <w:p w14:paraId="338315DE" w14:textId="77777777" w:rsidR="00DF72A4" w:rsidRPr="00DF72A4" w:rsidRDefault="00DF72A4" w:rsidP="00DF72A4">
            <w:r w:rsidRPr="00DF72A4">
              <w:rPr>
                <w:b/>
              </w:rPr>
              <w:t xml:space="preserve">Lecturer </w:t>
            </w:r>
          </w:p>
        </w:tc>
        <w:tc>
          <w:tcPr>
            <w:tcW w:w="2532" w:type="dxa"/>
            <w:tcBorders>
              <w:top w:val="single" w:sz="4" w:space="0" w:color="000000"/>
              <w:left w:val="single" w:sz="4" w:space="0" w:color="000000"/>
              <w:bottom w:val="single" w:sz="4" w:space="0" w:color="000000"/>
              <w:right w:val="single" w:sz="4" w:space="0" w:color="000000"/>
            </w:tcBorders>
            <w:vAlign w:val="center"/>
            <w:hideMark/>
          </w:tcPr>
          <w:p w14:paraId="46EAB73F" w14:textId="6A07BB06" w:rsidR="00DF72A4" w:rsidRPr="00DF72A4" w:rsidRDefault="00DF72A4" w:rsidP="00DF72A4">
            <w:r w:rsidRPr="00DF72A4">
              <w:rPr>
                <w:b/>
              </w:rPr>
              <w:t xml:space="preserve">Dr </w:t>
            </w:r>
            <w:r>
              <w:rPr>
                <w:b/>
              </w:rPr>
              <w:t>Hamdi Hussain</w:t>
            </w:r>
          </w:p>
        </w:tc>
      </w:tr>
      <w:tr w:rsidR="00DF72A4" w:rsidRPr="00DF72A4" w14:paraId="751D306A" w14:textId="77777777">
        <w:trPr>
          <w:gridAfter w:val="2"/>
          <w:wAfter w:w="4521" w:type="dxa"/>
          <w:trHeight w:val="1061"/>
        </w:trPr>
        <w:tc>
          <w:tcPr>
            <w:tcW w:w="1966" w:type="dxa"/>
            <w:tcBorders>
              <w:top w:val="single" w:sz="4" w:space="0" w:color="000000"/>
              <w:left w:val="single" w:sz="4" w:space="0" w:color="000000"/>
              <w:bottom w:val="single" w:sz="4" w:space="0" w:color="000000"/>
              <w:right w:val="single" w:sz="4" w:space="0" w:color="000000"/>
            </w:tcBorders>
            <w:vAlign w:val="center"/>
            <w:hideMark/>
          </w:tcPr>
          <w:p w14:paraId="0609642A" w14:textId="77777777" w:rsidR="00DF72A4" w:rsidRPr="00DF72A4" w:rsidRDefault="00DF72A4" w:rsidP="00DF72A4">
            <w:r w:rsidRPr="00DF72A4">
              <w:rPr>
                <w:b/>
              </w:rPr>
              <w:t xml:space="preserve">Assignment </w:t>
            </w:r>
          </w:p>
          <w:p w14:paraId="31544805" w14:textId="77777777" w:rsidR="00DF72A4" w:rsidRPr="00DF72A4" w:rsidRDefault="00DF72A4" w:rsidP="00DF72A4">
            <w:r w:rsidRPr="00DF72A4">
              <w:rPr>
                <w:b/>
              </w:rPr>
              <w:t xml:space="preserve">Title </w:t>
            </w:r>
          </w:p>
        </w:tc>
        <w:tc>
          <w:tcPr>
            <w:tcW w:w="2532" w:type="dxa"/>
            <w:tcBorders>
              <w:top w:val="single" w:sz="4" w:space="0" w:color="000000"/>
              <w:left w:val="single" w:sz="4" w:space="0" w:color="000000"/>
              <w:bottom w:val="single" w:sz="4" w:space="0" w:color="000000"/>
              <w:right w:val="single" w:sz="4" w:space="0" w:color="000000"/>
            </w:tcBorders>
            <w:vAlign w:val="center"/>
            <w:hideMark/>
          </w:tcPr>
          <w:p w14:paraId="095BBA77" w14:textId="77777777" w:rsidR="00DF72A4" w:rsidRPr="00DF72A4" w:rsidRDefault="00DF72A4" w:rsidP="00DF72A4">
            <w:r w:rsidRPr="00DF72A4">
              <w:rPr>
                <w:b/>
              </w:rPr>
              <w:t xml:space="preserve">Component 2 </w:t>
            </w:r>
          </w:p>
          <w:p w14:paraId="1F0D281F" w14:textId="77777777" w:rsidR="00DF72A4" w:rsidRPr="00DF72A4" w:rsidRDefault="00DF72A4" w:rsidP="00DF72A4">
            <w:r w:rsidRPr="00DF72A4">
              <w:rPr>
                <w:b/>
              </w:rPr>
              <w:t>Analytical Report</w:t>
            </w:r>
            <w:r w:rsidRPr="00DF72A4">
              <w:t xml:space="preserve"> </w:t>
            </w:r>
          </w:p>
        </w:tc>
      </w:tr>
    </w:tbl>
    <w:p w14:paraId="38671CCC" w14:textId="77777777" w:rsidR="00DF72A4" w:rsidRDefault="00DF72A4"/>
    <w:p w14:paraId="4F1DE35D" w14:textId="77777777" w:rsidR="007A4D42" w:rsidRDefault="007A4D42"/>
    <w:p w14:paraId="7D6761E4" w14:textId="77777777" w:rsidR="007A4D42" w:rsidRDefault="007A4D42"/>
    <w:p w14:paraId="24690080" w14:textId="77777777" w:rsidR="007A4D42" w:rsidRDefault="007A4D42"/>
    <w:p w14:paraId="4D0877B6" w14:textId="77777777" w:rsidR="007A4D42" w:rsidRDefault="007A4D42"/>
    <w:p w14:paraId="709D4928" w14:textId="77777777" w:rsidR="007A4D42" w:rsidRDefault="007A4D42"/>
    <w:p w14:paraId="444353C0" w14:textId="77777777" w:rsidR="007A4D42" w:rsidRDefault="007A4D42"/>
    <w:p w14:paraId="618C3A30" w14:textId="77777777" w:rsidR="007A4D42" w:rsidRDefault="007A4D42"/>
    <w:p w14:paraId="53176E7C" w14:textId="77777777" w:rsidR="007A4D42" w:rsidRDefault="007A4D42"/>
    <w:p w14:paraId="3C4F8137" w14:textId="77777777" w:rsidR="007A4D42" w:rsidRDefault="007A4D42"/>
    <w:p w14:paraId="5C792A06" w14:textId="77777777" w:rsidR="007A4D42" w:rsidRDefault="007A4D42"/>
    <w:p w14:paraId="606817B3" w14:textId="77777777" w:rsidR="007A4D42" w:rsidRDefault="007A4D42"/>
    <w:p w14:paraId="13021CB9" w14:textId="77777777" w:rsidR="007A4D42" w:rsidRDefault="007A4D42"/>
    <w:p w14:paraId="4807917A" w14:textId="77777777" w:rsidR="00C51264" w:rsidRDefault="00C51264" w:rsidP="00C51264">
      <w:pPr>
        <w:ind w:left="2160"/>
      </w:pPr>
    </w:p>
    <w:p w14:paraId="281350E3" w14:textId="54F4A26A" w:rsidR="00C51264" w:rsidRPr="00C51264" w:rsidRDefault="00C51264" w:rsidP="00C51264">
      <w:pPr>
        <w:ind w:left="2160"/>
        <w:rPr>
          <w:rFonts w:cs="Arial"/>
          <w:b/>
          <w:bCs/>
          <w:sz w:val="36"/>
          <w:szCs w:val="36"/>
        </w:rPr>
      </w:pPr>
      <w:r w:rsidRPr="00C51264">
        <w:rPr>
          <w:rFonts w:cs="Arial"/>
          <w:b/>
          <w:bCs/>
          <w:sz w:val="36"/>
          <w:szCs w:val="36"/>
        </w:rPr>
        <w:lastRenderedPageBreak/>
        <w:t>Table of Contents</w:t>
      </w:r>
    </w:p>
    <w:p w14:paraId="69775207" w14:textId="77777777" w:rsidR="00C51264" w:rsidRDefault="00C51264" w:rsidP="003D3E27">
      <w:pPr>
        <w:rPr>
          <w:rFonts w:cs="Arial"/>
        </w:rPr>
      </w:pPr>
    </w:p>
    <w:p w14:paraId="543F4115" w14:textId="6564DCCB" w:rsidR="003D3E27" w:rsidRPr="00EA5F2A" w:rsidRDefault="003D3E27" w:rsidP="003D3E27">
      <w:pPr>
        <w:rPr>
          <w:rFonts w:cs="Arial"/>
          <w:color w:val="000000" w:themeColor="text1"/>
        </w:rPr>
      </w:pPr>
      <w:hyperlink r:id="rId11" w:anchor="_Toc15004" w:history="1">
        <w:r w:rsidRPr="00EA5F2A">
          <w:rPr>
            <w:rStyle w:val="Hyperlink"/>
            <w:rFonts w:cs="Arial"/>
            <w:color w:val="000000" w:themeColor="text1"/>
          </w:rPr>
          <w:t>Part 1: Social Epidemiological Analysis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_Toc15004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3 </w:t>
        </w:r>
        <w:r w:rsidRPr="00EA5F2A">
          <w:rPr>
            <w:rStyle w:val="Hyperlink"/>
            <w:rFonts w:cs="Arial"/>
            <w:color w:val="000000" w:themeColor="text1"/>
          </w:rPr>
          <w:fldChar w:fldCharType="end"/>
        </w:r>
      </w:hyperlink>
    </w:p>
    <w:p w14:paraId="19B0ACF4" w14:textId="0C20FCB7" w:rsidR="003D3E27" w:rsidRPr="00EA5F2A" w:rsidRDefault="003D3E27" w:rsidP="003D3E27">
      <w:pPr>
        <w:rPr>
          <w:rFonts w:cs="Arial"/>
          <w:color w:val="000000" w:themeColor="text1"/>
        </w:rPr>
      </w:pPr>
      <w:hyperlink r:id="rId12" w:anchor="_Toc15005" w:history="1">
        <w:r w:rsidRPr="00EA5F2A">
          <w:rPr>
            <w:rStyle w:val="Hyperlink"/>
            <w:rFonts w:cs="Arial"/>
            <w:color w:val="000000" w:themeColor="text1"/>
          </w:rPr>
          <w:t>1. Introduction</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_Toc15005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3 </w:t>
        </w:r>
        <w:r w:rsidRPr="00EA5F2A">
          <w:rPr>
            <w:rStyle w:val="Hyperlink"/>
            <w:rFonts w:cs="Arial"/>
            <w:color w:val="000000" w:themeColor="text1"/>
          </w:rPr>
          <w:fldChar w:fldCharType="end"/>
        </w:r>
      </w:hyperlink>
    </w:p>
    <w:p w14:paraId="29E7DCD1" w14:textId="2A0D0C0A" w:rsidR="003D3E27" w:rsidRPr="00EA5F2A" w:rsidRDefault="003D3E27" w:rsidP="003D3E27">
      <w:pPr>
        <w:rPr>
          <w:rFonts w:cs="Arial"/>
          <w:color w:val="000000" w:themeColor="text1"/>
        </w:rPr>
      </w:pPr>
      <w:hyperlink r:id="rId13" w:anchor="_Toc15006" w:history="1">
        <w:r w:rsidRPr="00EA5F2A">
          <w:rPr>
            <w:rStyle w:val="Hyperlink"/>
            <w:rFonts w:cs="Arial"/>
            <w:color w:val="000000" w:themeColor="text1"/>
          </w:rPr>
          <w:t>2. Key Inequality Avenues for Women in the UK</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_Toc15006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3 </w:t>
        </w:r>
        <w:r w:rsidRPr="00EA5F2A">
          <w:rPr>
            <w:rStyle w:val="Hyperlink"/>
            <w:rFonts w:cs="Arial"/>
            <w:color w:val="000000" w:themeColor="text1"/>
          </w:rPr>
          <w:fldChar w:fldCharType="end"/>
        </w:r>
      </w:hyperlink>
    </w:p>
    <w:p w14:paraId="3F0EFF0A" w14:textId="22E98AE5" w:rsidR="003D3E27" w:rsidRPr="00EA5F2A" w:rsidRDefault="003D3E27" w:rsidP="003D3E27">
      <w:pPr>
        <w:rPr>
          <w:rFonts w:cs="Arial"/>
          <w:color w:val="000000" w:themeColor="text1"/>
        </w:rPr>
      </w:pPr>
      <w:hyperlink r:id="rId14" w:anchor="_Toc15007" w:history="1">
        <w:r w:rsidRPr="00EA5F2A">
          <w:rPr>
            <w:rStyle w:val="Hyperlink"/>
            <w:rFonts w:cs="Arial"/>
            <w:color w:val="000000" w:themeColor="text1"/>
          </w:rPr>
          <w:t>2.1 Inequality in Heart Attacks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_Toc15007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3 </w:t>
        </w:r>
        <w:r w:rsidRPr="00EA5F2A">
          <w:rPr>
            <w:rStyle w:val="Hyperlink"/>
            <w:rFonts w:cs="Arial"/>
            <w:color w:val="000000" w:themeColor="text1"/>
          </w:rPr>
          <w:fldChar w:fldCharType="end"/>
        </w:r>
      </w:hyperlink>
    </w:p>
    <w:p w14:paraId="3D5AF68E" w14:textId="0458DF0F" w:rsidR="003D3E27" w:rsidRPr="00EA5F2A" w:rsidRDefault="003D3E27" w:rsidP="003D3E27">
      <w:pPr>
        <w:rPr>
          <w:rFonts w:cs="Arial"/>
          <w:color w:val="000000" w:themeColor="text1"/>
        </w:rPr>
      </w:pPr>
      <w:hyperlink r:id="rId15" w:anchor="_Toc15008" w:history="1">
        <w:r w:rsidRPr="00EA5F2A">
          <w:rPr>
            <w:rStyle w:val="Hyperlink"/>
            <w:rFonts w:cs="Arial"/>
            <w:color w:val="000000" w:themeColor="text1"/>
          </w:rPr>
          <w:t>2.2 The Gap in Autism Detection</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_Toc15008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3 </w:t>
        </w:r>
        <w:r w:rsidRPr="00EA5F2A">
          <w:rPr>
            <w:rStyle w:val="Hyperlink"/>
            <w:rFonts w:cs="Arial"/>
            <w:color w:val="000000" w:themeColor="text1"/>
          </w:rPr>
          <w:fldChar w:fldCharType="end"/>
        </w:r>
      </w:hyperlink>
    </w:p>
    <w:p w14:paraId="65B169D8" w14:textId="45551BEA" w:rsidR="003D3E27" w:rsidRPr="00EA5F2A" w:rsidRDefault="003D3E27" w:rsidP="003D3E27">
      <w:pPr>
        <w:rPr>
          <w:rFonts w:cs="Arial"/>
          <w:color w:val="000000" w:themeColor="text1"/>
        </w:rPr>
      </w:pPr>
      <w:hyperlink r:id="rId16" w:anchor="_Toc15009" w:history="1">
        <w:r w:rsidRPr="00EA5F2A">
          <w:rPr>
            <w:rStyle w:val="Hyperlink"/>
            <w:rFonts w:cs="Arial"/>
            <w:color w:val="000000" w:themeColor="text1"/>
          </w:rPr>
          <w:t>2.3 Autoimmune Conditions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_Toc15009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4 </w:t>
        </w:r>
        <w:r w:rsidRPr="00EA5F2A">
          <w:rPr>
            <w:rStyle w:val="Hyperlink"/>
            <w:rFonts w:cs="Arial"/>
            <w:color w:val="000000" w:themeColor="text1"/>
          </w:rPr>
          <w:fldChar w:fldCharType="end"/>
        </w:r>
      </w:hyperlink>
    </w:p>
    <w:p w14:paraId="62366F83" w14:textId="3DDB076D" w:rsidR="003D3E27" w:rsidRPr="00EA5F2A" w:rsidRDefault="003D3E27" w:rsidP="003D3E27">
      <w:pPr>
        <w:rPr>
          <w:rFonts w:cs="Arial"/>
          <w:color w:val="000000" w:themeColor="text1"/>
        </w:rPr>
      </w:pPr>
      <w:hyperlink r:id="rId17" w:anchor="_Toc15010" w:history="1">
        <w:r w:rsidRPr="00EA5F2A">
          <w:rPr>
            <w:rStyle w:val="Hyperlink"/>
            <w:rFonts w:cs="Arial"/>
            <w:color w:val="000000" w:themeColor="text1"/>
          </w:rPr>
          <w:t>2.4 Poverty and Income Inequality</w:t>
        </w:r>
        <w:r w:rsidR="00FC52B8" w:rsidRPr="00EA5F2A">
          <w:rPr>
            <w:rStyle w:val="Hyperlink"/>
            <w:rFonts w:cs="Arial"/>
            <w:color w:val="000000" w:themeColor="text1"/>
          </w:rPr>
          <w:t xml:space="preserve">                     </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_Toc15010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4 </w:t>
        </w:r>
        <w:r w:rsidRPr="00EA5F2A">
          <w:rPr>
            <w:rStyle w:val="Hyperlink"/>
            <w:rFonts w:cs="Arial"/>
            <w:color w:val="000000" w:themeColor="text1"/>
          </w:rPr>
          <w:fldChar w:fldCharType="end"/>
        </w:r>
      </w:hyperlink>
    </w:p>
    <w:p w14:paraId="5D60F1F2" w14:textId="68B69349" w:rsidR="003D3E27" w:rsidRPr="00EA5F2A" w:rsidRDefault="003D3E27" w:rsidP="003D3E27">
      <w:pPr>
        <w:rPr>
          <w:rFonts w:cs="Arial"/>
          <w:color w:val="000000" w:themeColor="text1"/>
        </w:rPr>
      </w:pPr>
      <w:hyperlink r:id="rId18" w:anchor="_Toc15011" w:history="1">
        <w:r w:rsidRPr="00EA5F2A">
          <w:rPr>
            <w:rStyle w:val="Hyperlink"/>
            <w:rFonts w:cs="Arial"/>
            <w:color w:val="000000" w:themeColor="text1"/>
          </w:rPr>
          <w:t>2.5 Loneliness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_Toc15011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4 </w:t>
        </w:r>
        <w:r w:rsidRPr="00EA5F2A">
          <w:rPr>
            <w:rStyle w:val="Hyperlink"/>
            <w:rFonts w:cs="Arial"/>
            <w:color w:val="000000" w:themeColor="text1"/>
          </w:rPr>
          <w:fldChar w:fldCharType="end"/>
        </w:r>
      </w:hyperlink>
    </w:p>
    <w:p w14:paraId="6B2EA654" w14:textId="42226663" w:rsidR="003D3E27" w:rsidRPr="00EA5F2A" w:rsidRDefault="003D3E27" w:rsidP="003D3E27">
      <w:pPr>
        <w:rPr>
          <w:rFonts w:cs="Arial"/>
          <w:color w:val="000000" w:themeColor="text1"/>
        </w:rPr>
      </w:pPr>
      <w:hyperlink r:id="rId19" w:anchor="_Toc15012" w:history="1">
        <w:r w:rsidRPr="00EA5F2A">
          <w:rPr>
            <w:rStyle w:val="Hyperlink"/>
            <w:rFonts w:cs="Arial"/>
            <w:color w:val="000000" w:themeColor="text1"/>
          </w:rPr>
          <w:t>2.6 Domestic Violence and Abuse</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_Toc15012 \h</w:instrText>
        </w:r>
        <w:r w:rsidRPr="00EA5F2A">
          <w:rPr>
            <w:rStyle w:val="Hyperlink"/>
            <w:rFonts w:cs="Arial"/>
            <w:color w:val="000000" w:themeColor="text1"/>
          </w:rPr>
        </w:r>
        <w:r w:rsidRPr="00EA5F2A">
          <w:rPr>
            <w:rStyle w:val="Hyperlink"/>
            <w:rFonts w:cs="Arial"/>
            <w:color w:val="000000" w:themeColor="text1"/>
          </w:rPr>
          <w:fldChar w:fldCharType="separate"/>
        </w:r>
        <w:r w:rsidR="00C51264">
          <w:rPr>
            <w:rStyle w:val="Hyperlink"/>
            <w:rFonts w:cs="Arial"/>
            <w:color w:val="000000" w:themeColor="text1"/>
          </w:rPr>
          <w:t>5</w:t>
        </w:r>
        <w:r w:rsidRPr="00EA5F2A">
          <w:rPr>
            <w:rStyle w:val="Hyperlink"/>
            <w:rFonts w:cs="Arial"/>
            <w:color w:val="000000" w:themeColor="text1"/>
          </w:rPr>
          <w:t xml:space="preserve"> </w:t>
        </w:r>
        <w:r w:rsidRPr="00EA5F2A">
          <w:rPr>
            <w:rStyle w:val="Hyperlink"/>
            <w:rFonts w:cs="Arial"/>
            <w:color w:val="000000" w:themeColor="text1"/>
          </w:rPr>
          <w:fldChar w:fldCharType="end"/>
        </w:r>
      </w:hyperlink>
    </w:p>
    <w:p w14:paraId="77AFE76A" w14:textId="2202D4D7" w:rsidR="003D3E27" w:rsidRPr="00EA5F2A" w:rsidRDefault="003D3E27" w:rsidP="003D3E27">
      <w:pPr>
        <w:rPr>
          <w:rFonts w:cs="Arial"/>
          <w:color w:val="000000" w:themeColor="text1"/>
        </w:rPr>
      </w:pPr>
      <w:hyperlink r:id="rId20" w:anchor="_Toc15013" w:history="1">
        <w:r w:rsidRPr="00EA5F2A">
          <w:rPr>
            <w:rStyle w:val="Hyperlink"/>
            <w:rFonts w:cs="Arial"/>
            <w:color w:val="000000" w:themeColor="text1"/>
          </w:rPr>
          <w:t>3. National Efforts at Addressing Equalities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_Toc15013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5 </w:t>
        </w:r>
        <w:r w:rsidRPr="00EA5F2A">
          <w:rPr>
            <w:rStyle w:val="Hyperlink"/>
            <w:rFonts w:cs="Arial"/>
            <w:color w:val="000000" w:themeColor="text1"/>
          </w:rPr>
          <w:fldChar w:fldCharType="end"/>
        </w:r>
      </w:hyperlink>
    </w:p>
    <w:p w14:paraId="324DB3F0" w14:textId="4CFD6E24" w:rsidR="003D3E27" w:rsidRPr="00EA5F2A" w:rsidRDefault="003D3E27" w:rsidP="003D3E27">
      <w:pPr>
        <w:rPr>
          <w:rFonts w:cs="Arial"/>
          <w:color w:val="000000" w:themeColor="text1"/>
        </w:rPr>
      </w:pPr>
      <w:hyperlink r:id="rId21" w:anchor="_Toc15014" w:history="1">
        <w:r w:rsidRPr="00EA5F2A">
          <w:rPr>
            <w:rStyle w:val="Hyperlink"/>
            <w:rFonts w:cs="Arial"/>
            <w:color w:val="000000" w:themeColor="text1"/>
          </w:rPr>
          <w:t>4. Organisations Supporting Women's and Addressing Inequalities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_Toc15014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5 </w:t>
        </w:r>
        <w:r w:rsidRPr="00EA5F2A">
          <w:rPr>
            <w:rStyle w:val="Hyperlink"/>
            <w:rFonts w:cs="Arial"/>
            <w:color w:val="000000" w:themeColor="text1"/>
          </w:rPr>
          <w:fldChar w:fldCharType="end"/>
        </w:r>
      </w:hyperlink>
    </w:p>
    <w:p w14:paraId="69FCBD5A" w14:textId="622EDB98" w:rsidR="003D3E27" w:rsidRPr="00EA5F2A" w:rsidRDefault="003D3E27" w:rsidP="003D3E27">
      <w:pPr>
        <w:rPr>
          <w:rFonts w:cs="Arial"/>
          <w:color w:val="000000" w:themeColor="text1"/>
        </w:rPr>
      </w:pPr>
      <w:hyperlink r:id="rId22" w:anchor="_Toc15015" w:history="1">
        <w:r w:rsidRPr="00EA5F2A">
          <w:rPr>
            <w:rStyle w:val="Hyperlink"/>
            <w:rFonts w:cs="Arial"/>
            <w:color w:val="000000" w:themeColor="text1"/>
          </w:rPr>
          <w:t>5. Conclusion</w:t>
        </w:r>
        <w:r w:rsidR="00FC52B8" w:rsidRPr="00EA5F2A">
          <w:rPr>
            <w:rStyle w:val="Hyperlink"/>
            <w:rFonts w:cs="Arial"/>
            <w:color w:val="000000" w:themeColor="text1"/>
          </w:rPr>
          <w:t xml:space="preserve">                                                                                                                                                </w:t>
        </w:r>
        <w:r w:rsidRPr="00EA5F2A">
          <w:rPr>
            <w:rStyle w:val="Hyperlink"/>
            <w:rFonts w:cs="Arial"/>
            <w:color w:val="000000" w:themeColor="text1"/>
          </w:rPr>
          <w:tab/>
        </w:r>
        <w:r w:rsidRPr="00EA5F2A">
          <w:rPr>
            <w:rStyle w:val="Hyperlink"/>
            <w:rFonts w:cs="Arial"/>
            <w:color w:val="000000" w:themeColor="text1"/>
          </w:rPr>
          <w:fldChar w:fldCharType="begin"/>
        </w:r>
        <w:r w:rsidRPr="00EA5F2A">
          <w:rPr>
            <w:rStyle w:val="Hyperlink"/>
            <w:rFonts w:cs="Arial"/>
            <w:color w:val="000000" w:themeColor="text1"/>
          </w:rPr>
          <w:instrText>PAGEREF _Toc15015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6 </w:t>
        </w:r>
        <w:r w:rsidRPr="00EA5F2A">
          <w:rPr>
            <w:rStyle w:val="Hyperlink"/>
            <w:rFonts w:cs="Arial"/>
            <w:color w:val="000000" w:themeColor="text1"/>
          </w:rPr>
          <w:fldChar w:fldCharType="end"/>
        </w:r>
      </w:hyperlink>
    </w:p>
    <w:p w14:paraId="1FF90442" w14:textId="1EB8DB01" w:rsidR="003D3E27" w:rsidRPr="00EA5F2A" w:rsidRDefault="003D3E27" w:rsidP="003D3E27">
      <w:pPr>
        <w:rPr>
          <w:rFonts w:cs="Arial"/>
          <w:color w:val="000000" w:themeColor="text1"/>
        </w:rPr>
      </w:pPr>
      <w:hyperlink r:id="rId23" w:anchor="_Toc15016" w:history="1">
        <w:r w:rsidRPr="00EA5F2A">
          <w:rPr>
            <w:rStyle w:val="Hyperlink"/>
            <w:rFonts w:cs="Arial"/>
            <w:color w:val="000000" w:themeColor="text1"/>
          </w:rPr>
          <w:t>Part 2: Epidemiological Analysis of Obesity in Yorkshire</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_Toc15016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7 </w:t>
        </w:r>
        <w:r w:rsidRPr="00EA5F2A">
          <w:rPr>
            <w:rStyle w:val="Hyperlink"/>
            <w:rFonts w:cs="Arial"/>
            <w:color w:val="000000" w:themeColor="text1"/>
          </w:rPr>
          <w:fldChar w:fldCharType="end"/>
        </w:r>
      </w:hyperlink>
    </w:p>
    <w:p w14:paraId="2F25144C" w14:textId="0021C025" w:rsidR="003D3E27" w:rsidRPr="00EA5F2A" w:rsidRDefault="003D3E27" w:rsidP="003D3E27">
      <w:pPr>
        <w:rPr>
          <w:rFonts w:cs="Arial"/>
          <w:color w:val="000000" w:themeColor="text1"/>
        </w:rPr>
      </w:pPr>
      <w:hyperlink r:id="rId24" w:anchor="_Toc15017" w:history="1">
        <w:r w:rsidRPr="00EA5F2A">
          <w:rPr>
            <w:rStyle w:val="Hyperlink"/>
            <w:rFonts w:cs="Arial"/>
            <w:color w:val="000000" w:themeColor="text1"/>
          </w:rPr>
          <w:t>1. Introduction</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_Toc15017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7 </w:t>
        </w:r>
        <w:r w:rsidRPr="00EA5F2A">
          <w:rPr>
            <w:rStyle w:val="Hyperlink"/>
            <w:rFonts w:cs="Arial"/>
            <w:color w:val="000000" w:themeColor="text1"/>
          </w:rPr>
          <w:fldChar w:fldCharType="end"/>
        </w:r>
      </w:hyperlink>
    </w:p>
    <w:p w14:paraId="3C88638D" w14:textId="7E157FD6" w:rsidR="003D3E27" w:rsidRPr="00EA5F2A" w:rsidRDefault="003D3E27" w:rsidP="003D3E27">
      <w:pPr>
        <w:rPr>
          <w:rFonts w:cs="Arial"/>
          <w:color w:val="000000" w:themeColor="text1"/>
        </w:rPr>
      </w:pPr>
      <w:hyperlink r:id="rId25" w:anchor="_Toc15018" w:history="1">
        <w:r w:rsidRPr="00EA5F2A">
          <w:rPr>
            <w:rStyle w:val="Hyperlink"/>
            <w:rFonts w:cs="Arial"/>
            <w:color w:val="000000" w:themeColor="text1"/>
          </w:rPr>
          <w:t>2. Public Health Initiatives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_Toc15018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8 </w:t>
        </w:r>
        <w:r w:rsidRPr="00EA5F2A">
          <w:rPr>
            <w:rStyle w:val="Hyperlink"/>
            <w:rFonts w:cs="Arial"/>
            <w:color w:val="000000" w:themeColor="text1"/>
          </w:rPr>
          <w:fldChar w:fldCharType="end"/>
        </w:r>
      </w:hyperlink>
    </w:p>
    <w:p w14:paraId="575FFE0D" w14:textId="7632A958" w:rsidR="003D3E27" w:rsidRPr="00EA5F2A" w:rsidRDefault="003D3E27" w:rsidP="003D3E27">
      <w:pPr>
        <w:rPr>
          <w:rFonts w:cs="Arial"/>
          <w:color w:val="000000" w:themeColor="text1"/>
        </w:rPr>
      </w:pPr>
      <w:hyperlink r:id="rId26" w:anchor="_Toc15019" w:history="1">
        <w:r w:rsidRPr="00EA5F2A">
          <w:rPr>
            <w:rStyle w:val="Hyperlink"/>
            <w:rFonts w:cs="Arial"/>
            <w:color w:val="000000" w:themeColor="text1"/>
          </w:rPr>
          <w:t>3. Risk Factors and Causes of Obesity</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_Toc15019 \h</w:instrText>
        </w:r>
        <w:r w:rsidRPr="00EA5F2A">
          <w:rPr>
            <w:rStyle w:val="Hyperlink"/>
            <w:rFonts w:cs="Arial"/>
            <w:color w:val="000000" w:themeColor="text1"/>
          </w:rPr>
        </w:r>
        <w:r w:rsidRPr="00EA5F2A">
          <w:rPr>
            <w:rStyle w:val="Hyperlink"/>
            <w:rFonts w:cs="Arial"/>
            <w:color w:val="000000" w:themeColor="text1"/>
          </w:rPr>
          <w:fldChar w:fldCharType="separate"/>
        </w:r>
        <w:r w:rsidR="00C46A4B">
          <w:rPr>
            <w:rStyle w:val="Hyperlink"/>
            <w:rFonts w:cs="Arial"/>
            <w:color w:val="000000" w:themeColor="text1"/>
          </w:rPr>
          <w:t>9</w:t>
        </w:r>
        <w:r w:rsidRPr="00EA5F2A">
          <w:rPr>
            <w:rStyle w:val="Hyperlink"/>
            <w:rFonts w:cs="Arial"/>
            <w:color w:val="000000" w:themeColor="text1"/>
          </w:rPr>
          <w:t xml:space="preserve"> </w:t>
        </w:r>
        <w:r w:rsidRPr="00EA5F2A">
          <w:rPr>
            <w:rStyle w:val="Hyperlink"/>
            <w:rFonts w:cs="Arial"/>
            <w:color w:val="000000" w:themeColor="text1"/>
          </w:rPr>
          <w:fldChar w:fldCharType="end"/>
        </w:r>
      </w:hyperlink>
    </w:p>
    <w:p w14:paraId="18A20CCC" w14:textId="420C0554" w:rsidR="003D3E27" w:rsidRPr="00EA5F2A" w:rsidRDefault="003D3E27" w:rsidP="003D3E27">
      <w:pPr>
        <w:rPr>
          <w:rFonts w:cs="Arial"/>
          <w:color w:val="000000" w:themeColor="text1"/>
        </w:rPr>
      </w:pPr>
      <w:hyperlink r:id="rId27" w:anchor="_Toc15020" w:history="1">
        <w:r w:rsidRPr="00EA5F2A">
          <w:rPr>
            <w:rStyle w:val="Hyperlink"/>
            <w:rFonts w:cs="Arial"/>
            <w:color w:val="000000" w:themeColor="text1"/>
          </w:rPr>
          <w:t>4. The Three P’s</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_Toc15020 \h</w:instrText>
        </w:r>
        <w:r w:rsidRPr="00EA5F2A">
          <w:rPr>
            <w:rStyle w:val="Hyperlink"/>
            <w:rFonts w:cs="Arial"/>
            <w:color w:val="000000" w:themeColor="text1"/>
          </w:rPr>
        </w:r>
        <w:r w:rsidRPr="00EA5F2A">
          <w:rPr>
            <w:rStyle w:val="Hyperlink"/>
            <w:rFonts w:cs="Arial"/>
            <w:color w:val="000000" w:themeColor="text1"/>
          </w:rPr>
          <w:fldChar w:fldCharType="separate"/>
        </w:r>
        <w:r w:rsidR="00E13070" w:rsidRPr="00EA5F2A">
          <w:rPr>
            <w:rStyle w:val="Hyperlink"/>
            <w:rFonts w:cs="Arial"/>
            <w:color w:val="000000" w:themeColor="text1"/>
          </w:rPr>
          <w:t>9</w:t>
        </w:r>
        <w:r w:rsidRPr="00EA5F2A">
          <w:rPr>
            <w:rStyle w:val="Hyperlink"/>
            <w:rFonts w:cs="Arial"/>
            <w:color w:val="000000" w:themeColor="text1"/>
          </w:rPr>
          <w:t xml:space="preserve"> </w:t>
        </w:r>
        <w:r w:rsidRPr="00EA5F2A">
          <w:rPr>
            <w:rStyle w:val="Hyperlink"/>
            <w:rFonts w:cs="Arial"/>
            <w:color w:val="000000" w:themeColor="text1"/>
          </w:rPr>
          <w:fldChar w:fldCharType="end"/>
        </w:r>
      </w:hyperlink>
    </w:p>
    <w:p w14:paraId="1BD199F2" w14:textId="55125A2B" w:rsidR="003D3E27" w:rsidRPr="00EA5F2A" w:rsidRDefault="003D3E27" w:rsidP="003D3E27">
      <w:pPr>
        <w:rPr>
          <w:rFonts w:cs="Arial"/>
          <w:color w:val="000000" w:themeColor="text1"/>
        </w:rPr>
      </w:pPr>
      <w:hyperlink r:id="rId28" w:anchor="_Toc15021" w:history="1">
        <w:r w:rsidRPr="00EA5F2A">
          <w:rPr>
            <w:rStyle w:val="Hyperlink"/>
            <w:rFonts w:cs="Arial"/>
            <w:color w:val="000000" w:themeColor="text1"/>
          </w:rPr>
          <w:t>5. Health Intervention Program</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_Toc15021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10 </w:t>
        </w:r>
        <w:r w:rsidRPr="00EA5F2A">
          <w:rPr>
            <w:rStyle w:val="Hyperlink"/>
            <w:rFonts w:cs="Arial"/>
            <w:color w:val="000000" w:themeColor="text1"/>
          </w:rPr>
          <w:fldChar w:fldCharType="end"/>
        </w:r>
      </w:hyperlink>
    </w:p>
    <w:p w14:paraId="530B965B" w14:textId="2173940B" w:rsidR="003D3E27" w:rsidRPr="00EA5F2A" w:rsidRDefault="003D3E27" w:rsidP="003D3E27">
      <w:pPr>
        <w:rPr>
          <w:rFonts w:cs="Arial"/>
          <w:color w:val="000000" w:themeColor="text1"/>
        </w:rPr>
      </w:pPr>
      <w:hyperlink r:id="rId29" w:anchor="_Toc15022" w:history="1">
        <w:r w:rsidRPr="00EA5F2A">
          <w:rPr>
            <w:rStyle w:val="Hyperlink"/>
            <w:rFonts w:cs="Arial"/>
            <w:color w:val="000000" w:themeColor="text1"/>
          </w:rPr>
          <w:t>6. Conclusion</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_Toc15022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1</w:t>
        </w:r>
        <w:r w:rsidR="00C46A4B">
          <w:rPr>
            <w:rStyle w:val="Hyperlink"/>
            <w:rFonts w:cs="Arial"/>
            <w:color w:val="000000" w:themeColor="text1"/>
          </w:rPr>
          <w:t>1</w:t>
        </w:r>
        <w:r w:rsidRPr="00EA5F2A">
          <w:rPr>
            <w:rStyle w:val="Hyperlink"/>
            <w:rFonts w:cs="Arial"/>
            <w:color w:val="000000" w:themeColor="text1"/>
          </w:rPr>
          <w:t xml:space="preserve"> </w:t>
        </w:r>
        <w:r w:rsidRPr="00EA5F2A">
          <w:rPr>
            <w:rStyle w:val="Hyperlink"/>
            <w:rFonts w:cs="Arial"/>
            <w:color w:val="000000" w:themeColor="text1"/>
          </w:rPr>
          <w:fldChar w:fldCharType="end"/>
        </w:r>
      </w:hyperlink>
    </w:p>
    <w:p w14:paraId="27A29C47" w14:textId="46925FBC" w:rsidR="007A4D42" w:rsidRPr="00EA5F2A" w:rsidRDefault="003D3E27" w:rsidP="003D3E27">
      <w:pPr>
        <w:rPr>
          <w:rFonts w:cs="Arial"/>
          <w:color w:val="000000" w:themeColor="text1"/>
        </w:rPr>
      </w:pPr>
      <w:hyperlink r:id="rId30" w:anchor="_Toc15023" w:history="1">
        <w:r w:rsidRPr="00EA5F2A">
          <w:rPr>
            <w:rStyle w:val="Hyperlink"/>
            <w:rFonts w:cs="Arial"/>
            <w:color w:val="000000" w:themeColor="text1"/>
          </w:rPr>
          <w:t>Reference list</w:t>
        </w:r>
        <w:r w:rsidRPr="00EA5F2A">
          <w:rPr>
            <w:rStyle w:val="Hyperlink"/>
            <w:rFonts w:cs="Arial"/>
            <w:color w:val="000000" w:themeColor="text1"/>
          </w:rPr>
          <w:tab/>
        </w:r>
        <w:r w:rsidR="00FC52B8" w:rsidRPr="00EA5F2A">
          <w:rPr>
            <w:rStyle w:val="Hyperlink"/>
            <w:rFonts w:cs="Arial"/>
            <w:color w:val="000000" w:themeColor="text1"/>
          </w:rPr>
          <w:t xml:space="preserve">                                                                                                                                                      </w:t>
        </w:r>
        <w:r w:rsidRPr="00EA5F2A">
          <w:rPr>
            <w:rStyle w:val="Hyperlink"/>
            <w:rFonts w:cs="Arial"/>
            <w:color w:val="000000" w:themeColor="text1"/>
          </w:rPr>
          <w:fldChar w:fldCharType="begin"/>
        </w:r>
        <w:r w:rsidRPr="00EA5F2A">
          <w:rPr>
            <w:rStyle w:val="Hyperlink"/>
            <w:rFonts w:cs="Arial"/>
            <w:color w:val="000000" w:themeColor="text1"/>
          </w:rPr>
          <w:instrText>PAGEREF _Toc15023 \h</w:instrText>
        </w:r>
        <w:r w:rsidRPr="00EA5F2A">
          <w:rPr>
            <w:rStyle w:val="Hyperlink"/>
            <w:rFonts w:cs="Arial"/>
            <w:color w:val="000000" w:themeColor="text1"/>
          </w:rPr>
        </w:r>
        <w:r w:rsidRPr="00EA5F2A">
          <w:rPr>
            <w:rStyle w:val="Hyperlink"/>
            <w:rFonts w:cs="Arial"/>
            <w:color w:val="000000" w:themeColor="text1"/>
          </w:rPr>
          <w:fldChar w:fldCharType="separate"/>
        </w:r>
        <w:r w:rsidRPr="00EA5F2A">
          <w:rPr>
            <w:rStyle w:val="Hyperlink"/>
            <w:rFonts w:cs="Arial"/>
            <w:color w:val="000000" w:themeColor="text1"/>
          </w:rPr>
          <w:t xml:space="preserve">12 </w:t>
        </w:r>
        <w:r w:rsidRPr="00EA5F2A">
          <w:rPr>
            <w:rStyle w:val="Hyperlink"/>
            <w:rFonts w:cs="Arial"/>
            <w:color w:val="000000" w:themeColor="text1"/>
          </w:rPr>
          <w:fldChar w:fldCharType="end"/>
        </w:r>
      </w:hyperlink>
    </w:p>
    <w:p w14:paraId="7D481236" w14:textId="77777777" w:rsidR="007A4D42" w:rsidRPr="00EA5F2A" w:rsidRDefault="007A4D42">
      <w:pPr>
        <w:rPr>
          <w:rFonts w:cs="Arial"/>
          <w:color w:val="000000" w:themeColor="text1"/>
        </w:rPr>
      </w:pPr>
    </w:p>
    <w:p w14:paraId="15227B66" w14:textId="77777777" w:rsidR="007A4D42" w:rsidRPr="00EA5F2A" w:rsidRDefault="007A4D42">
      <w:pPr>
        <w:rPr>
          <w:rFonts w:ascii="Arial" w:hAnsi="Arial" w:cs="Arial"/>
        </w:rPr>
      </w:pPr>
    </w:p>
    <w:p w14:paraId="707810D7" w14:textId="77777777" w:rsidR="007A4D42" w:rsidRPr="00EA5F2A" w:rsidRDefault="007A4D42">
      <w:pPr>
        <w:rPr>
          <w:rFonts w:ascii="Arial" w:hAnsi="Arial" w:cs="Arial"/>
        </w:rPr>
      </w:pPr>
    </w:p>
    <w:p w14:paraId="0F5B5985" w14:textId="77777777" w:rsidR="007A4D42" w:rsidRPr="00EA5F2A" w:rsidRDefault="007A4D42">
      <w:pPr>
        <w:rPr>
          <w:rFonts w:ascii="Arial" w:hAnsi="Arial" w:cs="Arial"/>
        </w:rPr>
      </w:pPr>
    </w:p>
    <w:p w14:paraId="36ACA0A6" w14:textId="77777777" w:rsidR="007A4D42" w:rsidRPr="00EA5F2A" w:rsidRDefault="007A4D42">
      <w:pPr>
        <w:rPr>
          <w:rFonts w:ascii="Arial" w:hAnsi="Arial" w:cs="Arial"/>
        </w:rPr>
      </w:pPr>
    </w:p>
    <w:p w14:paraId="5E649C1C" w14:textId="77777777" w:rsidR="00C51264" w:rsidRDefault="00C51264" w:rsidP="00455CCA">
      <w:pPr>
        <w:ind w:left="720" w:firstLine="720"/>
        <w:rPr>
          <w:rFonts w:ascii="Arial" w:hAnsi="Arial" w:cs="Arial"/>
        </w:rPr>
      </w:pPr>
      <w:bookmarkStart w:id="0" w:name="_Toc15005"/>
    </w:p>
    <w:p w14:paraId="19014D16" w14:textId="0F8AE44A" w:rsidR="00455CCA" w:rsidRPr="00EA5F2A" w:rsidRDefault="00455CCA" w:rsidP="00455CCA">
      <w:pPr>
        <w:ind w:left="720" w:firstLine="720"/>
        <w:rPr>
          <w:rFonts w:ascii="Arial" w:hAnsi="Arial" w:cs="Arial"/>
          <w:b/>
          <w:bCs/>
          <w:sz w:val="28"/>
          <w:szCs w:val="28"/>
        </w:rPr>
      </w:pPr>
      <w:r w:rsidRPr="00EA5F2A">
        <w:rPr>
          <w:rFonts w:ascii="Arial" w:hAnsi="Arial" w:cs="Arial"/>
          <w:b/>
          <w:bCs/>
          <w:sz w:val="28"/>
          <w:szCs w:val="28"/>
        </w:rPr>
        <w:lastRenderedPageBreak/>
        <w:t>Part 1: Social Epidemiological Analysis</w:t>
      </w:r>
    </w:p>
    <w:p w14:paraId="5B89FB0C" w14:textId="77777777" w:rsidR="00455CCA" w:rsidRPr="00EA5F2A" w:rsidRDefault="00455CCA" w:rsidP="00C9175B">
      <w:pPr>
        <w:rPr>
          <w:rFonts w:ascii="Arial" w:hAnsi="Arial" w:cs="Arial"/>
          <w:b/>
          <w:bCs/>
          <w:sz w:val="28"/>
          <w:szCs w:val="28"/>
        </w:rPr>
      </w:pPr>
    </w:p>
    <w:p w14:paraId="1B083300" w14:textId="61F6FE63" w:rsidR="007A4D42" w:rsidRPr="00EA5F2A" w:rsidRDefault="00532632" w:rsidP="00C9175B">
      <w:pPr>
        <w:rPr>
          <w:rFonts w:ascii="Arial" w:hAnsi="Arial" w:cs="Arial"/>
          <w:b/>
          <w:sz w:val="28"/>
          <w:szCs w:val="28"/>
        </w:rPr>
      </w:pPr>
      <w:r w:rsidRPr="00EA5F2A">
        <w:rPr>
          <w:rFonts w:ascii="Arial" w:hAnsi="Arial" w:cs="Arial"/>
          <w:b/>
          <w:bCs/>
          <w:sz w:val="28"/>
          <w:szCs w:val="28"/>
        </w:rPr>
        <w:t>1.</w:t>
      </w:r>
      <w:r w:rsidR="007A4D42" w:rsidRPr="00EA5F2A">
        <w:rPr>
          <w:rFonts w:ascii="Arial" w:hAnsi="Arial" w:cs="Arial"/>
          <w:b/>
          <w:sz w:val="28"/>
          <w:szCs w:val="28"/>
        </w:rPr>
        <w:t xml:space="preserve">Introduction </w:t>
      </w:r>
      <w:bookmarkEnd w:id="0"/>
    </w:p>
    <w:p w14:paraId="07433097" w14:textId="368065D9" w:rsidR="007A4D42" w:rsidRPr="00EA5F2A" w:rsidRDefault="007A4D42" w:rsidP="007A4D42">
      <w:pPr>
        <w:rPr>
          <w:rFonts w:ascii="Arial" w:hAnsi="Arial" w:cs="Arial"/>
        </w:rPr>
      </w:pPr>
      <w:r w:rsidRPr="00EA5F2A">
        <w:rPr>
          <w:rFonts w:ascii="Arial" w:hAnsi="Arial" w:cs="Arial"/>
        </w:rPr>
        <w:t xml:space="preserve">Women in the UK have significant health disadvantages. While men are </w:t>
      </w:r>
      <w:r w:rsidR="000C0FD6" w:rsidRPr="00EA5F2A">
        <w:rPr>
          <w:rFonts w:ascii="Arial" w:hAnsi="Arial" w:cs="Arial"/>
        </w:rPr>
        <w:t>more</w:t>
      </w:r>
      <w:r w:rsidRPr="00EA5F2A">
        <w:rPr>
          <w:rFonts w:ascii="Arial" w:hAnsi="Arial" w:cs="Arial"/>
        </w:rPr>
        <w:t xml:space="preserve"> at risk for many health conditions, the situation in the United Kingdom is the opposite: women are more vulnerable</w:t>
      </w:r>
      <w:r w:rsidR="00E83C9C" w:rsidRPr="00EA5F2A">
        <w:rPr>
          <w:rFonts w:ascii="Arial" w:hAnsi="Arial" w:cs="Arial"/>
          <w:color w:val="2C3E50"/>
          <w:sz w:val="23"/>
          <w:szCs w:val="23"/>
          <w:shd w:val="clear" w:color="auto" w:fill="FFFFFF"/>
        </w:rPr>
        <w:t xml:space="preserve"> </w:t>
      </w:r>
      <w:r w:rsidR="00E83C9C" w:rsidRPr="00EA5F2A">
        <w:rPr>
          <w:rFonts w:ascii="Arial" w:hAnsi="Arial" w:cs="Arial"/>
        </w:rPr>
        <w:t> (Heslehurst et al., 2007)</w:t>
      </w:r>
      <w:r w:rsidRPr="00EA5F2A">
        <w:rPr>
          <w:rFonts w:ascii="Arial" w:hAnsi="Arial" w:cs="Arial"/>
        </w:rPr>
        <w:t>. The country is ranked 12th globally and has the largest female health disparity among G20 countries</w:t>
      </w:r>
      <w:r w:rsidR="00574B3D" w:rsidRPr="00EA5F2A">
        <w:rPr>
          <w:rFonts w:ascii="Arial" w:hAnsi="Arial" w:cs="Arial"/>
          <w:color w:val="2C3E50"/>
          <w:sz w:val="23"/>
          <w:szCs w:val="23"/>
          <w:shd w:val="clear" w:color="auto" w:fill="FFFFFF"/>
        </w:rPr>
        <w:t xml:space="preserve"> </w:t>
      </w:r>
      <w:r w:rsidR="00574B3D" w:rsidRPr="00EA5F2A">
        <w:rPr>
          <w:rFonts w:ascii="Arial" w:hAnsi="Arial" w:cs="Arial"/>
        </w:rPr>
        <w:t> (Bowrey, 2013)</w:t>
      </w:r>
      <w:r w:rsidRPr="00EA5F2A">
        <w:rPr>
          <w:rFonts w:ascii="Arial" w:hAnsi="Arial" w:cs="Arial"/>
        </w:rPr>
        <w:t xml:space="preserve">. According to research, women in Britain frequently receive lower-quality care and have inferior health outcomes than males, </w:t>
      </w:r>
      <w:r w:rsidR="000C0FD6" w:rsidRPr="00EA5F2A">
        <w:rPr>
          <w:rFonts w:ascii="Arial" w:hAnsi="Arial" w:cs="Arial"/>
        </w:rPr>
        <w:t>this</w:t>
      </w:r>
      <w:r w:rsidRPr="00EA5F2A">
        <w:rPr>
          <w:rFonts w:ascii="Arial" w:hAnsi="Arial" w:cs="Arial"/>
        </w:rPr>
        <w:t xml:space="preserve"> research looks at various cases where gender inequality in healthcare is very evident</w:t>
      </w:r>
      <w:r w:rsidR="00351506" w:rsidRPr="00EA5F2A">
        <w:rPr>
          <w:rFonts w:ascii="Arial" w:hAnsi="Arial" w:cs="Arial"/>
          <w:color w:val="2C3E50"/>
          <w:sz w:val="23"/>
          <w:szCs w:val="23"/>
          <w:shd w:val="clear" w:color="auto" w:fill="FFFFFF"/>
        </w:rPr>
        <w:t xml:space="preserve"> </w:t>
      </w:r>
      <w:r w:rsidR="00351506" w:rsidRPr="00EA5F2A">
        <w:rPr>
          <w:rFonts w:ascii="Arial" w:hAnsi="Arial" w:cs="Arial"/>
        </w:rPr>
        <w:t>(Printz, 2020)</w:t>
      </w:r>
      <w:r w:rsidRPr="00EA5F2A">
        <w:rPr>
          <w:rFonts w:ascii="Arial" w:hAnsi="Arial" w:cs="Arial"/>
        </w:rPr>
        <w:t>.</w:t>
      </w:r>
    </w:p>
    <w:p w14:paraId="5823B15F" w14:textId="37ABC1DC" w:rsidR="007A4D42" w:rsidRPr="00EA5F2A" w:rsidRDefault="007A4D42" w:rsidP="007A4D42">
      <w:pPr>
        <w:pStyle w:val="ListParagraph"/>
        <w:ind w:left="760"/>
        <w:rPr>
          <w:rFonts w:ascii="Arial" w:hAnsi="Arial" w:cs="Arial"/>
        </w:rPr>
      </w:pPr>
    </w:p>
    <w:p w14:paraId="2B0C83E3" w14:textId="2EA55906" w:rsidR="007A4D42" w:rsidRPr="00EA5F2A" w:rsidRDefault="0087401F" w:rsidP="0087401F">
      <w:pPr>
        <w:rPr>
          <w:rFonts w:ascii="Arial" w:hAnsi="Arial" w:cs="Arial"/>
          <w:b/>
          <w:sz w:val="28"/>
          <w:szCs w:val="28"/>
        </w:rPr>
      </w:pPr>
      <w:bookmarkStart w:id="1" w:name="_Toc15006"/>
      <w:r w:rsidRPr="00EA5F2A">
        <w:rPr>
          <w:rFonts w:ascii="Arial" w:hAnsi="Arial" w:cs="Arial"/>
          <w:b/>
          <w:sz w:val="28"/>
          <w:szCs w:val="28"/>
        </w:rPr>
        <w:t>2.</w:t>
      </w:r>
      <w:r w:rsidR="007A4D42" w:rsidRPr="00EA5F2A">
        <w:rPr>
          <w:rFonts w:ascii="Arial" w:hAnsi="Arial" w:cs="Arial"/>
          <w:b/>
          <w:sz w:val="28"/>
          <w:szCs w:val="28"/>
        </w:rPr>
        <w:t xml:space="preserve">Key Inequality Avenues for Women in the UK </w:t>
      </w:r>
      <w:bookmarkEnd w:id="1"/>
    </w:p>
    <w:p w14:paraId="120C0EB8" w14:textId="77777777" w:rsidR="007A4D42" w:rsidRPr="00EA5F2A" w:rsidRDefault="007A4D42" w:rsidP="007A4D42">
      <w:pPr>
        <w:pStyle w:val="Heading2"/>
        <w:ind w:left="-5"/>
        <w:rPr>
          <w:rFonts w:ascii="Arial" w:hAnsi="Arial" w:cs="Arial"/>
        </w:rPr>
      </w:pPr>
      <w:bookmarkStart w:id="2" w:name="_Toc15007"/>
      <w:r w:rsidRPr="00EA5F2A">
        <w:rPr>
          <w:rFonts w:ascii="Arial" w:hAnsi="Arial" w:cs="Arial"/>
        </w:rPr>
        <w:t xml:space="preserve">2.1 Inequality in Heart Attacks </w:t>
      </w:r>
      <w:bookmarkEnd w:id="2"/>
    </w:p>
    <w:p w14:paraId="52AD230A" w14:textId="5F6B04B7" w:rsidR="007A4D42" w:rsidRPr="00EA5F2A" w:rsidRDefault="007A4D42" w:rsidP="007A4D42">
      <w:pPr>
        <w:rPr>
          <w:rFonts w:ascii="Arial" w:hAnsi="Arial" w:cs="Arial"/>
        </w:rPr>
      </w:pPr>
      <w:r w:rsidRPr="00EA5F2A">
        <w:rPr>
          <w:rFonts w:ascii="Arial" w:hAnsi="Arial" w:cs="Arial"/>
        </w:rPr>
        <w:t>When a woman is diagnosed with an acute myocardial infarction, she is 33% less likely than a man to receive a coronary angiography Data from the British Heart Foundation (2016) shows that the 30-day mortality rate is 2.3% for men and 5.2% for women</w:t>
      </w:r>
      <w:r w:rsidR="003C1E32" w:rsidRPr="00EA5F2A">
        <w:rPr>
          <w:rFonts w:ascii="Arial" w:hAnsi="Arial" w:cs="Arial"/>
          <w:color w:val="2C3E50"/>
          <w:sz w:val="23"/>
          <w:szCs w:val="23"/>
          <w:shd w:val="clear" w:color="auto" w:fill="FFFFFF"/>
        </w:rPr>
        <w:t xml:space="preserve"> </w:t>
      </w:r>
      <w:r w:rsidR="003C1E32" w:rsidRPr="00EA5F2A">
        <w:rPr>
          <w:rFonts w:ascii="Arial" w:hAnsi="Arial" w:cs="Arial"/>
        </w:rPr>
        <w:t>(Cardonick and Iacobucci, 2004)</w:t>
      </w:r>
      <w:r w:rsidRPr="00EA5F2A">
        <w:rPr>
          <w:rFonts w:ascii="Arial" w:hAnsi="Arial" w:cs="Arial"/>
        </w:rPr>
        <w:t xml:space="preserve"> .Research also reveals differences in how quickly individuals seek medical help. On average, men delay between 1 hour 24 minutes and 3 hours 30 minutes before seeking assistance, while women wait between 1 hour 48 minutes and 7 hours 12 </w:t>
      </w:r>
      <w:r w:rsidR="000C0FD6" w:rsidRPr="00EA5F2A">
        <w:rPr>
          <w:rFonts w:ascii="Arial" w:hAnsi="Arial" w:cs="Arial"/>
        </w:rPr>
        <w:t>minutes</w:t>
      </w:r>
      <w:r w:rsidR="00975C01" w:rsidRPr="00EA5F2A">
        <w:rPr>
          <w:rFonts w:ascii="Arial" w:hAnsi="Arial" w:cs="Arial"/>
          <w:color w:val="2C3E50"/>
          <w:sz w:val="23"/>
          <w:szCs w:val="23"/>
          <w:shd w:val="clear" w:color="auto" w:fill="FFFFFF"/>
        </w:rPr>
        <w:t xml:space="preserve"> </w:t>
      </w:r>
      <w:r w:rsidR="00975C01" w:rsidRPr="00EA5F2A">
        <w:rPr>
          <w:rFonts w:ascii="Arial" w:hAnsi="Arial" w:cs="Arial"/>
        </w:rPr>
        <w:t> (Day, 2003)</w:t>
      </w:r>
      <w:r w:rsidR="000C0FD6" w:rsidRPr="00EA5F2A">
        <w:rPr>
          <w:rFonts w:ascii="Arial" w:hAnsi="Arial" w:cs="Arial"/>
        </w:rPr>
        <w:t>. Addressing</w:t>
      </w:r>
      <w:r w:rsidRPr="00EA5F2A">
        <w:rPr>
          <w:rFonts w:ascii="Arial" w:hAnsi="Arial" w:cs="Arial"/>
        </w:rPr>
        <w:t xml:space="preserve"> these gaps requires better awareness and management of heart disease in women. This includes improving how women’s symptoms are recognised, encouraging timely diagnostic testing such as angiography, and challenging gender biases in the perception and treatment of cardiovascular disease</w:t>
      </w:r>
      <w:r w:rsidR="00CA6480" w:rsidRPr="00EA5F2A">
        <w:rPr>
          <w:rFonts w:ascii="Arial" w:hAnsi="Arial" w:cs="Arial"/>
          <w:color w:val="2C3E50"/>
          <w:sz w:val="23"/>
          <w:szCs w:val="23"/>
          <w:shd w:val="clear" w:color="auto" w:fill="FFFFFF"/>
        </w:rPr>
        <w:t xml:space="preserve"> </w:t>
      </w:r>
      <w:r w:rsidR="00CA6480" w:rsidRPr="00EA5F2A">
        <w:rPr>
          <w:rFonts w:ascii="Arial" w:hAnsi="Arial" w:cs="Arial"/>
        </w:rPr>
        <w:t>(Shuchman, 2018)</w:t>
      </w:r>
      <w:r w:rsidRPr="00EA5F2A">
        <w:rPr>
          <w:rFonts w:ascii="Arial" w:hAnsi="Arial" w:cs="Arial"/>
        </w:rPr>
        <w:t>.</w:t>
      </w:r>
    </w:p>
    <w:p w14:paraId="21EFB43E" w14:textId="77777777" w:rsidR="007A4D42" w:rsidRPr="00EA5F2A" w:rsidRDefault="007A4D42" w:rsidP="007A4D42">
      <w:pPr>
        <w:rPr>
          <w:rFonts w:ascii="Arial" w:hAnsi="Arial" w:cs="Arial"/>
        </w:rPr>
      </w:pPr>
    </w:p>
    <w:p w14:paraId="38C72C48" w14:textId="77777777" w:rsidR="007A4D42" w:rsidRPr="00EA5F2A" w:rsidRDefault="007A4D42" w:rsidP="007A4D42">
      <w:pPr>
        <w:rPr>
          <w:rFonts w:ascii="Arial" w:hAnsi="Arial" w:cs="Arial"/>
          <w:b/>
        </w:rPr>
      </w:pPr>
      <w:bookmarkStart w:id="3" w:name="_Toc15008"/>
      <w:r w:rsidRPr="00EA5F2A">
        <w:rPr>
          <w:rFonts w:ascii="Arial" w:hAnsi="Arial" w:cs="Arial"/>
          <w:b/>
        </w:rPr>
        <w:t xml:space="preserve">2.2 The Gap in Autism Detection </w:t>
      </w:r>
      <w:bookmarkEnd w:id="3"/>
    </w:p>
    <w:p w14:paraId="243A35F8" w14:textId="1F8C41F6" w:rsidR="007A4D42" w:rsidRPr="00EA5F2A" w:rsidRDefault="007A4D42" w:rsidP="007A4D42">
      <w:pPr>
        <w:rPr>
          <w:rFonts w:ascii="Arial" w:hAnsi="Arial" w:cs="Arial"/>
        </w:rPr>
      </w:pPr>
      <w:r w:rsidRPr="00EA5F2A">
        <w:rPr>
          <w:rFonts w:ascii="Arial" w:hAnsi="Arial" w:cs="Arial"/>
        </w:rPr>
        <w:t>Boys are diagnosed with autism about four times more often than girls, and girls usually receive their diagnosis almost two years later</w:t>
      </w:r>
      <w:r w:rsidR="00792D13" w:rsidRPr="00EA5F2A">
        <w:rPr>
          <w:rFonts w:ascii="Arial" w:hAnsi="Arial" w:cs="Arial"/>
        </w:rPr>
        <w:t xml:space="preserve">  (Mellers et al., 1966)</w:t>
      </w:r>
      <w:r w:rsidRPr="00EA5F2A">
        <w:rPr>
          <w:rFonts w:ascii="Arial" w:hAnsi="Arial" w:cs="Arial"/>
        </w:rPr>
        <w:t xml:space="preserve"> . This difference is partly due to long-standing biases that lead many caregivers and professionals to associate autism more with boys, causing the signs in girls to be overlooked</w:t>
      </w:r>
      <w:r w:rsidR="00241EFB" w:rsidRPr="00EA5F2A">
        <w:rPr>
          <w:rFonts w:ascii="Arial" w:hAnsi="Arial" w:cs="Arial"/>
          <w:color w:val="2C3E50"/>
          <w:sz w:val="23"/>
          <w:szCs w:val="23"/>
          <w:shd w:val="clear" w:color="auto" w:fill="FFFFFF"/>
        </w:rPr>
        <w:t xml:space="preserve"> </w:t>
      </w:r>
      <w:r w:rsidR="00241EFB" w:rsidRPr="00EA5F2A">
        <w:rPr>
          <w:rFonts w:ascii="Arial" w:hAnsi="Arial" w:cs="Arial"/>
        </w:rPr>
        <w:t>(Blackburn and Morrissey, 1998)</w:t>
      </w:r>
      <w:r w:rsidRPr="00EA5F2A">
        <w:rPr>
          <w:rFonts w:ascii="Arial" w:hAnsi="Arial" w:cs="Arial"/>
        </w:rPr>
        <w:t>. While many girls with autism are otherwise healthy, delayed diagnosis means that a large number go unrecognised or misdiagnosed</w:t>
      </w:r>
      <w:r w:rsidR="00E3683A" w:rsidRPr="00EA5F2A">
        <w:rPr>
          <w:rFonts w:ascii="Arial" w:hAnsi="Arial" w:cs="Arial"/>
          <w:color w:val="2C3E50"/>
          <w:sz w:val="23"/>
          <w:szCs w:val="23"/>
          <w:shd w:val="clear" w:color="auto" w:fill="FFFFFF"/>
        </w:rPr>
        <w:t xml:space="preserve"> </w:t>
      </w:r>
      <w:r w:rsidR="00E3683A" w:rsidRPr="00EA5F2A">
        <w:rPr>
          <w:rFonts w:ascii="Arial" w:hAnsi="Arial" w:cs="Arial"/>
        </w:rPr>
        <w:t>(Kerr and Ravine, 2003)</w:t>
      </w:r>
      <w:r w:rsidRPr="00EA5F2A">
        <w:rPr>
          <w:rFonts w:ascii="Arial" w:hAnsi="Arial" w:cs="Arial"/>
        </w:rPr>
        <w:t>. To reduce these disparities, it is important to provide ongoing training for healthcare professionals, helping them better understand how autism can present differently in girls and improve the accuracy of diagnoses across genders</w:t>
      </w:r>
      <w:r w:rsidR="00AD0097" w:rsidRPr="00EA5F2A">
        <w:rPr>
          <w:rFonts w:ascii="Arial" w:hAnsi="Arial" w:cs="Arial"/>
          <w:color w:val="2C3E50"/>
          <w:sz w:val="23"/>
          <w:szCs w:val="23"/>
          <w:shd w:val="clear" w:color="auto" w:fill="FFFFFF"/>
        </w:rPr>
        <w:t xml:space="preserve"> </w:t>
      </w:r>
      <w:r w:rsidR="00AD0097" w:rsidRPr="00EA5F2A">
        <w:rPr>
          <w:rFonts w:ascii="Arial" w:hAnsi="Arial" w:cs="Arial"/>
        </w:rPr>
        <w:t>(Strickland, MPA, 2017)</w:t>
      </w:r>
      <w:r w:rsidRPr="00EA5F2A">
        <w:rPr>
          <w:rFonts w:ascii="Arial" w:hAnsi="Arial" w:cs="Arial"/>
        </w:rPr>
        <w:t>.</w:t>
      </w:r>
    </w:p>
    <w:p w14:paraId="20409B61" w14:textId="77777777" w:rsidR="007A4D42" w:rsidRPr="00EA5F2A" w:rsidRDefault="007A4D42" w:rsidP="007A4D42">
      <w:pPr>
        <w:rPr>
          <w:rFonts w:ascii="Arial" w:hAnsi="Arial" w:cs="Arial"/>
        </w:rPr>
      </w:pPr>
    </w:p>
    <w:p w14:paraId="0F8FE6D2" w14:textId="77777777" w:rsidR="00455CCA" w:rsidRPr="00EA5F2A" w:rsidRDefault="00455CCA" w:rsidP="007A4D42">
      <w:pPr>
        <w:rPr>
          <w:rFonts w:ascii="Arial" w:hAnsi="Arial" w:cs="Arial"/>
          <w:b/>
        </w:rPr>
      </w:pPr>
      <w:bookmarkStart w:id="4" w:name="_Toc15009"/>
    </w:p>
    <w:p w14:paraId="138C0273" w14:textId="219295F7" w:rsidR="007A4D42" w:rsidRPr="00EA5F2A" w:rsidRDefault="007A4D42" w:rsidP="007A4D42">
      <w:pPr>
        <w:rPr>
          <w:rFonts w:ascii="Arial" w:hAnsi="Arial" w:cs="Arial"/>
          <w:b/>
        </w:rPr>
      </w:pPr>
      <w:r w:rsidRPr="00EA5F2A">
        <w:rPr>
          <w:rFonts w:ascii="Arial" w:hAnsi="Arial" w:cs="Arial"/>
          <w:b/>
        </w:rPr>
        <w:t xml:space="preserve">2.3 Autoimmune Conditions </w:t>
      </w:r>
      <w:bookmarkEnd w:id="4"/>
    </w:p>
    <w:p w14:paraId="35BE1162" w14:textId="55241E40" w:rsidR="007A4D42" w:rsidRPr="00EA5F2A" w:rsidRDefault="007A4D42" w:rsidP="007A4D42">
      <w:pPr>
        <w:rPr>
          <w:rFonts w:ascii="Arial" w:hAnsi="Arial" w:cs="Arial"/>
        </w:rPr>
      </w:pPr>
      <w:r w:rsidRPr="00EA5F2A">
        <w:rPr>
          <w:rFonts w:ascii="Arial" w:hAnsi="Arial" w:cs="Arial"/>
        </w:rPr>
        <w:t xml:space="preserve">According to the Autoimmune Association (2022), autoimmune diseases affect about one in ten people worldwide, with women being more likely to develop them than men at a ratio of </w:t>
      </w:r>
      <w:r w:rsidR="000C0FD6" w:rsidRPr="00EA5F2A">
        <w:rPr>
          <w:rFonts w:ascii="Arial" w:hAnsi="Arial" w:cs="Arial"/>
        </w:rPr>
        <w:t>1.3</w:t>
      </w:r>
      <w:r w:rsidRPr="00EA5F2A">
        <w:rPr>
          <w:rFonts w:ascii="Arial" w:hAnsi="Arial" w:cs="Arial"/>
        </w:rPr>
        <w:t xml:space="preserve"> to 1</w:t>
      </w:r>
      <w:r w:rsidR="0062072C" w:rsidRPr="00EA5F2A">
        <w:rPr>
          <w:rFonts w:ascii="Arial" w:hAnsi="Arial" w:cs="Arial"/>
          <w:color w:val="2C3E50"/>
          <w:sz w:val="23"/>
          <w:szCs w:val="23"/>
          <w:shd w:val="clear" w:color="auto" w:fill="FFFFFF"/>
        </w:rPr>
        <w:t xml:space="preserve"> </w:t>
      </w:r>
      <w:r w:rsidR="0062072C" w:rsidRPr="00EA5F2A">
        <w:rPr>
          <w:rFonts w:ascii="Arial" w:hAnsi="Arial" w:cs="Arial"/>
        </w:rPr>
        <w:t>(Zhang et al., 2022)</w:t>
      </w:r>
      <w:r w:rsidRPr="00EA5F2A">
        <w:rPr>
          <w:rFonts w:ascii="Arial" w:hAnsi="Arial" w:cs="Arial"/>
        </w:rPr>
        <w:t xml:space="preserve">. Lupus, for example, is diagnosed in women </w:t>
      </w:r>
      <w:r w:rsidR="000C0FD6" w:rsidRPr="00EA5F2A">
        <w:rPr>
          <w:rFonts w:ascii="Arial" w:hAnsi="Arial" w:cs="Arial"/>
        </w:rPr>
        <w:t>nine</w:t>
      </w:r>
      <w:r w:rsidRPr="00EA5F2A">
        <w:rPr>
          <w:rFonts w:ascii="Arial" w:hAnsi="Arial" w:cs="Arial"/>
        </w:rPr>
        <w:t xml:space="preserve"> times more often than in men. This difference is influenced by a mix of hormonal, genetic, and environmental factors, along with systemic issues that can delay both diagnosis and treatment</w:t>
      </w:r>
      <w:r w:rsidR="007945F2" w:rsidRPr="00EA5F2A">
        <w:rPr>
          <w:rFonts w:ascii="Arial" w:hAnsi="Arial" w:cs="Arial"/>
          <w:color w:val="2C3E50"/>
          <w:sz w:val="23"/>
          <w:szCs w:val="23"/>
          <w:shd w:val="clear" w:color="auto" w:fill="FFFFFF"/>
        </w:rPr>
        <w:t xml:space="preserve"> </w:t>
      </w:r>
      <w:r w:rsidR="007945F2" w:rsidRPr="00EA5F2A">
        <w:rPr>
          <w:rFonts w:ascii="Arial" w:hAnsi="Arial" w:cs="Arial"/>
        </w:rPr>
        <w:t>(Campise et al., 2015)</w:t>
      </w:r>
      <w:r w:rsidRPr="00EA5F2A">
        <w:rPr>
          <w:rFonts w:ascii="Arial" w:hAnsi="Arial" w:cs="Arial"/>
        </w:rPr>
        <w:t>. Addressing these inequalities requires improving women’s access to healthcare, increasing awareness of autoimmune conditions that disproportionately affect them, and highlighting the importance of early detection to help close the gender gap in health outcomes</w:t>
      </w:r>
      <w:r w:rsidR="00973C2F" w:rsidRPr="00EA5F2A">
        <w:rPr>
          <w:rFonts w:ascii="Arial" w:hAnsi="Arial" w:cs="Arial"/>
          <w:color w:val="2C3E50"/>
          <w:sz w:val="23"/>
          <w:szCs w:val="23"/>
          <w:shd w:val="clear" w:color="auto" w:fill="FFFFFF"/>
        </w:rPr>
        <w:t xml:space="preserve"> </w:t>
      </w:r>
      <w:r w:rsidR="00973C2F" w:rsidRPr="00EA5F2A">
        <w:rPr>
          <w:rFonts w:ascii="Arial" w:hAnsi="Arial" w:cs="Arial"/>
        </w:rPr>
        <w:t> (Pritlove et al., 2019)</w:t>
      </w:r>
      <w:r w:rsidRPr="00EA5F2A">
        <w:rPr>
          <w:rFonts w:ascii="Arial" w:hAnsi="Arial" w:cs="Arial"/>
        </w:rPr>
        <w:t>.</w:t>
      </w:r>
    </w:p>
    <w:p w14:paraId="07D0C61B" w14:textId="77777777" w:rsidR="007A4D42" w:rsidRPr="00EA5F2A" w:rsidRDefault="007A4D42" w:rsidP="007A4D42">
      <w:pPr>
        <w:rPr>
          <w:rFonts w:ascii="Arial" w:hAnsi="Arial" w:cs="Arial"/>
        </w:rPr>
      </w:pPr>
    </w:p>
    <w:p w14:paraId="07E592B8" w14:textId="77777777" w:rsidR="007A4D42" w:rsidRPr="00EA5F2A" w:rsidRDefault="007A4D42" w:rsidP="007A4D42">
      <w:pPr>
        <w:rPr>
          <w:rFonts w:ascii="Arial" w:hAnsi="Arial" w:cs="Arial"/>
          <w:b/>
        </w:rPr>
      </w:pPr>
      <w:bookmarkStart w:id="5" w:name="_Toc15010"/>
      <w:r w:rsidRPr="00EA5F2A">
        <w:rPr>
          <w:rFonts w:ascii="Arial" w:hAnsi="Arial" w:cs="Arial"/>
          <w:b/>
        </w:rPr>
        <w:t xml:space="preserve">2.4 Poverty and Income Inequality </w:t>
      </w:r>
      <w:bookmarkEnd w:id="5"/>
    </w:p>
    <w:p w14:paraId="01BAD520" w14:textId="76958A8C" w:rsidR="007A4D42" w:rsidRPr="00EA5F2A" w:rsidRDefault="007A4D42" w:rsidP="007A4D42">
      <w:pPr>
        <w:rPr>
          <w:rFonts w:ascii="Arial" w:hAnsi="Arial" w:cs="Arial"/>
        </w:rPr>
      </w:pPr>
      <w:r w:rsidRPr="00EA5F2A">
        <w:rPr>
          <w:rFonts w:ascii="Arial" w:hAnsi="Arial" w:cs="Arial"/>
        </w:rPr>
        <w:t xml:space="preserve">The latest figures, from Nadarajah (2023) reveal that one in five women (21 %) and under one in five men (19 %) in the UK are classified as living in poverty. The gender </w:t>
      </w:r>
      <w:r w:rsidR="000C0FD6" w:rsidRPr="00EA5F2A">
        <w:rPr>
          <w:rFonts w:ascii="Arial" w:hAnsi="Arial" w:cs="Arial"/>
        </w:rPr>
        <w:t>pays</w:t>
      </w:r>
      <w:r w:rsidRPr="00EA5F2A">
        <w:rPr>
          <w:rFonts w:ascii="Arial" w:hAnsi="Arial" w:cs="Arial"/>
        </w:rPr>
        <w:t xml:space="preserve"> gap remains stubbornly </w:t>
      </w:r>
      <w:r w:rsidR="000C0FD6" w:rsidRPr="00EA5F2A">
        <w:rPr>
          <w:rFonts w:ascii="Arial" w:hAnsi="Arial" w:cs="Arial"/>
        </w:rPr>
        <w:t>wide women</w:t>
      </w:r>
      <w:r w:rsidRPr="00EA5F2A">
        <w:rPr>
          <w:rFonts w:ascii="Arial" w:hAnsi="Arial" w:cs="Arial"/>
        </w:rPr>
        <w:t xml:space="preserve"> earn 14.9 % less than their counterparts on average</w:t>
      </w:r>
      <w:r w:rsidR="0062498A" w:rsidRPr="00EA5F2A">
        <w:rPr>
          <w:rFonts w:ascii="Arial" w:hAnsi="Arial" w:cs="Arial"/>
          <w:color w:val="2C3E50"/>
          <w:sz w:val="23"/>
          <w:szCs w:val="23"/>
          <w:shd w:val="clear" w:color="auto" w:fill="FFFFFF"/>
        </w:rPr>
        <w:t xml:space="preserve"> </w:t>
      </w:r>
      <w:r w:rsidR="0062498A" w:rsidRPr="00EA5F2A">
        <w:rPr>
          <w:rFonts w:ascii="Arial" w:hAnsi="Arial" w:cs="Arial"/>
        </w:rPr>
        <w:t>(WARINNER, 2017)</w:t>
      </w:r>
      <w:r w:rsidRPr="00EA5F2A">
        <w:rPr>
          <w:rFonts w:ascii="Arial" w:hAnsi="Arial" w:cs="Arial"/>
        </w:rPr>
        <w:t>. More stark is the share of workers in low</w:t>
      </w:r>
      <w:r w:rsidRPr="00EA5F2A">
        <w:rPr>
          <w:rFonts w:ascii="Cambria Math" w:hAnsi="Cambria Math" w:cs="Cambria Math"/>
        </w:rPr>
        <w:t>‑</w:t>
      </w:r>
      <w:r w:rsidRPr="00EA5F2A">
        <w:rPr>
          <w:rFonts w:ascii="Arial" w:hAnsi="Arial" w:cs="Arial"/>
        </w:rPr>
        <w:t>paid positions: 22 % of women versus 14 % of men find themselves in such jobs. On top of that the recent surge, in costs has tightened the noose with single mothers feeling the squeeze most acutely</w:t>
      </w:r>
      <w:r w:rsidR="00BF5B82" w:rsidRPr="00EA5F2A">
        <w:rPr>
          <w:rFonts w:ascii="Arial" w:hAnsi="Arial" w:cs="Arial"/>
          <w:color w:val="2C3E50"/>
          <w:sz w:val="23"/>
          <w:szCs w:val="23"/>
          <w:shd w:val="clear" w:color="auto" w:fill="FFFFFF"/>
        </w:rPr>
        <w:t xml:space="preserve"> </w:t>
      </w:r>
      <w:r w:rsidR="00BF5B82" w:rsidRPr="00EA5F2A">
        <w:rPr>
          <w:rFonts w:ascii="Arial" w:hAnsi="Arial" w:cs="Arial"/>
        </w:rPr>
        <w:t>(Anderson et al., 2018)</w:t>
      </w:r>
      <w:r w:rsidRPr="00EA5F2A">
        <w:rPr>
          <w:rFonts w:ascii="Arial" w:hAnsi="Arial" w:cs="Arial"/>
        </w:rPr>
        <w:t>. Closing the gender pay gap reinforcing social welfare assistance and investing in programs that empower women economically are all actions, for addressing these inequalities and reducing poverty rates</w:t>
      </w:r>
      <w:r w:rsidR="00206E75" w:rsidRPr="00EA5F2A">
        <w:rPr>
          <w:rFonts w:ascii="Arial" w:hAnsi="Arial" w:cs="Arial"/>
          <w:color w:val="2C3E50"/>
          <w:sz w:val="23"/>
          <w:szCs w:val="23"/>
          <w:shd w:val="clear" w:color="auto" w:fill="FFFFFF"/>
        </w:rPr>
        <w:t xml:space="preserve"> </w:t>
      </w:r>
      <w:r w:rsidR="00206E75" w:rsidRPr="00EA5F2A">
        <w:rPr>
          <w:rFonts w:ascii="Arial" w:hAnsi="Arial" w:cs="Arial"/>
        </w:rPr>
        <w:t> (Romich and Rodriguez, 2021)</w:t>
      </w:r>
      <w:r w:rsidRPr="00EA5F2A">
        <w:rPr>
          <w:rFonts w:ascii="Arial" w:hAnsi="Arial" w:cs="Arial"/>
        </w:rPr>
        <w:t>.</w:t>
      </w:r>
    </w:p>
    <w:p w14:paraId="68886001" w14:textId="77777777" w:rsidR="007A4D42" w:rsidRPr="00EA5F2A" w:rsidRDefault="007A4D42" w:rsidP="007A4D42">
      <w:pPr>
        <w:rPr>
          <w:rFonts w:ascii="Arial" w:hAnsi="Arial" w:cs="Arial"/>
        </w:rPr>
      </w:pPr>
    </w:p>
    <w:p w14:paraId="6E1D2DB0" w14:textId="77777777" w:rsidR="007A4D42" w:rsidRPr="00EA5F2A" w:rsidRDefault="007A4D42" w:rsidP="007A4D42">
      <w:pPr>
        <w:rPr>
          <w:rFonts w:ascii="Arial" w:hAnsi="Arial" w:cs="Arial"/>
          <w:b/>
        </w:rPr>
      </w:pPr>
      <w:bookmarkStart w:id="6" w:name="_Toc15011"/>
      <w:r w:rsidRPr="00EA5F2A">
        <w:rPr>
          <w:rFonts w:ascii="Arial" w:hAnsi="Arial" w:cs="Arial"/>
          <w:b/>
        </w:rPr>
        <w:t xml:space="preserve">2.5 Loneliness </w:t>
      </w:r>
      <w:bookmarkEnd w:id="6"/>
    </w:p>
    <w:p w14:paraId="2FADBBB9" w14:textId="03F8DB70" w:rsidR="007A4D42" w:rsidRPr="00EA5F2A" w:rsidRDefault="007A4D42" w:rsidP="007A4D42">
      <w:pPr>
        <w:rPr>
          <w:rFonts w:ascii="Arial" w:hAnsi="Arial" w:cs="Arial"/>
        </w:rPr>
      </w:pPr>
      <w:r w:rsidRPr="00EA5F2A">
        <w:rPr>
          <w:rFonts w:ascii="Arial" w:hAnsi="Arial" w:cs="Arial"/>
        </w:rPr>
        <w:t>According to Lawton (2024), just 20% of men reported feeling lonely occasionally, compared to 24% of women. It turns out that older women are more likely to experience loneliness; 16.3% of these women report feeling lonely, and the majority of them are between the ages of 75 and 84</w:t>
      </w:r>
      <w:r w:rsidR="00E06255" w:rsidRPr="00EA5F2A">
        <w:rPr>
          <w:rFonts w:ascii="Arial" w:hAnsi="Arial" w:cs="Arial"/>
          <w:color w:val="2C3E50"/>
          <w:sz w:val="23"/>
          <w:szCs w:val="23"/>
          <w:shd w:val="clear" w:color="auto" w:fill="FFFFFF"/>
        </w:rPr>
        <w:t xml:space="preserve"> </w:t>
      </w:r>
      <w:r w:rsidR="00E06255" w:rsidRPr="00EA5F2A">
        <w:rPr>
          <w:rFonts w:ascii="Arial" w:hAnsi="Arial" w:cs="Arial"/>
        </w:rPr>
        <w:t>(Irwan Irwan, 2020)</w:t>
      </w:r>
      <w:r w:rsidRPr="00EA5F2A">
        <w:rPr>
          <w:rFonts w:ascii="Arial" w:hAnsi="Arial" w:cs="Arial"/>
        </w:rPr>
        <w:t>. Another intriguing statistic is that women experience chronic loneliness at a rate of 7.7% compared to 6.3% for men.  These include being a single woman, taking care of children, caring for the elderly, or even having to live alone</w:t>
      </w:r>
      <w:r w:rsidR="005930BD" w:rsidRPr="00EA5F2A">
        <w:rPr>
          <w:rFonts w:ascii="Arial" w:hAnsi="Arial" w:cs="Arial"/>
          <w:color w:val="2C3E50"/>
          <w:sz w:val="23"/>
          <w:szCs w:val="23"/>
          <w:shd w:val="clear" w:color="auto" w:fill="FFFFFF"/>
        </w:rPr>
        <w:t xml:space="preserve"> </w:t>
      </w:r>
      <w:r w:rsidR="005930BD" w:rsidRPr="00EA5F2A">
        <w:rPr>
          <w:rFonts w:ascii="Arial" w:hAnsi="Arial" w:cs="Arial"/>
        </w:rPr>
        <w:t>(Barnack and Chrisler, 2007)</w:t>
      </w:r>
      <w:r w:rsidRPr="00EA5F2A">
        <w:rPr>
          <w:rFonts w:ascii="Arial" w:hAnsi="Arial" w:cs="Arial"/>
        </w:rPr>
        <w:t xml:space="preserve">. </w:t>
      </w:r>
      <w:r w:rsidR="000C0FD6" w:rsidRPr="00EA5F2A">
        <w:rPr>
          <w:rFonts w:ascii="Arial" w:hAnsi="Arial" w:cs="Arial"/>
        </w:rPr>
        <w:t>To</w:t>
      </w:r>
      <w:r w:rsidRPr="00EA5F2A">
        <w:rPr>
          <w:rFonts w:ascii="Arial" w:hAnsi="Arial" w:cs="Arial"/>
        </w:rPr>
        <w:t xml:space="preserve"> guarantee the elimination of social isolation, some of the interventions include connecting clients to pertinent services, volunteer support programs, and non-governmental organizations, as well as enhancing clients' access to certified psychological and psychiatric services</w:t>
      </w:r>
      <w:r w:rsidR="00CC63FC" w:rsidRPr="00EA5F2A">
        <w:rPr>
          <w:rFonts w:ascii="Arial" w:hAnsi="Arial" w:cs="Arial"/>
          <w:color w:val="2C3E50"/>
          <w:sz w:val="23"/>
          <w:szCs w:val="23"/>
          <w:shd w:val="clear" w:color="auto" w:fill="FFFFFF"/>
        </w:rPr>
        <w:t xml:space="preserve"> </w:t>
      </w:r>
      <w:r w:rsidR="00CC63FC" w:rsidRPr="00EA5F2A">
        <w:rPr>
          <w:rFonts w:ascii="Arial" w:hAnsi="Arial" w:cs="Arial"/>
        </w:rPr>
        <w:t>(Brazelton et al., 1999)</w:t>
      </w:r>
      <w:r w:rsidRPr="00EA5F2A">
        <w:rPr>
          <w:rFonts w:ascii="Arial" w:hAnsi="Arial" w:cs="Arial"/>
        </w:rPr>
        <w:t>.</w:t>
      </w:r>
    </w:p>
    <w:p w14:paraId="44445D10" w14:textId="77777777" w:rsidR="007A4D42" w:rsidRPr="00EA5F2A" w:rsidRDefault="007A4D42" w:rsidP="007A4D42">
      <w:pPr>
        <w:rPr>
          <w:rFonts w:ascii="Arial" w:hAnsi="Arial" w:cs="Arial"/>
        </w:rPr>
      </w:pPr>
    </w:p>
    <w:p w14:paraId="784FEFFD" w14:textId="77777777" w:rsidR="007A4D42" w:rsidRPr="00EA5F2A" w:rsidRDefault="007A4D42" w:rsidP="007A4D42">
      <w:pPr>
        <w:rPr>
          <w:rFonts w:ascii="Arial" w:hAnsi="Arial" w:cs="Arial"/>
          <w:b/>
        </w:rPr>
      </w:pPr>
      <w:bookmarkStart w:id="7" w:name="_Toc15012"/>
      <w:r w:rsidRPr="00EA5F2A">
        <w:rPr>
          <w:rFonts w:ascii="Arial" w:hAnsi="Arial" w:cs="Arial"/>
          <w:b/>
        </w:rPr>
        <w:lastRenderedPageBreak/>
        <w:t xml:space="preserve">2.6 Domestic Violence and Abuse </w:t>
      </w:r>
      <w:bookmarkEnd w:id="7"/>
    </w:p>
    <w:p w14:paraId="1A5C6282" w14:textId="721EED5E" w:rsidR="007A4D42" w:rsidRPr="00EA5F2A" w:rsidRDefault="007A4D42" w:rsidP="007A4D42">
      <w:pPr>
        <w:rPr>
          <w:rFonts w:ascii="Arial" w:hAnsi="Arial" w:cs="Arial"/>
        </w:rPr>
      </w:pPr>
      <w:r w:rsidRPr="00EA5F2A">
        <w:rPr>
          <w:rFonts w:ascii="Arial" w:hAnsi="Arial" w:cs="Arial"/>
        </w:rPr>
        <w:t xml:space="preserve">Domestic abuse affects 751,000 men and 1.4 million women in the UK annually, according to Jones (2023). According to the benchmark statistics, </w:t>
      </w:r>
      <w:r w:rsidR="000C0FD6" w:rsidRPr="00EA5F2A">
        <w:rPr>
          <w:rFonts w:ascii="Arial" w:hAnsi="Arial" w:cs="Arial"/>
        </w:rPr>
        <w:t>most</w:t>
      </w:r>
      <w:r w:rsidRPr="00EA5F2A">
        <w:rPr>
          <w:rFonts w:ascii="Arial" w:hAnsi="Arial" w:cs="Arial"/>
        </w:rPr>
        <w:t xml:space="preserve"> women are more likely to experience severe violence, multiple victimizations, and sexual use</w:t>
      </w:r>
      <w:r w:rsidR="00ED2C07" w:rsidRPr="00EA5F2A">
        <w:rPr>
          <w:rFonts w:ascii="Arial" w:hAnsi="Arial" w:cs="Arial"/>
          <w:color w:val="2C3E50"/>
          <w:sz w:val="23"/>
          <w:szCs w:val="23"/>
          <w:shd w:val="clear" w:color="auto" w:fill="FFFFFF"/>
        </w:rPr>
        <w:t xml:space="preserve"> </w:t>
      </w:r>
      <w:r w:rsidR="00ED2C07" w:rsidRPr="00EA5F2A">
        <w:rPr>
          <w:rFonts w:ascii="Arial" w:hAnsi="Arial" w:cs="Arial"/>
        </w:rPr>
        <w:t>(Wallace et al., 2019)</w:t>
      </w:r>
      <w:r w:rsidRPr="00EA5F2A">
        <w:rPr>
          <w:rFonts w:ascii="Arial" w:hAnsi="Arial" w:cs="Arial"/>
        </w:rPr>
        <w:t>. More than 95% of participants in Multi-Agency Risk Assessment Conferences (MARACs) are women. Additionally, internal femicide was noted, and the man was found not guilty</w:t>
      </w:r>
      <w:r w:rsidR="00A31C98" w:rsidRPr="00EA5F2A">
        <w:rPr>
          <w:rFonts w:ascii="Arial" w:hAnsi="Arial" w:cs="Arial"/>
        </w:rPr>
        <w:t> (Shaukat et al., 2021)</w:t>
      </w:r>
      <w:r w:rsidR="00CA3E7C" w:rsidRPr="00EA5F2A">
        <w:rPr>
          <w:rFonts w:ascii="Arial" w:hAnsi="Arial" w:cs="Arial"/>
        </w:rPr>
        <w:t xml:space="preserve">. </w:t>
      </w:r>
      <w:r w:rsidRPr="00EA5F2A">
        <w:rPr>
          <w:rFonts w:ascii="Arial" w:hAnsi="Arial" w:cs="Arial"/>
        </w:rPr>
        <w:t>Increased awareness of domestic abuse, improved legislation, and greater concern for victims are likely to address the gender-based issue and help women. In 2019, these factors were 222 and 83, respectively</w:t>
      </w:r>
      <w:r w:rsidR="005F3404" w:rsidRPr="00EA5F2A">
        <w:rPr>
          <w:rFonts w:ascii="Arial" w:hAnsi="Arial" w:cs="Arial"/>
          <w:color w:val="2C3E50"/>
          <w:sz w:val="23"/>
          <w:szCs w:val="23"/>
          <w:shd w:val="clear" w:color="auto" w:fill="FFFFFF"/>
        </w:rPr>
        <w:t xml:space="preserve"> </w:t>
      </w:r>
      <w:r w:rsidR="005F3404" w:rsidRPr="00EA5F2A">
        <w:rPr>
          <w:rFonts w:ascii="Arial" w:hAnsi="Arial" w:cs="Arial"/>
        </w:rPr>
        <w:t>(Hylton, 2022)</w:t>
      </w:r>
      <w:r w:rsidRPr="00EA5F2A">
        <w:rPr>
          <w:rFonts w:ascii="Arial" w:hAnsi="Arial" w:cs="Arial"/>
        </w:rPr>
        <w:t>.</w:t>
      </w:r>
    </w:p>
    <w:p w14:paraId="653BD1B1" w14:textId="77777777" w:rsidR="007A4D42" w:rsidRPr="00EA5F2A" w:rsidRDefault="007A4D42" w:rsidP="007A4D42">
      <w:pPr>
        <w:rPr>
          <w:rFonts w:ascii="Arial" w:hAnsi="Arial" w:cs="Arial"/>
        </w:rPr>
      </w:pPr>
    </w:p>
    <w:p w14:paraId="2F11E4B9" w14:textId="77777777" w:rsidR="007A4D42" w:rsidRPr="00EA5F2A" w:rsidRDefault="007A4D42" w:rsidP="007A4D42">
      <w:pPr>
        <w:rPr>
          <w:rFonts w:ascii="Arial" w:hAnsi="Arial" w:cs="Arial"/>
          <w:b/>
        </w:rPr>
      </w:pPr>
      <w:bookmarkStart w:id="8" w:name="_Toc15013"/>
      <w:r w:rsidRPr="00EA5F2A">
        <w:rPr>
          <w:rFonts w:ascii="Arial" w:hAnsi="Arial" w:cs="Arial"/>
          <w:b/>
        </w:rPr>
        <w:t xml:space="preserve">3. National Efforts at Addressing Equalities </w:t>
      </w:r>
      <w:bookmarkEnd w:id="8"/>
    </w:p>
    <w:p w14:paraId="38C3E97C" w14:textId="320B0D19" w:rsidR="007A4D42" w:rsidRPr="00EA5F2A" w:rsidRDefault="007A4D42" w:rsidP="007A4D42">
      <w:pPr>
        <w:rPr>
          <w:rFonts w:ascii="Arial" w:hAnsi="Arial" w:cs="Arial"/>
        </w:rPr>
      </w:pPr>
      <w:r w:rsidRPr="00EA5F2A">
        <w:rPr>
          <w:rFonts w:ascii="Arial" w:hAnsi="Arial" w:cs="Arial"/>
        </w:rPr>
        <w:t xml:space="preserve">The Conservative government launched the </w:t>
      </w:r>
      <w:r w:rsidR="000C0FD6" w:rsidRPr="00EA5F2A">
        <w:rPr>
          <w:rFonts w:ascii="Arial" w:hAnsi="Arial" w:cs="Arial"/>
        </w:rPr>
        <w:t>Women’s</w:t>
      </w:r>
      <w:r w:rsidRPr="00EA5F2A">
        <w:rPr>
          <w:rFonts w:ascii="Arial" w:hAnsi="Arial" w:cs="Arial"/>
        </w:rPr>
        <w:t xml:space="preserve"> Health Strategy back in 2022. It aimed to tackle the gaps in healthcare between men and women. Key goals included better access to maternity services</w:t>
      </w:r>
      <w:r w:rsidR="008C2A60" w:rsidRPr="00EA5F2A">
        <w:rPr>
          <w:rFonts w:ascii="Arial" w:hAnsi="Arial" w:cs="Arial"/>
          <w:color w:val="2C3E50"/>
          <w:sz w:val="23"/>
          <w:szCs w:val="23"/>
          <w:shd w:val="clear" w:color="auto" w:fill="FFFFFF"/>
        </w:rPr>
        <w:t xml:space="preserve"> </w:t>
      </w:r>
      <w:r w:rsidR="008C2A60" w:rsidRPr="00EA5F2A">
        <w:rPr>
          <w:rFonts w:ascii="Arial" w:hAnsi="Arial" w:cs="Arial"/>
        </w:rPr>
        <w:t>(R. et al., 2023)</w:t>
      </w:r>
      <w:r w:rsidRPr="00EA5F2A">
        <w:rPr>
          <w:rFonts w:ascii="Arial" w:hAnsi="Arial" w:cs="Arial"/>
        </w:rPr>
        <w:t>. Costs for hormone replacement therapy came down for women going through menopause. Contraception options expanded too. A new research institute focused on health issues for women and girls. Medical training got an upgrade as well. Evidence points to these steps helping close disparities</w:t>
      </w:r>
      <w:r w:rsidR="006802F2" w:rsidRPr="00EA5F2A">
        <w:rPr>
          <w:rFonts w:ascii="Arial" w:hAnsi="Arial" w:cs="Arial"/>
          <w:color w:val="2C3E50"/>
          <w:sz w:val="23"/>
          <w:szCs w:val="23"/>
          <w:shd w:val="clear" w:color="auto" w:fill="FFFFFF"/>
        </w:rPr>
        <w:t xml:space="preserve"> </w:t>
      </w:r>
      <w:r w:rsidR="006802F2" w:rsidRPr="00EA5F2A">
        <w:rPr>
          <w:rFonts w:ascii="Arial" w:hAnsi="Arial" w:cs="Arial"/>
        </w:rPr>
        <w:t>(Ratner, 2001)</w:t>
      </w:r>
      <w:r w:rsidRPr="00EA5F2A">
        <w:rPr>
          <w:rFonts w:ascii="Arial" w:hAnsi="Arial" w:cs="Arial"/>
        </w:rPr>
        <w:t xml:space="preserve">. </w:t>
      </w:r>
    </w:p>
    <w:p w14:paraId="7340F8CD" w14:textId="70C788B5" w:rsidR="007A4D42" w:rsidRPr="00EA5F2A" w:rsidRDefault="007A4D42" w:rsidP="007A4D42">
      <w:pPr>
        <w:rPr>
          <w:rFonts w:ascii="Arial" w:hAnsi="Arial" w:cs="Arial"/>
        </w:rPr>
      </w:pPr>
      <w:r w:rsidRPr="00EA5F2A">
        <w:rPr>
          <w:rFonts w:ascii="Arial" w:hAnsi="Arial" w:cs="Arial"/>
        </w:rPr>
        <w:t xml:space="preserve">The Equality Act from 2010 works toward the same end. It pushes to stop discrimination based on gender in healthcare. Female patients should get treatment </w:t>
      </w:r>
      <w:r w:rsidR="000C0FD6" w:rsidRPr="00EA5F2A">
        <w:rPr>
          <w:rFonts w:ascii="Arial" w:hAnsi="Arial" w:cs="Arial"/>
        </w:rPr>
        <w:t>that’s</w:t>
      </w:r>
      <w:r w:rsidRPr="00EA5F2A">
        <w:rPr>
          <w:rFonts w:ascii="Arial" w:hAnsi="Arial" w:cs="Arial"/>
        </w:rPr>
        <w:t xml:space="preserve"> fair and equal. Studies suggest this approach could make a real difference over time</w:t>
      </w:r>
      <w:r w:rsidR="001D59AF" w:rsidRPr="00EA5F2A">
        <w:rPr>
          <w:rFonts w:ascii="Arial" w:hAnsi="Arial" w:cs="Arial"/>
          <w:color w:val="2C3E50"/>
          <w:sz w:val="23"/>
          <w:szCs w:val="23"/>
          <w:shd w:val="clear" w:color="auto" w:fill="FFFFFF"/>
        </w:rPr>
        <w:t xml:space="preserve"> </w:t>
      </w:r>
      <w:r w:rsidR="001D59AF" w:rsidRPr="00EA5F2A">
        <w:rPr>
          <w:rFonts w:ascii="Arial" w:hAnsi="Arial" w:cs="Arial"/>
        </w:rPr>
        <w:t> (Chaloner, 2013)</w:t>
      </w:r>
      <w:r w:rsidRPr="00EA5F2A">
        <w:rPr>
          <w:rFonts w:ascii="Arial" w:hAnsi="Arial" w:cs="Arial"/>
        </w:rPr>
        <w:t>.</w:t>
      </w:r>
    </w:p>
    <w:p w14:paraId="297497C8" w14:textId="77777777" w:rsidR="007A4D42" w:rsidRPr="00EA5F2A" w:rsidRDefault="007A4D42" w:rsidP="007A4D42">
      <w:pPr>
        <w:rPr>
          <w:rFonts w:ascii="Arial" w:hAnsi="Arial" w:cs="Arial"/>
        </w:rPr>
      </w:pPr>
    </w:p>
    <w:p w14:paraId="497A61E4" w14:textId="77777777" w:rsidR="007A4D42" w:rsidRPr="00EA5F2A" w:rsidRDefault="007A4D42" w:rsidP="007A4D42">
      <w:pPr>
        <w:rPr>
          <w:rFonts w:ascii="Arial" w:hAnsi="Arial" w:cs="Arial"/>
          <w:b/>
        </w:rPr>
      </w:pPr>
      <w:bookmarkStart w:id="9" w:name="_Toc15014"/>
      <w:r w:rsidRPr="00EA5F2A">
        <w:rPr>
          <w:rFonts w:ascii="Arial" w:hAnsi="Arial" w:cs="Arial"/>
          <w:b/>
        </w:rPr>
        <w:t xml:space="preserve">4. Organisations Supporting Women's and Addressing Inequalities </w:t>
      </w:r>
      <w:bookmarkEnd w:id="9"/>
    </w:p>
    <w:p w14:paraId="60E2A53E" w14:textId="6DF4BA2D" w:rsidR="007A4D42" w:rsidRPr="00EA5F2A" w:rsidRDefault="007A4D42" w:rsidP="007A4D42">
      <w:pPr>
        <w:rPr>
          <w:rFonts w:ascii="Arial" w:hAnsi="Arial" w:cs="Arial"/>
        </w:rPr>
      </w:pPr>
      <w:r w:rsidRPr="00EA5F2A">
        <w:rPr>
          <w:rFonts w:ascii="Arial" w:hAnsi="Arial" w:cs="Arial"/>
        </w:rPr>
        <w:t>The Fawcett Society is one of the more well-acknowledged organizations in the UK that work toward improving women's health</w:t>
      </w:r>
      <w:r w:rsidR="00566260" w:rsidRPr="00EA5F2A">
        <w:rPr>
          <w:rFonts w:ascii="Arial" w:hAnsi="Arial" w:cs="Arial"/>
          <w:color w:val="2C3E50"/>
          <w:sz w:val="23"/>
          <w:szCs w:val="23"/>
          <w:shd w:val="clear" w:color="auto" w:fill="FFFFFF"/>
        </w:rPr>
        <w:t xml:space="preserve"> </w:t>
      </w:r>
      <w:r w:rsidR="00566260" w:rsidRPr="00EA5F2A">
        <w:rPr>
          <w:rFonts w:ascii="Arial" w:hAnsi="Arial" w:cs="Arial"/>
        </w:rPr>
        <w:t>(Hettne, 2005)</w:t>
      </w:r>
      <w:r w:rsidRPr="00EA5F2A">
        <w:rPr>
          <w:rFonts w:ascii="Arial" w:hAnsi="Arial" w:cs="Arial"/>
        </w:rPr>
        <w:t>. It is, however, one of the largest charities in the country specifically focused on women's rights, as explained by the Charity Commission for England and Wales, 2024</w:t>
      </w:r>
      <w:r w:rsidR="000F6E12" w:rsidRPr="00EA5F2A">
        <w:rPr>
          <w:rFonts w:ascii="Arial" w:hAnsi="Arial" w:cs="Arial"/>
          <w:color w:val="2C3E50"/>
          <w:sz w:val="23"/>
          <w:szCs w:val="23"/>
          <w:shd w:val="clear" w:color="auto" w:fill="FFFFFF"/>
        </w:rPr>
        <w:t xml:space="preserve"> </w:t>
      </w:r>
      <w:r w:rsidR="000B0C4A" w:rsidRPr="00EA5F2A">
        <w:rPr>
          <w:rFonts w:ascii="Arial" w:hAnsi="Arial" w:cs="Arial"/>
          <w:color w:val="2C3E50"/>
          <w:sz w:val="23"/>
          <w:szCs w:val="23"/>
          <w:shd w:val="clear" w:color="auto" w:fill="FFFFFF"/>
        </w:rPr>
        <w:t>(Morris, 2000)</w:t>
      </w:r>
      <w:r w:rsidRPr="00EA5F2A">
        <w:rPr>
          <w:rFonts w:ascii="Arial" w:hAnsi="Arial" w:cs="Arial"/>
        </w:rPr>
        <w:t>. The basis of care for this organization includes maternity-related issues, birth control, reproductive health, and wider medical access and support for women</w:t>
      </w:r>
      <w:r w:rsidR="00432B8A" w:rsidRPr="00EA5F2A">
        <w:rPr>
          <w:rFonts w:ascii="Arial" w:hAnsi="Arial" w:cs="Arial"/>
          <w:color w:val="2C3E50"/>
          <w:sz w:val="23"/>
          <w:szCs w:val="23"/>
          <w:shd w:val="clear" w:color="auto" w:fill="FFFFFF"/>
        </w:rPr>
        <w:t xml:space="preserve"> </w:t>
      </w:r>
      <w:r w:rsidR="00432B8A" w:rsidRPr="00EA5F2A">
        <w:rPr>
          <w:rFonts w:ascii="Arial" w:hAnsi="Arial" w:cs="Arial"/>
        </w:rPr>
        <w:t>(Perry, 1972)</w:t>
      </w:r>
      <w:r w:rsidRPr="00EA5F2A">
        <w:rPr>
          <w:rFonts w:ascii="Arial" w:hAnsi="Arial" w:cs="Arial"/>
        </w:rPr>
        <w:t>.</w:t>
      </w:r>
    </w:p>
    <w:p w14:paraId="71EA2DC9" w14:textId="77777777" w:rsidR="007A4D42" w:rsidRPr="00EA5F2A" w:rsidRDefault="007A4D42" w:rsidP="007A4D42">
      <w:pPr>
        <w:rPr>
          <w:rFonts w:ascii="Arial" w:hAnsi="Arial" w:cs="Arial"/>
        </w:rPr>
      </w:pPr>
    </w:p>
    <w:p w14:paraId="3FEB784C" w14:textId="1C8B2D1E" w:rsidR="007A4D42" w:rsidRPr="00EA5F2A" w:rsidRDefault="007A4D42" w:rsidP="007A4D42">
      <w:pPr>
        <w:rPr>
          <w:rFonts w:ascii="Arial" w:hAnsi="Arial" w:cs="Arial"/>
        </w:rPr>
      </w:pPr>
      <w:r w:rsidRPr="00EA5F2A">
        <w:rPr>
          <w:rFonts w:ascii="Arial" w:hAnsi="Arial" w:cs="Arial"/>
        </w:rPr>
        <w:t>The Fawcett Society is an organization committed to legislative changes that improve women's well-being and begin closing the gender health gap</w:t>
      </w:r>
      <w:r w:rsidR="00BC1212" w:rsidRPr="00EA5F2A">
        <w:rPr>
          <w:rFonts w:ascii="Arial" w:hAnsi="Arial" w:cs="Arial"/>
          <w:color w:val="2C3E50"/>
          <w:sz w:val="23"/>
          <w:szCs w:val="23"/>
          <w:shd w:val="clear" w:color="auto" w:fill="FFFFFF"/>
        </w:rPr>
        <w:t xml:space="preserve"> </w:t>
      </w:r>
      <w:r w:rsidR="00BC1212" w:rsidRPr="00EA5F2A">
        <w:rPr>
          <w:rFonts w:ascii="Arial" w:hAnsi="Arial" w:cs="Arial"/>
        </w:rPr>
        <w:t>(Grant, 1999)</w:t>
      </w:r>
      <w:r w:rsidRPr="00EA5F2A">
        <w:rPr>
          <w:rFonts w:ascii="Arial" w:hAnsi="Arial" w:cs="Arial"/>
        </w:rPr>
        <w:t>. It highlights several key areas, including but not limited to, inequity in access to medical care, barriers to seeking care for pregnant women, and negative impacts on health outcomes associated with gender-based violence</w:t>
      </w:r>
      <w:r w:rsidR="00660634" w:rsidRPr="00EA5F2A">
        <w:rPr>
          <w:rFonts w:ascii="Arial" w:hAnsi="Arial" w:cs="Arial"/>
          <w:color w:val="2C3E50"/>
          <w:sz w:val="23"/>
          <w:szCs w:val="23"/>
          <w:shd w:val="clear" w:color="auto" w:fill="FFFFFF"/>
        </w:rPr>
        <w:t xml:space="preserve"> </w:t>
      </w:r>
      <w:r w:rsidR="00660634" w:rsidRPr="00EA5F2A">
        <w:rPr>
          <w:rFonts w:ascii="Arial" w:hAnsi="Arial" w:cs="Arial"/>
        </w:rPr>
        <w:t>(Conrad et al., 2015)</w:t>
      </w:r>
      <w:r w:rsidRPr="00EA5F2A">
        <w:rPr>
          <w:rFonts w:ascii="Arial" w:hAnsi="Arial" w:cs="Arial"/>
        </w:rPr>
        <w:t xml:space="preserve">. The primary purposes of the charity are to close the gap in women and men's incomes, </w:t>
      </w:r>
      <w:r w:rsidRPr="00EA5F2A">
        <w:rPr>
          <w:rFonts w:ascii="Arial" w:hAnsi="Arial" w:cs="Arial"/>
        </w:rPr>
        <w:lastRenderedPageBreak/>
        <w:t>increase women's access to appropriate treatment, and decrease health inequality for women of colour and other oppressed ladies</w:t>
      </w:r>
      <w:r w:rsidR="00A34483" w:rsidRPr="00EA5F2A">
        <w:rPr>
          <w:rFonts w:ascii="Arial" w:hAnsi="Arial" w:cs="Arial"/>
          <w:color w:val="2C3E50"/>
          <w:sz w:val="23"/>
          <w:szCs w:val="23"/>
          <w:shd w:val="clear" w:color="auto" w:fill="FFFFFF"/>
        </w:rPr>
        <w:t xml:space="preserve"> </w:t>
      </w:r>
      <w:r w:rsidR="00A34483" w:rsidRPr="00EA5F2A">
        <w:rPr>
          <w:rFonts w:ascii="Arial" w:hAnsi="Arial" w:cs="Arial"/>
        </w:rPr>
        <w:t>(Birtwistle and Moore, 2007)</w:t>
      </w:r>
      <w:r w:rsidRPr="00EA5F2A">
        <w:rPr>
          <w:rFonts w:ascii="Arial" w:hAnsi="Arial" w:cs="Arial"/>
        </w:rPr>
        <w:t>. Fawcett Society is a gender equality organization that independently undertakes public campaigns and collaborates in them</w:t>
      </w:r>
      <w:r w:rsidR="00767807" w:rsidRPr="00EA5F2A">
        <w:rPr>
          <w:rFonts w:ascii="Arial" w:hAnsi="Arial" w:cs="Arial"/>
          <w:color w:val="2C3E50"/>
          <w:sz w:val="23"/>
          <w:szCs w:val="23"/>
          <w:shd w:val="clear" w:color="auto" w:fill="FFFFFF"/>
        </w:rPr>
        <w:t xml:space="preserve"> </w:t>
      </w:r>
      <w:r w:rsidR="00767807" w:rsidRPr="00EA5F2A">
        <w:rPr>
          <w:rFonts w:ascii="Arial" w:hAnsi="Arial" w:cs="Arial"/>
        </w:rPr>
        <w:t>(Keohane and Rosenbluth, 2020)</w:t>
      </w:r>
      <w:r w:rsidRPr="00EA5F2A">
        <w:rPr>
          <w:rFonts w:ascii="Arial" w:hAnsi="Arial" w:cs="Arial"/>
        </w:rPr>
        <w:t>.</w:t>
      </w:r>
    </w:p>
    <w:p w14:paraId="4772D440" w14:textId="227BB5ED" w:rsidR="007A4D42" w:rsidRPr="00EA5F2A" w:rsidRDefault="007A4D42" w:rsidP="007A4D42">
      <w:pPr>
        <w:rPr>
          <w:rFonts w:ascii="Arial" w:hAnsi="Arial" w:cs="Arial"/>
        </w:rPr>
      </w:pPr>
      <w:r w:rsidRPr="00EA5F2A">
        <w:rPr>
          <w:rFonts w:ascii="Arial" w:hAnsi="Arial" w:cs="Arial"/>
        </w:rPr>
        <w:t>This would ensure that women in the United Kingdom receive the best and most appropriate health care services through policy advocacy and research</w:t>
      </w:r>
      <w:r w:rsidR="001F0643" w:rsidRPr="00EA5F2A">
        <w:rPr>
          <w:rFonts w:ascii="Arial" w:hAnsi="Arial" w:cs="Arial"/>
          <w:color w:val="2C3E50"/>
          <w:sz w:val="23"/>
          <w:szCs w:val="23"/>
          <w:shd w:val="clear" w:color="auto" w:fill="FFFFFF"/>
        </w:rPr>
        <w:t xml:space="preserve"> </w:t>
      </w:r>
      <w:r w:rsidR="001F0643" w:rsidRPr="00EA5F2A">
        <w:rPr>
          <w:rFonts w:ascii="Arial" w:hAnsi="Arial" w:cs="Arial"/>
        </w:rPr>
        <w:t>(Hasnain et al., 2011)</w:t>
      </w:r>
      <w:r w:rsidRPr="00EA5F2A">
        <w:rPr>
          <w:rFonts w:ascii="Arial" w:hAnsi="Arial" w:cs="Arial"/>
        </w:rPr>
        <w:t>.</w:t>
      </w:r>
    </w:p>
    <w:p w14:paraId="18CC6D44" w14:textId="77777777" w:rsidR="007A4D42" w:rsidRPr="00EA5F2A" w:rsidRDefault="007A4D42" w:rsidP="007A4D42">
      <w:pPr>
        <w:rPr>
          <w:rFonts w:ascii="Arial" w:hAnsi="Arial" w:cs="Arial"/>
        </w:rPr>
      </w:pPr>
    </w:p>
    <w:p w14:paraId="36AD1EA5" w14:textId="77777777" w:rsidR="007A4D42" w:rsidRPr="00EA5F2A" w:rsidRDefault="007A4D42" w:rsidP="007A4D42">
      <w:pPr>
        <w:rPr>
          <w:rFonts w:ascii="Arial" w:hAnsi="Arial" w:cs="Arial"/>
        </w:rPr>
      </w:pPr>
    </w:p>
    <w:p w14:paraId="6CBA1228" w14:textId="77777777" w:rsidR="007A4D42" w:rsidRPr="00EA5F2A" w:rsidRDefault="007A4D42" w:rsidP="007A4D42">
      <w:pPr>
        <w:rPr>
          <w:rFonts w:ascii="Arial" w:hAnsi="Arial" w:cs="Arial"/>
        </w:rPr>
      </w:pPr>
    </w:p>
    <w:p w14:paraId="293B9076" w14:textId="77777777" w:rsidR="007A4D42" w:rsidRPr="00EA5F2A" w:rsidRDefault="007A4D42" w:rsidP="007A4D42">
      <w:pPr>
        <w:rPr>
          <w:rFonts w:ascii="Arial" w:hAnsi="Arial" w:cs="Arial"/>
        </w:rPr>
      </w:pPr>
    </w:p>
    <w:p w14:paraId="6844E69D" w14:textId="77777777" w:rsidR="007A4D42" w:rsidRPr="00EA5F2A" w:rsidRDefault="007A4D42" w:rsidP="007A4D42">
      <w:pPr>
        <w:rPr>
          <w:rFonts w:ascii="Arial" w:hAnsi="Arial" w:cs="Arial"/>
          <w:b/>
        </w:rPr>
      </w:pPr>
      <w:bookmarkStart w:id="10" w:name="_Toc15015"/>
      <w:r w:rsidRPr="00EA5F2A">
        <w:rPr>
          <w:rFonts w:ascii="Arial" w:hAnsi="Arial" w:cs="Arial"/>
          <w:b/>
        </w:rPr>
        <w:t xml:space="preserve">5. Conclusion </w:t>
      </w:r>
      <w:bookmarkEnd w:id="10"/>
    </w:p>
    <w:p w14:paraId="0A19A5AA" w14:textId="67560A90" w:rsidR="007A4D42" w:rsidRPr="00EA5F2A" w:rsidRDefault="007A4D42" w:rsidP="007A4D42">
      <w:pPr>
        <w:rPr>
          <w:rFonts w:ascii="Arial" w:hAnsi="Arial" w:cs="Arial"/>
        </w:rPr>
      </w:pPr>
      <w:r w:rsidRPr="00EA5F2A">
        <w:rPr>
          <w:rFonts w:ascii="Arial" w:hAnsi="Arial" w:cs="Arial"/>
        </w:rPr>
        <w:t xml:space="preserve">Women represent another vulnerable group under health inequality in the UK. British women tend to fare </w:t>
      </w:r>
      <w:r w:rsidR="000C0FD6" w:rsidRPr="00EA5F2A">
        <w:rPr>
          <w:rFonts w:ascii="Arial" w:hAnsi="Arial" w:cs="Arial"/>
        </w:rPr>
        <w:t>worse</w:t>
      </w:r>
      <w:r w:rsidRPr="00EA5F2A">
        <w:rPr>
          <w:rFonts w:ascii="Arial" w:hAnsi="Arial" w:cs="Arial"/>
        </w:rPr>
        <w:t xml:space="preserve"> in a variety of health-related metrics, including heart attack care, autoimmune diseases, and the detection of autism</w:t>
      </w:r>
      <w:r w:rsidR="005676FC" w:rsidRPr="00EA5F2A">
        <w:rPr>
          <w:rFonts w:ascii="Arial" w:hAnsi="Arial" w:cs="Arial"/>
          <w:color w:val="2C3E50"/>
          <w:sz w:val="23"/>
          <w:szCs w:val="23"/>
          <w:shd w:val="clear" w:color="auto" w:fill="FFFFFF"/>
        </w:rPr>
        <w:t xml:space="preserve"> </w:t>
      </w:r>
      <w:r w:rsidR="005676FC" w:rsidRPr="00EA5F2A">
        <w:rPr>
          <w:rFonts w:ascii="Arial" w:hAnsi="Arial" w:cs="Arial"/>
        </w:rPr>
        <w:t>(Brown and Zavestoski, 2004)</w:t>
      </w:r>
      <w:r w:rsidRPr="00EA5F2A">
        <w:rPr>
          <w:rFonts w:ascii="Arial" w:hAnsi="Arial" w:cs="Arial"/>
        </w:rPr>
        <w:t>. The same trend holds in several social maladies like loneliness, depression, and</w:t>
      </w:r>
      <w:r w:rsidR="001F0643" w:rsidRPr="00EA5F2A">
        <w:rPr>
          <w:rFonts w:ascii="Arial" w:hAnsi="Arial" w:cs="Arial"/>
        </w:rPr>
        <w:t xml:space="preserve"> </w:t>
      </w:r>
      <w:r w:rsidRPr="00EA5F2A">
        <w:rPr>
          <w:rFonts w:ascii="Arial" w:hAnsi="Arial" w:cs="Arial"/>
        </w:rPr>
        <w:t>self-harm. The British government is taking active steps to counteract these problems and end gender inequality in health care. Many private organisations work towards women’s welfare</w:t>
      </w:r>
      <w:r w:rsidR="00572E5C" w:rsidRPr="00EA5F2A">
        <w:rPr>
          <w:rFonts w:ascii="Arial" w:hAnsi="Arial" w:cs="Arial"/>
          <w:color w:val="2C3E50"/>
          <w:sz w:val="23"/>
          <w:szCs w:val="23"/>
          <w:shd w:val="clear" w:color="auto" w:fill="FFFFFF"/>
        </w:rPr>
        <w:t xml:space="preserve"> </w:t>
      </w:r>
      <w:r w:rsidR="00572E5C" w:rsidRPr="00EA5F2A">
        <w:rPr>
          <w:rFonts w:ascii="Arial" w:hAnsi="Arial" w:cs="Arial"/>
        </w:rPr>
        <w:t> (Eviutami Mediastika, 2015)</w:t>
      </w:r>
      <w:r w:rsidRPr="00EA5F2A">
        <w:rPr>
          <w:rFonts w:ascii="Arial" w:hAnsi="Arial" w:cs="Arial"/>
        </w:rPr>
        <w:t xml:space="preserve">. However, only a concerted public-private effort can truly yield the results that are sought after and end gender inequality in healthcare </w:t>
      </w:r>
      <w:r w:rsidR="000C0FD6" w:rsidRPr="00EA5F2A">
        <w:rPr>
          <w:rFonts w:ascii="Arial" w:hAnsi="Arial" w:cs="Arial"/>
        </w:rPr>
        <w:t>forever</w:t>
      </w:r>
      <w:r w:rsidR="00F51551" w:rsidRPr="00EA5F2A">
        <w:rPr>
          <w:rFonts w:ascii="Arial" w:hAnsi="Arial" w:cs="Arial"/>
          <w:color w:val="2C3E50"/>
          <w:sz w:val="23"/>
          <w:szCs w:val="23"/>
          <w:shd w:val="clear" w:color="auto" w:fill="FFFFFF"/>
        </w:rPr>
        <w:t xml:space="preserve"> </w:t>
      </w:r>
      <w:r w:rsidR="00F51551" w:rsidRPr="00EA5F2A">
        <w:rPr>
          <w:rFonts w:ascii="Arial" w:hAnsi="Arial" w:cs="Arial"/>
        </w:rPr>
        <w:t>(Marks, Burris and Peterman, 1999)</w:t>
      </w:r>
      <w:r w:rsidR="000C0FD6" w:rsidRPr="00EA5F2A">
        <w:rPr>
          <w:rFonts w:ascii="Arial" w:hAnsi="Arial" w:cs="Arial"/>
        </w:rPr>
        <w:t>.</w:t>
      </w:r>
    </w:p>
    <w:p w14:paraId="049A9D3C" w14:textId="77777777" w:rsidR="007A4D42" w:rsidRPr="00EA5F2A" w:rsidRDefault="007A4D42" w:rsidP="007A4D42">
      <w:pPr>
        <w:rPr>
          <w:rFonts w:ascii="Arial" w:hAnsi="Arial" w:cs="Arial"/>
        </w:rPr>
      </w:pPr>
    </w:p>
    <w:p w14:paraId="10D79DBE" w14:textId="77777777" w:rsidR="007A4D42" w:rsidRPr="00EA5F2A" w:rsidRDefault="007A4D42" w:rsidP="007A4D42">
      <w:pPr>
        <w:rPr>
          <w:rFonts w:ascii="Arial" w:hAnsi="Arial" w:cs="Arial"/>
        </w:rPr>
      </w:pPr>
    </w:p>
    <w:p w14:paraId="586C6D62" w14:textId="77777777" w:rsidR="007A4D42" w:rsidRPr="00EA5F2A" w:rsidRDefault="007A4D42" w:rsidP="007A4D42">
      <w:pPr>
        <w:rPr>
          <w:rFonts w:ascii="Arial" w:hAnsi="Arial" w:cs="Arial"/>
        </w:rPr>
      </w:pPr>
    </w:p>
    <w:p w14:paraId="5C1B0907" w14:textId="24CDF50B" w:rsidR="007A4D42" w:rsidRPr="00EA5F2A" w:rsidRDefault="007A4D42" w:rsidP="007A4D42">
      <w:pPr>
        <w:pStyle w:val="ListParagraph"/>
        <w:ind w:left="400"/>
        <w:rPr>
          <w:rFonts w:ascii="Arial" w:hAnsi="Arial" w:cs="Arial"/>
          <w:bCs/>
          <w:sz w:val="28"/>
          <w:szCs w:val="28"/>
        </w:rPr>
      </w:pPr>
    </w:p>
    <w:p w14:paraId="5295BBCD" w14:textId="77777777" w:rsidR="007A4D42" w:rsidRPr="00EA5F2A" w:rsidRDefault="007A4D42" w:rsidP="007A4D42">
      <w:pPr>
        <w:pStyle w:val="ListParagraph"/>
        <w:ind w:left="760"/>
        <w:rPr>
          <w:rFonts w:ascii="Arial" w:hAnsi="Arial" w:cs="Arial"/>
          <w:b/>
          <w:sz w:val="36"/>
          <w:szCs w:val="36"/>
        </w:rPr>
      </w:pPr>
    </w:p>
    <w:p w14:paraId="11F47D95" w14:textId="77777777" w:rsidR="007A4D42" w:rsidRPr="00EA5F2A" w:rsidRDefault="007A4D42">
      <w:pPr>
        <w:rPr>
          <w:rFonts w:ascii="Arial" w:hAnsi="Arial" w:cs="Arial"/>
        </w:rPr>
      </w:pPr>
    </w:p>
    <w:p w14:paraId="323E8C27" w14:textId="77777777" w:rsidR="007A4D42" w:rsidRPr="00EA5F2A" w:rsidRDefault="007A4D42">
      <w:pPr>
        <w:rPr>
          <w:rFonts w:ascii="Arial" w:hAnsi="Arial" w:cs="Arial"/>
        </w:rPr>
      </w:pPr>
    </w:p>
    <w:p w14:paraId="4CD287DA" w14:textId="77777777" w:rsidR="007A4D42" w:rsidRPr="00EA5F2A" w:rsidRDefault="007A4D42">
      <w:pPr>
        <w:rPr>
          <w:rFonts w:ascii="Arial" w:hAnsi="Arial" w:cs="Arial"/>
        </w:rPr>
      </w:pPr>
    </w:p>
    <w:p w14:paraId="3790F54F" w14:textId="77777777" w:rsidR="007A4D42" w:rsidRPr="00EA5F2A" w:rsidRDefault="007A4D42">
      <w:pPr>
        <w:rPr>
          <w:rFonts w:ascii="Arial" w:hAnsi="Arial" w:cs="Arial"/>
        </w:rPr>
      </w:pPr>
    </w:p>
    <w:p w14:paraId="0C5B3EC9" w14:textId="77777777" w:rsidR="007A4D42" w:rsidRPr="00EA5F2A" w:rsidRDefault="007A4D42">
      <w:pPr>
        <w:rPr>
          <w:rFonts w:ascii="Arial" w:hAnsi="Arial" w:cs="Arial"/>
        </w:rPr>
      </w:pPr>
    </w:p>
    <w:p w14:paraId="26CDF71D" w14:textId="77777777" w:rsidR="007A4D42" w:rsidRPr="00EA5F2A" w:rsidRDefault="007A4D42">
      <w:pPr>
        <w:rPr>
          <w:rFonts w:ascii="Arial" w:hAnsi="Arial" w:cs="Arial"/>
        </w:rPr>
      </w:pPr>
    </w:p>
    <w:p w14:paraId="168E3CEF" w14:textId="77777777" w:rsidR="00FC52B8" w:rsidRPr="00EA5F2A" w:rsidRDefault="00FC52B8" w:rsidP="007A4D42">
      <w:pPr>
        <w:rPr>
          <w:rFonts w:ascii="Arial" w:hAnsi="Arial" w:cs="Arial"/>
        </w:rPr>
      </w:pPr>
      <w:bookmarkStart w:id="11" w:name="_Toc15016"/>
    </w:p>
    <w:p w14:paraId="10F61C8A" w14:textId="16736D50" w:rsidR="007A4D42" w:rsidRPr="00EA5F2A" w:rsidRDefault="00FC52B8" w:rsidP="007A4D42">
      <w:pPr>
        <w:rPr>
          <w:rFonts w:ascii="Arial" w:hAnsi="Arial" w:cs="Arial"/>
          <w:b/>
        </w:rPr>
      </w:pPr>
      <w:r w:rsidRPr="00EA5F2A">
        <w:rPr>
          <w:rFonts w:ascii="Arial" w:hAnsi="Arial" w:cs="Arial"/>
        </w:rPr>
        <w:lastRenderedPageBreak/>
        <w:t xml:space="preserve">                     </w:t>
      </w:r>
      <w:r w:rsidR="007A4D42" w:rsidRPr="00EA5F2A">
        <w:rPr>
          <w:rFonts w:ascii="Arial" w:hAnsi="Arial" w:cs="Arial"/>
          <w:b/>
        </w:rPr>
        <w:t xml:space="preserve"> Part 2: Epidemiological Analysis of Obesity in Yorkshire </w:t>
      </w:r>
      <w:bookmarkEnd w:id="11"/>
    </w:p>
    <w:p w14:paraId="50081880" w14:textId="77777777" w:rsidR="007A4D42" w:rsidRPr="00EA5F2A" w:rsidRDefault="007A4D42" w:rsidP="007A4D42">
      <w:pPr>
        <w:rPr>
          <w:rFonts w:ascii="Arial" w:hAnsi="Arial" w:cs="Arial"/>
          <w:b/>
        </w:rPr>
      </w:pPr>
    </w:p>
    <w:p w14:paraId="30B590A2" w14:textId="77777777" w:rsidR="007A4D42" w:rsidRPr="00EA5F2A" w:rsidRDefault="007A4D42" w:rsidP="007A4D42">
      <w:pPr>
        <w:rPr>
          <w:rFonts w:ascii="Arial" w:hAnsi="Arial" w:cs="Arial"/>
          <w:b/>
        </w:rPr>
      </w:pPr>
      <w:bookmarkStart w:id="12" w:name="_Toc15017"/>
      <w:r w:rsidRPr="00EA5F2A">
        <w:rPr>
          <w:rFonts w:ascii="Arial" w:hAnsi="Arial" w:cs="Arial"/>
          <w:b/>
        </w:rPr>
        <w:t xml:space="preserve">1. Introduction </w:t>
      </w:r>
      <w:bookmarkEnd w:id="12"/>
    </w:p>
    <w:p w14:paraId="7F4A7618" w14:textId="61D230A2" w:rsidR="007A4D42" w:rsidRPr="00EA5F2A" w:rsidRDefault="007A4D42" w:rsidP="007A4D42">
      <w:pPr>
        <w:rPr>
          <w:rFonts w:ascii="Arial" w:hAnsi="Arial" w:cs="Arial"/>
        </w:rPr>
      </w:pPr>
      <w:r w:rsidRPr="00EA5F2A">
        <w:rPr>
          <w:rFonts w:ascii="Arial" w:hAnsi="Arial" w:cs="Arial"/>
        </w:rPr>
        <w:t>This report will address the problem of obesity in Yorkshire. The UK has a severe problem with obesity: 70% of men and 60% of women are either overweight or obese. It is estimated that by 2050, 60% of adult males, half of adult females, and a quarter of children will be obese in the UK</w:t>
      </w:r>
      <w:r w:rsidR="00BF42EB" w:rsidRPr="00EA5F2A">
        <w:rPr>
          <w:rFonts w:ascii="Arial" w:hAnsi="Arial" w:cs="Arial"/>
          <w:color w:val="2C3E50"/>
          <w:sz w:val="23"/>
          <w:szCs w:val="23"/>
          <w:shd w:val="clear" w:color="auto" w:fill="FFFFFF"/>
        </w:rPr>
        <w:t xml:space="preserve"> </w:t>
      </w:r>
      <w:r w:rsidR="00BF42EB" w:rsidRPr="00EA5F2A">
        <w:rPr>
          <w:rFonts w:ascii="Arial" w:hAnsi="Arial" w:cs="Arial"/>
        </w:rPr>
        <w:t> (Puhl and Heuer, 2009)</w:t>
      </w:r>
      <w:r w:rsidRPr="00EA5F2A">
        <w:rPr>
          <w:rFonts w:ascii="Arial" w:hAnsi="Arial" w:cs="Arial"/>
        </w:rPr>
        <w:t>. Yorkshire is especially affected by the obesity crisis. Obesity rates in Yorkshire are significantly higher than those of England as a whole</w:t>
      </w:r>
      <w:r w:rsidR="00813522" w:rsidRPr="00EA5F2A">
        <w:rPr>
          <w:rFonts w:ascii="Arial" w:hAnsi="Arial" w:cs="Arial"/>
          <w:color w:val="2C3E50"/>
          <w:sz w:val="23"/>
          <w:szCs w:val="23"/>
          <w:shd w:val="clear" w:color="auto" w:fill="FFFFFF"/>
        </w:rPr>
        <w:t xml:space="preserve"> </w:t>
      </w:r>
      <w:r w:rsidR="00813522" w:rsidRPr="00EA5F2A">
        <w:rPr>
          <w:rFonts w:ascii="Arial" w:hAnsi="Arial" w:cs="Arial"/>
        </w:rPr>
        <w:t>(Bose, 2025)</w:t>
      </w:r>
      <w:r w:rsidRPr="00EA5F2A">
        <w:rPr>
          <w:rFonts w:ascii="Arial" w:hAnsi="Arial" w:cs="Arial"/>
        </w:rPr>
        <w:t xml:space="preserve">. Shockingly, 21% of 4-5-year-old children are overweight, and the same holds for </w:t>
      </w:r>
      <w:r w:rsidR="000C0FD6" w:rsidRPr="00EA5F2A">
        <w:rPr>
          <w:rFonts w:ascii="Arial" w:hAnsi="Arial" w:cs="Arial"/>
        </w:rPr>
        <w:t>a</w:t>
      </w:r>
      <w:r w:rsidRPr="00EA5F2A">
        <w:rPr>
          <w:rFonts w:ascii="Arial" w:hAnsi="Arial" w:cs="Arial"/>
        </w:rPr>
        <w:t xml:space="preserve"> third of ten- to eleven-year-old children in Yorkshire. Doncaster is known to be the 'obesity capital' of Yorkshire, and it has got the highest per capita number of takeaways anywhere in the UK</w:t>
      </w:r>
      <w:r w:rsidR="002956A8" w:rsidRPr="00EA5F2A">
        <w:rPr>
          <w:rFonts w:ascii="Arial" w:hAnsi="Arial" w:cs="Arial"/>
          <w:color w:val="2C3E50"/>
          <w:sz w:val="23"/>
          <w:szCs w:val="23"/>
          <w:shd w:val="clear" w:color="auto" w:fill="FFFFFF"/>
        </w:rPr>
        <w:t xml:space="preserve"> </w:t>
      </w:r>
      <w:r w:rsidR="002956A8" w:rsidRPr="00EA5F2A">
        <w:rPr>
          <w:rFonts w:ascii="Arial" w:hAnsi="Arial" w:cs="Arial"/>
        </w:rPr>
        <w:t>(Benbadis, 2007)</w:t>
      </w:r>
      <w:r w:rsidRPr="00EA5F2A">
        <w:rPr>
          <w:rFonts w:ascii="Arial" w:hAnsi="Arial" w:cs="Arial"/>
        </w:rPr>
        <w:t>. An astonishing three-quarters of its adult population is overweight; the city comes second in all of Britain for obesity, having one fast food takeaway for every thousand people</w:t>
      </w:r>
      <w:r w:rsidR="0024426F" w:rsidRPr="00EA5F2A">
        <w:rPr>
          <w:rFonts w:ascii="Arial" w:hAnsi="Arial" w:cs="Arial"/>
          <w:color w:val="2C3E50"/>
          <w:sz w:val="23"/>
          <w:szCs w:val="23"/>
          <w:shd w:val="clear" w:color="auto" w:fill="FFFFFF"/>
        </w:rPr>
        <w:t xml:space="preserve"> </w:t>
      </w:r>
      <w:r w:rsidR="0024426F" w:rsidRPr="00EA5F2A">
        <w:rPr>
          <w:rFonts w:ascii="Arial" w:hAnsi="Arial" w:cs="Arial"/>
        </w:rPr>
        <w:t>(Trujillo, Burkert and Bell, 2003)</w:t>
      </w:r>
      <w:r w:rsidRPr="00EA5F2A">
        <w:rPr>
          <w:rFonts w:ascii="Arial" w:hAnsi="Arial" w:cs="Arial"/>
        </w:rPr>
        <w:t>. The situation is horrific when one looks at the student population of the city that 27.7% of 6th-grade pupils were found to be obese or extremely obese, which is higher than the national average of 22.7%</w:t>
      </w:r>
      <w:r w:rsidR="00A0316F" w:rsidRPr="00EA5F2A">
        <w:rPr>
          <w:rFonts w:ascii="Arial" w:hAnsi="Arial" w:cs="Arial"/>
          <w:color w:val="2C3E50"/>
          <w:sz w:val="23"/>
          <w:szCs w:val="23"/>
          <w:shd w:val="clear" w:color="auto" w:fill="FFFFFF"/>
        </w:rPr>
        <w:t xml:space="preserve"> </w:t>
      </w:r>
      <w:r w:rsidR="00A0316F" w:rsidRPr="00EA5F2A">
        <w:rPr>
          <w:rFonts w:ascii="Arial" w:hAnsi="Arial" w:cs="Arial"/>
        </w:rPr>
        <w:t>(E Jones, 2021)</w:t>
      </w:r>
      <w:r w:rsidRPr="00EA5F2A">
        <w:rPr>
          <w:rFonts w:ascii="Arial" w:hAnsi="Arial" w:cs="Arial"/>
        </w:rPr>
        <w:t xml:space="preserve">. </w:t>
      </w:r>
    </w:p>
    <w:p w14:paraId="66A18083" w14:textId="436CFE0A" w:rsidR="007A4D42" w:rsidRPr="00EA5F2A" w:rsidRDefault="007A4D42" w:rsidP="007A4D42">
      <w:pPr>
        <w:rPr>
          <w:rFonts w:ascii="Arial" w:hAnsi="Arial" w:cs="Arial"/>
        </w:rPr>
      </w:pPr>
      <w:r w:rsidRPr="00EA5F2A">
        <w:rPr>
          <w:rFonts w:ascii="Arial" w:hAnsi="Arial" w:cs="Arial"/>
        </w:rPr>
        <w:t>This serious obesity crisis is already having a dire impact on the life expectancy of Doncaster inhabitants as the women in the city are expected to live in good health only up to 57.5 years, which is six years less than the national average</w:t>
      </w:r>
      <w:r w:rsidR="00100FD3" w:rsidRPr="00EA5F2A">
        <w:rPr>
          <w:rFonts w:ascii="Arial" w:hAnsi="Arial" w:cs="Arial"/>
          <w:color w:val="2C3E50"/>
          <w:sz w:val="23"/>
          <w:szCs w:val="23"/>
          <w:shd w:val="clear" w:color="auto" w:fill="FFFFFF"/>
        </w:rPr>
        <w:t xml:space="preserve"> </w:t>
      </w:r>
      <w:r w:rsidR="00100FD3" w:rsidRPr="00EA5F2A">
        <w:rPr>
          <w:rFonts w:ascii="Arial" w:hAnsi="Arial" w:cs="Arial"/>
        </w:rPr>
        <w:t>(Lindblom, 2005)</w:t>
      </w:r>
      <w:r w:rsidRPr="00EA5F2A">
        <w:rPr>
          <w:rFonts w:ascii="Arial" w:hAnsi="Arial" w:cs="Arial"/>
        </w:rPr>
        <w:t>. For men, this comes at 59.1 years which is four years less than the national average</w:t>
      </w:r>
      <w:r w:rsidR="00C73A36" w:rsidRPr="00EA5F2A">
        <w:rPr>
          <w:rFonts w:ascii="Arial" w:hAnsi="Arial" w:cs="Arial"/>
          <w:color w:val="2C3E50"/>
          <w:sz w:val="23"/>
          <w:szCs w:val="23"/>
          <w:shd w:val="clear" w:color="auto" w:fill="FFFFFF"/>
        </w:rPr>
        <w:t xml:space="preserve"> </w:t>
      </w:r>
      <w:r w:rsidR="00C73A36" w:rsidRPr="00EA5F2A">
        <w:rPr>
          <w:rFonts w:ascii="Arial" w:hAnsi="Arial" w:cs="Arial"/>
        </w:rPr>
        <w:t>(Bruix and Sherman, 2005)</w:t>
      </w:r>
      <w:r w:rsidRPr="00EA5F2A">
        <w:rPr>
          <w:rFonts w:ascii="Arial" w:hAnsi="Arial" w:cs="Arial"/>
        </w:rPr>
        <w:t>.</w:t>
      </w:r>
    </w:p>
    <w:p w14:paraId="5CCBFCED" w14:textId="38667AE1" w:rsidR="007A4D42" w:rsidRPr="00EA5F2A" w:rsidRDefault="007A4D42" w:rsidP="007A4D42">
      <w:pPr>
        <w:rPr>
          <w:rFonts w:ascii="Arial" w:hAnsi="Arial" w:cs="Arial"/>
        </w:rPr>
      </w:pPr>
      <w:r w:rsidRPr="00EA5F2A">
        <w:rPr>
          <w:rFonts w:ascii="Arial" w:hAnsi="Arial" w:cs="Arial"/>
        </w:rPr>
        <w:t>It is one of the most serious health conditions in existence, responsible for a whole host of health issues that subtract years from people's lives and vastly decrease the quality of life</w:t>
      </w:r>
      <w:r w:rsidR="00EF2EC6" w:rsidRPr="00EA5F2A">
        <w:rPr>
          <w:rFonts w:ascii="Arial" w:hAnsi="Arial" w:cs="Arial"/>
          <w:color w:val="2C3E50"/>
          <w:sz w:val="23"/>
          <w:szCs w:val="23"/>
          <w:shd w:val="clear" w:color="auto" w:fill="FFFFFF"/>
        </w:rPr>
        <w:t xml:space="preserve"> </w:t>
      </w:r>
      <w:r w:rsidR="00EF2EC6" w:rsidRPr="00EA5F2A">
        <w:rPr>
          <w:rFonts w:ascii="Arial" w:hAnsi="Arial" w:cs="Arial"/>
        </w:rPr>
        <w:t>(Jiřík et al., 2017)</w:t>
      </w:r>
      <w:r w:rsidRPr="00EA5F2A">
        <w:rPr>
          <w:rFonts w:ascii="Arial" w:hAnsi="Arial" w:cs="Arial"/>
        </w:rPr>
        <w:t>.</w:t>
      </w:r>
    </w:p>
    <w:p w14:paraId="18B2FA0D" w14:textId="580555C3" w:rsidR="007A4D42" w:rsidRPr="00EA5F2A" w:rsidRDefault="007A4D42" w:rsidP="007A4D42">
      <w:pPr>
        <w:rPr>
          <w:rFonts w:ascii="Arial" w:hAnsi="Arial" w:cs="Arial"/>
        </w:rPr>
      </w:pPr>
      <w:r w:rsidRPr="00EA5F2A">
        <w:rPr>
          <w:rFonts w:ascii="Arial" w:hAnsi="Arial" w:cs="Arial"/>
        </w:rPr>
        <w:t>These include type increasing the risk of Type 2 Diabetes. 90% of people with Type 2 diabetes are overweight or obese. It’s another debilitating condition leading to heart disease, strokes, kidney failure, never damage, and eye damage over time</w:t>
      </w:r>
      <w:r w:rsidR="0062531D" w:rsidRPr="00EA5F2A">
        <w:rPr>
          <w:rFonts w:ascii="Arial" w:hAnsi="Arial" w:cs="Arial"/>
          <w:color w:val="2C3E50"/>
          <w:sz w:val="23"/>
          <w:szCs w:val="23"/>
          <w:shd w:val="clear" w:color="auto" w:fill="FFFFFF"/>
        </w:rPr>
        <w:t xml:space="preserve"> </w:t>
      </w:r>
      <w:r w:rsidR="0062531D" w:rsidRPr="00EA5F2A">
        <w:rPr>
          <w:rFonts w:ascii="Arial" w:hAnsi="Arial" w:cs="Arial"/>
        </w:rPr>
        <w:t>(Sharpe, 1964)</w:t>
      </w:r>
      <w:r w:rsidRPr="00EA5F2A">
        <w:rPr>
          <w:rFonts w:ascii="Arial" w:hAnsi="Arial" w:cs="Arial"/>
        </w:rPr>
        <w:t>. Obesity also leads to high blood pressure, which carries the risk of strokes and organ malfunction damage</w:t>
      </w:r>
      <w:r w:rsidR="00747230" w:rsidRPr="00EA5F2A">
        <w:rPr>
          <w:rFonts w:ascii="Arial" w:hAnsi="Arial" w:cs="Arial"/>
          <w:color w:val="2C3E50"/>
          <w:sz w:val="23"/>
          <w:szCs w:val="23"/>
          <w:shd w:val="clear" w:color="auto" w:fill="FFFFFF"/>
        </w:rPr>
        <w:t xml:space="preserve"> </w:t>
      </w:r>
      <w:r w:rsidR="00747230" w:rsidRPr="00EA5F2A">
        <w:rPr>
          <w:rFonts w:ascii="Arial" w:hAnsi="Arial" w:cs="Arial"/>
        </w:rPr>
        <w:t> (Sarzani and Guerra, 2012)</w:t>
      </w:r>
      <w:r w:rsidRPr="00EA5F2A">
        <w:rPr>
          <w:rFonts w:ascii="Arial" w:hAnsi="Arial" w:cs="Arial"/>
        </w:rPr>
        <w:t>.</w:t>
      </w:r>
    </w:p>
    <w:p w14:paraId="252F720E" w14:textId="455DDE59" w:rsidR="007A4D42" w:rsidRPr="00EA5F2A" w:rsidRDefault="007A4D42" w:rsidP="007A4D42">
      <w:pPr>
        <w:rPr>
          <w:rFonts w:ascii="Arial" w:hAnsi="Arial" w:cs="Arial"/>
        </w:rPr>
      </w:pPr>
      <w:r w:rsidRPr="00EA5F2A">
        <w:rPr>
          <w:rFonts w:ascii="Arial" w:hAnsi="Arial" w:cs="Arial"/>
        </w:rPr>
        <w:t>Obesity also greatly enhances the chances of heart-related disorders by blocking the arteries with fat and restricting blood circulation. Heart attacks, heart angina, heart failure, and irregular rhythmic patterns are some of the heart-related illnesses aggravated by obesity</w:t>
      </w:r>
      <w:r w:rsidR="006127CF" w:rsidRPr="00EA5F2A">
        <w:rPr>
          <w:rFonts w:ascii="Arial" w:hAnsi="Arial" w:cs="Arial"/>
          <w:color w:val="2C3E50"/>
          <w:sz w:val="23"/>
          <w:szCs w:val="23"/>
          <w:shd w:val="clear" w:color="auto" w:fill="FFFFFF"/>
        </w:rPr>
        <w:t xml:space="preserve"> </w:t>
      </w:r>
      <w:r w:rsidR="006127CF" w:rsidRPr="00EA5F2A">
        <w:rPr>
          <w:rFonts w:ascii="Arial" w:hAnsi="Arial" w:cs="Arial"/>
        </w:rPr>
        <w:t> (Wang and Zhang, 2014)</w:t>
      </w:r>
      <w:r w:rsidRPr="00EA5F2A">
        <w:rPr>
          <w:rFonts w:ascii="Arial" w:hAnsi="Arial" w:cs="Arial"/>
        </w:rPr>
        <w:t>.</w:t>
      </w:r>
    </w:p>
    <w:p w14:paraId="283758CE" w14:textId="548D47B0" w:rsidR="007A4D42" w:rsidRPr="00EA5F2A" w:rsidRDefault="007A4D42" w:rsidP="007A4D42">
      <w:pPr>
        <w:rPr>
          <w:rFonts w:ascii="Arial" w:hAnsi="Arial" w:cs="Arial"/>
        </w:rPr>
      </w:pPr>
      <w:r w:rsidRPr="00EA5F2A">
        <w:rPr>
          <w:rFonts w:ascii="Arial" w:hAnsi="Arial" w:cs="Arial"/>
        </w:rPr>
        <w:t xml:space="preserve">Obesity also enhances the chances of having metabolic syndrome, fatty liver disease, Osteoarthritis, and Gout, increases chances of catching diseases of the pancreas and gallbladder, and increases chances of kidney </w:t>
      </w:r>
      <w:r w:rsidR="000C0FD6" w:rsidRPr="00EA5F2A">
        <w:rPr>
          <w:rFonts w:ascii="Arial" w:hAnsi="Arial" w:cs="Arial"/>
        </w:rPr>
        <w:t>failure</w:t>
      </w:r>
      <w:r w:rsidR="009545FE" w:rsidRPr="00EA5F2A">
        <w:rPr>
          <w:rFonts w:ascii="Arial" w:hAnsi="Arial" w:cs="Arial"/>
          <w:color w:val="2C3E50"/>
          <w:sz w:val="23"/>
          <w:szCs w:val="23"/>
          <w:shd w:val="clear" w:color="auto" w:fill="FFFFFF"/>
        </w:rPr>
        <w:t xml:space="preserve"> </w:t>
      </w:r>
      <w:r w:rsidR="009545FE" w:rsidRPr="00EA5F2A">
        <w:rPr>
          <w:rFonts w:ascii="Arial" w:hAnsi="Arial" w:cs="Arial"/>
        </w:rPr>
        <w:t>(Koletzko et al., 2002)</w:t>
      </w:r>
      <w:r w:rsidR="000C0FD6" w:rsidRPr="00EA5F2A">
        <w:rPr>
          <w:rFonts w:ascii="Arial" w:hAnsi="Arial" w:cs="Arial"/>
        </w:rPr>
        <w:t>.</w:t>
      </w:r>
    </w:p>
    <w:p w14:paraId="6E56A8E1" w14:textId="2806E8B2" w:rsidR="007A4D42" w:rsidRPr="00EA5F2A" w:rsidRDefault="007A4D42" w:rsidP="007A4D42">
      <w:pPr>
        <w:rPr>
          <w:rFonts w:ascii="Arial" w:hAnsi="Arial" w:cs="Arial"/>
        </w:rPr>
      </w:pPr>
      <w:r w:rsidRPr="00EA5F2A">
        <w:rPr>
          <w:rFonts w:ascii="Arial" w:hAnsi="Arial" w:cs="Arial"/>
        </w:rPr>
        <w:lastRenderedPageBreak/>
        <w:t>It also has negative effects on sexual reproductive health, wherein obesity might cause erectile dysfunction, a decrease in sperm motility in males, and a decrease in fertility, along with the inability to carry a pregnancy to its term in women</w:t>
      </w:r>
      <w:r w:rsidR="007768AA" w:rsidRPr="00EA5F2A">
        <w:rPr>
          <w:rFonts w:ascii="Arial" w:hAnsi="Arial" w:cs="Arial"/>
          <w:color w:val="2C3E50"/>
          <w:sz w:val="23"/>
          <w:szCs w:val="23"/>
          <w:shd w:val="clear" w:color="auto" w:fill="FFFFFF"/>
        </w:rPr>
        <w:t xml:space="preserve"> </w:t>
      </w:r>
      <w:r w:rsidR="007768AA" w:rsidRPr="00EA5F2A">
        <w:rPr>
          <w:rFonts w:ascii="Arial" w:hAnsi="Arial" w:cs="Arial"/>
        </w:rPr>
        <w:t> (Larsson, Rubertsson and Ingegerd Hildingsson, 2023)</w:t>
      </w:r>
      <w:r w:rsidRPr="00EA5F2A">
        <w:rPr>
          <w:rFonts w:ascii="Arial" w:hAnsi="Arial" w:cs="Arial"/>
        </w:rPr>
        <w:t>.</w:t>
      </w:r>
    </w:p>
    <w:p w14:paraId="0D99BBF9" w14:textId="77777777" w:rsidR="007A4D42" w:rsidRPr="00EA5F2A" w:rsidRDefault="007A4D42" w:rsidP="007A4D42">
      <w:pPr>
        <w:rPr>
          <w:rFonts w:ascii="Arial" w:hAnsi="Arial" w:cs="Arial"/>
        </w:rPr>
      </w:pPr>
    </w:p>
    <w:p w14:paraId="1B8201A3" w14:textId="0287037D" w:rsidR="007A4D42" w:rsidRPr="00EA5F2A" w:rsidRDefault="007A4D42" w:rsidP="007A4D42">
      <w:pPr>
        <w:rPr>
          <w:rFonts w:ascii="Arial" w:hAnsi="Arial" w:cs="Arial"/>
        </w:rPr>
      </w:pPr>
      <w:r w:rsidRPr="00EA5F2A">
        <w:rPr>
          <w:rFonts w:ascii="Arial" w:hAnsi="Arial" w:cs="Arial"/>
        </w:rPr>
        <w:t>It further predisposes a patient to some cancerous conditions, such as thyroid cancer, cancer of the breast, and colon cancer. The prevalence of obesity, therefore, is gradually becoming evident in Yorkshire public health</w:t>
      </w:r>
      <w:r w:rsidR="00BA1860" w:rsidRPr="00EA5F2A">
        <w:rPr>
          <w:rFonts w:ascii="Arial" w:hAnsi="Arial" w:cs="Arial"/>
          <w:color w:val="2C3E50"/>
          <w:sz w:val="23"/>
          <w:szCs w:val="23"/>
          <w:shd w:val="clear" w:color="auto" w:fill="FFFFFF"/>
        </w:rPr>
        <w:t xml:space="preserve"> </w:t>
      </w:r>
      <w:r w:rsidR="00BA1860" w:rsidRPr="00EA5F2A">
        <w:rPr>
          <w:rFonts w:ascii="Arial" w:hAnsi="Arial" w:cs="Arial"/>
        </w:rPr>
        <w:t>(Haber and Fearon, 1998)</w:t>
      </w:r>
      <w:r w:rsidRPr="00EA5F2A">
        <w:rPr>
          <w:rFonts w:ascii="Arial" w:hAnsi="Arial" w:cs="Arial"/>
        </w:rPr>
        <w:t>.system. According to the NHS digital figures in 2023, obesity was the leading or secondary cause of 6690 hospital admissions in York, up 490 from the previous year.</w:t>
      </w:r>
    </w:p>
    <w:p w14:paraId="40ED4793" w14:textId="77777777" w:rsidR="007A4D42" w:rsidRPr="00EA5F2A" w:rsidRDefault="007A4D42" w:rsidP="007A4D42">
      <w:pPr>
        <w:rPr>
          <w:rFonts w:ascii="Arial" w:hAnsi="Arial" w:cs="Arial"/>
          <w:b/>
        </w:rPr>
      </w:pPr>
    </w:p>
    <w:p w14:paraId="26CBA636" w14:textId="77777777" w:rsidR="007A4D42" w:rsidRPr="00EA5F2A" w:rsidRDefault="007A4D42" w:rsidP="007A4D42">
      <w:pPr>
        <w:rPr>
          <w:rFonts w:ascii="Arial" w:hAnsi="Arial" w:cs="Arial"/>
          <w:b/>
        </w:rPr>
      </w:pPr>
      <w:bookmarkStart w:id="13" w:name="_Toc15018"/>
      <w:r w:rsidRPr="00EA5F2A">
        <w:rPr>
          <w:rFonts w:ascii="Arial" w:hAnsi="Arial" w:cs="Arial"/>
          <w:b/>
        </w:rPr>
        <w:t xml:space="preserve">2. Public Health Initiatives  </w:t>
      </w:r>
      <w:bookmarkEnd w:id="13"/>
    </w:p>
    <w:p w14:paraId="1D8712CB" w14:textId="6E59AAAA" w:rsidR="007A4D42" w:rsidRPr="00EA5F2A" w:rsidRDefault="007A4D42" w:rsidP="007A4D42">
      <w:pPr>
        <w:rPr>
          <w:rFonts w:ascii="Arial" w:hAnsi="Arial" w:cs="Arial"/>
        </w:rPr>
      </w:pPr>
      <w:r w:rsidRPr="00EA5F2A">
        <w:rPr>
          <w:rFonts w:ascii="Arial" w:hAnsi="Arial" w:cs="Arial"/>
        </w:rPr>
        <w:t>Public authorities have taken several public health initiatives to address the issue of obesity. North Yorkshire County Council has developed a project to address obesity in the area from 2016-2016</w:t>
      </w:r>
      <w:r w:rsidR="00F61C74" w:rsidRPr="00EA5F2A">
        <w:rPr>
          <w:rFonts w:ascii="Arial" w:hAnsi="Arial" w:cs="Arial"/>
          <w:color w:val="2C3E50"/>
          <w:sz w:val="23"/>
          <w:szCs w:val="23"/>
          <w:shd w:val="clear" w:color="auto" w:fill="FFFFFF"/>
        </w:rPr>
        <w:t xml:space="preserve"> </w:t>
      </w:r>
      <w:r w:rsidR="00F61C74" w:rsidRPr="00EA5F2A">
        <w:rPr>
          <w:rFonts w:ascii="Arial" w:hAnsi="Arial" w:cs="Arial"/>
        </w:rPr>
        <w:t> (Donaldson, 1951)</w:t>
      </w:r>
      <w:r w:rsidRPr="00EA5F2A">
        <w:rPr>
          <w:rFonts w:ascii="Arial" w:hAnsi="Arial" w:cs="Arial"/>
        </w:rPr>
        <w:t>. The council tries to outline the challenges of obesity in the area and address it at a root level and takes measured strikes at the problem</w:t>
      </w:r>
      <w:r w:rsidR="00DA334D" w:rsidRPr="00EA5F2A">
        <w:rPr>
          <w:rFonts w:ascii="Arial" w:hAnsi="Arial" w:cs="Arial"/>
          <w:color w:val="2C3E50"/>
          <w:sz w:val="23"/>
          <w:szCs w:val="23"/>
          <w:shd w:val="clear" w:color="auto" w:fill="FFFFFF"/>
        </w:rPr>
        <w:t xml:space="preserve"> </w:t>
      </w:r>
      <w:r w:rsidR="00DA334D" w:rsidRPr="00EA5F2A">
        <w:rPr>
          <w:rFonts w:ascii="Arial" w:hAnsi="Arial" w:cs="Arial"/>
        </w:rPr>
        <w:t> (Nwokediuko, 2011)</w:t>
      </w:r>
      <w:r w:rsidRPr="00EA5F2A">
        <w:rPr>
          <w:rFonts w:ascii="Arial" w:hAnsi="Arial" w:cs="Arial"/>
        </w:rPr>
        <w:t>. It advocates healthy eating and physical activity habits to promote a healthier</w:t>
      </w:r>
      <w:r w:rsidR="00FC433D" w:rsidRPr="00EA5F2A">
        <w:rPr>
          <w:rFonts w:ascii="Arial" w:hAnsi="Arial" w:cs="Arial"/>
        </w:rPr>
        <w:t xml:space="preserve"> </w:t>
      </w:r>
      <w:r w:rsidRPr="00EA5F2A">
        <w:rPr>
          <w:rFonts w:ascii="Arial" w:hAnsi="Arial" w:cs="Arial"/>
        </w:rPr>
        <w:t xml:space="preserve">culture that would not only reduce but also prevent further obesity. The strategy has been formally dubbed the Healthy Weight, Healthy Lives </w:t>
      </w:r>
      <w:r w:rsidR="000C0FD6" w:rsidRPr="00EA5F2A">
        <w:rPr>
          <w:rFonts w:ascii="Arial" w:hAnsi="Arial" w:cs="Arial"/>
        </w:rPr>
        <w:t>initiative</w:t>
      </w:r>
      <w:r w:rsidR="006A6592" w:rsidRPr="00EA5F2A">
        <w:rPr>
          <w:rFonts w:ascii="Arial" w:hAnsi="Arial" w:cs="Arial"/>
          <w:color w:val="2C3E50"/>
          <w:sz w:val="23"/>
          <w:szCs w:val="23"/>
          <w:shd w:val="clear" w:color="auto" w:fill="FFFFFF"/>
        </w:rPr>
        <w:t xml:space="preserve"> </w:t>
      </w:r>
      <w:r w:rsidR="006A6592" w:rsidRPr="00EA5F2A">
        <w:rPr>
          <w:rFonts w:ascii="Arial" w:hAnsi="Arial" w:cs="Arial"/>
        </w:rPr>
        <w:t> (Verduci et al., 2022)</w:t>
      </w:r>
      <w:r w:rsidR="000C0FD6" w:rsidRPr="00EA5F2A">
        <w:rPr>
          <w:rFonts w:ascii="Arial" w:hAnsi="Arial" w:cs="Arial"/>
        </w:rPr>
        <w:t>.</w:t>
      </w:r>
      <w:r w:rsidRPr="00EA5F2A">
        <w:rPr>
          <w:rFonts w:ascii="Arial" w:hAnsi="Arial" w:cs="Arial"/>
        </w:rPr>
        <w:t>Other initiatives by the North York government include the Adult Weight Management service, which supports adults in weight loss for a period of up to 24 weeks.</w:t>
      </w:r>
    </w:p>
    <w:p w14:paraId="61E8B56F" w14:textId="787C0AE0" w:rsidR="007A4D42" w:rsidRPr="00EA5F2A" w:rsidRDefault="007A4D42" w:rsidP="007A4D42">
      <w:pPr>
        <w:rPr>
          <w:rFonts w:ascii="Arial" w:hAnsi="Arial" w:cs="Arial"/>
        </w:rPr>
      </w:pPr>
      <w:r w:rsidRPr="00EA5F2A">
        <w:rPr>
          <w:rFonts w:ascii="Arial" w:hAnsi="Arial" w:cs="Arial"/>
        </w:rPr>
        <w:t xml:space="preserve">There is also a regional program known as Weight of your mind. It caters to weight management for people with learning disabilities and mental </w:t>
      </w:r>
      <w:r w:rsidR="000C0FD6" w:rsidRPr="00EA5F2A">
        <w:rPr>
          <w:rFonts w:ascii="Arial" w:hAnsi="Arial" w:cs="Arial"/>
        </w:rPr>
        <w:t>illnesses</w:t>
      </w:r>
      <w:r w:rsidR="005118B5" w:rsidRPr="00EA5F2A">
        <w:rPr>
          <w:rFonts w:ascii="Arial" w:hAnsi="Arial" w:cs="Arial"/>
          <w:color w:val="2C3E50"/>
          <w:sz w:val="23"/>
          <w:szCs w:val="23"/>
          <w:shd w:val="clear" w:color="auto" w:fill="FFFFFF"/>
        </w:rPr>
        <w:t xml:space="preserve"> </w:t>
      </w:r>
      <w:r w:rsidR="005118B5" w:rsidRPr="00EA5F2A">
        <w:rPr>
          <w:rFonts w:ascii="Arial" w:hAnsi="Arial" w:cs="Arial"/>
        </w:rPr>
        <w:t> (Green, 2009)</w:t>
      </w:r>
      <w:r w:rsidR="000C0FD6" w:rsidRPr="00EA5F2A">
        <w:rPr>
          <w:rFonts w:ascii="Arial" w:hAnsi="Arial" w:cs="Arial"/>
        </w:rPr>
        <w:t>.</w:t>
      </w:r>
    </w:p>
    <w:p w14:paraId="37854C4D" w14:textId="22428F0B" w:rsidR="007A4D42" w:rsidRPr="00EA5F2A" w:rsidRDefault="007A4D42" w:rsidP="007A4D42">
      <w:pPr>
        <w:rPr>
          <w:rFonts w:ascii="Arial" w:hAnsi="Arial" w:cs="Arial"/>
        </w:rPr>
      </w:pPr>
      <w:r w:rsidRPr="00EA5F2A">
        <w:rPr>
          <w:rFonts w:ascii="Arial" w:hAnsi="Arial" w:cs="Arial"/>
        </w:rPr>
        <w:t>There is also the One You Cheshire East lifestyle management system and universal service system. People who make contact are screened and then directed to services such as the Family Weight Management Services (FWMS), Let’s get Movin</w:t>
      </w:r>
      <w:r w:rsidR="00CA3E7C" w:rsidRPr="00EA5F2A">
        <w:rPr>
          <w:rFonts w:ascii="Arial" w:hAnsi="Arial" w:cs="Arial"/>
        </w:rPr>
        <w:t>,’</w:t>
      </w:r>
      <w:r w:rsidRPr="00EA5F2A">
        <w:rPr>
          <w:rFonts w:ascii="Arial" w:hAnsi="Arial" w:cs="Arial"/>
        </w:rPr>
        <w:t xml:space="preserve"> and a 12-week program for the whole family</w:t>
      </w:r>
      <w:r w:rsidR="009046EE" w:rsidRPr="00EA5F2A">
        <w:rPr>
          <w:rFonts w:ascii="Arial" w:hAnsi="Arial" w:cs="Arial"/>
          <w:color w:val="2C3E50"/>
          <w:sz w:val="23"/>
          <w:szCs w:val="23"/>
          <w:shd w:val="clear" w:color="auto" w:fill="FFFFFF"/>
        </w:rPr>
        <w:t xml:space="preserve"> </w:t>
      </w:r>
      <w:r w:rsidR="009046EE" w:rsidRPr="00EA5F2A">
        <w:rPr>
          <w:rFonts w:ascii="Arial" w:hAnsi="Arial" w:cs="Arial"/>
        </w:rPr>
        <w:t> (ESA, 2012)</w:t>
      </w:r>
      <w:r w:rsidRPr="00EA5F2A">
        <w:rPr>
          <w:rFonts w:ascii="Arial" w:hAnsi="Arial" w:cs="Arial"/>
        </w:rPr>
        <w:t>.</w:t>
      </w:r>
    </w:p>
    <w:p w14:paraId="0FCCEBCF" w14:textId="4AD5D344" w:rsidR="007A4D42" w:rsidRPr="00EA5F2A" w:rsidRDefault="007A4D42" w:rsidP="007A4D42">
      <w:pPr>
        <w:rPr>
          <w:rFonts w:ascii="Arial" w:hAnsi="Arial" w:cs="Arial"/>
        </w:rPr>
      </w:pPr>
      <w:r w:rsidRPr="00EA5F2A">
        <w:rPr>
          <w:rFonts w:ascii="Arial" w:hAnsi="Arial" w:cs="Arial"/>
        </w:rPr>
        <w:t>The National Child Measurement Programme or NCMP involves the school and makes use of data from FWMS to identify and nip out childhood obesity early on. It’s a tier-two service, and anyone with a BMI over 40 was seen as a clinical commissioning group issue</w:t>
      </w:r>
      <w:r w:rsidR="00E6016D" w:rsidRPr="00EA5F2A">
        <w:rPr>
          <w:rFonts w:ascii="Arial" w:hAnsi="Arial" w:cs="Arial"/>
          <w:color w:val="2C3E50"/>
          <w:sz w:val="23"/>
          <w:szCs w:val="23"/>
          <w:shd w:val="clear" w:color="auto" w:fill="FFFFFF"/>
        </w:rPr>
        <w:t xml:space="preserve"> </w:t>
      </w:r>
      <w:r w:rsidR="00E6016D" w:rsidRPr="00EA5F2A">
        <w:rPr>
          <w:rFonts w:ascii="Arial" w:hAnsi="Arial" w:cs="Arial"/>
        </w:rPr>
        <w:t> (Preddy and Bird, 2017)</w:t>
      </w:r>
      <w:r w:rsidRPr="00EA5F2A">
        <w:rPr>
          <w:rFonts w:ascii="Arial" w:hAnsi="Arial" w:cs="Arial"/>
        </w:rPr>
        <w:t>.</w:t>
      </w:r>
    </w:p>
    <w:p w14:paraId="11D46B8C" w14:textId="77777777" w:rsidR="007A4D42" w:rsidRPr="00EA5F2A" w:rsidRDefault="007A4D42" w:rsidP="007A4D42">
      <w:pPr>
        <w:rPr>
          <w:rFonts w:ascii="Arial" w:hAnsi="Arial" w:cs="Arial"/>
          <w:b/>
        </w:rPr>
      </w:pPr>
    </w:p>
    <w:p w14:paraId="65EBA2A8" w14:textId="77777777" w:rsidR="00910F49" w:rsidRPr="00EA5F2A" w:rsidRDefault="00910F49" w:rsidP="007A4D42">
      <w:pPr>
        <w:rPr>
          <w:rFonts w:ascii="Arial" w:hAnsi="Arial" w:cs="Arial"/>
          <w:b/>
        </w:rPr>
      </w:pPr>
      <w:bookmarkStart w:id="14" w:name="_Toc15019"/>
    </w:p>
    <w:p w14:paraId="7C52A512" w14:textId="77777777" w:rsidR="00910F49" w:rsidRPr="00EA5F2A" w:rsidRDefault="00910F49" w:rsidP="007A4D42">
      <w:pPr>
        <w:rPr>
          <w:rFonts w:ascii="Arial" w:hAnsi="Arial" w:cs="Arial"/>
          <w:b/>
        </w:rPr>
      </w:pPr>
    </w:p>
    <w:p w14:paraId="1791DB90" w14:textId="77777777" w:rsidR="0054630F" w:rsidRPr="00EA5F2A" w:rsidRDefault="0054630F" w:rsidP="007A4D42">
      <w:pPr>
        <w:rPr>
          <w:rFonts w:ascii="Arial" w:hAnsi="Arial" w:cs="Arial"/>
          <w:b/>
        </w:rPr>
      </w:pPr>
    </w:p>
    <w:p w14:paraId="23CCC481" w14:textId="77777777" w:rsidR="0054630F" w:rsidRPr="00EA5F2A" w:rsidRDefault="0054630F" w:rsidP="007A4D42">
      <w:pPr>
        <w:rPr>
          <w:rFonts w:ascii="Arial" w:hAnsi="Arial" w:cs="Arial"/>
          <w:b/>
        </w:rPr>
      </w:pPr>
    </w:p>
    <w:p w14:paraId="1446BBB7" w14:textId="019B457C" w:rsidR="007A4D42" w:rsidRPr="00EA5F2A" w:rsidRDefault="007A4D42" w:rsidP="007A4D42">
      <w:pPr>
        <w:rPr>
          <w:rFonts w:ascii="Arial" w:hAnsi="Arial" w:cs="Arial"/>
          <w:b/>
        </w:rPr>
      </w:pPr>
      <w:r w:rsidRPr="00EA5F2A">
        <w:rPr>
          <w:rFonts w:ascii="Arial" w:hAnsi="Arial" w:cs="Arial"/>
          <w:b/>
        </w:rPr>
        <w:t xml:space="preserve">3. Risk Factors and Causes of Obesity </w:t>
      </w:r>
      <w:bookmarkEnd w:id="14"/>
    </w:p>
    <w:p w14:paraId="24036DCD" w14:textId="0B4D99CC" w:rsidR="007A4D42" w:rsidRPr="00EA5F2A" w:rsidRDefault="007A4D42" w:rsidP="007A4D42">
      <w:pPr>
        <w:rPr>
          <w:rFonts w:ascii="Arial" w:hAnsi="Arial" w:cs="Arial"/>
        </w:rPr>
      </w:pPr>
      <w:r w:rsidRPr="00EA5F2A">
        <w:rPr>
          <w:rFonts w:ascii="Arial" w:hAnsi="Arial" w:cs="Arial"/>
        </w:rPr>
        <w:t>Certain groups are more prone to obesity compared to others. Individuals aged 45-74 have the highest risk of acquiring obesity. Older people usually have lower testosterone and lowered metabolism, so it gets easier to pack on weight</w:t>
      </w:r>
      <w:r w:rsidR="00FA4CA4" w:rsidRPr="00EA5F2A">
        <w:rPr>
          <w:rFonts w:ascii="Arial" w:hAnsi="Arial" w:cs="Arial"/>
          <w:color w:val="2C3E50"/>
          <w:sz w:val="23"/>
          <w:szCs w:val="23"/>
          <w:shd w:val="clear" w:color="auto" w:fill="FFFFFF"/>
        </w:rPr>
        <w:t xml:space="preserve"> </w:t>
      </w:r>
      <w:r w:rsidR="00FA4CA4" w:rsidRPr="00EA5F2A">
        <w:rPr>
          <w:rFonts w:ascii="Arial" w:hAnsi="Arial" w:cs="Arial"/>
        </w:rPr>
        <w:t>(Davis et al., 2009)</w:t>
      </w:r>
      <w:r w:rsidRPr="00EA5F2A">
        <w:rPr>
          <w:rFonts w:ascii="Arial" w:hAnsi="Arial" w:cs="Arial"/>
        </w:rPr>
        <w:t>. This particularly confounds the decrease in activity that accompanies the transition from middle age to old age</w:t>
      </w:r>
      <w:r w:rsidR="00B71153" w:rsidRPr="00EA5F2A">
        <w:rPr>
          <w:rFonts w:ascii="Arial" w:hAnsi="Arial" w:cs="Arial"/>
          <w:color w:val="2C3E50"/>
          <w:sz w:val="23"/>
          <w:szCs w:val="23"/>
          <w:shd w:val="clear" w:color="auto" w:fill="FFFFFF"/>
        </w:rPr>
        <w:t xml:space="preserve"> </w:t>
      </w:r>
      <w:r w:rsidR="00B71153" w:rsidRPr="00EA5F2A">
        <w:rPr>
          <w:rFonts w:ascii="Arial" w:hAnsi="Arial" w:cs="Arial"/>
        </w:rPr>
        <w:t>(Shimizu, 2009)</w:t>
      </w:r>
      <w:r w:rsidRPr="00EA5F2A">
        <w:rPr>
          <w:rFonts w:ascii="Arial" w:hAnsi="Arial" w:cs="Arial"/>
        </w:rPr>
        <w:t>.</w:t>
      </w:r>
    </w:p>
    <w:p w14:paraId="3298259E" w14:textId="3C5E70CC" w:rsidR="007A4D42" w:rsidRPr="00EA5F2A" w:rsidRDefault="007A4D42" w:rsidP="007A4D42">
      <w:pPr>
        <w:rPr>
          <w:rFonts w:ascii="Arial" w:hAnsi="Arial" w:cs="Arial"/>
        </w:rPr>
      </w:pPr>
      <w:r w:rsidRPr="00EA5F2A">
        <w:rPr>
          <w:rFonts w:ascii="Arial" w:hAnsi="Arial" w:cs="Arial"/>
        </w:rPr>
        <w:t>Women are more likely than men to be obese because of various biological issues and a greater tendency for accumulation of fat</w:t>
      </w:r>
      <w:r w:rsidR="00703FCB" w:rsidRPr="00EA5F2A">
        <w:rPr>
          <w:rFonts w:ascii="Arial" w:hAnsi="Arial" w:cs="Arial"/>
          <w:color w:val="2C3E50"/>
          <w:sz w:val="23"/>
          <w:szCs w:val="23"/>
          <w:shd w:val="clear" w:color="auto" w:fill="FFFFFF"/>
        </w:rPr>
        <w:t xml:space="preserve"> </w:t>
      </w:r>
      <w:r w:rsidR="00703FCB" w:rsidRPr="00EA5F2A">
        <w:rPr>
          <w:rFonts w:ascii="Arial" w:hAnsi="Arial" w:cs="Arial"/>
        </w:rPr>
        <w:t>(DEANER et al., 2015)</w:t>
      </w:r>
      <w:r w:rsidRPr="00EA5F2A">
        <w:rPr>
          <w:rFonts w:ascii="Arial" w:hAnsi="Arial" w:cs="Arial"/>
        </w:rPr>
        <w:t xml:space="preserve">. Ethnicity also plays a role since Black adults have the highest rate of obesity whereas Chinese people have the lowest rate. Poorer areas also have more obesity. Other groups include those with learning disabilities as well as convicts who are at higher risks of gaining </w:t>
      </w:r>
      <w:r w:rsidR="000C0FD6" w:rsidRPr="00EA5F2A">
        <w:rPr>
          <w:rFonts w:ascii="Arial" w:hAnsi="Arial" w:cs="Arial"/>
        </w:rPr>
        <w:t>obesity</w:t>
      </w:r>
      <w:r w:rsidR="00671558" w:rsidRPr="00EA5F2A">
        <w:rPr>
          <w:rFonts w:ascii="Arial" w:hAnsi="Arial" w:cs="Arial"/>
          <w:color w:val="2C3E50"/>
          <w:sz w:val="23"/>
          <w:szCs w:val="23"/>
          <w:shd w:val="clear" w:color="auto" w:fill="FFFFFF"/>
        </w:rPr>
        <w:t xml:space="preserve"> </w:t>
      </w:r>
      <w:r w:rsidR="00671558" w:rsidRPr="00EA5F2A">
        <w:rPr>
          <w:rFonts w:ascii="Arial" w:hAnsi="Arial" w:cs="Arial"/>
        </w:rPr>
        <w:t>(Dizon and Kamal, 2024)</w:t>
      </w:r>
      <w:r w:rsidR="000C0FD6" w:rsidRPr="00EA5F2A">
        <w:rPr>
          <w:rFonts w:ascii="Arial" w:hAnsi="Arial" w:cs="Arial"/>
        </w:rPr>
        <w:t>.</w:t>
      </w:r>
    </w:p>
    <w:p w14:paraId="11E7F791" w14:textId="7F4CBC23" w:rsidR="007A4D42" w:rsidRPr="00EA5F2A" w:rsidRDefault="007A4D42" w:rsidP="007A4D42">
      <w:pPr>
        <w:rPr>
          <w:rFonts w:ascii="Arial" w:hAnsi="Arial" w:cs="Arial"/>
        </w:rPr>
      </w:pPr>
      <w:r w:rsidRPr="00EA5F2A">
        <w:rPr>
          <w:rFonts w:ascii="Arial" w:hAnsi="Arial" w:cs="Arial"/>
        </w:rPr>
        <w:t>There are many factors causing the obesity epidemic in Yorkshire. Weight gain results from a calorie surplus. This is a situation when the number of calories consumed is greater than those being burnt</w:t>
      </w:r>
      <w:r w:rsidR="001B27EF" w:rsidRPr="00EA5F2A">
        <w:rPr>
          <w:rFonts w:ascii="Arial" w:hAnsi="Arial" w:cs="Arial"/>
          <w:color w:val="2C3E50"/>
          <w:sz w:val="23"/>
          <w:szCs w:val="23"/>
          <w:shd w:val="clear" w:color="auto" w:fill="FFFFFF"/>
        </w:rPr>
        <w:t xml:space="preserve"> </w:t>
      </w:r>
      <w:r w:rsidR="001B27EF" w:rsidRPr="00EA5F2A">
        <w:rPr>
          <w:rFonts w:ascii="Arial" w:hAnsi="Arial" w:cs="Arial"/>
        </w:rPr>
        <w:t>(Vernon, Baranova and Younossi, 2011)</w:t>
      </w:r>
      <w:r w:rsidRPr="00EA5F2A">
        <w:rPr>
          <w:rFonts w:ascii="Arial" w:hAnsi="Arial" w:cs="Arial"/>
        </w:rPr>
        <w:t>. Chronic and large calorie surpluses over time result in heavy accumulation of fat, causing obesity. Processed foods and sugary food are more calorie-dense and less filling; therefore, people easily overeat beyond their daily needs</w:t>
      </w:r>
      <w:r w:rsidR="0092495E" w:rsidRPr="00EA5F2A">
        <w:rPr>
          <w:rFonts w:ascii="Arial" w:hAnsi="Arial" w:cs="Arial"/>
          <w:color w:val="2C3E50"/>
          <w:sz w:val="23"/>
          <w:szCs w:val="23"/>
          <w:shd w:val="clear" w:color="auto" w:fill="FFFFFF"/>
        </w:rPr>
        <w:t xml:space="preserve"> </w:t>
      </w:r>
      <w:r w:rsidR="0092495E" w:rsidRPr="00EA5F2A">
        <w:rPr>
          <w:rFonts w:ascii="Arial" w:hAnsi="Arial" w:cs="Arial"/>
        </w:rPr>
        <w:t> (Murray, Frankowski and Taras, 2005)</w:t>
      </w:r>
      <w:r w:rsidRPr="00EA5F2A">
        <w:rPr>
          <w:rFonts w:ascii="Arial" w:hAnsi="Arial" w:cs="Arial"/>
        </w:rPr>
        <w:t>.</w:t>
      </w:r>
    </w:p>
    <w:p w14:paraId="2D44C4C1" w14:textId="16683A4F" w:rsidR="007A4D42" w:rsidRPr="00EA5F2A" w:rsidRDefault="007A4D42" w:rsidP="007A4D42">
      <w:pPr>
        <w:rPr>
          <w:rFonts w:ascii="Arial" w:hAnsi="Arial" w:cs="Arial"/>
        </w:rPr>
      </w:pPr>
      <w:r w:rsidRPr="00EA5F2A">
        <w:rPr>
          <w:rFonts w:ascii="Arial" w:hAnsi="Arial" w:cs="Arial"/>
        </w:rPr>
        <w:t>This combined with a lack of physical activity due to sedentary professions or negligence in walking due to</w:t>
      </w:r>
      <w:r w:rsidR="00F937B3" w:rsidRPr="00EA5F2A">
        <w:rPr>
          <w:rFonts w:ascii="Arial" w:hAnsi="Arial" w:cs="Arial"/>
        </w:rPr>
        <w:t xml:space="preserve"> </w:t>
      </w:r>
      <w:r w:rsidRPr="00EA5F2A">
        <w:rPr>
          <w:rFonts w:ascii="Arial" w:hAnsi="Arial" w:cs="Arial"/>
        </w:rPr>
        <w:t>the habit of driving everywhere leads to heavy calorie surpluses and weight gains</w:t>
      </w:r>
      <w:r w:rsidR="00F773ED" w:rsidRPr="00EA5F2A">
        <w:rPr>
          <w:rFonts w:ascii="Arial" w:hAnsi="Arial" w:cs="Arial"/>
          <w:color w:val="2C3E50"/>
          <w:sz w:val="23"/>
          <w:szCs w:val="23"/>
          <w:shd w:val="clear" w:color="auto" w:fill="FFFFFF"/>
        </w:rPr>
        <w:t xml:space="preserve"> </w:t>
      </w:r>
      <w:r w:rsidR="00F773ED" w:rsidRPr="00EA5F2A">
        <w:rPr>
          <w:rFonts w:ascii="Arial" w:hAnsi="Arial" w:cs="Arial"/>
        </w:rPr>
        <w:t>(Cornwell and Waite, 2009)</w:t>
      </w:r>
      <w:r w:rsidRPr="00EA5F2A">
        <w:rPr>
          <w:rFonts w:ascii="Arial" w:hAnsi="Arial" w:cs="Arial"/>
        </w:rPr>
        <w:t>.</w:t>
      </w:r>
    </w:p>
    <w:p w14:paraId="360EF12E" w14:textId="7C6C5B31" w:rsidR="007A4D42" w:rsidRPr="00EA5F2A" w:rsidRDefault="007A4D42" w:rsidP="007A4D42">
      <w:pPr>
        <w:rPr>
          <w:rFonts w:ascii="Arial" w:hAnsi="Arial" w:cs="Arial"/>
        </w:rPr>
      </w:pPr>
      <w:r w:rsidRPr="00EA5F2A">
        <w:rPr>
          <w:rFonts w:ascii="Arial" w:hAnsi="Arial" w:cs="Arial"/>
        </w:rPr>
        <w:t xml:space="preserve">Fast food is also extremely common and widespread </w:t>
      </w:r>
      <w:r w:rsidR="000C0FD6" w:rsidRPr="00EA5F2A">
        <w:rPr>
          <w:rFonts w:ascii="Arial" w:hAnsi="Arial" w:cs="Arial"/>
        </w:rPr>
        <w:t>all-around</w:t>
      </w:r>
      <w:r w:rsidRPr="00EA5F2A">
        <w:rPr>
          <w:rFonts w:ascii="Arial" w:hAnsi="Arial" w:cs="Arial"/>
        </w:rPr>
        <w:t xml:space="preserve"> Yorkshire, and due to the </w:t>
      </w:r>
      <w:r w:rsidR="00532632" w:rsidRPr="00EA5F2A">
        <w:rPr>
          <w:rFonts w:ascii="Arial" w:hAnsi="Arial" w:cs="Arial"/>
        </w:rPr>
        <w:t>merger</w:t>
      </w:r>
      <w:r w:rsidRPr="00EA5F2A">
        <w:rPr>
          <w:rFonts w:ascii="Arial" w:hAnsi="Arial" w:cs="Arial"/>
        </w:rPr>
        <w:t xml:space="preserve"> economic prospects, there is also a trend of lethargy amongst the inhabitants and a tendency to do low physical activity</w:t>
      </w:r>
      <w:r w:rsidR="003F44B5" w:rsidRPr="00EA5F2A">
        <w:rPr>
          <w:rFonts w:ascii="Arial" w:hAnsi="Arial" w:cs="Arial"/>
          <w:color w:val="2C3E50"/>
          <w:sz w:val="23"/>
          <w:szCs w:val="23"/>
          <w:shd w:val="clear" w:color="auto" w:fill="FFFFFF"/>
        </w:rPr>
        <w:t xml:space="preserve"> </w:t>
      </w:r>
      <w:r w:rsidR="003F44B5" w:rsidRPr="00EA5F2A">
        <w:rPr>
          <w:rFonts w:ascii="Arial" w:hAnsi="Arial" w:cs="Arial"/>
        </w:rPr>
        <w:t>(Agrawal, Gupta and Varma, 2008)</w:t>
      </w:r>
      <w:r w:rsidRPr="00EA5F2A">
        <w:rPr>
          <w:rFonts w:ascii="Arial" w:hAnsi="Arial" w:cs="Arial"/>
        </w:rPr>
        <w:t>. These factors compound on each other to cause Yorkshire to become unhealthy and obese.Other contributory factors include poor mental health, genetic problems, and poverty, all of which support the obesity rate in Yorkshire</w:t>
      </w:r>
      <w:r w:rsidR="00461E5A" w:rsidRPr="00EA5F2A">
        <w:rPr>
          <w:rFonts w:ascii="Arial" w:hAnsi="Arial" w:cs="Arial"/>
          <w:color w:val="2C3E50"/>
          <w:sz w:val="23"/>
          <w:szCs w:val="23"/>
          <w:shd w:val="clear" w:color="auto" w:fill="FFFFFF"/>
        </w:rPr>
        <w:t xml:space="preserve"> </w:t>
      </w:r>
      <w:r w:rsidR="00461E5A" w:rsidRPr="00EA5F2A">
        <w:rPr>
          <w:rFonts w:ascii="Arial" w:hAnsi="Arial" w:cs="Arial"/>
        </w:rPr>
        <w:t> (Stottmeister et al., 2003)</w:t>
      </w:r>
      <w:r w:rsidRPr="00EA5F2A">
        <w:rPr>
          <w:rFonts w:ascii="Arial" w:hAnsi="Arial" w:cs="Arial"/>
        </w:rPr>
        <w:t>.</w:t>
      </w:r>
    </w:p>
    <w:p w14:paraId="6998ACF0" w14:textId="77777777" w:rsidR="007A4D42" w:rsidRPr="00EA5F2A" w:rsidRDefault="007A4D42" w:rsidP="007A4D42">
      <w:pPr>
        <w:rPr>
          <w:rFonts w:ascii="Arial" w:hAnsi="Arial" w:cs="Arial"/>
          <w:b/>
        </w:rPr>
      </w:pPr>
    </w:p>
    <w:p w14:paraId="5214CB62" w14:textId="77777777" w:rsidR="007A4D42" w:rsidRPr="00EA5F2A" w:rsidRDefault="007A4D42" w:rsidP="007A4D42">
      <w:pPr>
        <w:rPr>
          <w:rFonts w:ascii="Arial" w:hAnsi="Arial" w:cs="Arial"/>
          <w:b/>
        </w:rPr>
      </w:pPr>
      <w:bookmarkStart w:id="15" w:name="_Toc15020"/>
      <w:r w:rsidRPr="00EA5F2A">
        <w:rPr>
          <w:rFonts w:ascii="Arial" w:hAnsi="Arial" w:cs="Arial"/>
          <w:b/>
        </w:rPr>
        <w:t xml:space="preserve">4. The Three P’s </w:t>
      </w:r>
      <w:bookmarkEnd w:id="15"/>
    </w:p>
    <w:p w14:paraId="0D3B9EDB" w14:textId="3BD3AB1A" w:rsidR="007A4D42" w:rsidRPr="00EA5F2A" w:rsidRDefault="007A4D42" w:rsidP="007A4D42">
      <w:pPr>
        <w:rPr>
          <w:rFonts w:ascii="Arial" w:hAnsi="Arial" w:cs="Arial"/>
        </w:rPr>
      </w:pPr>
      <w:r w:rsidRPr="00EA5F2A">
        <w:rPr>
          <w:rFonts w:ascii="Arial" w:hAnsi="Arial" w:cs="Arial"/>
        </w:rPr>
        <w:t>The three Ps of public health are Prevention, promotion, and Protection. In the government's measures to tackle obesity in Yorkshire, we can see the 3Ps at work</w:t>
      </w:r>
      <w:r w:rsidR="002D29EC" w:rsidRPr="00EA5F2A">
        <w:rPr>
          <w:rFonts w:ascii="Arial" w:hAnsi="Arial" w:cs="Arial"/>
          <w:color w:val="2C3E50"/>
          <w:sz w:val="23"/>
          <w:szCs w:val="23"/>
          <w:shd w:val="clear" w:color="auto" w:fill="FFFFFF"/>
        </w:rPr>
        <w:t xml:space="preserve"> </w:t>
      </w:r>
      <w:r w:rsidR="002D29EC" w:rsidRPr="00EA5F2A">
        <w:rPr>
          <w:rFonts w:ascii="Arial" w:hAnsi="Arial" w:cs="Arial"/>
        </w:rPr>
        <w:t> (Kolovou, 2022)</w:t>
      </w:r>
      <w:r w:rsidRPr="00EA5F2A">
        <w:rPr>
          <w:rFonts w:ascii="Arial" w:hAnsi="Arial" w:cs="Arial"/>
        </w:rPr>
        <w:t>.</w:t>
      </w:r>
    </w:p>
    <w:p w14:paraId="08D2A707" w14:textId="6F7706CC" w:rsidR="007A4D42" w:rsidRPr="00EA5F2A" w:rsidRDefault="007A4D42" w:rsidP="007A4D42">
      <w:pPr>
        <w:rPr>
          <w:rFonts w:ascii="Arial" w:hAnsi="Arial" w:cs="Arial"/>
        </w:rPr>
      </w:pPr>
      <w:r w:rsidRPr="00EA5F2A">
        <w:rPr>
          <w:rFonts w:ascii="Arial" w:hAnsi="Arial" w:cs="Arial"/>
        </w:rPr>
        <w:t xml:space="preserve">On the level of prevention, the National Child Measurement program serves to identify obesity among children early enough and collaborates with parents and </w:t>
      </w:r>
      <w:r w:rsidRPr="00EA5F2A">
        <w:rPr>
          <w:rFonts w:ascii="Arial" w:hAnsi="Arial" w:cs="Arial"/>
        </w:rPr>
        <w:lastRenderedPageBreak/>
        <w:t>schools, as well as other concerned authorities, on the principle of nipping it in the bud</w:t>
      </w:r>
      <w:r w:rsidR="006B73CE" w:rsidRPr="00EA5F2A">
        <w:rPr>
          <w:rFonts w:ascii="Arial" w:hAnsi="Arial" w:cs="Arial"/>
          <w:color w:val="2C3E50"/>
          <w:sz w:val="23"/>
          <w:szCs w:val="23"/>
          <w:shd w:val="clear" w:color="auto" w:fill="FFFFFF"/>
        </w:rPr>
        <w:t xml:space="preserve"> </w:t>
      </w:r>
      <w:r w:rsidR="006B73CE" w:rsidRPr="00EA5F2A">
        <w:rPr>
          <w:rFonts w:ascii="Arial" w:hAnsi="Arial" w:cs="Arial"/>
        </w:rPr>
        <w:t> (Lobstein, Baur and Uauy, 2022)</w:t>
      </w:r>
      <w:r w:rsidRPr="00EA5F2A">
        <w:rPr>
          <w:rFonts w:ascii="Arial" w:hAnsi="Arial" w:cs="Arial"/>
        </w:rPr>
        <w:t xml:space="preserve">. Obesity that starts during childhood is likely to extend into adulthood, and as such, the government's move to eradicate the condition before it </w:t>
      </w:r>
      <w:r w:rsidR="000C0FD6" w:rsidRPr="00EA5F2A">
        <w:rPr>
          <w:rFonts w:ascii="Arial" w:hAnsi="Arial" w:cs="Arial"/>
        </w:rPr>
        <w:t>takes.</w:t>
      </w:r>
      <w:r w:rsidRPr="00EA5F2A">
        <w:rPr>
          <w:rFonts w:ascii="Arial" w:hAnsi="Arial" w:cs="Arial"/>
        </w:rPr>
        <w:t>Root is impressive regarding the scope of preventative care</w:t>
      </w:r>
      <w:r w:rsidR="00B6769F" w:rsidRPr="00EA5F2A">
        <w:rPr>
          <w:rFonts w:ascii="Arial" w:hAnsi="Arial" w:cs="Arial"/>
          <w:color w:val="2C3E50"/>
          <w:sz w:val="23"/>
          <w:szCs w:val="23"/>
          <w:shd w:val="clear" w:color="auto" w:fill="FFFFFF"/>
        </w:rPr>
        <w:t xml:space="preserve"> </w:t>
      </w:r>
      <w:r w:rsidR="00B6769F" w:rsidRPr="00EA5F2A">
        <w:rPr>
          <w:rFonts w:ascii="Arial" w:hAnsi="Arial" w:cs="Arial"/>
        </w:rPr>
        <w:t>(Page, 2018)</w:t>
      </w:r>
      <w:r w:rsidRPr="00EA5F2A">
        <w:rPr>
          <w:rFonts w:ascii="Arial" w:hAnsi="Arial" w:cs="Arial"/>
        </w:rPr>
        <w:t>.</w:t>
      </w:r>
    </w:p>
    <w:p w14:paraId="05257187" w14:textId="4379B5C6" w:rsidR="007A4D42" w:rsidRPr="00EA5F2A" w:rsidRDefault="007A4D42" w:rsidP="007A4D42">
      <w:pPr>
        <w:rPr>
          <w:rFonts w:ascii="Arial" w:hAnsi="Arial" w:cs="Arial"/>
        </w:rPr>
      </w:pPr>
      <w:r w:rsidRPr="00EA5F2A">
        <w:rPr>
          <w:rFonts w:ascii="Arial" w:hAnsi="Arial" w:cs="Arial"/>
        </w:rPr>
        <w:t>This is the goal of the North Yorkshire City Council's Healthy Weight, Healthy Lives program-to address the promotional aspect of the obesity crisis</w:t>
      </w:r>
      <w:r w:rsidR="00E02D25" w:rsidRPr="00EA5F2A">
        <w:rPr>
          <w:rFonts w:ascii="Arial" w:hAnsi="Arial" w:cs="Arial"/>
          <w:color w:val="2C3E50"/>
          <w:sz w:val="23"/>
          <w:szCs w:val="23"/>
          <w:shd w:val="clear" w:color="auto" w:fill="FFFFFF"/>
        </w:rPr>
        <w:t xml:space="preserve"> </w:t>
      </w:r>
      <w:r w:rsidR="00E02D25" w:rsidRPr="00EA5F2A">
        <w:rPr>
          <w:rFonts w:ascii="Arial" w:hAnsi="Arial" w:cs="Arial"/>
        </w:rPr>
        <w:t>(Gates, 2017)</w:t>
      </w:r>
      <w:r w:rsidRPr="00EA5F2A">
        <w:rPr>
          <w:rFonts w:ascii="Arial" w:hAnsi="Arial" w:cs="Arial"/>
        </w:rPr>
        <w:t xml:space="preserve">. It raises public awareness about the health impacts that obesity brings and promotes a healthier lifestyle across the region </w:t>
      </w:r>
      <w:r w:rsidR="000C0FD6" w:rsidRPr="00EA5F2A">
        <w:rPr>
          <w:rFonts w:ascii="Arial" w:hAnsi="Arial" w:cs="Arial"/>
        </w:rPr>
        <w:t>to</w:t>
      </w:r>
      <w:r w:rsidRPr="00EA5F2A">
        <w:rPr>
          <w:rFonts w:ascii="Arial" w:hAnsi="Arial" w:cs="Arial"/>
        </w:rPr>
        <w:t xml:space="preserve"> lower the risks of obesity. It promotes more exercise and healthier eating to the</w:t>
      </w:r>
      <w:r w:rsidR="00913202" w:rsidRPr="00EA5F2A">
        <w:rPr>
          <w:rFonts w:ascii="Arial" w:hAnsi="Arial" w:cs="Arial"/>
        </w:rPr>
        <w:t xml:space="preserve"> </w:t>
      </w:r>
      <w:r w:rsidRPr="00EA5F2A">
        <w:rPr>
          <w:rFonts w:ascii="Arial" w:hAnsi="Arial" w:cs="Arial"/>
        </w:rPr>
        <w:t>people</w:t>
      </w:r>
      <w:r w:rsidR="009D6939" w:rsidRPr="00EA5F2A">
        <w:rPr>
          <w:rFonts w:ascii="Arial" w:hAnsi="Arial" w:cs="Arial"/>
        </w:rPr>
        <w:t> (Masoli et al., 2004)</w:t>
      </w:r>
      <w:r w:rsidRPr="00EA5F2A">
        <w:rPr>
          <w:rFonts w:ascii="Arial" w:hAnsi="Arial" w:cs="Arial"/>
        </w:rPr>
        <w:t>. Information on how to properly approach the problem of obesity is often scarce, and the efforts put by the local government help promoting the cause of fighting obesity in the region</w:t>
      </w:r>
      <w:r w:rsidR="005D2609" w:rsidRPr="00EA5F2A">
        <w:rPr>
          <w:rFonts w:ascii="Arial" w:hAnsi="Arial" w:cs="Arial"/>
          <w:color w:val="2C3E50"/>
          <w:sz w:val="23"/>
          <w:szCs w:val="23"/>
          <w:shd w:val="clear" w:color="auto" w:fill="FFFFFF"/>
        </w:rPr>
        <w:t xml:space="preserve"> </w:t>
      </w:r>
      <w:r w:rsidR="005D2609" w:rsidRPr="00EA5F2A">
        <w:rPr>
          <w:rFonts w:ascii="Arial" w:hAnsi="Arial" w:cs="Arial"/>
        </w:rPr>
        <w:t> (J, 2024)</w:t>
      </w:r>
      <w:r w:rsidRPr="00EA5F2A">
        <w:rPr>
          <w:rFonts w:ascii="Arial" w:hAnsi="Arial" w:cs="Arial"/>
        </w:rPr>
        <w:t>.</w:t>
      </w:r>
    </w:p>
    <w:p w14:paraId="0880F5AE" w14:textId="7BF82D79" w:rsidR="007A4D42" w:rsidRPr="00EA5F2A" w:rsidRDefault="007A4D42" w:rsidP="007A4D42">
      <w:pPr>
        <w:rPr>
          <w:rFonts w:ascii="Arial" w:hAnsi="Arial" w:cs="Arial"/>
        </w:rPr>
      </w:pPr>
      <w:r w:rsidRPr="00EA5F2A">
        <w:rPr>
          <w:rFonts w:ascii="Arial" w:hAnsi="Arial" w:cs="Arial"/>
        </w:rPr>
        <w:t>The third is protection - the state tries to contain the problem of obesity and assist the affected people. Such initiatives as the Adult Weight Management Service and Weight off Your Mind help the obese and overweight citizens to monitor their weight and look after themselves better</w:t>
      </w:r>
      <w:r w:rsidR="005A5EA6" w:rsidRPr="00EA5F2A">
        <w:rPr>
          <w:rFonts w:ascii="Arial" w:hAnsi="Arial" w:cs="Arial"/>
          <w:color w:val="2C3E50"/>
          <w:sz w:val="23"/>
          <w:szCs w:val="23"/>
          <w:shd w:val="clear" w:color="auto" w:fill="FFFFFF"/>
        </w:rPr>
        <w:t xml:space="preserve"> </w:t>
      </w:r>
      <w:r w:rsidR="005A5EA6" w:rsidRPr="00EA5F2A">
        <w:rPr>
          <w:rFonts w:ascii="Arial" w:hAnsi="Arial" w:cs="Arial"/>
        </w:rPr>
        <w:t>(Kshetri, 2021)</w:t>
      </w:r>
      <w:r w:rsidRPr="00EA5F2A">
        <w:rPr>
          <w:rFonts w:ascii="Arial" w:hAnsi="Arial" w:cs="Arial"/>
        </w:rPr>
        <w:t>.</w:t>
      </w:r>
    </w:p>
    <w:p w14:paraId="565DB913" w14:textId="77777777" w:rsidR="007A4D42" w:rsidRPr="00EA5F2A" w:rsidRDefault="007A4D42" w:rsidP="007A4D42">
      <w:pPr>
        <w:rPr>
          <w:rFonts w:ascii="Arial" w:hAnsi="Arial" w:cs="Arial"/>
        </w:rPr>
      </w:pPr>
    </w:p>
    <w:p w14:paraId="6491F5D3" w14:textId="2B565081" w:rsidR="007A4D42" w:rsidRPr="00EA5F2A" w:rsidRDefault="007A4D42" w:rsidP="007A4D42">
      <w:pPr>
        <w:rPr>
          <w:rFonts w:ascii="Arial" w:hAnsi="Arial" w:cs="Arial"/>
        </w:rPr>
      </w:pPr>
      <w:r w:rsidRPr="00EA5F2A">
        <w:rPr>
          <w:rFonts w:ascii="Arial" w:hAnsi="Arial" w:cs="Arial"/>
        </w:rPr>
        <w:t>The Family Weight Management Services Also serves to promote healthy weight among overweight people by involving their family in the business of eating healthy and leading a more active lifestyle</w:t>
      </w:r>
      <w:r w:rsidR="00C55F50" w:rsidRPr="00EA5F2A">
        <w:rPr>
          <w:rFonts w:ascii="Arial" w:hAnsi="Arial" w:cs="Arial"/>
          <w:color w:val="2C3E50"/>
          <w:sz w:val="23"/>
          <w:szCs w:val="23"/>
          <w:shd w:val="clear" w:color="auto" w:fill="FFFFFF"/>
        </w:rPr>
        <w:t xml:space="preserve"> </w:t>
      </w:r>
      <w:r w:rsidR="00C55F50" w:rsidRPr="00EA5F2A">
        <w:rPr>
          <w:rFonts w:ascii="Arial" w:hAnsi="Arial" w:cs="Arial"/>
        </w:rPr>
        <w:t> (Nelson et al., 2008)</w:t>
      </w:r>
      <w:r w:rsidRPr="00EA5F2A">
        <w:rPr>
          <w:rFonts w:ascii="Arial" w:hAnsi="Arial" w:cs="Arial"/>
        </w:rPr>
        <w:t>.</w:t>
      </w:r>
    </w:p>
    <w:p w14:paraId="3FCD07E8" w14:textId="77777777" w:rsidR="007A4D42" w:rsidRPr="00EA5F2A" w:rsidRDefault="007A4D42" w:rsidP="007A4D42">
      <w:pPr>
        <w:rPr>
          <w:rFonts w:ascii="Arial" w:hAnsi="Arial" w:cs="Arial"/>
          <w:b/>
        </w:rPr>
      </w:pPr>
    </w:p>
    <w:p w14:paraId="379D357A" w14:textId="77777777" w:rsidR="007A4D42" w:rsidRPr="00EA5F2A" w:rsidRDefault="007A4D42" w:rsidP="007A4D42">
      <w:pPr>
        <w:rPr>
          <w:rFonts w:ascii="Arial" w:hAnsi="Arial" w:cs="Arial"/>
          <w:b/>
        </w:rPr>
      </w:pPr>
      <w:bookmarkStart w:id="16" w:name="_Toc15021"/>
      <w:r w:rsidRPr="00EA5F2A">
        <w:rPr>
          <w:rFonts w:ascii="Arial" w:hAnsi="Arial" w:cs="Arial"/>
          <w:b/>
        </w:rPr>
        <w:t xml:space="preserve">5. Health Intervention Program </w:t>
      </w:r>
      <w:bookmarkEnd w:id="16"/>
    </w:p>
    <w:p w14:paraId="5123553B" w14:textId="7E40A005" w:rsidR="007A4D42" w:rsidRPr="00EA5F2A" w:rsidRDefault="007A4D42" w:rsidP="007A4D42">
      <w:pPr>
        <w:rPr>
          <w:rFonts w:ascii="Arial" w:hAnsi="Arial" w:cs="Arial"/>
        </w:rPr>
      </w:pPr>
      <w:r w:rsidRPr="00EA5F2A">
        <w:rPr>
          <w:rFonts w:ascii="Arial" w:hAnsi="Arial" w:cs="Arial"/>
        </w:rPr>
        <w:t>Any program designed to curb obesity in Yorkshire must be holistic in nature and integrate all aspects of society.</w:t>
      </w:r>
      <w:r w:rsidR="006E7A62" w:rsidRPr="00EA5F2A">
        <w:rPr>
          <w:rFonts w:ascii="Arial" w:hAnsi="Arial" w:cs="Arial"/>
        </w:rPr>
        <w:t xml:space="preserve"> </w:t>
      </w:r>
      <w:r w:rsidRPr="00EA5F2A">
        <w:rPr>
          <w:rFonts w:ascii="Arial" w:hAnsi="Arial" w:cs="Arial"/>
        </w:rPr>
        <w:t xml:space="preserve">Community Health Hubs should be promoted on weekends to offer free fitness classes, information about the cause of obesity and how to tackle them, and communal physical activity initiatives such as group sports. This would make adults more active and lose more weight since it is an enjoyable exercise done with </w:t>
      </w:r>
      <w:r w:rsidR="00532632" w:rsidRPr="00EA5F2A">
        <w:rPr>
          <w:rFonts w:ascii="Arial" w:hAnsi="Arial" w:cs="Arial"/>
        </w:rPr>
        <w:t>neighbours</w:t>
      </w:r>
      <w:r w:rsidR="00452F83" w:rsidRPr="00EA5F2A">
        <w:rPr>
          <w:rFonts w:ascii="Arial" w:hAnsi="Arial" w:cs="Arial"/>
          <w:color w:val="2C3E50"/>
          <w:sz w:val="23"/>
          <w:szCs w:val="23"/>
          <w:shd w:val="clear" w:color="auto" w:fill="FFFFFF"/>
        </w:rPr>
        <w:t xml:space="preserve"> </w:t>
      </w:r>
      <w:r w:rsidR="00452F83" w:rsidRPr="00EA5F2A">
        <w:rPr>
          <w:rFonts w:ascii="Arial" w:hAnsi="Arial" w:cs="Arial"/>
        </w:rPr>
        <w:t> (Bruix and Sherman, 2005)</w:t>
      </w:r>
      <w:r w:rsidRPr="00EA5F2A">
        <w:rPr>
          <w:rFonts w:ascii="Arial" w:hAnsi="Arial" w:cs="Arial"/>
        </w:rPr>
        <w:t>.</w:t>
      </w:r>
    </w:p>
    <w:p w14:paraId="5389975E" w14:textId="6EBE735F" w:rsidR="007A4D42" w:rsidRPr="00EA5F2A" w:rsidRDefault="007A4D42" w:rsidP="007A4D42">
      <w:pPr>
        <w:rPr>
          <w:rFonts w:ascii="Arial" w:hAnsi="Arial" w:cs="Arial"/>
        </w:rPr>
      </w:pPr>
      <w:r w:rsidRPr="00EA5F2A">
        <w:rPr>
          <w:rFonts w:ascii="Arial" w:hAnsi="Arial" w:cs="Arial"/>
        </w:rPr>
        <w:t>Screening services and monitoring functions should be present in school, where the schools are obliged to track the weight and BMI of the children regularly and report overweight children to authorities</w:t>
      </w:r>
      <w:r w:rsidR="007D135D" w:rsidRPr="00EA5F2A">
        <w:rPr>
          <w:rFonts w:ascii="Arial" w:hAnsi="Arial" w:cs="Arial"/>
          <w:color w:val="2C3E50"/>
          <w:sz w:val="23"/>
          <w:szCs w:val="23"/>
          <w:shd w:val="clear" w:color="auto" w:fill="FFFFFF"/>
        </w:rPr>
        <w:t xml:space="preserve"> </w:t>
      </w:r>
      <w:r w:rsidR="007D135D" w:rsidRPr="00EA5F2A">
        <w:rPr>
          <w:rFonts w:ascii="Arial" w:hAnsi="Arial" w:cs="Arial"/>
        </w:rPr>
        <w:t> (Trotter, 1885)</w:t>
      </w:r>
      <w:r w:rsidRPr="00EA5F2A">
        <w:rPr>
          <w:rFonts w:ascii="Arial" w:hAnsi="Arial" w:cs="Arial"/>
        </w:rPr>
        <w:t>.</w:t>
      </w:r>
    </w:p>
    <w:p w14:paraId="48C43466" w14:textId="7E3EF45F" w:rsidR="007A4D42" w:rsidRPr="00EA5F2A" w:rsidRDefault="007A4D42" w:rsidP="007A4D42">
      <w:pPr>
        <w:rPr>
          <w:rFonts w:ascii="Arial" w:hAnsi="Arial" w:cs="Arial"/>
        </w:rPr>
      </w:pPr>
      <w:r w:rsidRPr="00EA5F2A">
        <w:rPr>
          <w:rFonts w:ascii="Arial" w:hAnsi="Arial" w:cs="Arial"/>
        </w:rPr>
        <w:t>This kind of early detection can help authorities get the endangered children on the right path and get them off the road to obesity.They should be encouraged towards sports and healthy eating</w:t>
      </w:r>
      <w:r w:rsidR="00C40D23" w:rsidRPr="00EA5F2A">
        <w:rPr>
          <w:rFonts w:ascii="Arial" w:hAnsi="Arial" w:cs="Arial"/>
          <w:color w:val="2C3E50"/>
          <w:sz w:val="23"/>
          <w:szCs w:val="23"/>
          <w:shd w:val="clear" w:color="auto" w:fill="FFFFFF"/>
        </w:rPr>
        <w:t xml:space="preserve"> </w:t>
      </w:r>
      <w:r w:rsidR="00C40D23" w:rsidRPr="00EA5F2A">
        <w:rPr>
          <w:rFonts w:ascii="Arial" w:hAnsi="Arial" w:cs="Arial"/>
        </w:rPr>
        <w:t>(Bisson et al., 2003)</w:t>
      </w:r>
      <w:r w:rsidRPr="00EA5F2A">
        <w:rPr>
          <w:rFonts w:ascii="Arial" w:hAnsi="Arial" w:cs="Arial"/>
        </w:rPr>
        <w:t>.</w:t>
      </w:r>
    </w:p>
    <w:p w14:paraId="2A1B14C2" w14:textId="50A7548C" w:rsidR="007A4D42" w:rsidRPr="00EA5F2A" w:rsidRDefault="007A4D42" w:rsidP="007A4D42">
      <w:pPr>
        <w:rPr>
          <w:rFonts w:ascii="Arial" w:hAnsi="Arial" w:cs="Arial"/>
        </w:rPr>
      </w:pPr>
      <w:r w:rsidRPr="00EA5F2A">
        <w:rPr>
          <w:rFonts w:ascii="Arial" w:hAnsi="Arial" w:cs="Arial"/>
        </w:rPr>
        <w:t>Finally, gym memberships should be subsidized and discounted, and the community councils should be bound to arrange events such as marathons for added participation of adults</w:t>
      </w:r>
      <w:r w:rsidR="005B72B9" w:rsidRPr="00EA5F2A">
        <w:rPr>
          <w:rFonts w:ascii="Arial" w:hAnsi="Arial" w:cs="Arial"/>
          <w:color w:val="2C3E50"/>
          <w:sz w:val="23"/>
          <w:szCs w:val="23"/>
          <w:shd w:val="clear" w:color="auto" w:fill="FFFFFF"/>
        </w:rPr>
        <w:t xml:space="preserve"> </w:t>
      </w:r>
      <w:r w:rsidR="005B72B9" w:rsidRPr="00EA5F2A">
        <w:rPr>
          <w:rFonts w:ascii="Arial" w:hAnsi="Arial" w:cs="Arial"/>
        </w:rPr>
        <w:t>(Testa, 2002)</w:t>
      </w:r>
      <w:r w:rsidRPr="00EA5F2A">
        <w:rPr>
          <w:rFonts w:ascii="Arial" w:hAnsi="Arial" w:cs="Arial"/>
        </w:rPr>
        <w:t>.</w:t>
      </w:r>
    </w:p>
    <w:p w14:paraId="06724500" w14:textId="77777777" w:rsidR="00E13070" w:rsidRPr="00EA5F2A" w:rsidRDefault="00E13070" w:rsidP="007A4D42">
      <w:pPr>
        <w:rPr>
          <w:rFonts w:ascii="Arial" w:hAnsi="Arial" w:cs="Arial"/>
        </w:rPr>
      </w:pPr>
      <w:bookmarkStart w:id="17" w:name="_Toc15022"/>
    </w:p>
    <w:p w14:paraId="0AAD3EE8" w14:textId="77777777" w:rsidR="006E15F8" w:rsidRPr="00EA5F2A" w:rsidRDefault="006E15F8" w:rsidP="007A4D42">
      <w:pPr>
        <w:rPr>
          <w:rFonts w:ascii="Arial" w:hAnsi="Arial" w:cs="Arial"/>
          <w:b/>
        </w:rPr>
      </w:pPr>
    </w:p>
    <w:p w14:paraId="13A9B876" w14:textId="77777777" w:rsidR="006E15F8" w:rsidRPr="00EA5F2A" w:rsidRDefault="006E15F8" w:rsidP="007A4D42">
      <w:pPr>
        <w:rPr>
          <w:rFonts w:ascii="Arial" w:hAnsi="Arial" w:cs="Arial"/>
          <w:b/>
        </w:rPr>
      </w:pPr>
    </w:p>
    <w:p w14:paraId="2CA51EF0" w14:textId="335309BF" w:rsidR="007A4D42" w:rsidRPr="00EA5F2A" w:rsidRDefault="007A4D42" w:rsidP="007A4D42">
      <w:pPr>
        <w:rPr>
          <w:rFonts w:ascii="Arial" w:hAnsi="Arial" w:cs="Arial"/>
          <w:b/>
        </w:rPr>
      </w:pPr>
      <w:r w:rsidRPr="00EA5F2A">
        <w:rPr>
          <w:rFonts w:ascii="Arial" w:hAnsi="Arial" w:cs="Arial"/>
          <w:b/>
        </w:rPr>
        <w:t xml:space="preserve">6. Conclusion </w:t>
      </w:r>
      <w:bookmarkEnd w:id="17"/>
    </w:p>
    <w:p w14:paraId="74A68C04" w14:textId="57E05223" w:rsidR="007A4D42" w:rsidRPr="00EA5F2A" w:rsidRDefault="00CA3E7C" w:rsidP="007A4D42">
      <w:pPr>
        <w:rPr>
          <w:rFonts w:ascii="Arial" w:hAnsi="Arial" w:cs="Arial"/>
        </w:rPr>
      </w:pPr>
      <w:r w:rsidRPr="00EA5F2A">
        <w:rPr>
          <w:rFonts w:ascii="Arial" w:hAnsi="Arial" w:cs="Arial"/>
        </w:rPr>
        <w:t>Concisely</w:t>
      </w:r>
      <w:r w:rsidR="007A4D42" w:rsidRPr="00EA5F2A">
        <w:rPr>
          <w:rFonts w:ascii="Arial" w:hAnsi="Arial" w:cs="Arial"/>
        </w:rPr>
        <w:t xml:space="preserve">, obesity is </w:t>
      </w:r>
      <w:r w:rsidR="000C0FD6" w:rsidRPr="00EA5F2A">
        <w:rPr>
          <w:rFonts w:ascii="Arial" w:hAnsi="Arial" w:cs="Arial"/>
        </w:rPr>
        <w:t>a crisis</w:t>
      </w:r>
      <w:r w:rsidR="007A4D42" w:rsidRPr="00EA5F2A">
        <w:rPr>
          <w:rFonts w:ascii="Arial" w:hAnsi="Arial" w:cs="Arial"/>
        </w:rPr>
        <w:t xml:space="preserve"> affecting the UK, with Yorkshire being one of the worst-hit regions in the country. It has a significant negative impact on public health. While the government is taking steps to solve the problem, a more holistic measure is needed that will help diagnose it, root it out, and prevent the malady from taking hold in the first place</w:t>
      </w:r>
      <w:r w:rsidR="00E64285" w:rsidRPr="00EA5F2A">
        <w:rPr>
          <w:rFonts w:ascii="Arial" w:hAnsi="Arial" w:cs="Arial"/>
        </w:rPr>
        <w:t>(Al-Nouri et al., 2012)</w:t>
      </w:r>
      <w:r w:rsidR="007A4D42" w:rsidRPr="00EA5F2A">
        <w:rPr>
          <w:rFonts w:ascii="Arial" w:hAnsi="Arial" w:cs="Arial"/>
        </w:rPr>
        <w:t>.</w:t>
      </w:r>
    </w:p>
    <w:p w14:paraId="6F83C43A" w14:textId="77777777" w:rsidR="00F3761E" w:rsidRPr="00EA5F2A" w:rsidRDefault="00CC1CFC" w:rsidP="00CC1CFC">
      <w:pPr>
        <w:pStyle w:val="ListParagraph"/>
        <w:rPr>
          <w:rFonts w:ascii="Arial" w:hAnsi="Arial" w:cs="Arial"/>
          <w:b/>
          <w:bCs/>
          <w:sz w:val="40"/>
          <w:szCs w:val="40"/>
        </w:rPr>
      </w:pPr>
      <w:r w:rsidRPr="00EA5F2A">
        <w:rPr>
          <w:rFonts w:ascii="Arial" w:hAnsi="Arial" w:cs="Arial"/>
          <w:b/>
          <w:bCs/>
          <w:sz w:val="40"/>
          <w:szCs w:val="40"/>
        </w:rPr>
        <w:t xml:space="preserve">                    </w:t>
      </w:r>
    </w:p>
    <w:p w14:paraId="388D8C76" w14:textId="77777777" w:rsidR="00F3761E" w:rsidRPr="00EA5F2A" w:rsidRDefault="00F3761E" w:rsidP="00CC1CFC">
      <w:pPr>
        <w:pStyle w:val="ListParagraph"/>
        <w:rPr>
          <w:rFonts w:ascii="Arial" w:hAnsi="Arial" w:cs="Arial"/>
          <w:b/>
          <w:bCs/>
          <w:sz w:val="40"/>
          <w:szCs w:val="40"/>
        </w:rPr>
      </w:pPr>
    </w:p>
    <w:p w14:paraId="57F9F06B" w14:textId="77777777" w:rsidR="00F3761E" w:rsidRPr="00EA5F2A" w:rsidRDefault="00F3761E" w:rsidP="00CC1CFC">
      <w:pPr>
        <w:pStyle w:val="ListParagraph"/>
        <w:rPr>
          <w:rFonts w:ascii="Arial" w:hAnsi="Arial" w:cs="Arial"/>
          <w:b/>
          <w:bCs/>
          <w:sz w:val="40"/>
          <w:szCs w:val="40"/>
        </w:rPr>
      </w:pPr>
    </w:p>
    <w:p w14:paraId="684EF9E6" w14:textId="77777777" w:rsidR="00F3761E" w:rsidRPr="00EA5F2A" w:rsidRDefault="00F3761E" w:rsidP="00CC1CFC">
      <w:pPr>
        <w:pStyle w:val="ListParagraph"/>
        <w:rPr>
          <w:rFonts w:ascii="Arial" w:hAnsi="Arial" w:cs="Arial"/>
          <w:b/>
          <w:bCs/>
          <w:sz w:val="40"/>
          <w:szCs w:val="40"/>
        </w:rPr>
      </w:pPr>
    </w:p>
    <w:p w14:paraId="7EA9E585" w14:textId="77777777" w:rsidR="00F3761E" w:rsidRPr="00EA5F2A" w:rsidRDefault="00F3761E" w:rsidP="00CC1CFC">
      <w:pPr>
        <w:pStyle w:val="ListParagraph"/>
        <w:rPr>
          <w:rFonts w:ascii="Arial" w:hAnsi="Arial" w:cs="Arial"/>
          <w:b/>
          <w:bCs/>
          <w:sz w:val="40"/>
          <w:szCs w:val="40"/>
        </w:rPr>
      </w:pPr>
    </w:p>
    <w:p w14:paraId="1611E0CB" w14:textId="77777777" w:rsidR="00F3761E" w:rsidRPr="00EA5F2A" w:rsidRDefault="00F3761E" w:rsidP="00CC1CFC">
      <w:pPr>
        <w:pStyle w:val="ListParagraph"/>
        <w:rPr>
          <w:rFonts w:ascii="Arial" w:hAnsi="Arial" w:cs="Arial"/>
          <w:b/>
          <w:bCs/>
          <w:sz w:val="40"/>
          <w:szCs w:val="40"/>
        </w:rPr>
      </w:pPr>
    </w:p>
    <w:p w14:paraId="07B114A6" w14:textId="77777777" w:rsidR="00F3761E" w:rsidRPr="00EA5F2A" w:rsidRDefault="00F3761E" w:rsidP="00CC1CFC">
      <w:pPr>
        <w:pStyle w:val="ListParagraph"/>
        <w:rPr>
          <w:rFonts w:ascii="Arial" w:hAnsi="Arial" w:cs="Arial"/>
          <w:b/>
          <w:bCs/>
          <w:sz w:val="40"/>
          <w:szCs w:val="40"/>
        </w:rPr>
      </w:pPr>
    </w:p>
    <w:p w14:paraId="3DDA408B" w14:textId="77777777" w:rsidR="00F3761E" w:rsidRPr="00EA5F2A" w:rsidRDefault="00F3761E" w:rsidP="00CC1CFC">
      <w:pPr>
        <w:pStyle w:val="ListParagraph"/>
        <w:rPr>
          <w:rFonts w:ascii="Arial" w:hAnsi="Arial" w:cs="Arial"/>
          <w:b/>
          <w:bCs/>
          <w:sz w:val="40"/>
          <w:szCs w:val="40"/>
        </w:rPr>
      </w:pPr>
    </w:p>
    <w:p w14:paraId="67DA4A02" w14:textId="77777777" w:rsidR="00F3761E" w:rsidRPr="00EA5F2A" w:rsidRDefault="00F3761E" w:rsidP="00CC1CFC">
      <w:pPr>
        <w:pStyle w:val="ListParagraph"/>
        <w:rPr>
          <w:rFonts w:ascii="Arial" w:hAnsi="Arial" w:cs="Arial"/>
          <w:b/>
          <w:bCs/>
          <w:sz w:val="40"/>
          <w:szCs w:val="40"/>
        </w:rPr>
      </w:pPr>
    </w:p>
    <w:p w14:paraId="4CF22492" w14:textId="77777777" w:rsidR="00F3761E" w:rsidRPr="00EA5F2A" w:rsidRDefault="00F3761E" w:rsidP="00CC1CFC">
      <w:pPr>
        <w:pStyle w:val="ListParagraph"/>
        <w:rPr>
          <w:rFonts w:ascii="Arial" w:hAnsi="Arial" w:cs="Arial"/>
          <w:b/>
          <w:bCs/>
          <w:sz w:val="40"/>
          <w:szCs w:val="40"/>
        </w:rPr>
      </w:pPr>
    </w:p>
    <w:p w14:paraId="286DE72C" w14:textId="77777777" w:rsidR="00F3761E" w:rsidRPr="00EA5F2A" w:rsidRDefault="00F3761E" w:rsidP="00CC1CFC">
      <w:pPr>
        <w:pStyle w:val="ListParagraph"/>
        <w:rPr>
          <w:rFonts w:ascii="Arial" w:hAnsi="Arial" w:cs="Arial"/>
          <w:b/>
          <w:bCs/>
          <w:sz w:val="40"/>
          <w:szCs w:val="40"/>
        </w:rPr>
      </w:pPr>
    </w:p>
    <w:p w14:paraId="0B964D55" w14:textId="77777777" w:rsidR="00F3761E" w:rsidRPr="00EA5F2A" w:rsidRDefault="00F3761E" w:rsidP="00CC1CFC">
      <w:pPr>
        <w:pStyle w:val="ListParagraph"/>
        <w:rPr>
          <w:rFonts w:ascii="Arial" w:hAnsi="Arial" w:cs="Arial"/>
          <w:b/>
          <w:bCs/>
          <w:sz w:val="40"/>
          <w:szCs w:val="40"/>
        </w:rPr>
      </w:pPr>
    </w:p>
    <w:p w14:paraId="3FD48723" w14:textId="77777777" w:rsidR="00F3761E" w:rsidRPr="00EA5F2A" w:rsidRDefault="00F3761E" w:rsidP="00CC1CFC">
      <w:pPr>
        <w:pStyle w:val="ListParagraph"/>
        <w:rPr>
          <w:rFonts w:ascii="Arial" w:hAnsi="Arial" w:cs="Arial"/>
          <w:b/>
          <w:bCs/>
          <w:sz w:val="40"/>
          <w:szCs w:val="40"/>
        </w:rPr>
      </w:pPr>
    </w:p>
    <w:p w14:paraId="5D6230A7" w14:textId="77777777" w:rsidR="00F3761E" w:rsidRPr="00EA5F2A" w:rsidRDefault="00F3761E" w:rsidP="00CC1CFC">
      <w:pPr>
        <w:pStyle w:val="ListParagraph"/>
        <w:rPr>
          <w:rFonts w:ascii="Arial" w:hAnsi="Arial" w:cs="Arial"/>
          <w:b/>
          <w:bCs/>
          <w:sz w:val="40"/>
          <w:szCs w:val="40"/>
        </w:rPr>
      </w:pPr>
    </w:p>
    <w:p w14:paraId="3A8170AB" w14:textId="77777777" w:rsidR="00F3761E" w:rsidRPr="00EA5F2A" w:rsidRDefault="00F3761E" w:rsidP="00CC1CFC">
      <w:pPr>
        <w:pStyle w:val="ListParagraph"/>
        <w:rPr>
          <w:rFonts w:ascii="Arial" w:hAnsi="Arial" w:cs="Arial"/>
          <w:b/>
          <w:bCs/>
          <w:sz w:val="40"/>
          <w:szCs w:val="40"/>
        </w:rPr>
      </w:pPr>
    </w:p>
    <w:p w14:paraId="3EE2837C" w14:textId="77777777" w:rsidR="00F3761E" w:rsidRPr="00EA5F2A" w:rsidRDefault="00F3761E" w:rsidP="00CC1CFC">
      <w:pPr>
        <w:pStyle w:val="ListParagraph"/>
        <w:rPr>
          <w:rFonts w:ascii="Arial" w:hAnsi="Arial" w:cs="Arial"/>
          <w:b/>
          <w:bCs/>
          <w:sz w:val="40"/>
          <w:szCs w:val="40"/>
        </w:rPr>
      </w:pPr>
    </w:p>
    <w:p w14:paraId="78DC575B" w14:textId="77777777" w:rsidR="00F3761E" w:rsidRPr="00EA5F2A" w:rsidRDefault="00F3761E" w:rsidP="00CC1CFC">
      <w:pPr>
        <w:pStyle w:val="ListParagraph"/>
        <w:rPr>
          <w:rFonts w:ascii="Arial" w:hAnsi="Arial" w:cs="Arial"/>
          <w:b/>
          <w:bCs/>
          <w:sz w:val="40"/>
          <w:szCs w:val="40"/>
        </w:rPr>
      </w:pPr>
    </w:p>
    <w:p w14:paraId="6184E9D8" w14:textId="77777777" w:rsidR="00F3761E" w:rsidRPr="00EA5F2A" w:rsidRDefault="00F3761E" w:rsidP="00CC1CFC">
      <w:pPr>
        <w:pStyle w:val="ListParagraph"/>
        <w:rPr>
          <w:rFonts w:ascii="Arial" w:hAnsi="Arial" w:cs="Arial"/>
          <w:b/>
          <w:bCs/>
          <w:sz w:val="40"/>
          <w:szCs w:val="40"/>
        </w:rPr>
      </w:pPr>
    </w:p>
    <w:p w14:paraId="116B086C" w14:textId="77777777" w:rsidR="00C46A4B" w:rsidRDefault="00C46A4B" w:rsidP="00C46A4B">
      <w:pPr>
        <w:rPr>
          <w:rFonts w:ascii="Arial" w:hAnsi="Arial" w:cs="Arial"/>
          <w:b/>
          <w:bCs/>
          <w:sz w:val="40"/>
          <w:szCs w:val="40"/>
        </w:rPr>
      </w:pPr>
    </w:p>
    <w:p w14:paraId="5D3BBDA8" w14:textId="77777777" w:rsidR="007A4D42" w:rsidRPr="00EA5F2A" w:rsidRDefault="007A4D42" w:rsidP="007A4D42">
      <w:pPr>
        <w:rPr>
          <w:rFonts w:ascii="Arial" w:hAnsi="Arial" w:cs="Arial"/>
          <w:b/>
        </w:rPr>
      </w:pPr>
    </w:p>
    <w:p w14:paraId="738113CC" w14:textId="77777777" w:rsidR="007A4D42" w:rsidRPr="00EA5F2A" w:rsidRDefault="007A4D42">
      <w:pPr>
        <w:rPr>
          <w:rFonts w:ascii="Arial" w:hAnsi="Arial" w:cs="Arial"/>
        </w:rPr>
      </w:pPr>
    </w:p>
    <w:sectPr w:rsidR="007A4D42" w:rsidRPr="00EA5F2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122AC" w14:textId="77777777" w:rsidR="00D11787" w:rsidRDefault="00D11787" w:rsidP="00BF1AD3">
      <w:pPr>
        <w:spacing w:after="0" w:line="240" w:lineRule="auto"/>
      </w:pPr>
      <w:r>
        <w:separator/>
      </w:r>
    </w:p>
  </w:endnote>
  <w:endnote w:type="continuationSeparator" w:id="0">
    <w:p w14:paraId="2BFC9FC8" w14:textId="77777777" w:rsidR="00D11787" w:rsidRDefault="00D11787" w:rsidP="00BF1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227689"/>
      <w:docPartObj>
        <w:docPartGallery w:val="Page Numbers (Bottom of Page)"/>
        <w:docPartUnique/>
      </w:docPartObj>
    </w:sdtPr>
    <w:sdtEndPr>
      <w:rPr>
        <w:noProof/>
      </w:rPr>
    </w:sdtEndPr>
    <w:sdtContent>
      <w:p w14:paraId="33BA1587" w14:textId="77777777" w:rsidR="00BF1AD3" w:rsidRDefault="00BF1A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9E8B88" w14:textId="77777777" w:rsidR="00BF1AD3" w:rsidRDefault="00BF1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BE844" w14:textId="77777777" w:rsidR="00D11787" w:rsidRDefault="00D11787" w:rsidP="00BF1AD3">
      <w:pPr>
        <w:spacing w:after="0" w:line="240" w:lineRule="auto"/>
      </w:pPr>
      <w:r>
        <w:separator/>
      </w:r>
    </w:p>
  </w:footnote>
  <w:footnote w:type="continuationSeparator" w:id="0">
    <w:p w14:paraId="3BBF2BC5" w14:textId="77777777" w:rsidR="00D11787" w:rsidRDefault="00D11787" w:rsidP="00BF1A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05DFC"/>
    <w:multiLevelType w:val="hybridMultilevel"/>
    <w:tmpl w:val="B0204312"/>
    <w:lvl w:ilvl="0" w:tplc="4009000F">
      <w:start w:val="1"/>
      <w:numFmt w:val="decimal"/>
      <w:lvlText w:val="%1."/>
      <w:lvlJc w:val="left"/>
      <w:pPr>
        <w:ind w:left="927" w:hanging="360"/>
      </w:p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1" w15:restartNumberingAfterBreak="0">
    <w:nsid w:val="401B1AB1"/>
    <w:multiLevelType w:val="hybridMultilevel"/>
    <w:tmpl w:val="FB4088BE"/>
    <w:lvl w:ilvl="0" w:tplc="EC2CDA3E">
      <w:start w:val="1"/>
      <w:numFmt w:val="decimal"/>
      <w:lvlText w:val="%1."/>
      <w:lvlJc w:val="left"/>
      <w:pPr>
        <w:ind w:left="400" w:hanging="40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227350505">
    <w:abstractNumId w:val="1"/>
  </w:num>
  <w:num w:numId="2" w16cid:durableId="2045446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D42"/>
    <w:rsid w:val="00001E68"/>
    <w:rsid w:val="000370B0"/>
    <w:rsid w:val="00090272"/>
    <w:rsid w:val="000A3B24"/>
    <w:rsid w:val="000B0C4A"/>
    <w:rsid w:val="000C0FD6"/>
    <w:rsid w:val="000C3C28"/>
    <w:rsid w:val="000D1A7A"/>
    <w:rsid w:val="000F5562"/>
    <w:rsid w:val="000F6E12"/>
    <w:rsid w:val="00100FD3"/>
    <w:rsid w:val="00152A0B"/>
    <w:rsid w:val="00186EEA"/>
    <w:rsid w:val="001A3A41"/>
    <w:rsid w:val="001B27EF"/>
    <w:rsid w:val="001C2FEA"/>
    <w:rsid w:val="001D59AF"/>
    <w:rsid w:val="001F0643"/>
    <w:rsid w:val="00206D0B"/>
    <w:rsid w:val="00206E75"/>
    <w:rsid w:val="00223A7F"/>
    <w:rsid w:val="00241EFB"/>
    <w:rsid w:val="0024426F"/>
    <w:rsid w:val="00291291"/>
    <w:rsid w:val="002956A8"/>
    <w:rsid w:val="002A20DA"/>
    <w:rsid w:val="002D29EC"/>
    <w:rsid w:val="002E46A3"/>
    <w:rsid w:val="00301D4D"/>
    <w:rsid w:val="00351506"/>
    <w:rsid w:val="00357DEB"/>
    <w:rsid w:val="003C1E32"/>
    <w:rsid w:val="003D3E27"/>
    <w:rsid w:val="003F44B5"/>
    <w:rsid w:val="00405769"/>
    <w:rsid w:val="0040766A"/>
    <w:rsid w:val="004205ED"/>
    <w:rsid w:val="00432B8A"/>
    <w:rsid w:val="00446FA8"/>
    <w:rsid w:val="00452F83"/>
    <w:rsid w:val="00455CCA"/>
    <w:rsid w:val="00461E5A"/>
    <w:rsid w:val="0047134A"/>
    <w:rsid w:val="00477DC4"/>
    <w:rsid w:val="00480434"/>
    <w:rsid w:val="004B33B9"/>
    <w:rsid w:val="004C2F1F"/>
    <w:rsid w:val="005118B5"/>
    <w:rsid w:val="00532632"/>
    <w:rsid w:val="0054630F"/>
    <w:rsid w:val="00566260"/>
    <w:rsid w:val="005676FC"/>
    <w:rsid w:val="00572E5C"/>
    <w:rsid w:val="00574B3D"/>
    <w:rsid w:val="005930BD"/>
    <w:rsid w:val="005A5EA6"/>
    <w:rsid w:val="005B72B9"/>
    <w:rsid w:val="005D2609"/>
    <w:rsid w:val="005D2F1A"/>
    <w:rsid w:val="005D70D1"/>
    <w:rsid w:val="005F3404"/>
    <w:rsid w:val="00612142"/>
    <w:rsid w:val="006127CF"/>
    <w:rsid w:val="0061309F"/>
    <w:rsid w:val="006178BD"/>
    <w:rsid w:val="0062072C"/>
    <w:rsid w:val="00621855"/>
    <w:rsid w:val="0062498A"/>
    <w:rsid w:val="0062531D"/>
    <w:rsid w:val="00660634"/>
    <w:rsid w:val="00671558"/>
    <w:rsid w:val="006730C3"/>
    <w:rsid w:val="006802F2"/>
    <w:rsid w:val="006A6592"/>
    <w:rsid w:val="006B73CE"/>
    <w:rsid w:val="006B77B2"/>
    <w:rsid w:val="006E15F8"/>
    <w:rsid w:val="006E7A62"/>
    <w:rsid w:val="00703FCB"/>
    <w:rsid w:val="00710A8A"/>
    <w:rsid w:val="00747230"/>
    <w:rsid w:val="00767807"/>
    <w:rsid w:val="007768AA"/>
    <w:rsid w:val="00781545"/>
    <w:rsid w:val="00792D13"/>
    <w:rsid w:val="007945F2"/>
    <w:rsid w:val="00794E04"/>
    <w:rsid w:val="007A4D42"/>
    <w:rsid w:val="007D135D"/>
    <w:rsid w:val="00813522"/>
    <w:rsid w:val="008217A6"/>
    <w:rsid w:val="00833F0C"/>
    <w:rsid w:val="00870BC5"/>
    <w:rsid w:val="0087401F"/>
    <w:rsid w:val="008C2A60"/>
    <w:rsid w:val="008E35BB"/>
    <w:rsid w:val="0090300C"/>
    <w:rsid w:val="009046EE"/>
    <w:rsid w:val="00910F49"/>
    <w:rsid w:val="00913202"/>
    <w:rsid w:val="0092495E"/>
    <w:rsid w:val="009545FE"/>
    <w:rsid w:val="00956851"/>
    <w:rsid w:val="00973C2F"/>
    <w:rsid w:val="00975C01"/>
    <w:rsid w:val="009D33A0"/>
    <w:rsid w:val="009D6939"/>
    <w:rsid w:val="009E076B"/>
    <w:rsid w:val="009F7625"/>
    <w:rsid w:val="00A0316F"/>
    <w:rsid w:val="00A31C98"/>
    <w:rsid w:val="00A34483"/>
    <w:rsid w:val="00A75EC4"/>
    <w:rsid w:val="00A83A1E"/>
    <w:rsid w:val="00AA1678"/>
    <w:rsid w:val="00AD0097"/>
    <w:rsid w:val="00AD4821"/>
    <w:rsid w:val="00AE63DC"/>
    <w:rsid w:val="00B50BEF"/>
    <w:rsid w:val="00B6769F"/>
    <w:rsid w:val="00B71153"/>
    <w:rsid w:val="00BA1860"/>
    <w:rsid w:val="00BC1212"/>
    <w:rsid w:val="00BD53E9"/>
    <w:rsid w:val="00BF0FF3"/>
    <w:rsid w:val="00BF1AD3"/>
    <w:rsid w:val="00BF42EB"/>
    <w:rsid w:val="00BF5B82"/>
    <w:rsid w:val="00C40D23"/>
    <w:rsid w:val="00C46A4B"/>
    <w:rsid w:val="00C51264"/>
    <w:rsid w:val="00C55F50"/>
    <w:rsid w:val="00C7079A"/>
    <w:rsid w:val="00C73A36"/>
    <w:rsid w:val="00C9175B"/>
    <w:rsid w:val="00C91BB0"/>
    <w:rsid w:val="00C91CEA"/>
    <w:rsid w:val="00CA3E7C"/>
    <w:rsid w:val="00CA6480"/>
    <w:rsid w:val="00CB6673"/>
    <w:rsid w:val="00CC1CFC"/>
    <w:rsid w:val="00CC63FC"/>
    <w:rsid w:val="00CF0DC7"/>
    <w:rsid w:val="00D11787"/>
    <w:rsid w:val="00D12047"/>
    <w:rsid w:val="00D636B9"/>
    <w:rsid w:val="00D84C2E"/>
    <w:rsid w:val="00DA334D"/>
    <w:rsid w:val="00DC0B22"/>
    <w:rsid w:val="00DF72A4"/>
    <w:rsid w:val="00E002B3"/>
    <w:rsid w:val="00E02D25"/>
    <w:rsid w:val="00E04C53"/>
    <w:rsid w:val="00E06255"/>
    <w:rsid w:val="00E10B00"/>
    <w:rsid w:val="00E13070"/>
    <w:rsid w:val="00E135A6"/>
    <w:rsid w:val="00E3683A"/>
    <w:rsid w:val="00E6016D"/>
    <w:rsid w:val="00E64285"/>
    <w:rsid w:val="00E715B2"/>
    <w:rsid w:val="00E80372"/>
    <w:rsid w:val="00E83C9C"/>
    <w:rsid w:val="00EA5F2A"/>
    <w:rsid w:val="00ED2C07"/>
    <w:rsid w:val="00EF2EC6"/>
    <w:rsid w:val="00F347CB"/>
    <w:rsid w:val="00F3761E"/>
    <w:rsid w:val="00F51551"/>
    <w:rsid w:val="00F61C74"/>
    <w:rsid w:val="00F64DE0"/>
    <w:rsid w:val="00F773ED"/>
    <w:rsid w:val="00F937B3"/>
    <w:rsid w:val="00F950B4"/>
    <w:rsid w:val="00FA379D"/>
    <w:rsid w:val="00FA4CA4"/>
    <w:rsid w:val="00FC433D"/>
    <w:rsid w:val="00FC52B8"/>
    <w:rsid w:val="00FF16D6"/>
    <w:rsid w:val="00FF3358"/>
    <w:rsid w:val="00FF44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522F"/>
  <w15:chartTrackingRefBased/>
  <w15:docId w15:val="{0EC8F0EE-8264-422A-AA28-133120B36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D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D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D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D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D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D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D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D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D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D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D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D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D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D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D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D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D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D42"/>
    <w:rPr>
      <w:rFonts w:eastAsiaTheme="majorEastAsia" w:cstheme="majorBidi"/>
      <w:color w:val="272727" w:themeColor="text1" w:themeTint="D8"/>
    </w:rPr>
  </w:style>
  <w:style w:type="paragraph" w:styleId="Title">
    <w:name w:val="Title"/>
    <w:basedOn w:val="Normal"/>
    <w:next w:val="Normal"/>
    <w:link w:val="TitleChar"/>
    <w:uiPriority w:val="10"/>
    <w:qFormat/>
    <w:rsid w:val="007A4D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D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D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D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D42"/>
    <w:pPr>
      <w:spacing w:before="160"/>
      <w:jc w:val="center"/>
    </w:pPr>
    <w:rPr>
      <w:i/>
      <w:iCs/>
      <w:color w:val="404040" w:themeColor="text1" w:themeTint="BF"/>
    </w:rPr>
  </w:style>
  <w:style w:type="character" w:customStyle="1" w:styleId="QuoteChar">
    <w:name w:val="Quote Char"/>
    <w:basedOn w:val="DefaultParagraphFont"/>
    <w:link w:val="Quote"/>
    <w:uiPriority w:val="29"/>
    <w:rsid w:val="007A4D42"/>
    <w:rPr>
      <w:i/>
      <w:iCs/>
      <w:color w:val="404040" w:themeColor="text1" w:themeTint="BF"/>
    </w:rPr>
  </w:style>
  <w:style w:type="paragraph" w:styleId="ListParagraph">
    <w:name w:val="List Paragraph"/>
    <w:basedOn w:val="Normal"/>
    <w:uiPriority w:val="34"/>
    <w:qFormat/>
    <w:rsid w:val="007A4D42"/>
    <w:pPr>
      <w:ind w:left="720"/>
      <w:contextualSpacing/>
    </w:pPr>
  </w:style>
  <w:style w:type="character" w:styleId="IntenseEmphasis">
    <w:name w:val="Intense Emphasis"/>
    <w:basedOn w:val="DefaultParagraphFont"/>
    <w:uiPriority w:val="21"/>
    <w:qFormat/>
    <w:rsid w:val="007A4D42"/>
    <w:rPr>
      <w:i/>
      <w:iCs/>
      <w:color w:val="0F4761" w:themeColor="accent1" w:themeShade="BF"/>
    </w:rPr>
  </w:style>
  <w:style w:type="paragraph" w:styleId="IntenseQuote">
    <w:name w:val="Intense Quote"/>
    <w:basedOn w:val="Normal"/>
    <w:next w:val="Normal"/>
    <w:link w:val="IntenseQuoteChar"/>
    <w:uiPriority w:val="30"/>
    <w:qFormat/>
    <w:rsid w:val="007A4D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D42"/>
    <w:rPr>
      <w:i/>
      <w:iCs/>
      <w:color w:val="0F4761" w:themeColor="accent1" w:themeShade="BF"/>
    </w:rPr>
  </w:style>
  <w:style w:type="character" w:styleId="IntenseReference">
    <w:name w:val="Intense Reference"/>
    <w:basedOn w:val="DefaultParagraphFont"/>
    <w:uiPriority w:val="32"/>
    <w:qFormat/>
    <w:rsid w:val="007A4D42"/>
    <w:rPr>
      <w:b/>
      <w:bCs/>
      <w:smallCaps/>
      <w:color w:val="0F4761" w:themeColor="accent1" w:themeShade="BF"/>
      <w:spacing w:val="5"/>
    </w:rPr>
  </w:style>
  <w:style w:type="character" w:styleId="Hyperlink">
    <w:name w:val="Hyperlink"/>
    <w:basedOn w:val="DefaultParagraphFont"/>
    <w:uiPriority w:val="99"/>
    <w:unhideWhenUsed/>
    <w:rsid w:val="003D3E27"/>
    <w:rPr>
      <w:color w:val="467886" w:themeColor="hyperlink"/>
      <w:u w:val="single"/>
    </w:rPr>
  </w:style>
  <w:style w:type="character" w:styleId="UnresolvedMention">
    <w:name w:val="Unresolved Mention"/>
    <w:basedOn w:val="DefaultParagraphFont"/>
    <w:uiPriority w:val="99"/>
    <w:semiHidden/>
    <w:unhideWhenUsed/>
    <w:rsid w:val="003D3E27"/>
    <w:rPr>
      <w:color w:val="605E5C"/>
      <w:shd w:val="clear" w:color="auto" w:fill="E1DFDD"/>
    </w:rPr>
  </w:style>
  <w:style w:type="paragraph" w:styleId="Header">
    <w:name w:val="header"/>
    <w:basedOn w:val="Normal"/>
    <w:link w:val="HeaderChar"/>
    <w:uiPriority w:val="99"/>
    <w:unhideWhenUsed/>
    <w:rsid w:val="00BF1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AD3"/>
  </w:style>
  <w:style w:type="paragraph" w:styleId="Footer">
    <w:name w:val="footer"/>
    <w:basedOn w:val="Normal"/>
    <w:link w:val="FooterChar"/>
    <w:uiPriority w:val="99"/>
    <w:unhideWhenUsed/>
    <w:rsid w:val="00BF1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Riddhi\Downloads\Component%202%20Analytical%20Report%20(1).pdf" TargetMode="External"/><Relationship Id="rId18" Type="http://schemas.openxmlformats.org/officeDocument/2006/relationships/hyperlink" Target="file:///C:\Users\Riddhi\Downloads\Component%202%20Analytical%20Report%20(1).pdf" TargetMode="External"/><Relationship Id="rId26" Type="http://schemas.openxmlformats.org/officeDocument/2006/relationships/hyperlink" Target="file:///C:\Users\Riddhi\Downloads\Component%202%20Analytical%20Report%20(1).pdf" TargetMode="External"/><Relationship Id="rId3" Type="http://schemas.openxmlformats.org/officeDocument/2006/relationships/customXml" Target="../customXml/item3.xml"/><Relationship Id="rId21" Type="http://schemas.openxmlformats.org/officeDocument/2006/relationships/hyperlink" Target="file:///C:\Users\Riddhi\Downloads\Component%202%20Analytical%20Report%20(1).pdf" TargetMode="External"/><Relationship Id="rId7" Type="http://schemas.openxmlformats.org/officeDocument/2006/relationships/webSettings" Target="webSettings.xml"/><Relationship Id="rId12" Type="http://schemas.openxmlformats.org/officeDocument/2006/relationships/hyperlink" Target="file:///C:\Users\Riddhi\Downloads\Component%202%20Analytical%20Report%20(1).pdf" TargetMode="External"/><Relationship Id="rId17" Type="http://schemas.openxmlformats.org/officeDocument/2006/relationships/hyperlink" Target="file:///C:\Users\Riddhi\Downloads\Component%202%20Analytical%20Report%20(1).pdf" TargetMode="External"/><Relationship Id="rId25" Type="http://schemas.openxmlformats.org/officeDocument/2006/relationships/hyperlink" Target="file:///C:\Users\Riddhi\Downloads\Component%202%20Analytical%20Report%20(1).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C:\Users\Riddhi\Downloads\Component%202%20Analytical%20Report%20(1).pdf" TargetMode="External"/><Relationship Id="rId20" Type="http://schemas.openxmlformats.org/officeDocument/2006/relationships/hyperlink" Target="file:///C:\Users\Riddhi\Downloads\Component%202%20Analytical%20Report%20(1).pdf" TargetMode="External"/><Relationship Id="rId29" Type="http://schemas.openxmlformats.org/officeDocument/2006/relationships/hyperlink" Target="file:///C:\Users\Riddhi\Downloads\Component%202%20Analytical%20Report%20(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Riddhi\Downloads\Component%202%20Analytical%20Report%20(1).pdf" TargetMode="External"/><Relationship Id="rId24" Type="http://schemas.openxmlformats.org/officeDocument/2006/relationships/hyperlink" Target="file:///C:\Users\Riddhi\Downloads\Component%202%20Analytical%20Report%20(1).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file:///C:\Users\Riddhi\Downloads\Component%202%20Analytical%20Report%20(1).pdf" TargetMode="External"/><Relationship Id="rId23" Type="http://schemas.openxmlformats.org/officeDocument/2006/relationships/hyperlink" Target="file:///C:\Users\Riddhi\Downloads\Component%202%20Analytical%20Report%20(1).pdf" TargetMode="External"/><Relationship Id="rId28" Type="http://schemas.openxmlformats.org/officeDocument/2006/relationships/hyperlink" Target="file:///C:\Users\Riddhi\Downloads\Component%202%20Analytical%20Report%20(1).pdf" TargetMode="External"/><Relationship Id="rId10" Type="http://schemas.openxmlformats.org/officeDocument/2006/relationships/image" Target="media/image1.jpg"/><Relationship Id="rId19" Type="http://schemas.openxmlformats.org/officeDocument/2006/relationships/hyperlink" Target="file:///C:\Users\Riddhi\Downloads\Component%202%20Analytical%20Report%20(1).pdf"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Riddhi\Downloads\Component%202%20Analytical%20Report%20(1).pdf" TargetMode="External"/><Relationship Id="rId22" Type="http://schemas.openxmlformats.org/officeDocument/2006/relationships/hyperlink" Target="file:///C:\Users\Riddhi\Downloads\Component%202%20Analytical%20Report%20(1).pdf" TargetMode="External"/><Relationship Id="rId27" Type="http://schemas.openxmlformats.org/officeDocument/2006/relationships/hyperlink" Target="file:///C:\Users\Riddhi\Downloads\Component%202%20Analytical%20Report%20(1).pdf" TargetMode="External"/><Relationship Id="rId30" Type="http://schemas.openxmlformats.org/officeDocument/2006/relationships/hyperlink" Target="file:///C:\Users\Riddhi\Downloads\Component%202%20Analytical%20Report%20(1).pdf"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E1B858-BD07-406C-BB7C-66444E38A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3968CC-D291-4254-B814-BB0EB0106CB0}">
  <ds:schemaRefs>
    <ds:schemaRef ds:uri="http://schemas.microsoft.com/sharepoint/v3/contenttype/forms"/>
  </ds:schemaRefs>
</ds:datastoreItem>
</file>

<file path=customXml/itemProps3.xml><?xml version="1.0" encoding="utf-8"?>
<ds:datastoreItem xmlns:ds="http://schemas.openxmlformats.org/officeDocument/2006/customXml" ds:itemID="{CDE2D072-C9BA-4189-90B1-4CE0E43E6E27}">
  <ds:schemaRefs>
    <ds:schemaRef ds:uri="http://www.w3.org/XML/1998/namespace"/>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terms/"/>
    <ds:schemaRef ds:uri="http://schemas.microsoft.com/office/2006/metadata/properties"/>
    <ds:schemaRef ds:uri="3ef5847a-e696-4fee-a2c0-6c3f87568321"/>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12</Pages>
  <Words>3751</Words>
  <Characters>21383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Riddhi Hitesh Patel (2506528)</dc:creator>
  <cp:keywords/>
  <dc:description/>
  <cp:lastModifiedBy>Riddhi Hitesh Patel (2506528)</cp:lastModifiedBy>
  <cp:revision>209</cp:revision>
  <dcterms:created xsi:type="dcterms:W3CDTF">2025-11-15T21:56:00Z</dcterms:created>
  <dcterms:modified xsi:type="dcterms:W3CDTF">2025-11-16T20:42:00Z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