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066E7" w14:textId="3D52E05A" w:rsidR="00C44D67" w:rsidRPr="00C44D67" w:rsidRDefault="00C44D67" w:rsidP="00C44D67">
      <w:pPr>
        <w:ind w:firstLine="720"/>
        <w:jc w:val="center"/>
        <w:rPr>
          <w:rFonts w:ascii="Arial" w:hAnsi="Arial" w:cs="Arial"/>
          <w:b/>
          <w:bCs/>
        </w:rPr>
      </w:pPr>
      <w:r w:rsidRPr="00C44D67">
        <w:rPr>
          <w:rFonts w:ascii="Arial" w:hAnsi="Arial" w:cs="Arial"/>
          <w:b/>
          <w:bCs/>
        </w:rPr>
        <w:t>MODULE CODE: LCHS4003</w:t>
      </w:r>
    </w:p>
    <w:p w14:paraId="1A28993E" w14:textId="77777777" w:rsidR="00C44D67" w:rsidRPr="00C44D67" w:rsidRDefault="00C44D67" w:rsidP="00C44D67">
      <w:pPr>
        <w:jc w:val="center"/>
        <w:rPr>
          <w:rFonts w:ascii="Arial" w:hAnsi="Arial" w:cs="Arial"/>
          <w:b/>
          <w:bCs/>
        </w:rPr>
      </w:pPr>
      <w:r w:rsidRPr="00C44D67">
        <w:rPr>
          <w:rFonts w:ascii="Arial" w:hAnsi="Arial" w:cs="Arial"/>
          <w:b/>
          <w:bCs/>
        </w:rPr>
        <w:t>MODULE TITLE:</w:t>
      </w:r>
      <w:r w:rsidRPr="00C44D67">
        <w:t xml:space="preserve"> </w:t>
      </w:r>
      <w:r w:rsidRPr="00C44D67">
        <w:rPr>
          <w:rFonts w:ascii="Arial" w:hAnsi="Arial" w:cs="Arial"/>
          <w:b/>
          <w:bCs/>
        </w:rPr>
        <w:t>Introduction to Health and Social Care</w:t>
      </w:r>
    </w:p>
    <w:p w14:paraId="228B9387" w14:textId="77777777" w:rsidR="00C44D67" w:rsidRPr="00C44D67" w:rsidRDefault="00C44D67" w:rsidP="00C44D67">
      <w:pPr>
        <w:jc w:val="center"/>
        <w:rPr>
          <w:rFonts w:ascii="Arial" w:hAnsi="Arial" w:cs="Arial"/>
          <w:b/>
          <w:bCs/>
        </w:rPr>
      </w:pPr>
      <w:r w:rsidRPr="00C44D67">
        <w:rPr>
          <w:rFonts w:ascii="Arial" w:hAnsi="Arial" w:cs="Arial"/>
          <w:b/>
          <w:bCs/>
        </w:rPr>
        <w:t>ASSIGNMENT TITLE:</w:t>
      </w:r>
      <w:r w:rsidRPr="00C44D67">
        <w:t xml:space="preserve"> </w:t>
      </w:r>
      <w:r w:rsidRPr="00C44D67">
        <w:rPr>
          <w:rFonts w:ascii="Arial" w:hAnsi="Arial" w:cs="Arial"/>
          <w:b/>
          <w:bCs/>
        </w:rPr>
        <w:t>Portfolio – Two Tasks</w:t>
      </w:r>
    </w:p>
    <w:p w14:paraId="5FA757C4" w14:textId="5ADB1FD3" w:rsidR="00C44D67" w:rsidRDefault="00C44D67" w:rsidP="00C44D67">
      <w:pPr>
        <w:jc w:val="center"/>
        <w:rPr>
          <w:rFonts w:ascii="Arial" w:hAnsi="Arial" w:cs="Arial"/>
          <w:b/>
          <w:bCs/>
        </w:rPr>
      </w:pPr>
      <w:r w:rsidRPr="00C44D67">
        <w:rPr>
          <w:rFonts w:ascii="Arial" w:hAnsi="Arial" w:cs="Arial"/>
          <w:b/>
          <w:bCs/>
        </w:rPr>
        <w:t>LECTURER: D</w:t>
      </w:r>
      <w:r w:rsidR="003B755B">
        <w:rPr>
          <w:rFonts w:ascii="Arial" w:hAnsi="Arial" w:cs="Arial"/>
          <w:b/>
          <w:bCs/>
        </w:rPr>
        <w:t>ebra Odeh</w:t>
      </w:r>
    </w:p>
    <w:p w14:paraId="31DEDD1C" w14:textId="078B4955" w:rsidR="00C44D67" w:rsidRDefault="00C44D67" w:rsidP="00C44D67">
      <w:pPr>
        <w:jc w:val="center"/>
        <w:rPr>
          <w:rFonts w:ascii="Arial" w:hAnsi="Arial" w:cs="Arial"/>
          <w:b/>
          <w:bCs/>
        </w:rPr>
      </w:pPr>
      <w:r>
        <w:rPr>
          <w:rFonts w:ascii="Arial" w:hAnsi="Arial" w:cs="Arial"/>
          <w:b/>
          <w:bCs/>
        </w:rPr>
        <w:t>WORD COUNT: 1505</w:t>
      </w:r>
    </w:p>
    <w:p w14:paraId="0F03918D" w14:textId="77777777" w:rsidR="004F5063" w:rsidRDefault="004F5063" w:rsidP="00C44D67">
      <w:pPr>
        <w:jc w:val="center"/>
        <w:rPr>
          <w:rFonts w:ascii="Arial" w:hAnsi="Arial" w:cs="Arial"/>
          <w:b/>
          <w:bCs/>
        </w:rPr>
      </w:pPr>
    </w:p>
    <w:p w14:paraId="18810DA8" w14:textId="77777777" w:rsidR="004F5063" w:rsidRDefault="004F5063" w:rsidP="00C44D67">
      <w:pPr>
        <w:jc w:val="center"/>
        <w:rPr>
          <w:rFonts w:ascii="Arial" w:hAnsi="Arial" w:cs="Arial"/>
          <w:b/>
          <w:bCs/>
        </w:rPr>
      </w:pPr>
    </w:p>
    <w:p w14:paraId="50002B86" w14:textId="4B4DB121" w:rsidR="004F5063" w:rsidRDefault="004F5063" w:rsidP="00C44D67">
      <w:pPr>
        <w:jc w:val="center"/>
        <w:rPr>
          <w:rFonts w:ascii="Arial" w:hAnsi="Arial" w:cs="Arial"/>
          <w:b/>
          <w:bCs/>
        </w:rPr>
      </w:pPr>
      <w:r>
        <w:rPr>
          <w:rFonts w:ascii="Arial" w:hAnsi="Arial" w:cs="Arial"/>
          <w:b/>
          <w:bCs/>
        </w:rPr>
        <w:t xml:space="preserve">NAME: </w:t>
      </w:r>
      <w:r w:rsidR="003B755B">
        <w:rPr>
          <w:rFonts w:ascii="Arial" w:hAnsi="Arial" w:cs="Arial"/>
          <w:b/>
          <w:bCs/>
        </w:rPr>
        <w:t>Margaret Abena Kwaw</w:t>
      </w:r>
    </w:p>
    <w:p w14:paraId="604A2897" w14:textId="1D9F491F" w:rsidR="004F5063" w:rsidRDefault="004F5063" w:rsidP="00C44D67">
      <w:pPr>
        <w:jc w:val="center"/>
        <w:rPr>
          <w:rFonts w:ascii="Arial" w:hAnsi="Arial" w:cs="Arial"/>
          <w:b/>
          <w:bCs/>
        </w:rPr>
      </w:pPr>
      <w:r>
        <w:rPr>
          <w:rFonts w:ascii="Arial" w:hAnsi="Arial" w:cs="Arial"/>
          <w:b/>
          <w:bCs/>
        </w:rPr>
        <w:t xml:space="preserve">STUDENT NUMBER: </w:t>
      </w:r>
      <w:r w:rsidR="003B755B">
        <w:rPr>
          <w:rFonts w:ascii="Arial" w:hAnsi="Arial" w:cs="Arial"/>
          <w:b/>
          <w:bCs/>
        </w:rPr>
        <w:t>2441376</w:t>
      </w:r>
    </w:p>
    <w:p w14:paraId="2AC9B78A" w14:textId="77777777" w:rsidR="00C44D67" w:rsidRDefault="00C44D67" w:rsidP="00C44D67">
      <w:pPr>
        <w:jc w:val="center"/>
        <w:rPr>
          <w:rFonts w:ascii="Arial" w:hAnsi="Arial" w:cs="Arial"/>
          <w:b/>
          <w:bCs/>
        </w:rPr>
      </w:pPr>
    </w:p>
    <w:p w14:paraId="78B01822" w14:textId="77777777" w:rsidR="00C44D67" w:rsidRDefault="00C44D67" w:rsidP="00C44D67">
      <w:pPr>
        <w:jc w:val="center"/>
        <w:rPr>
          <w:rFonts w:ascii="Arial" w:hAnsi="Arial" w:cs="Arial"/>
          <w:b/>
          <w:bCs/>
        </w:rPr>
      </w:pPr>
    </w:p>
    <w:p w14:paraId="4B487474" w14:textId="77777777" w:rsidR="00C44D67" w:rsidRDefault="00C44D67" w:rsidP="00C44D67">
      <w:pPr>
        <w:jc w:val="center"/>
        <w:rPr>
          <w:rFonts w:ascii="Arial" w:hAnsi="Arial" w:cs="Arial"/>
          <w:b/>
          <w:bCs/>
        </w:rPr>
      </w:pPr>
    </w:p>
    <w:p w14:paraId="19CFB6D4" w14:textId="77777777" w:rsidR="00C44D67" w:rsidRDefault="00C44D67" w:rsidP="00C44D67">
      <w:pPr>
        <w:jc w:val="center"/>
        <w:rPr>
          <w:rFonts w:ascii="Arial" w:hAnsi="Arial" w:cs="Arial"/>
          <w:b/>
          <w:bCs/>
        </w:rPr>
      </w:pPr>
    </w:p>
    <w:p w14:paraId="7EA1ADE1" w14:textId="77777777" w:rsidR="00C44D67" w:rsidRDefault="00C44D67" w:rsidP="00C44D67">
      <w:pPr>
        <w:jc w:val="center"/>
        <w:rPr>
          <w:rFonts w:ascii="Arial" w:hAnsi="Arial" w:cs="Arial"/>
          <w:b/>
          <w:bCs/>
        </w:rPr>
      </w:pPr>
    </w:p>
    <w:p w14:paraId="43CFC3D2" w14:textId="77777777" w:rsidR="00C44D67" w:rsidRDefault="00C44D67" w:rsidP="00C44D67">
      <w:pPr>
        <w:jc w:val="center"/>
        <w:rPr>
          <w:rFonts w:ascii="Arial" w:hAnsi="Arial" w:cs="Arial"/>
          <w:b/>
          <w:bCs/>
        </w:rPr>
      </w:pPr>
    </w:p>
    <w:p w14:paraId="2EAAAEED" w14:textId="77777777" w:rsidR="00C44D67" w:rsidRDefault="00C44D67" w:rsidP="00C44D67">
      <w:pPr>
        <w:jc w:val="center"/>
        <w:rPr>
          <w:rFonts w:ascii="Arial" w:hAnsi="Arial" w:cs="Arial"/>
          <w:b/>
          <w:bCs/>
        </w:rPr>
      </w:pPr>
    </w:p>
    <w:p w14:paraId="1FCD2999" w14:textId="77777777" w:rsidR="00C44D67" w:rsidRDefault="00C44D67" w:rsidP="00C44D67">
      <w:pPr>
        <w:jc w:val="center"/>
        <w:rPr>
          <w:rFonts w:ascii="Arial" w:hAnsi="Arial" w:cs="Arial"/>
          <w:b/>
          <w:bCs/>
        </w:rPr>
      </w:pPr>
    </w:p>
    <w:p w14:paraId="495A46F0" w14:textId="77777777" w:rsidR="00C44D67" w:rsidRDefault="00C44D67" w:rsidP="00C44D67">
      <w:pPr>
        <w:jc w:val="center"/>
        <w:rPr>
          <w:rFonts w:ascii="Arial" w:hAnsi="Arial" w:cs="Arial"/>
          <w:b/>
          <w:bCs/>
        </w:rPr>
      </w:pPr>
    </w:p>
    <w:p w14:paraId="31CC27D0" w14:textId="77777777" w:rsidR="00C44D67" w:rsidRDefault="00C44D67" w:rsidP="00C44D67">
      <w:pPr>
        <w:jc w:val="center"/>
        <w:rPr>
          <w:rFonts w:ascii="Arial" w:hAnsi="Arial" w:cs="Arial"/>
          <w:b/>
          <w:bCs/>
        </w:rPr>
      </w:pPr>
    </w:p>
    <w:p w14:paraId="6ADCF465" w14:textId="77777777" w:rsidR="00C44D67" w:rsidRDefault="00C44D67" w:rsidP="00C44D67">
      <w:pPr>
        <w:jc w:val="center"/>
        <w:rPr>
          <w:rFonts w:ascii="Arial" w:hAnsi="Arial" w:cs="Arial"/>
          <w:b/>
          <w:bCs/>
        </w:rPr>
      </w:pPr>
    </w:p>
    <w:p w14:paraId="31222CA5" w14:textId="77777777" w:rsidR="00C44D67" w:rsidRDefault="00C44D67" w:rsidP="00C44D67">
      <w:pPr>
        <w:jc w:val="center"/>
        <w:rPr>
          <w:rFonts w:ascii="Arial" w:hAnsi="Arial" w:cs="Arial"/>
          <w:b/>
          <w:bCs/>
        </w:rPr>
      </w:pPr>
    </w:p>
    <w:p w14:paraId="2B7879E9" w14:textId="77777777" w:rsidR="00C44D67" w:rsidRDefault="00C44D67" w:rsidP="00C44D67">
      <w:pPr>
        <w:jc w:val="center"/>
        <w:rPr>
          <w:rFonts w:ascii="Arial" w:hAnsi="Arial" w:cs="Arial"/>
          <w:b/>
          <w:bCs/>
        </w:rPr>
      </w:pPr>
    </w:p>
    <w:p w14:paraId="058907B7" w14:textId="4087E052" w:rsidR="00C44D67" w:rsidRDefault="00C44D67">
      <w:pPr>
        <w:rPr>
          <w:rFonts w:ascii="Arial" w:hAnsi="Arial" w:cs="Arial"/>
          <w:b/>
          <w:bCs/>
        </w:rPr>
      </w:pPr>
    </w:p>
    <w:p w14:paraId="495F4AF8" w14:textId="77777777" w:rsidR="00C44D67" w:rsidRDefault="00C44D67">
      <w:pPr>
        <w:rPr>
          <w:rFonts w:ascii="Arial" w:hAnsi="Arial" w:cs="Arial"/>
          <w:b/>
          <w:bCs/>
        </w:rPr>
      </w:pPr>
    </w:p>
    <w:p w14:paraId="171532E9" w14:textId="77777777" w:rsidR="00C44D67" w:rsidRDefault="00C44D67">
      <w:pPr>
        <w:rPr>
          <w:rFonts w:ascii="Arial" w:hAnsi="Arial" w:cs="Arial"/>
          <w:b/>
          <w:bCs/>
        </w:rPr>
      </w:pPr>
    </w:p>
    <w:p w14:paraId="1BD41CA9" w14:textId="72632189" w:rsidR="00C44D67" w:rsidRDefault="00C44D67">
      <w:pPr>
        <w:rPr>
          <w:rFonts w:ascii="Arial" w:hAnsi="Arial" w:cs="Arial"/>
          <w:b/>
          <w:bCs/>
        </w:rPr>
        <w:sectPr w:rsidR="00C44D67" w:rsidSect="00C44D6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pgNumType w:start="0"/>
          <w:cols w:space="708"/>
          <w:titlePg/>
          <w:docGrid w:linePitch="360"/>
        </w:sectPr>
      </w:pPr>
    </w:p>
    <w:p w14:paraId="637526C0" w14:textId="3FC0CE80" w:rsidR="00C4185C" w:rsidRPr="00151FE4" w:rsidRDefault="00C4185C" w:rsidP="00C4185C">
      <w:pPr>
        <w:spacing w:after="0" w:line="360" w:lineRule="auto"/>
        <w:rPr>
          <w:rFonts w:ascii="Arial" w:hAnsi="Arial" w:cs="Arial"/>
          <w:b/>
          <w:bCs/>
          <w:sz w:val="22"/>
          <w:szCs w:val="22"/>
        </w:rPr>
      </w:pPr>
      <w:r w:rsidRPr="00151FE4">
        <w:rPr>
          <w:rFonts w:ascii="Arial" w:hAnsi="Arial" w:cs="Arial"/>
          <w:b/>
          <w:bCs/>
          <w:sz w:val="22"/>
          <w:szCs w:val="22"/>
        </w:rPr>
        <w:lastRenderedPageBreak/>
        <w:t>Introduction</w:t>
      </w:r>
    </w:p>
    <w:p w14:paraId="205C8D23" w14:textId="43F2AA29" w:rsidR="00C4185C" w:rsidRPr="00C4185C" w:rsidRDefault="00C4185C" w:rsidP="00C4185C">
      <w:pPr>
        <w:spacing w:after="0" w:line="360" w:lineRule="auto"/>
        <w:jc w:val="both"/>
        <w:rPr>
          <w:rFonts w:ascii="Arial" w:hAnsi="Arial" w:cs="Arial"/>
          <w:sz w:val="22"/>
          <w:szCs w:val="22"/>
        </w:rPr>
      </w:pPr>
      <w:r w:rsidRPr="00C4185C">
        <w:rPr>
          <w:rFonts w:ascii="Arial" w:hAnsi="Arial" w:cs="Arial"/>
          <w:sz w:val="22"/>
          <w:szCs w:val="22"/>
        </w:rPr>
        <w:t xml:space="preserve">This assignment presents a twofold in-depth exploration of the National Health Service (NHS) in the UK. The first part focuses on the Pharmacy Services and presents a poster highlighting the role, history, current operation and two key challenges. The second part of the assignment explores the historical origins and founding principles of the NHS. </w:t>
      </w:r>
    </w:p>
    <w:p w14:paraId="6B5D9D07" w14:textId="07C8EB03" w:rsidR="00C4185C" w:rsidRDefault="00C4185C" w:rsidP="00C4185C">
      <w:pPr>
        <w:spacing w:after="0" w:line="360" w:lineRule="auto"/>
        <w:jc w:val="both"/>
        <w:rPr>
          <w:rFonts w:ascii="Arial" w:hAnsi="Arial" w:cs="Arial"/>
          <w:b/>
          <w:bCs/>
          <w:sz w:val="22"/>
          <w:szCs w:val="22"/>
        </w:rPr>
      </w:pPr>
      <w:r w:rsidRPr="00C4185C">
        <w:rPr>
          <w:rFonts w:ascii="Arial" w:hAnsi="Arial" w:cs="Arial"/>
          <w:b/>
          <w:bCs/>
          <w:sz w:val="22"/>
          <w:szCs w:val="22"/>
        </w:rPr>
        <w:t>TASK 1</w:t>
      </w:r>
    </w:p>
    <w:p w14:paraId="0A48B50C" w14:textId="54F708DE" w:rsidR="00C4185C" w:rsidRPr="00C4185C" w:rsidRDefault="003B755B" w:rsidP="00C4185C">
      <w:pPr>
        <w:spacing w:after="0" w:line="360" w:lineRule="auto"/>
        <w:jc w:val="both"/>
        <w:rPr>
          <w:rFonts w:ascii="Arial" w:hAnsi="Arial" w:cs="Arial"/>
          <w:b/>
          <w:bCs/>
          <w:sz w:val="22"/>
          <w:szCs w:val="22"/>
        </w:rPr>
      </w:pPr>
      <w:r w:rsidRPr="004D2E21">
        <w:rPr>
          <w:rFonts w:ascii="Arial" w:hAnsi="Arial" w:cs="Arial"/>
          <w:b/>
          <w:bCs/>
          <w:noProof/>
        </w:rPr>
        <mc:AlternateContent>
          <mc:Choice Requires="wps">
            <w:drawing>
              <wp:anchor distT="0" distB="0" distL="114300" distR="114300" simplePos="0" relativeHeight="251667456" behindDoc="0" locked="0" layoutInCell="1" allowOverlap="1" wp14:anchorId="0BAB36F0" wp14:editId="241C084A">
                <wp:simplePos x="0" y="0"/>
                <wp:positionH relativeFrom="margin">
                  <wp:align>left</wp:align>
                </wp:positionH>
                <wp:positionV relativeFrom="paragraph">
                  <wp:posOffset>97155</wp:posOffset>
                </wp:positionV>
                <wp:extent cx="5942965" cy="685800"/>
                <wp:effectExtent l="0" t="0" r="19685" b="19050"/>
                <wp:wrapNone/>
                <wp:docPr id="1525246886" name="Rectangle 6"/>
                <wp:cNvGraphicFramePr/>
                <a:graphic xmlns:a="http://schemas.openxmlformats.org/drawingml/2006/main">
                  <a:graphicData uri="http://schemas.microsoft.com/office/word/2010/wordprocessingShape">
                    <wps:wsp>
                      <wps:cNvSpPr/>
                      <wps:spPr>
                        <a:xfrm>
                          <a:off x="0" y="0"/>
                          <a:ext cx="5942965" cy="685800"/>
                        </a:xfrm>
                        <a:prstGeom prst="rect">
                          <a:avLst/>
                        </a:prstGeom>
                      </wps:spPr>
                      <wps:style>
                        <a:lnRef idx="1">
                          <a:schemeClr val="accent5"/>
                        </a:lnRef>
                        <a:fillRef idx="3">
                          <a:schemeClr val="accent5"/>
                        </a:fillRef>
                        <a:effectRef idx="2">
                          <a:schemeClr val="accent5"/>
                        </a:effectRef>
                        <a:fontRef idx="minor">
                          <a:schemeClr val="lt1"/>
                        </a:fontRef>
                      </wps:style>
                      <wps:txbx>
                        <w:txbxContent>
                          <w:p w14:paraId="0B644B74" w14:textId="77777777" w:rsidR="00EB5E53" w:rsidRPr="00EB5E53" w:rsidRDefault="00EB5E53" w:rsidP="00EB5E53">
                            <w:pPr>
                              <w:jc w:val="center"/>
                              <w:rPr>
                                <w:b/>
                                <w:bCs/>
                                <w:sz w:val="36"/>
                                <w:szCs w:val="36"/>
                                <w:lang w:val="en-GB"/>
                              </w:rPr>
                            </w:pPr>
                            <w:r w:rsidRPr="00EB5E53">
                              <w:rPr>
                                <w:b/>
                                <w:bCs/>
                                <w:sz w:val="36"/>
                                <w:szCs w:val="36"/>
                                <w:lang w:val="en-GB"/>
                              </w:rPr>
                              <w:t>PHARMACY SERVICES: THE HEART OF COMMUNITY HEALTHCARE</w:t>
                            </w:r>
                          </w:p>
                          <w:p w14:paraId="4C2A2F09" w14:textId="77777777" w:rsidR="00EB5E53" w:rsidRPr="00EB5E53" w:rsidRDefault="00EB5E53" w:rsidP="00EB5E53">
                            <w:pPr>
                              <w:jc w:val="center"/>
                              <w:rPr>
                                <w:sz w:val="22"/>
                                <w:szCs w:val="22"/>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AB36F0" id="Rectangle 6" o:spid="_x0000_s1026" style="position:absolute;left:0;text-align:left;margin-left:0;margin-top:7.65pt;width:467.95pt;height:54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" fillcolor="#ae2fa0 [3032]" strokecolor="#a02b93 [3208]" strokeweight=".5pt">
                <v:fill color2="#9d2a90 [3176]" rotate="t" colors="0 #ac51a0;.5 #a62598;1 #981b8a" focus="100%" type="gradient">
                  <o:fill v:ext="view" type="gradientUnscaled"/>
                </v:fill>
                <v:textbox>
                  <w:txbxContent>
                    <w:p w14:paraId="0B644B74" w14:textId="77777777" w:rsidR="00EB5E53" w:rsidRPr="00EB5E53" w:rsidRDefault="00EB5E53" w:rsidP="00EB5E53">
                      <w:pPr>
                        <w:jc w:val="center"/>
                        <w:rPr>
                          <w:b/>
                          <w:bCs/>
                          <w:sz w:val="36"/>
                          <w:szCs w:val="36"/>
                          <w:lang w:val="en-GB"/>
                        </w:rPr>
                      </w:pPr>
                      <w:r w:rsidRPr="00EB5E53">
                        <w:rPr>
                          <w:b/>
                          <w:bCs/>
                          <w:sz w:val="36"/>
                          <w:szCs w:val="36"/>
                          <w:lang w:val="en-GB"/>
                        </w:rPr>
                        <w:t>PHARMACY SERVICES: THE HEART OF COMMUNITY HEALTHCARE</w:t>
                      </w:r>
                    </w:p>
                    <w:p w14:paraId="4C2A2F09" w14:textId="77777777" w:rsidR="00EB5E53" w:rsidRPr="00EB5E53" w:rsidRDefault="00EB5E53" w:rsidP="00EB5E53">
                      <w:pPr>
                        <w:jc w:val="center"/>
                        <w:rPr>
                          <w:sz w:val="22"/>
                          <w:szCs w:val="22"/>
                          <w:lang w:val="en-GB"/>
                        </w:rPr>
                      </w:pPr>
                    </w:p>
                  </w:txbxContent>
                </v:textbox>
                <w10:wrap anchorx="margin"/>
              </v:rect>
            </w:pict>
          </mc:Fallback>
        </mc:AlternateContent>
      </w:r>
    </w:p>
    <w:p w14:paraId="46D48EC0" w14:textId="3490FD0B" w:rsidR="00C4185C" w:rsidRPr="004D2E21" w:rsidRDefault="00C4185C">
      <w:pPr>
        <w:rPr>
          <w:rFonts w:ascii="Arial" w:hAnsi="Arial" w:cs="Arial"/>
        </w:rPr>
      </w:pPr>
    </w:p>
    <w:p w14:paraId="202F82A9" w14:textId="76A938DA" w:rsidR="00EB5E53" w:rsidRPr="004D2E21" w:rsidRDefault="00EB5E53" w:rsidP="00C5720C">
      <w:pPr>
        <w:jc w:val="both"/>
        <w:rPr>
          <w:rFonts w:ascii="Arial" w:hAnsi="Arial" w:cs="Arial"/>
          <w:b/>
          <w:bCs/>
        </w:rPr>
      </w:pPr>
    </w:p>
    <w:p w14:paraId="4B2F4962" w14:textId="19B01BC9" w:rsidR="00712EE2" w:rsidRPr="004D2E21" w:rsidRDefault="00C4185C" w:rsidP="00902D8B">
      <w:pPr>
        <w:spacing w:after="0" w:line="360" w:lineRule="auto"/>
        <w:jc w:val="both"/>
        <w:rPr>
          <w:rFonts w:ascii="Arial" w:hAnsi="Arial" w:cs="Arial"/>
          <w:b/>
          <w:bCs/>
          <w:color w:val="C00000"/>
          <w:sz w:val="22"/>
          <w:szCs w:val="22"/>
        </w:rPr>
      </w:pPr>
      <w:r w:rsidRPr="004D2E21">
        <w:rPr>
          <w:rFonts w:ascii="Arial" w:hAnsi="Arial" w:cs="Arial"/>
          <w:noProof/>
          <w:color w:val="C00000"/>
          <w:sz w:val="22"/>
          <w:szCs w:val="22"/>
        </w:rPr>
        <w:drawing>
          <wp:anchor distT="0" distB="0" distL="114300" distR="114300" simplePos="0" relativeHeight="251666432" behindDoc="0" locked="0" layoutInCell="1" allowOverlap="1" wp14:anchorId="3FD90302" wp14:editId="593D75B1">
            <wp:simplePos x="0" y="0"/>
            <wp:positionH relativeFrom="margin">
              <wp:posOffset>2563495</wp:posOffset>
            </wp:positionH>
            <wp:positionV relativeFrom="margin">
              <wp:posOffset>2794635</wp:posOffset>
            </wp:positionV>
            <wp:extent cx="3350260" cy="1884680"/>
            <wp:effectExtent l="0" t="0" r="2540" b="1270"/>
            <wp:wrapSquare wrapText="bothSides"/>
            <wp:docPr id="798068128" name="Picture 5" descr="Oak Valley Health | Outpatient Pharmacy - Oak Valley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ak Valley Health | Outpatient Pharmacy - Oak Valley Heal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0260" cy="1884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12EE2" w:rsidRPr="004D2E21">
        <w:rPr>
          <w:rFonts w:ascii="Arial" w:hAnsi="Arial" w:cs="Arial"/>
          <w:b/>
          <w:bCs/>
          <w:color w:val="C00000"/>
          <w:sz w:val="22"/>
          <w:szCs w:val="22"/>
        </w:rPr>
        <w:t>Understanding Pharmacy Services</w:t>
      </w:r>
    </w:p>
    <w:p w14:paraId="76DF468A" w14:textId="337E76EF" w:rsidR="00ED62C0" w:rsidRDefault="00A96D3B" w:rsidP="00902D8B">
      <w:pPr>
        <w:spacing w:after="0" w:line="360" w:lineRule="auto"/>
        <w:jc w:val="both"/>
        <w:rPr>
          <w:rFonts w:ascii="Arial" w:hAnsi="Arial" w:cs="Arial"/>
          <w:sz w:val="22"/>
          <w:szCs w:val="22"/>
        </w:rPr>
      </w:pPr>
      <w:r w:rsidRPr="004D2E21">
        <w:rPr>
          <w:rFonts w:ascii="Arial" w:hAnsi="Arial" w:cs="Arial"/>
          <w:noProof/>
          <w:sz w:val="22"/>
          <w:szCs w:val="22"/>
        </w:rPr>
        <mc:AlternateContent>
          <mc:Choice Requires="wps">
            <w:drawing>
              <wp:anchor distT="0" distB="0" distL="114300" distR="114300" simplePos="0" relativeHeight="251668480" behindDoc="0" locked="0" layoutInCell="1" allowOverlap="1" wp14:anchorId="3F28F22C" wp14:editId="5CC005AC">
                <wp:simplePos x="0" y="0"/>
                <wp:positionH relativeFrom="margin">
                  <wp:align>right</wp:align>
                </wp:positionH>
                <wp:positionV relativeFrom="paragraph">
                  <wp:posOffset>1875155</wp:posOffset>
                </wp:positionV>
                <wp:extent cx="3321698" cy="256592"/>
                <wp:effectExtent l="0" t="0" r="12065" b="10160"/>
                <wp:wrapNone/>
                <wp:docPr id="438003632" name="Rectangle 7"/>
                <wp:cNvGraphicFramePr/>
                <a:graphic xmlns:a="http://schemas.openxmlformats.org/drawingml/2006/main">
                  <a:graphicData uri="http://schemas.microsoft.com/office/word/2010/wordprocessingShape">
                    <wps:wsp>
                      <wps:cNvSpPr/>
                      <wps:spPr>
                        <a:xfrm>
                          <a:off x="0" y="0"/>
                          <a:ext cx="3321698" cy="256592"/>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227780AC" w14:textId="5F9A8558" w:rsidR="00A96D3B" w:rsidRPr="00A96D3B" w:rsidRDefault="00A96D3B" w:rsidP="00A96D3B">
                            <w:pPr>
                              <w:jc w:val="center"/>
                              <w:rPr>
                                <w:b/>
                                <w:bCs/>
                                <w:lang w:val="en-GB"/>
                              </w:rPr>
                            </w:pPr>
                            <w:r w:rsidRPr="00A96D3B">
                              <w:rPr>
                                <w:b/>
                                <w:bCs/>
                                <w:lang w:val="en-GB"/>
                              </w:rPr>
                              <w:t>Contemporary Pharmacy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28F22C" id="Rectangle 7" o:spid="_x0000_s1027" style="position:absolute;left:0;text-align:left;margin-left:210.35pt;margin-top:147.65pt;width:261.55pt;height:20.2pt;z-index:2516684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" fillcolor="black [3200]" strokecolor="black [480]" strokeweight="1pt">
                <v:textbox>
                  <w:txbxContent>
                    <w:p w14:paraId="227780AC" w14:textId="5F9A8558" w:rsidR="00A96D3B" w:rsidRPr="00A96D3B" w:rsidRDefault="00A96D3B" w:rsidP="00A96D3B">
                      <w:pPr>
                        <w:jc w:val="center"/>
                        <w:rPr>
                          <w:b/>
                          <w:bCs/>
                          <w:lang w:val="en-GB"/>
                        </w:rPr>
                      </w:pPr>
                      <w:r w:rsidRPr="00A96D3B">
                        <w:rPr>
                          <w:b/>
                          <w:bCs/>
                          <w:lang w:val="en-GB"/>
                        </w:rPr>
                        <w:t>Contemporary Pharmacy</w:t>
                      </w:r>
                    </w:p>
                  </w:txbxContent>
                </v:textbox>
                <w10:wrap anchorx="margin"/>
              </v:rect>
            </w:pict>
          </mc:Fallback>
        </mc:AlternateContent>
      </w:r>
      <w:r w:rsidR="00EB5E53" w:rsidRPr="004D2E21">
        <w:rPr>
          <w:rFonts w:ascii="Arial" w:hAnsi="Arial" w:cs="Arial"/>
          <w:sz w:val="22"/>
          <w:szCs w:val="22"/>
        </w:rPr>
        <w:t xml:space="preserve"> </w:t>
      </w:r>
      <w:r w:rsidR="00712EE2" w:rsidRPr="004D2E21">
        <w:rPr>
          <w:rFonts w:ascii="Arial" w:hAnsi="Arial" w:cs="Arial"/>
          <w:sz w:val="22"/>
          <w:szCs w:val="22"/>
        </w:rPr>
        <w:t xml:space="preserve">Pharmacy services generally encompass a series of actions or services executed in or coordinated by a pharmacy, administered by a pharmacist or other health practitioner, who utilizes their specialized medical understanding directly or through an intermediary, with a client, population or other medical professionals, to enhance the care process, aiming to improve health outcomes and the value of healthcare (Moulin et al., 2013). </w:t>
      </w:r>
      <w:r w:rsidR="002A6457" w:rsidRPr="004D2E21">
        <w:rPr>
          <w:rFonts w:ascii="Arial" w:hAnsi="Arial" w:cs="Arial"/>
          <w:sz w:val="22"/>
          <w:szCs w:val="22"/>
        </w:rPr>
        <w:t>These services encompass medication formulation, dispensing, patient counse</w:t>
      </w:r>
      <w:r w:rsidR="00C4185C">
        <w:rPr>
          <w:rFonts w:ascii="Arial" w:hAnsi="Arial" w:cs="Arial"/>
          <w:sz w:val="22"/>
          <w:szCs w:val="22"/>
        </w:rPr>
        <w:t>l</w:t>
      </w:r>
      <w:r w:rsidR="002A6457" w:rsidRPr="004D2E21">
        <w:rPr>
          <w:rFonts w:ascii="Arial" w:hAnsi="Arial" w:cs="Arial"/>
          <w:sz w:val="22"/>
          <w:szCs w:val="22"/>
        </w:rPr>
        <w:t xml:space="preserve">ling, clinical assessment, tracking therapeutic outcomes, and participation in public health initiatives. Contrary to general notions, pharmacists do not only deal with </w:t>
      </w:r>
      <w:r w:rsidR="00C4185C">
        <w:rPr>
          <w:rFonts w:ascii="Arial" w:hAnsi="Arial" w:cs="Arial"/>
          <w:sz w:val="22"/>
          <w:szCs w:val="22"/>
        </w:rPr>
        <w:t xml:space="preserve">the </w:t>
      </w:r>
      <w:r w:rsidR="002A6457" w:rsidRPr="004D2E21">
        <w:rPr>
          <w:rFonts w:ascii="Arial" w:hAnsi="Arial" w:cs="Arial"/>
          <w:sz w:val="22"/>
          <w:szCs w:val="22"/>
        </w:rPr>
        <w:t>distribution of prescribed medications, but they also provide clinical services, which include the administration of immuni</w:t>
      </w:r>
      <w:r w:rsidR="00C4185C">
        <w:rPr>
          <w:rFonts w:ascii="Arial" w:hAnsi="Arial" w:cs="Arial"/>
          <w:sz w:val="22"/>
          <w:szCs w:val="22"/>
        </w:rPr>
        <w:t>s</w:t>
      </w:r>
      <w:r w:rsidR="002A6457" w:rsidRPr="004D2E21">
        <w:rPr>
          <w:rFonts w:ascii="Arial" w:hAnsi="Arial" w:cs="Arial"/>
          <w:sz w:val="22"/>
          <w:szCs w:val="22"/>
        </w:rPr>
        <w:t xml:space="preserve">ations, health screening and the treatment of minor ailments (Tannenbaum &amp; Tsuyuki, 2013). </w:t>
      </w:r>
    </w:p>
    <w:p w14:paraId="0DC46C7E" w14:textId="77777777" w:rsidR="00C4185C" w:rsidRDefault="00C4185C" w:rsidP="00902D8B">
      <w:pPr>
        <w:spacing w:after="0" w:line="360" w:lineRule="auto"/>
        <w:jc w:val="both"/>
        <w:rPr>
          <w:rFonts w:ascii="Arial" w:hAnsi="Arial" w:cs="Arial"/>
          <w:sz w:val="22"/>
          <w:szCs w:val="22"/>
        </w:rPr>
      </w:pPr>
    </w:p>
    <w:p w14:paraId="48FA1980" w14:textId="77777777" w:rsidR="00C4185C" w:rsidRPr="00C4185C" w:rsidRDefault="00C4185C" w:rsidP="00902D8B">
      <w:pPr>
        <w:spacing w:after="0" w:line="360" w:lineRule="auto"/>
        <w:jc w:val="both"/>
        <w:rPr>
          <w:rFonts w:ascii="Arial" w:hAnsi="Arial" w:cs="Arial"/>
          <w:sz w:val="8"/>
          <w:szCs w:val="8"/>
        </w:rPr>
      </w:pPr>
    </w:p>
    <w:p w14:paraId="5FA6D4ED" w14:textId="794085BF" w:rsidR="002A6457" w:rsidRPr="004D2E21" w:rsidRDefault="002A6457" w:rsidP="00C5720C">
      <w:pPr>
        <w:jc w:val="both"/>
        <w:rPr>
          <w:rFonts w:ascii="Arial" w:hAnsi="Arial" w:cs="Arial"/>
          <w:b/>
          <w:bCs/>
          <w:i/>
          <w:iCs/>
          <w:color w:val="D86DCB" w:themeColor="accent5" w:themeTint="99"/>
          <w:sz w:val="22"/>
          <w:szCs w:val="22"/>
        </w:rPr>
      </w:pPr>
      <w:r w:rsidRPr="004D2E21">
        <w:rPr>
          <w:rFonts w:ascii="Arial" w:hAnsi="Arial" w:cs="Arial"/>
          <w:b/>
          <w:bCs/>
          <w:i/>
          <w:iCs/>
          <w:color w:val="D86DCB" w:themeColor="accent5" w:themeTint="99"/>
          <w:sz w:val="22"/>
          <w:szCs w:val="22"/>
        </w:rPr>
        <w:t>Community Pharmacy Services</w:t>
      </w:r>
    </w:p>
    <w:p w14:paraId="1DF09812" w14:textId="0A1CB792" w:rsidR="007C2980" w:rsidRPr="004D2E21" w:rsidRDefault="00C4185C" w:rsidP="00902D8B">
      <w:pPr>
        <w:spacing w:line="360" w:lineRule="auto"/>
        <w:jc w:val="both"/>
        <w:rPr>
          <w:rFonts w:ascii="Arial" w:hAnsi="Arial" w:cs="Arial"/>
          <w:sz w:val="22"/>
          <w:szCs w:val="22"/>
        </w:rPr>
      </w:pPr>
      <w:r w:rsidRPr="004D2E21">
        <w:rPr>
          <w:rFonts w:ascii="Arial" w:hAnsi="Arial" w:cs="Arial"/>
          <w:noProof/>
          <w:sz w:val="22"/>
          <w:szCs w:val="22"/>
        </w:rPr>
        <mc:AlternateContent>
          <mc:Choice Requires="wps">
            <w:drawing>
              <wp:anchor distT="45720" distB="45720" distL="114300" distR="114300" simplePos="0" relativeHeight="251681792" behindDoc="0" locked="0" layoutInCell="1" allowOverlap="1" wp14:anchorId="57E710E1" wp14:editId="67D3EFA3">
                <wp:simplePos x="0" y="0"/>
                <wp:positionH relativeFrom="margin">
                  <wp:align>right</wp:align>
                </wp:positionH>
                <wp:positionV relativeFrom="paragraph">
                  <wp:posOffset>1440180</wp:posOffset>
                </wp:positionV>
                <wp:extent cx="1746885" cy="344805"/>
                <wp:effectExtent l="0" t="0" r="0" b="0"/>
                <wp:wrapSquare wrapText="bothSides"/>
                <wp:docPr id="804605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885" cy="344805"/>
                        </a:xfrm>
                        <a:prstGeom prst="rect">
                          <a:avLst/>
                        </a:prstGeom>
                        <a:noFill/>
                        <a:ln w="9525">
                          <a:noFill/>
                          <a:miter lim="800000"/>
                          <a:headEnd/>
                          <a:tailEnd/>
                        </a:ln>
                      </wps:spPr>
                      <wps:txbx>
                        <w:txbxContent>
                          <w:p w14:paraId="1A34C4EA" w14:textId="5183D357" w:rsidR="002B5554" w:rsidRPr="002B5554" w:rsidRDefault="002B5554" w:rsidP="00C4185C">
                            <w:pPr>
                              <w:spacing w:after="0" w:line="240" w:lineRule="auto"/>
                              <w:jc w:val="right"/>
                              <w:rPr>
                                <w:b/>
                                <w:bCs/>
                                <w:lang w:val="en-GB"/>
                              </w:rPr>
                            </w:pPr>
                            <w:r>
                              <w:rPr>
                                <w:b/>
                                <w:bCs/>
                                <w:lang w:val="en-GB"/>
                              </w:rPr>
                              <w:t>Health Advising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E710E1" id="_x0000_t202" coordsize="21600,21600" o:spt="202" path="m,l,21600r21600,l21600,xe">
                <v:stroke joinstyle="miter"/>
                <v:path gradientshapeok="t" o:connecttype="rect"/>
              </v:shapetype>
              <v:shape id="Text Box 2" o:spid="_x0000_s1028" type="#_x0000_t202" style="position:absolute;left:0;text-align:left;margin-left:86.35pt;margin-top:113.4pt;width:137.55pt;height:27.15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" filled="f" stroked="f">
                <v:textbox>
                  <w:txbxContent>
                    <w:p w14:paraId="1A34C4EA" w14:textId="5183D357" w:rsidR="002B5554" w:rsidRPr="002B5554" w:rsidRDefault="002B5554" w:rsidP="00C4185C">
                      <w:pPr>
                        <w:spacing w:after="0" w:line="240" w:lineRule="auto"/>
                        <w:jc w:val="right"/>
                        <w:rPr>
                          <w:b/>
                          <w:bCs/>
                          <w:lang w:val="en-GB"/>
                        </w:rPr>
                      </w:pPr>
                      <w:r>
                        <w:rPr>
                          <w:b/>
                          <w:bCs/>
                          <w:lang w:val="en-GB"/>
                        </w:rPr>
                        <w:t>Health Advising</w:t>
                      </w:r>
                    </w:p>
                  </w:txbxContent>
                </v:textbox>
                <w10:wrap type="square" anchorx="margin"/>
              </v:shape>
            </w:pict>
          </mc:Fallback>
        </mc:AlternateContent>
      </w:r>
      <w:r w:rsidRPr="004D2E21">
        <w:rPr>
          <w:rFonts w:ascii="Arial" w:hAnsi="Arial" w:cs="Arial"/>
          <w:noProof/>
          <w:sz w:val="22"/>
          <w:szCs w:val="22"/>
        </w:rPr>
        <w:drawing>
          <wp:anchor distT="0" distB="0" distL="114300" distR="114300" simplePos="0" relativeHeight="251679744" behindDoc="0" locked="0" layoutInCell="1" allowOverlap="1" wp14:anchorId="716EBBBB" wp14:editId="54F44F9A">
            <wp:simplePos x="0" y="0"/>
            <wp:positionH relativeFrom="margin">
              <wp:posOffset>3210560</wp:posOffset>
            </wp:positionH>
            <wp:positionV relativeFrom="margin">
              <wp:posOffset>6512560</wp:posOffset>
            </wp:positionV>
            <wp:extent cx="2639695" cy="1637665"/>
            <wp:effectExtent l="0" t="0" r="8255" b="635"/>
            <wp:wrapSquare wrapText="bothSides"/>
            <wp:docPr id="535135576" name="Picture 1" descr="How can your pharmacy help yo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09309" name="Picture 2009709309" descr="How can your pharmacy help you ..."/>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9695"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2980" w:rsidRPr="004D2E21">
        <w:rPr>
          <w:rFonts w:ascii="Arial" w:hAnsi="Arial" w:cs="Arial"/>
          <w:sz w:val="22"/>
          <w:szCs w:val="22"/>
        </w:rPr>
        <w:t xml:space="preserve">Community pharmacy services are a component of the pharmacy services under the NHS, which serve as frontline points of access for non-emergency medical care, bridging the gap between patients, general practitioners (GPs), and hospitals. These are often found on streets in </w:t>
      </w:r>
      <w:r w:rsidR="007C2980" w:rsidRPr="004D2E21">
        <w:rPr>
          <w:rFonts w:ascii="Arial" w:hAnsi="Arial" w:cs="Arial"/>
          <w:sz w:val="22"/>
          <w:szCs w:val="22"/>
        </w:rPr>
        <w:lastRenderedPageBreak/>
        <w:t xml:space="preserve">communities and offer equal services as </w:t>
      </w:r>
      <w:r w:rsidRPr="004D2E21">
        <w:rPr>
          <w:rFonts w:ascii="Arial" w:hAnsi="Arial" w:cs="Arial"/>
          <w:noProof/>
          <w:sz w:val="22"/>
          <w:szCs w:val="22"/>
        </w:rPr>
        <w:drawing>
          <wp:anchor distT="0" distB="0" distL="114300" distR="114300" simplePos="0" relativeHeight="251683840" behindDoc="0" locked="0" layoutInCell="1" allowOverlap="1" wp14:anchorId="2A0C1F0B" wp14:editId="2C918771">
            <wp:simplePos x="878840" y="381000"/>
            <wp:positionH relativeFrom="margin">
              <wp:align>left</wp:align>
            </wp:positionH>
            <wp:positionV relativeFrom="margin">
              <wp:align>top</wp:align>
            </wp:positionV>
            <wp:extent cx="2735580" cy="1698625"/>
            <wp:effectExtent l="0" t="0" r="7620" b="0"/>
            <wp:wrapSquare wrapText="bothSides"/>
            <wp:docPr id="822623698" name="Picture 1" descr="How many medications are dispensed at the pharmacy, including vial  fillings? | Yuyama's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26685" name="Picture 2146926685" descr="How many medications are dispensed at the pharmacy, including vial  fillings? | Yuyama's Column"/>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35580" cy="1698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2980" w:rsidRPr="004D2E21">
        <w:rPr>
          <w:rFonts w:ascii="Arial" w:hAnsi="Arial" w:cs="Arial"/>
          <w:sz w:val="22"/>
          <w:szCs w:val="22"/>
        </w:rPr>
        <w:t>pharmacies</w:t>
      </w:r>
      <w:r>
        <w:rPr>
          <w:rFonts w:ascii="Arial" w:hAnsi="Arial" w:cs="Arial"/>
          <w:sz w:val="22"/>
          <w:szCs w:val="22"/>
        </w:rPr>
        <w:t>,</w:t>
      </w:r>
      <w:r w:rsidR="007C2980" w:rsidRPr="004D2E21">
        <w:rPr>
          <w:rFonts w:ascii="Arial" w:hAnsi="Arial" w:cs="Arial"/>
          <w:sz w:val="22"/>
          <w:szCs w:val="22"/>
        </w:rPr>
        <w:t xml:space="preserve"> including dispensing prescriptions, treating minor ailments, public health programmes and healthy living advice. </w:t>
      </w:r>
    </w:p>
    <w:p w14:paraId="726422F6" w14:textId="15950D0B" w:rsidR="002B5554" w:rsidRPr="004D2E21" w:rsidRDefault="002B5554" w:rsidP="00C5720C">
      <w:pPr>
        <w:jc w:val="both"/>
        <w:rPr>
          <w:rFonts w:ascii="Arial" w:hAnsi="Arial" w:cs="Arial"/>
          <w:sz w:val="22"/>
          <w:szCs w:val="22"/>
        </w:rPr>
      </w:pPr>
      <w:r w:rsidRPr="004D2E21">
        <w:rPr>
          <w:rFonts w:ascii="Arial" w:hAnsi="Arial" w:cs="Arial"/>
          <w:noProof/>
          <w:sz w:val="22"/>
          <w:szCs w:val="22"/>
        </w:rPr>
        <w:t xml:space="preserve">     </w:t>
      </w:r>
    </w:p>
    <w:p w14:paraId="5F9BE90C" w14:textId="49F44A4E" w:rsidR="002B5554" w:rsidRPr="004D2E21" w:rsidRDefault="00C4185C" w:rsidP="00C5720C">
      <w:pPr>
        <w:jc w:val="both"/>
        <w:rPr>
          <w:rFonts w:ascii="Arial" w:hAnsi="Arial" w:cs="Arial"/>
          <w:sz w:val="22"/>
          <w:szCs w:val="22"/>
        </w:rPr>
      </w:pPr>
      <w:r w:rsidRPr="004D2E21">
        <w:rPr>
          <w:rFonts w:ascii="Arial" w:hAnsi="Arial" w:cs="Arial"/>
          <w:noProof/>
          <w:sz w:val="22"/>
          <w:szCs w:val="22"/>
        </w:rPr>
        <mc:AlternateContent>
          <mc:Choice Requires="wps">
            <w:drawing>
              <wp:anchor distT="45720" distB="45720" distL="114300" distR="114300" simplePos="0" relativeHeight="251685888" behindDoc="0" locked="0" layoutInCell="1" allowOverlap="1" wp14:anchorId="347FC23B" wp14:editId="6CD0FBDC">
                <wp:simplePos x="0" y="0"/>
                <wp:positionH relativeFrom="column">
                  <wp:posOffset>831850</wp:posOffset>
                </wp:positionH>
                <wp:positionV relativeFrom="paragraph">
                  <wp:posOffset>59055</wp:posOffset>
                </wp:positionV>
                <wp:extent cx="2026920" cy="265430"/>
                <wp:effectExtent l="0" t="0" r="0" b="1270"/>
                <wp:wrapSquare wrapText="bothSides"/>
                <wp:docPr id="2137737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6920" cy="265430"/>
                        </a:xfrm>
                        <a:prstGeom prst="rect">
                          <a:avLst/>
                        </a:prstGeom>
                        <a:noFill/>
                        <a:ln w="9525">
                          <a:noFill/>
                          <a:miter lim="800000"/>
                          <a:headEnd/>
                          <a:tailEnd/>
                        </a:ln>
                      </wps:spPr>
                      <wps:txbx>
                        <w:txbxContent>
                          <w:p w14:paraId="30BD72BA" w14:textId="5CAB3C9C" w:rsidR="00902D8B" w:rsidRPr="002B5554" w:rsidRDefault="00902D8B" w:rsidP="00902D8B">
                            <w:pPr>
                              <w:spacing w:after="0" w:line="240" w:lineRule="auto"/>
                              <w:jc w:val="center"/>
                              <w:rPr>
                                <w:b/>
                                <w:bCs/>
                                <w:lang w:val="en-GB"/>
                              </w:rPr>
                            </w:pPr>
                            <w:r>
                              <w:rPr>
                                <w:b/>
                                <w:bCs/>
                                <w:lang w:val="en-GB"/>
                              </w:rPr>
                              <w:t>Dispensing Prescriptions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7FC23B" id="_x0000_s1029" type="#_x0000_t202" style="position:absolute;left:0;text-align:left;margin-left:65.5pt;margin-top:4.65pt;width:159.6pt;height:20.9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" filled="f" stroked="f">
                <v:textbox>
                  <w:txbxContent>
                    <w:p w14:paraId="30BD72BA" w14:textId="5CAB3C9C" w:rsidR="00902D8B" w:rsidRPr="002B5554" w:rsidRDefault="00902D8B" w:rsidP="00902D8B">
                      <w:pPr>
                        <w:spacing w:after="0" w:line="240" w:lineRule="auto"/>
                        <w:jc w:val="center"/>
                        <w:rPr>
                          <w:b/>
                          <w:bCs/>
                          <w:lang w:val="en-GB"/>
                        </w:rPr>
                      </w:pPr>
                      <w:r>
                        <w:rPr>
                          <w:b/>
                          <w:bCs/>
                          <w:lang w:val="en-GB"/>
                        </w:rPr>
                        <w:t>Dispensing Prescriptions</w:t>
                      </w:r>
                    </w:p>
                  </w:txbxContent>
                </v:textbox>
                <w10:wrap type="square"/>
              </v:shape>
            </w:pict>
          </mc:Fallback>
        </mc:AlternateContent>
      </w:r>
    </w:p>
    <w:p w14:paraId="7E0F267C" w14:textId="73C9225A" w:rsidR="00902D8B" w:rsidRPr="004D2E21" w:rsidRDefault="00902D8B" w:rsidP="00C5720C">
      <w:pPr>
        <w:jc w:val="both"/>
        <w:rPr>
          <w:rFonts w:ascii="Arial" w:hAnsi="Arial" w:cs="Arial"/>
          <w:sz w:val="22"/>
          <w:szCs w:val="22"/>
        </w:rPr>
      </w:pPr>
    </w:p>
    <w:p w14:paraId="27F6C78E" w14:textId="3C5D39E2" w:rsidR="00902D8B" w:rsidRPr="004D2E21" w:rsidRDefault="00902D8B" w:rsidP="00C5720C">
      <w:pPr>
        <w:jc w:val="both"/>
        <w:rPr>
          <w:rFonts w:ascii="Arial" w:hAnsi="Arial" w:cs="Arial"/>
          <w:sz w:val="22"/>
          <w:szCs w:val="22"/>
        </w:rPr>
      </w:pPr>
    </w:p>
    <w:p w14:paraId="1BAEBBAC" w14:textId="0849A04F" w:rsidR="002B5554" w:rsidRPr="004D2E21" w:rsidRDefault="00317EE3" w:rsidP="00C5720C">
      <w:pPr>
        <w:jc w:val="both"/>
        <w:rPr>
          <w:rFonts w:ascii="Arial" w:hAnsi="Arial" w:cs="Arial"/>
          <w:b/>
          <w:bCs/>
          <w:sz w:val="22"/>
          <w:szCs w:val="22"/>
        </w:rPr>
      </w:pPr>
      <w:r w:rsidRPr="004D2E21">
        <w:rPr>
          <w:rFonts w:ascii="Arial" w:hAnsi="Arial" w:cs="Arial"/>
          <w:b/>
          <w:bCs/>
          <w:sz w:val="22"/>
          <w:szCs w:val="22"/>
        </w:rPr>
        <w:t xml:space="preserve">History of the Pharmacy Services </w:t>
      </w:r>
    </w:p>
    <w:p w14:paraId="4CC87EA1" w14:textId="62C0FBA0" w:rsidR="00317EE3" w:rsidRPr="004D2E21" w:rsidRDefault="00C4185C" w:rsidP="004D2E21">
      <w:pPr>
        <w:spacing w:line="360" w:lineRule="auto"/>
        <w:jc w:val="both"/>
        <w:rPr>
          <w:rFonts w:ascii="Arial" w:hAnsi="Arial" w:cs="Arial"/>
          <w:sz w:val="22"/>
          <w:szCs w:val="22"/>
        </w:rPr>
      </w:pPr>
      <w:r w:rsidRPr="004D2E21">
        <w:rPr>
          <w:rFonts w:ascii="Arial" w:hAnsi="Arial" w:cs="Arial"/>
          <w:noProof/>
          <w:sz w:val="22"/>
          <w:szCs w:val="22"/>
        </w:rPr>
        <mc:AlternateContent>
          <mc:Choice Requires="wps">
            <w:drawing>
              <wp:anchor distT="0" distB="0" distL="114300" distR="114300" simplePos="0" relativeHeight="251689984" behindDoc="0" locked="0" layoutInCell="1" allowOverlap="1" wp14:anchorId="1F80A3E6" wp14:editId="3B7E2F88">
                <wp:simplePos x="0" y="0"/>
                <wp:positionH relativeFrom="margin">
                  <wp:posOffset>10160</wp:posOffset>
                </wp:positionH>
                <wp:positionV relativeFrom="paragraph">
                  <wp:posOffset>3899535</wp:posOffset>
                </wp:positionV>
                <wp:extent cx="2710180" cy="531495"/>
                <wp:effectExtent l="0" t="0" r="0" b="1905"/>
                <wp:wrapNone/>
                <wp:docPr id="403718678" name="Rectangle 13"/>
                <wp:cNvGraphicFramePr/>
                <a:graphic xmlns:a="http://schemas.openxmlformats.org/drawingml/2006/main">
                  <a:graphicData uri="http://schemas.microsoft.com/office/word/2010/wordprocessingShape">
                    <wps:wsp>
                      <wps:cNvSpPr/>
                      <wps:spPr>
                        <a:xfrm>
                          <a:off x="0" y="0"/>
                          <a:ext cx="2710180" cy="53149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7E99630" w14:textId="083F3040" w:rsidR="000D49F1" w:rsidRPr="000D49F1" w:rsidRDefault="000D49F1" w:rsidP="000D49F1">
                            <w:pPr>
                              <w:jc w:val="center"/>
                              <w:rPr>
                                <w:b/>
                                <w:bCs/>
                                <w:sz w:val="18"/>
                                <w:szCs w:val="18"/>
                              </w:rPr>
                            </w:pPr>
                            <w:r w:rsidRPr="000D49F1">
                              <w:rPr>
                                <w:b/>
                                <w:bCs/>
                                <w:sz w:val="18"/>
                                <w:szCs w:val="18"/>
                              </w:rPr>
                              <w:t>NHS70</w:t>
                            </w:r>
                            <w:r w:rsidR="008B0F32">
                              <w:rPr>
                                <w:b/>
                                <w:bCs/>
                                <w:sz w:val="18"/>
                                <w:szCs w:val="18"/>
                              </w:rPr>
                              <w:t xml:space="preserve"> M</w:t>
                            </w:r>
                            <w:r w:rsidRPr="000D49F1">
                              <w:rPr>
                                <w:b/>
                                <w:bCs/>
                                <w:sz w:val="18"/>
                                <w:szCs w:val="18"/>
                              </w:rPr>
                              <w:t>ajor moments in pharmacy 1948–2018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F80A3E6" id="Rectangle 13" o:spid="_x0000_s1030" style="position:absolute;left:0;text-align:left;margin-left:.8pt;margin-top:307.05pt;width:213.4pt;height:41.85pt;z-index:2516899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" filled="f" stroked="f" strokeweight="1pt">
                <v:textbox>
                  <w:txbxContent>
                    <w:p w14:paraId="67E99630" w14:textId="083F3040" w:rsidR="000D49F1" w:rsidRPr="000D49F1" w:rsidRDefault="000D49F1" w:rsidP="000D49F1">
                      <w:pPr>
                        <w:jc w:val="center"/>
                        <w:rPr>
                          <w:b/>
                          <w:bCs/>
                          <w:sz w:val="18"/>
                          <w:szCs w:val="18"/>
                        </w:rPr>
                      </w:pPr>
                      <w:r w:rsidRPr="000D49F1">
                        <w:rPr>
                          <w:b/>
                          <w:bCs/>
                          <w:sz w:val="18"/>
                          <w:szCs w:val="18"/>
                        </w:rPr>
                        <w:t>NHS70</w:t>
                      </w:r>
                      <w:r w:rsidR="008B0F32">
                        <w:rPr>
                          <w:b/>
                          <w:bCs/>
                          <w:sz w:val="18"/>
                          <w:szCs w:val="18"/>
                        </w:rPr>
                        <w:t xml:space="preserve"> M</w:t>
                      </w:r>
                      <w:r w:rsidRPr="000D49F1">
                        <w:rPr>
                          <w:b/>
                          <w:bCs/>
                          <w:sz w:val="18"/>
                          <w:szCs w:val="18"/>
                        </w:rPr>
                        <w:t>ajor moments in pharmacy 1948–2018</w:t>
                      </w:r>
                    </w:p>
                  </w:txbxContent>
                </v:textbox>
                <w10:wrap anchorx="margin"/>
              </v:rect>
            </w:pict>
          </mc:Fallback>
        </mc:AlternateContent>
      </w:r>
      <w:r w:rsidRPr="004D2E21">
        <w:rPr>
          <w:rFonts w:ascii="Arial" w:hAnsi="Arial" w:cs="Arial"/>
          <w:noProof/>
          <w:sz w:val="22"/>
          <w:szCs w:val="22"/>
        </w:rPr>
        <w:drawing>
          <wp:anchor distT="0" distB="0" distL="114300" distR="114300" simplePos="0" relativeHeight="251686912" behindDoc="0" locked="0" layoutInCell="1" allowOverlap="1" wp14:anchorId="2131BF64" wp14:editId="652C12E8">
            <wp:simplePos x="0" y="0"/>
            <wp:positionH relativeFrom="margin">
              <wp:posOffset>3161030</wp:posOffset>
            </wp:positionH>
            <wp:positionV relativeFrom="margin">
              <wp:posOffset>2706370</wp:posOffset>
            </wp:positionV>
            <wp:extent cx="2747010" cy="2028825"/>
            <wp:effectExtent l="0" t="0" r="0" b="9525"/>
            <wp:wrapSquare wrapText="bothSides"/>
            <wp:docPr id="2032176522" name="Picture 10" descr="Worshipful Society of Apothecaries | Capital Jau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shipful Society of Apothecaries | Capital Jaun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47010" cy="2028825"/>
                    </a:xfrm>
                    <a:prstGeom prst="rect">
                      <a:avLst/>
                    </a:prstGeom>
                    <a:noFill/>
                    <a:ln>
                      <a:noFill/>
                    </a:ln>
                  </pic:spPr>
                </pic:pic>
              </a:graphicData>
            </a:graphic>
          </wp:anchor>
        </w:drawing>
      </w:r>
      <w:r w:rsidR="000F307D" w:rsidRPr="004D2E21">
        <w:rPr>
          <w:rFonts w:ascii="Arial" w:hAnsi="Arial" w:cs="Arial"/>
          <w:sz w:val="22"/>
          <w:szCs w:val="22"/>
        </w:rPr>
        <w:t>Pharmacy po</w:t>
      </w:r>
      <w:r>
        <w:rPr>
          <w:rFonts w:ascii="Arial" w:hAnsi="Arial" w:cs="Arial"/>
          <w:sz w:val="22"/>
          <w:szCs w:val="22"/>
        </w:rPr>
        <w:t>sse</w:t>
      </w:r>
      <w:r w:rsidR="000F307D" w:rsidRPr="004D2E21">
        <w:rPr>
          <w:rFonts w:ascii="Arial" w:hAnsi="Arial" w:cs="Arial"/>
          <w:sz w:val="22"/>
          <w:szCs w:val="22"/>
        </w:rPr>
        <w:t>sses a rich history, utili</w:t>
      </w:r>
      <w:r>
        <w:rPr>
          <w:rFonts w:ascii="Arial" w:hAnsi="Arial" w:cs="Arial"/>
          <w:sz w:val="22"/>
          <w:szCs w:val="22"/>
        </w:rPr>
        <w:t>s</w:t>
      </w:r>
      <w:r w:rsidR="000F307D" w:rsidRPr="004D2E21">
        <w:rPr>
          <w:rFonts w:ascii="Arial" w:hAnsi="Arial" w:cs="Arial"/>
          <w:sz w:val="22"/>
          <w:szCs w:val="22"/>
        </w:rPr>
        <w:t xml:space="preserve">ing treatments such as opium and peppermint globally for millennia. In medieval London, pharmacy was not considered an independent profession but was governed by the Company of Grocers, a guild that oversaw the sale of spices, meat, food and beverages. </w:t>
      </w:r>
      <w:r w:rsidR="00317EE3" w:rsidRPr="004D2E21">
        <w:rPr>
          <w:rFonts w:ascii="Arial" w:hAnsi="Arial" w:cs="Arial"/>
          <w:sz w:val="22"/>
          <w:szCs w:val="22"/>
        </w:rPr>
        <w:t>The origins of modern pharmacy services in the UK can be trace</w:t>
      </w:r>
      <w:r>
        <w:rPr>
          <w:rFonts w:ascii="Arial" w:hAnsi="Arial" w:cs="Arial"/>
          <w:sz w:val="22"/>
          <w:szCs w:val="22"/>
        </w:rPr>
        <w:t>d</w:t>
      </w:r>
      <w:r w:rsidR="00317EE3" w:rsidRPr="004D2E21">
        <w:rPr>
          <w:rFonts w:ascii="Arial" w:hAnsi="Arial" w:cs="Arial"/>
          <w:sz w:val="22"/>
          <w:szCs w:val="22"/>
        </w:rPr>
        <w:t xml:space="preserve"> back to the humble beginnings </w:t>
      </w:r>
      <w:r w:rsidR="000F307D" w:rsidRPr="004D2E21">
        <w:rPr>
          <w:rFonts w:ascii="Arial" w:hAnsi="Arial" w:cs="Arial"/>
          <w:sz w:val="22"/>
          <w:szCs w:val="22"/>
        </w:rPr>
        <w:t>following the establishment of the Worshipful Society of Apothecaries in 1617 (Adams, 2011; Royal Pharmaceutical Society, n.d.). B</w:t>
      </w:r>
      <w:r w:rsidR="009F180D" w:rsidRPr="004D2E21">
        <w:rPr>
          <w:rFonts w:ascii="Arial" w:hAnsi="Arial" w:cs="Arial"/>
          <w:sz w:val="22"/>
          <w:szCs w:val="22"/>
        </w:rPr>
        <w:t>y</w:t>
      </w:r>
      <w:r w:rsidR="000F307D" w:rsidRPr="004D2E21">
        <w:rPr>
          <w:rFonts w:ascii="Arial" w:hAnsi="Arial" w:cs="Arial"/>
          <w:sz w:val="22"/>
          <w:szCs w:val="22"/>
        </w:rPr>
        <w:t xml:space="preserve"> the 16</w:t>
      </w:r>
      <w:r w:rsidR="000F307D" w:rsidRPr="004D2E21">
        <w:rPr>
          <w:rFonts w:ascii="Arial" w:hAnsi="Arial" w:cs="Arial"/>
          <w:sz w:val="22"/>
          <w:szCs w:val="22"/>
          <w:vertAlign w:val="superscript"/>
        </w:rPr>
        <w:t>th</w:t>
      </w:r>
      <w:r w:rsidR="000F307D" w:rsidRPr="004D2E21">
        <w:rPr>
          <w:rFonts w:ascii="Arial" w:hAnsi="Arial" w:cs="Arial"/>
          <w:sz w:val="22"/>
          <w:szCs w:val="22"/>
        </w:rPr>
        <w:t xml:space="preserve"> century, apothecaries had developed as specialists who prepared and sold medicinal substances. The establishment of the Worshipful Society of Apothecaries by royal charter marked the beginning of regulated pharmaceutical practice (Worshipful Society of Apothecaries, n.d.). </w:t>
      </w:r>
      <w:r w:rsidR="009F180D" w:rsidRPr="004D2E21">
        <w:rPr>
          <w:rFonts w:ascii="Arial" w:hAnsi="Arial" w:cs="Arial"/>
          <w:sz w:val="22"/>
          <w:szCs w:val="22"/>
        </w:rPr>
        <w:t xml:space="preserve">In 1815, the Apothecaries Act was </w:t>
      </w:r>
      <w:r w:rsidR="00671F7C" w:rsidRPr="004D2E21">
        <w:rPr>
          <w:rFonts w:ascii="Arial" w:hAnsi="Arial" w:cs="Arial"/>
          <w:sz w:val="22"/>
          <w:szCs w:val="22"/>
        </w:rPr>
        <w:t>passed,</w:t>
      </w:r>
      <w:r w:rsidR="009F180D" w:rsidRPr="004D2E21">
        <w:rPr>
          <w:rFonts w:ascii="Arial" w:hAnsi="Arial" w:cs="Arial"/>
          <w:sz w:val="22"/>
          <w:szCs w:val="22"/>
        </w:rPr>
        <w:t xml:space="preserve"> which required obligatory training and examination in the </w:t>
      </w:r>
      <w:r w:rsidR="00671F7C" w:rsidRPr="004D2E21">
        <w:rPr>
          <w:rFonts w:ascii="Arial" w:hAnsi="Arial" w:cs="Arial"/>
          <w:sz w:val="22"/>
          <w:szCs w:val="22"/>
        </w:rPr>
        <w:t>pharmaceutical</w:t>
      </w:r>
      <w:r w:rsidR="009F180D" w:rsidRPr="004D2E21">
        <w:rPr>
          <w:rFonts w:ascii="Arial" w:hAnsi="Arial" w:cs="Arial"/>
          <w:sz w:val="22"/>
          <w:szCs w:val="22"/>
        </w:rPr>
        <w:t xml:space="preserve"> field</w:t>
      </w:r>
      <w:r w:rsidR="00671F7C" w:rsidRPr="004D2E21">
        <w:rPr>
          <w:rFonts w:ascii="Arial" w:hAnsi="Arial" w:cs="Arial"/>
          <w:sz w:val="22"/>
          <w:szCs w:val="22"/>
        </w:rPr>
        <w:t xml:space="preserve">, marking a shift toward professionalism (Holloway, 1996). </w:t>
      </w:r>
    </w:p>
    <w:p w14:paraId="70FCC7A3" w14:textId="3B4A7AC4" w:rsidR="009F180D" w:rsidRPr="004D2E21" w:rsidRDefault="00C4185C" w:rsidP="004D2E21">
      <w:pPr>
        <w:spacing w:line="360" w:lineRule="auto"/>
        <w:jc w:val="both"/>
        <w:rPr>
          <w:rFonts w:ascii="Arial" w:hAnsi="Arial" w:cs="Arial"/>
          <w:sz w:val="22"/>
          <w:szCs w:val="22"/>
        </w:rPr>
      </w:pPr>
      <w:r w:rsidRPr="004D2E21">
        <w:rPr>
          <w:rFonts w:ascii="Arial" w:hAnsi="Arial" w:cs="Arial"/>
          <w:noProof/>
          <w:sz w:val="22"/>
          <w:szCs w:val="22"/>
        </w:rPr>
        <mc:AlternateContent>
          <mc:Choice Requires="wps">
            <w:drawing>
              <wp:anchor distT="0" distB="0" distL="114300" distR="114300" simplePos="0" relativeHeight="251692032" behindDoc="0" locked="0" layoutInCell="1" allowOverlap="1" wp14:anchorId="56608B54" wp14:editId="6D30845C">
                <wp:simplePos x="0" y="0"/>
                <wp:positionH relativeFrom="margin">
                  <wp:posOffset>-50800</wp:posOffset>
                </wp:positionH>
                <wp:positionV relativeFrom="paragraph">
                  <wp:posOffset>1433830</wp:posOffset>
                </wp:positionV>
                <wp:extent cx="2710543" cy="531845"/>
                <wp:effectExtent l="0" t="0" r="0" b="1905"/>
                <wp:wrapNone/>
                <wp:docPr id="353554535" name="Rectangle 13"/>
                <wp:cNvGraphicFramePr/>
                <a:graphic xmlns:a="http://schemas.openxmlformats.org/drawingml/2006/main">
                  <a:graphicData uri="http://schemas.microsoft.com/office/word/2010/wordprocessingShape">
                    <wps:wsp>
                      <wps:cNvSpPr/>
                      <wps:spPr>
                        <a:xfrm>
                          <a:off x="0" y="0"/>
                          <a:ext cx="2710543" cy="53184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2CE43A1" w14:textId="2903BA66" w:rsidR="000D49F1" w:rsidRPr="000D49F1" w:rsidRDefault="004D2E21" w:rsidP="000D49F1">
                            <w:pPr>
                              <w:jc w:val="center"/>
                              <w:rPr>
                                <w:b/>
                                <w:bCs/>
                                <w:sz w:val="18"/>
                                <w:szCs w:val="18"/>
                                <w:lang w:val="en-GB"/>
                              </w:rPr>
                            </w:pPr>
                            <w:r>
                              <w:rPr>
                                <w:b/>
                                <w:bCs/>
                                <w:sz w:val="18"/>
                                <w:szCs w:val="18"/>
                                <w:lang w:val="en-GB"/>
                              </w:rPr>
                              <w:t>(</w:t>
                            </w:r>
                            <w:r w:rsidR="000D49F1" w:rsidRPr="000D49F1">
                              <w:rPr>
                                <w:b/>
                                <w:bCs/>
                                <w:sz w:val="18"/>
                                <w:szCs w:val="18"/>
                                <w:lang w:val="en-GB"/>
                              </w:rPr>
                              <w:t>Pharmaceutical Journal</w:t>
                            </w:r>
                            <w:r>
                              <w:rPr>
                                <w:b/>
                                <w:bCs/>
                                <w:sz w:val="18"/>
                                <w:szCs w:val="18"/>
                                <w:lang w:val="en-GB"/>
                              </w:rPr>
                              <w:t xml:space="preserve">, </w:t>
                            </w:r>
                            <w:r w:rsidR="000D49F1" w:rsidRPr="000D49F1">
                              <w:rPr>
                                <w:b/>
                                <w:bCs/>
                                <w:sz w:val="18"/>
                                <w:szCs w:val="18"/>
                                <w:lang w:val="en-GB"/>
                              </w:rPr>
                              <w:t>2018</w:t>
                            </w:r>
                            <w:r w:rsidR="000D49F1">
                              <w:rPr>
                                <w:b/>
                                <w:bCs/>
                                <w:sz w:val="18"/>
                                <w:szCs w:val="18"/>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608B54" id="_x0000_s1031" style="position:absolute;left:0;text-align:left;margin-left:-4pt;margin-top:112.9pt;width:213.45pt;height:41.9pt;z-index:2516920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" filled="f" stroked="f" strokeweight="1pt">
                <v:textbox>
                  <w:txbxContent>
                    <w:p w14:paraId="12CE43A1" w14:textId="2903BA66" w:rsidR="000D49F1" w:rsidRPr="000D49F1" w:rsidRDefault="004D2E21" w:rsidP="000D49F1">
                      <w:pPr>
                        <w:jc w:val="center"/>
                        <w:rPr>
                          <w:b/>
                          <w:bCs/>
                          <w:sz w:val="18"/>
                          <w:szCs w:val="18"/>
                          <w:lang w:val="en-GB"/>
                        </w:rPr>
                      </w:pPr>
                      <w:r>
                        <w:rPr>
                          <w:b/>
                          <w:bCs/>
                          <w:sz w:val="18"/>
                          <w:szCs w:val="18"/>
                          <w:lang w:val="en-GB"/>
                        </w:rPr>
                        <w:t>(</w:t>
                      </w:r>
                      <w:r w:rsidR="000D49F1" w:rsidRPr="000D49F1">
                        <w:rPr>
                          <w:b/>
                          <w:bCs/>
                          <w:sz w:val="18"/>
                          <w:szCs w:val="18"/>
                          <w:lang w:val="en-GB"/>
                        </w:rPr>
                        <w:t>Pharmaceutical Journal</w:t>
                      </w:r>
                      <w:r>
                        <w:rPr>
                          <w:b/>
                          <w:bCs/>
                          <w:sz w:val="18"/>
                          <w:szCs w:val="18"/>
                          <w:lang w:val="en-GB"/>
                        </w:rPr>
                        <w:t xml:space="preserve">, </w:t>
                      </w:r>
                      <w:r w:rsidR="000D49F1" w:rsidRPr="000D49F1">
                        <w:rPr>
                          <w:b/>
                          <w:bCs/>
                          <w:sz w:val="18"/>
                          <w:szCs w:val="18"/>
                          <w:lang w:val="en-GB"/>
                        </w:rPr>
                        <w:t>2018</w:t>
                      </w:r>
                      <w:r w:rsidR="000D49F1">
                        <w:rPr>
                          <w:b/>
                          <w:bCs/>
                          <w:sz w:val="18"/>
                          <w:szCs w:val="18"/>
                          <w:lang w:val="en-GB"/>
                        </w:rPr>
                        <w:t>)</w:t>
                      </w:r>
                    </w:p>
                  </w:txbxContent>
                </v:textbox>
                <w10:wrap anchorx="margin"/>
              </v:rect>
            </w:pict>
          </mc:Fallback>
        </mc:AlternateContent>
      </w:r>
      <w:r w:rsidRPr="004D2E21">
        <w:rPr>
          <w:rFonts w:ascii="Arial" w:hAnsi="Arial" w:cs="Arial"/>
          <w:noProof/>
          <w:sz w:val="22"/>
          <w:szCs w:val="22"/>
        </w:rPr>
        <w:drawing>
          <wp:anchor distT="0" distB="0" distL="114300" distR="114300" simplePos="0" relativeHeight="251688960" behindDoc="0" locked="0" layoutInCell="1" allowOverlap="1" wp14:anchorId="28549003" wp14:editId="66E42A88">
            <wp:simplePos x="0" y="0"/>
            <wp:positionH relativeFrom="margin">
              <wp:posOffset>40640</wp:posOffset>
            </wp:positionH>
            <wp:positionV relativeFrom="margin">
              <wp:posOffset>6493510</wp:posOffset>
            </wp:positionV>
            <wp:extent cx="2617470" cy="1744980"/>
            <wp:effectExtent l="0" t="0" r="0" b="7620"/>
            <wp:wrapSquare wrapText="bothSides"/>
            <wp:docPr id="887242371" name="Picture 12" descr="NHS70: major moments in pharmacy 194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HS70: major moments in pharmacy 1948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17470" cy="1744980"/>
                    </a:xfrm>
                    <a:prstGeom prst="rect">
                      <a:avLst/>
                    </a:prstGeom>
                    <a:noFill/>
                    <a:ln>
                      <a:noFill/>
                    </a:ln>
                  </pic:spPr>
                </pic:pic>
              </a:graphicData>
            </a:graphic>
          </wp:anchor>
        </w:drawing>
      </w:r>
      <w:r w:rsidR="00E15266" w:rsidRPr="004D2E21">
        <w:rPr>
          <w:rFonts w:ascii="Arial" w:hAnsi="Arial" w:cs="Arial"/>
          <w:sz w:val="22"/>
          <w:szCs w:val="22"/>
        </w:rPr>
        <w:t>The pivotal moment to modern</w:t>
      </w:r>
      <w:r>
        <w:rPr>
          <w:rFonts w:ascii="Arial" w:hAnsi="Arial" w:cs="Arial"/>
          <w:sz w:val="22"/>
          <w:szCs w:val="22"/>
        </w:rPr>
        <w:t>-</w:t>
      </w:r>
      <w:r w:rsidR="00E15266" w:rsidRPr="004D2E21">
        <w:rPr>
          <w:rFonts w:ascii="Arial" w:hAnsi="Arial" w:cs="Arial"/>
          <w:sz w:val="22"/>
          <w:szCs w:val="22"/>
        </w:rPr>
        <w:t>day pharmacy services as known today was the enact</w:t>
      </w:r>
      <w:r>
        <w:rPr>
          <w:rFonts w:ascii="Arial" w:hAnsi="Arial" w:cs="Arial"/>
          <w:sz w:val="22"/>
          <w:szCs w:val="22"/>
        </w:rPr>
        <w:t>ment</w:t>
      </w:r>
      <w:r w:rsidR="00E15266" w:rsidRPr="004D2E21">
        <w:rPr>
          <w:rFonts w:ascii="Arial" w:hAnsi="Arial" w:cs="Arial"/>
          <w:sz w:val="22"/>
          <w:szCs w:val="22"/>
        </w:rPr>
        <w:t xml:space="preserve"> of the Pharmacy Act of 18</w:t>
      </w:r>
      <w:r w:rsidR="00670CFA" w:rsidRPr="004D2E21">
        <w:rPr>
          <w:rFonts w:ascii="Arial" w:hAnsi="Arial" w:cs="Arial"/>
          <w:sz w:val="22"/>
          <w:szCs w:val="22"/>
        </w:rPr>
        <w:t>52</w:t>
      </w:r>
      <w:r w:rsidR="00E15266" w:rsidRPr="004D2E21">
        <w:rPr>
          <w:rFonts w:ascii="Arial" w:hAnsi="Arial" w:cs="Arial"/>
          <w:sz w:val="22"/>
          <w:szCs w:val="22"/>
        </w:rPr>
        <w:t xml:space="preserve">, which founded the Pharmaceutical Society of Great Britain and instituted the inaugural stator register establishing ‘pharmacists’ as a distinct regulated profession (Anderson, 2005). </w:t>
      </w:r>
      <w:r w:rsidR="00CC3FE9" w:rsidRPr="004D2E21">
        <w:rPr>
          <w:rFonts w:ascii="Arial" w:hAnsi="Arial" w:cs="Arial"/>
          <w:sz w:val="22"/>
          <w:szCs w:val="22"/>
        </w:rPr>
        <w:t>Subsequent legislations</w:t>
      </w:r>
      <w:r>
        <w:rPr>
          <w:rFonts w:ascii="Arial" w:hAnsi="Arial" w:cs="Arial"/>
          <w:sz w:val="22"/>
          <w:szCs w:val="22"/>
        </w:rPr>
        <w:t>,</w:t>
      </w:r>
      <w:r w:rsidR="00CC3FE9" w:rsidRPr="004D2E21">
        <w:rPr>
          <w:rFonts w:ascii="Arial" w:hAnsi="Arial" w:cs="Arial"/>
          <w:sz w:val="22"/>
          <w:szCs w:val="22"/>
        </w:rPr>
        <w:t xml:space="preserve"> such as </w:t>
      </w:r>
      <w:r w:rsidR="00CC3FE9" w:rsidRPr="004D2E21">
        <w:rPr>
          <w:rFonts w:ascii="Arial" w:hAnsi="Arial" w:cs="Arial"/>
          <w:sz w:val="22"/>
          <w:szCs w:val="22"/>
        </w:rPr>
        <w:lastRenderedPageBreak/>
        <w:t>the Pharmacy Act of 1854 and 1868</w:t>
      </w:r>
      <w:r>
        <w:rPr>
          <w:rFonts w:ascii="Arial" w:hAnsi="Arial" w:cs="Arial"/>
          <w:sz w:val="22"/>
          <w:szCs w:val="22"/>
        </w:rPr>
        <w:t>,</w:t>
      </w:r>
      <w:r w:rsidR="00CC3FE9" w:rsidRPr="004D2E21">
        <w:rPr>
          <w:rFonts w:ascii="Arial" w:hAnsi="Arial" w:cs="Arial"/>
          <w:sz w:val="22"/>
          <w:szCs w:val="22"/>
        </w:rPr>
        <w:t xml:space="preserve"> were also enacted to further strengthen, define and regulate the profession. </w:t>
      </w:r>
      <w:r w:rsidR="006E6561" w:rsidRPr="004D2E21">
        <w:rPr>
          <w:rFonts w:ascii="Arial" w:hAnsi="Arial" w:cs="Arial"/>
          <w:sz w:val="22"/>
          <w:szCs w:val="22"/>
        </w:rPr>
        <w:t xml:space="preserve">In 1948, the NHS was formed, funded by taxes, to provide comprehensive medical care to people in the UK. This rendered the pharmacy services essential to public healthcare as community pharmacies were engaged to dispense NHS prescriptions. With time, the role of community pharmacies was eventually expanded </w:t>
      </w:r>
      <w:r w:rsidR="000D49F1" w:rsidRPr="004D2E21">
        <w:rPr>
          <w:rFonts w:ascii="Arial" w:hAnsi="Arial" w:cs="Arial"/>
          <w:sz w:val="22"/>
          <w:szCs w:val="22"/>
        </w:rPr>
        <w:t xml:space="preserve">beyond distributing medications to include the provision of additional clinical and public health services (Brown et </w:t>
      </w:r>
      <w:r w:rsidR="001244AF" w:rsidRPr="004D2E21">
        <w:rPr>
          <w:rFonts w:ascii="Arial" w:hAnsi="Arial" w:cs="Arial"/>
          <w:sz w:val="22"/>
          <w:szCs w:val="22"/>
        </w:rPr>
        <w:t>a</w:t>
      </w:r>
      <w:r w:rsidR="000D49F1" w:rsidRPr="004D2E21">
        <w:rPr>
          <w:rFonts w:ascii="Arial" w:hAnsi="Arial" w:cs="Arial"/>
          <w:sz w:val="22"/>
          <w:szCs w:val="22"/>
        </w:rPr>
        <w:t xml:space="preserve">l., 2025). </w:t>
      </w:r>
    </w:p>
    <w:p w14:paraId="68A165E0" w14:textId="05C08289" w:rsidR="000D49F1" w:rsidRPr="004D2E21" w:rsidRDefault="004A74C0" w:rsidP="004D2E21">
      <w:pPr>
        <w:spacing w:line="360" w:lineRule="auto"/>
        <w:jc w:val="both"/>
        <w:rPr>
          <w:rFonts w:ascii="Arial" w:hAnsi="Arial" w:cs="Arial"/>
          <w:sz w:val="22"/>
          <w:szCs w:val="22"/>
        </w:rPr>
      </w:pPr>
      <w:r w:rsidRPr="004D2E21">
        <w:rPr>
          <w:rFonts w:ascii="Arial" w:hAnsi="Arial" w:cs="Arial"/>
          <w:color w:val="D86DCB" w:themeColor="accent5" w:themeTint="99"/>
          <w:sz w:val="22"/>
          <w:szCs w:val="22"/>
        </w:rPr>
        <w:t>Concurrently, the practice of hospital pharmacy advanced</w:t>
      </w:r>
      <w:r w:rsidRPr="004D2E21">
        <w:rPr>
          <w:rFonts w:ascii="Arial" w:hAnsi="Arial" w:cs="Arial"/>
          <w:sz w:val="22"/>
          <w:szCs w:val="22"/>
        </w:rPr>
        <w:t xml:space="preserve">. During the 1970s and 1980’s a transition took place from </w:t>
      </w:r>
      <w:r w:rsidR="00C4185C">
        <w:rPr>
          <w:rFonts w:ascii="Arial" w:hAnsi="Arial" w:cs="Arial"/>
          <w:sz w:val="22"/>
          <w:szCs w:val="22"/>
        </w:rPr>
        <w:t xml:space="preserve">a </w:t>
      </w:r>
      <w:r w:rsidRPr="004D2E21">
        <w:rPr>
          <w:rFonts w:ascii="Arial" w:hAnsi="Arial" w:cs="Arial"/>
          <w:sz w:val="22"/>
          <w:szCs w:val="22"/>
        </w:rPr>
        <w:t xml:space="preserve">solely product-focused approach to clinical pharmacy, whereby pharmacists engaged directly in patient care, ward rounds and medication review (Hollway, 1981). This transition was officially acknowledged in documents like the Nuffield Report, which advocated for enhanced responsibilities within </w:t>
      </w:r>
      <w:r w:rsidR="00C4185C">
        <w:rPr>
          <w:rFonts w:ascii="Arial" w:hAnsi="Arial" w:cs="Arial"/>
          <w:sz w:val="22"/>
          <w:szCs w:val="22"/>
        </w:rPr>
        <w:t xml:space="preserve">the </w:t>
      </w:r>
      <w:r w:rsidRPr="004D2E21">
        <w:rPr>
          <w:rFonts w:ascii="Arial" w:hAnsi="Arial" w:cs="Arial"/>
          <w:sz w:val="22"/>
          <w:szCs w:val="22"/>
        </w:rPr>
        <w:t xml:space="preserve">hospital environment. The implementation of the Community Pharmacy Contractual Framework (CPCF) in 2005 was crucial, promoting pharmacists to provide clinical services and public health responsibilities. Today, this trend persists as the modern-day pharmacy services (Moulin et al., 2013) include clinical functions. </w:t>
      </w:r>
    </w:p>
    <w:p w14:paraId="02223902" w14:textId="2C69F411" w:rsidR="004A74C0" w:rsidRPr="004D2E21" w:rsidRDefault="006B1CAE" w:rsidP="00C5720C">
      <w:pPr>
        <w:jc w:val="both"/>
        <w:rPr>
          <w:rFonts w:ascii="Arial" w:hAnsi="Arial" w:cs="Arial"/>
        </w:rPr>
      </w:pPr>
      <w:r>
        <w:rPr>
          <w:rFonts w:ascii="Arial" w:hAnsi="Arial" w:cs="Arial"/>
          <w:noProof/>
        </w:rPr>
        <mc:AlternateContent>
          <mc:Choice Requires="wps">
            <w:drawing>
              <wp:anchor distT="0" distB="0" distL="114300" distR="114300" simplePos="0" relativeHeight="251724800" behindDoc="0" locked="0" layoutInCell="1" allowOverlap="1" wp14:anchorId="77C50D3C" wp14:editId="2FBCE54D">
                <wp:simplePos x="0" y="0"/>
                <wp:positionH relativeFrom="column">
                  <wp:posOffset>5679440</wp:posOffset>
                </wp:positionH>
                <wp:positionV relativeFrom="paragraph">
                  <wp:posOffset>962025</wp:posOffset>
                </wp:positionV>
                <wp:extent cx="10160" cy="1158240"/>
                <wp:effectExtent l="0" t="0" r="27940" b="22860"/>
                <wp:wrapNone/>
                <wp:docPr id="824597591" name="Straight Connector 29"/>
                <wp:cNvGraphicFramePr/>
                <a:graphic xmlns:a="http://schemas.openxmlformats.org/drawingml/2006/main">
                  <a:graphicData uri="http://schemas.microsoft.com/office/word/2010/wordprocessingShape">
                    <wps:wsp>
                      <wps:cNvCnPr/>
                      <wps:spPr>
                        <a:xfrm flipH="1">
                          <a:off x="0" y="0"/>
                          <a:ext cx="10160" cy="1158240"/>
                        </a:xfrm>
                        <a:prstGeom prst="line">
                          <a:avLst/>
                        </a:prstGeom>
                        <a:ln w="19050">
                          <a:prstDash val="sysDot"/>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5E2175C" id="Straight Connector 29" o:spid="_x0000_s1026" style="position:absolute;flip:x;z-index:251724800;visibility:visible;mso-wrap-style:square;mso-wrap-distance-left:9pt;mso-wrap-distance-top:0;mso-wrap-distance-right:9pt;mso-wrap-distance-bottom:0;mso-position-horizontal:absolute;mso-position-horizontal-relative:text;mso-position-vertical:absolute;mso-position-vertical-relative:text" from="447.2pt,75.75pt" to="448pt,16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" strokecolor="black [3200]" strokeweight="1.5pt">
                <v:stroke dashstyle="1 1" joinstyle="miter"/>
              </v:line>
            </w:pict>
          </mc:Fallback>
        </mc:AlternateContent>
      </w:r>
      <w:r w:rsidR="004D2E21">
        <w:rPr>
          <w:rFonts w:ascii="Arial" w:hAnsi="Arial" w:cs="Arial"/>
          <w:noProof/>
        </w:rPr>
        <mc:AlternateContent>
          <mc:Choice Requires="wps">
            <w:drawing>
              <wp:anchor distT="0" distB="0" distL="114300" distR="114300" simplePos="0" relativeHeight="251723776" behindDoc="0" locked="0" layoutInCell="1" allowOverlap="1" wp14:anchorId="7788680B" wp14:editId="16B85B9C">
                <wp:simplePos x="0" y="0"/>
                <wp:positionH relativeFrom="column">
                  <wp:posOffset>4846320</wp:posOffset>
                </wp:positionH>
                <wp:positionV relativeFrom="paragraph">
                  <wp:posOffset>2216785</wp:posOffset>
                </wp:positionV>
                <wp:extent cx="1666240" cy="868680"/>
                <wp:effectExtent l="0" t="0" r="10160" b="26670"/>
                <wp:wrapNone/>
                <wp:docPr id="73984005" name="Text Box 28"/>
                <wp:cNvGraphicFramePr/>
                <a:graphic xmlns:a="http://schemas.openxmlformats.org/drawingml/2006/main">
                  <a:graphicData uri="http://schemas.microsoft.com/office/word/2010/wordprocessingShape">
                    <wps:wsp>
                      <wps:cNvSpPr txBox="1"/>
                      <wps:spPr>
                        <a:xfrm>
                          <a:off x="0" y="0"/>
                          <a:ext cx="1666240" cy="868680"/>
                        </a:xfrm>
                        <a:prstGeom prst="rect">
                          <a:avLst/>
                        </a:prstGeom>
                        <a:solidFill>
                          <a:schemeClr val="lt1"/>
                        </a:solidFill>
                        <a:ln w="6350">
                          <a:solidFill>
                            <a:prstClr val="black"/>
                          </a:solidFill>
                        </a:ln>
                      </wps:spPr>
                      <wps:txbx>
                        <w:txbxContent>
                          <w:p w14:paraId="06AE64F1" w14:textId="3158BAFE" w:rsidR="004D2E21" w:rsidRPr="006B1CAE" w:rsidRDefault="006B1CAE" w:rsidP="006B1CAE">
                            <w:pPr>
                              <w:jc w:val="both"/>
                              <w:rPr>
                                <w:sz w:val="16"/>
                                <w:szCs w:val="16"/>
                              </w:rPr>
                            </w:pPr>
                            <w:r w:rsidRPr="006B1CAE">
                              <w:rPr>
                                <w:sz w:val="16"/>
                                <w:szCs w:val="16"/>
                              </w:rPr>
                              <w:t>Pharmacists are now trained as independent prescribers, managing certain conditions directly (for example, under “Pharmacy First” in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8680B" id="Text Box 28" o:spid="_x0000_s1032" type="#_x0000_t202" style="position:absolute;left:0;text-align:left;margin-left:381.6pt;margin-top:174.55pt;width:131.2pt;height:68.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" fillcolor="white [3201]" strokeweight=".5pt">
                <v:textbox>
                  <w:txbxContent>
                    <w:p w14:paraId="06AE64F1" w14:textId="3158BAFE" w:rsidR="004D2E21" w:rsidRPr="006B1CAE" w:rsidRDefault="006B1CAE" w:rsidP="006B1CAE">
                      <w:pPr>
                        <w:jc w:val="both"/>
                        <w:rPr>
                          <w:sz w:val="16"/>
                          <w:szCs w:val="16"/>
                        </w:rPr>
                      </w:pPr>
                      <w:r w:rsidRPr="006B1CAE">
                        <w:rPr>
                          <w:sz w:val="16"/>
                          <w:szCs w:val="16"/>
                        </w:rPr>
                        <w:t>Pharmacists are now trained as independent prescribers, managing certain conditions directly (for example, under “Pharmacy First” in Wales).</w:t>
                      </w:r>
                    </w:p>
                  </w:txbxContent>
                </v:textbox>
              </v:shape>
            </w:pict>
          </mc:Fallback>
        </mc:AlternateContent>
      </w:r>
      <w:r w:rsidR="004D2E21" w:rsidRPr="004D2E21">
        <w:rPr>
          <w:rFonts w:ascii="Arial" w:hAnsi="Arial" w:cs="Arial"/>
          <w:noProof/>
        </w:rPr>
        <mc:AlternateContent>
          <mc:Choice Requires="wps">
            <w:drawing>
              <wp:anchor distT="0" distB="0" distL="114300" distR="114300" simplePos="0" relativeHeight="251722752" behindDoc="0" locked="0" layoutInCell="1" allowOverlap="1" wp14:anchorId="54E2882F" wp14:editId="24A1D53F">
                <wp:simplePos x="0" y="0"/>
                <wp:positionH relativeFrom="column">
                  <wp:posOffset>147320</wp:posOffset>
                </wp:positionH>
                <wp:positionV relativeFrom="paragraph">
                  <wp:posOffset>292100</wp:posOffset>
                </wp:positionV>
                <wp:extent cx="3743960" cy="360680"/>
                <wp:effectExtent l="0" t="0" r="8890" b="1270"/>
                <wp:wrapNone/>
                <wp:docPr id="1523549883" name="Text Box 27"/>
                <wp:cNvGraphicFramePr/>
                <a:graphic xmlns:a="http://schemas.openxmlformats.org/drawingml/2006/main">
                  <a:graphicData uri="http://schemas.microsoft.com/office/word/2010/wordprocessingShape">
                    <wps:wsp>
                      <wps:cNvSpPr txBox="1"/>
                      <wps:spPr>
                        <a:xfrm>
                          <a:off x="0" y="0"/>
                          <a:ext cx="3743960" cy="360680"/>
                        </a:xfrm>
                        <a:prstGeom prst="rect">
                          <a:avLst/>
                        </a:prstGeom>
                        <a:solidFill>
                          <a:schemeClr val="lt1"/>
                        </a:solidFill>
                        <a:ln w="6350">
                          <a:noFill/>
                        </a:ln>
                      </wps:spPr>
                      <wps:txbx>
                        <w:txbxContent>
                          <w:p w14:paraId="1241E23A" w14:textId="4BCAA12F" w:rsidR="004D2E21" w:rsidRPr="006B1CAE" w:rsidRDefault="004D2E21">
                            <w:pPr>
                              <w:rPr>
                                <w:b/>
                                <w:bCs/>
                                <w:color w:val="A02B93" w:themeColor="accent5"/>
                                <w:lang w:val="en-GB"/>
                              </w:rPr>
                            </w:pPr>
                            <w:r w:rsidRPr="006B1CAE">
                              <w:rPr>
                                <w:b/>
                                <w:bCs/>
                                <w:color w:val="A02B93" w:themeColor="accent5"/>
                                <w:lang w:val="en-GB"/>
                              </w:rPr>
                              <w:t>EVOLUTION OF PHARMACY SERVICES IN THE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2882F" id="Text Box 27" o:spid="_x0000_s1033" type="#_x0000_t202" style="position:absolute;left:0;text-align:left;margin-left:11.6pt;margin-top:23pt;width:294.8pt;height:28.4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" fillcolor="white [3201]" stroked="f" strokeweight=".5pt">
                <v:textbox>
                  <w:txbxContent>
                    <w:p w14:paraId="1241E23A" w14:textId="4BCAA12F" w:rsidR="004D2E21" w:rsidRPr="006B1CAE" w:rsidRDefault="004D2E21">
                      <w:pPr>
                        <w:rPr>
                          <w:b/>
                          <w:bCs/>
                          <w:color w:val="A02B93" w:themeColor="accent5"/>
                          <w:lang w:val="en-GB"/>
                        </w:rPr>
                      </w:pPr>
                      <w:r w:rsidRPr="006B1CAE">
                        <w:rPr>
                          <w:b/>
                          <w:bCs/>
                          <w:color w:val="A02B93" w:themeColor="accent5"/>
                          <w:lang w:val="en-GB"/>
                        </w:rPr>
                        <w:t>EVOLUTION OF PHARMACY SERVICES IN THE NHS</w:t>
                      </w:r>
                    </w:p>
                  </w:txbxContent>
                </v:textbox>
              </v:shape>
            </w:pict>
          </mc:Fallback>
        </mc:AlternateContent>
      </w:r>
      <w:r w:rsidR="004D2E21" w:rsidRPr="004D2E21">
        <w:rPr>
          <w:rFonts w:ascii="Arial" w:hAnsi="Arial" w:cs="Arial"/>
          <w:noProof/>
        </w:rPr>
        <mc:AlternateContent>
          <mc:Choice Requires="wps">
            <w:drawing>
              <wp:anchor distT="0" distB="0" distL="114300" distR="114300" simplePos="0" relativeHeight="251721728" behindDoc="0" locked="0" layoutInCell="1" allowOverlap="1" wp14:anchorId="220C49AE" wp14:editId="6804A3FE">
                <wp:simplePos x="0" y="0"/>
                <wp:positionH relativeFrom="column">
                  <wp:posOffset>5374640</wp:posOffset>
                </wp:positionH>
                <wp:positionV relativeFrom="paragraph">
                  <wp:posOffset>363220</wp:posOffset>
                </wp:positionV>
                <wp:extent cx="980440" cy="701040"/>
                <wp:effectExtent l="0" t="0" r="0" b="3810"/>
                <wp:wrapNone/>
                <wp:docPr id="50558675" name="Text Box 26"/>
                <wp:cNvGraphicFramePr/>
                <a:graphic xmlns:a="http://schemas.openxmlformats.org/drawingml/2006/main">
                  <a:graphicData uri="http://schemas.microsoft.com/office/word/2010/wordprocessingShape">
                    <wps:wsp>
                      <wps:cNvSpPr txBox="1"/>
                      <wps:spPr>
                        <a:xfrm>
                          <a:off x="0" y="0"/>
                          <a:ext cx="980440" cy="701040"/>
                        </a:xfrm>
                        <a:prstGeom prst="rect">
                          <a:avLst/>
                        </a:prstGeom>
                        <a:noFill/>
                        <a:ln w="6350">
                          <a:noFill/>
                        </a:ln>
                      </wps:spPr>
                      <wps:txbx>
                        <w:txbxContent>
                          <w:p w14:paraId="535BE0B2" w14:textId="6F287C54" w:rsidR="004D2E21" w:rsidRPr="004D2E21" w:rsidRDefault="004D2E21" w:rsidP="004D2E21">
                            <w:pPr>
                              <w:spacing w:after="0" w:line="240" w:lineRule="auto"/>
                              <w:rPr>
                                <w:b/>
                                <w:bCs/>
                                <w:sz w:val="22"/>
                                <w:szCs w:val="22"/>
                                <w:lang w:val="en-GB"/>
                              </w:rPr>
                            </w:pPr>
                            <w:r w:rsidRPr="004D2E21">
                              <w:rPr>
                                <w:b/>
                                <w:bCs/>
                                <w:sz w:val="22"/>
                                <w:szCs w:val="22"/>
                                <w:lang w:val="en-GB"/>
                              </w:rPr>
                              <w:t xml:space="preserve">PRESENT </w:t>
                            </w:r>
                          </w:p>
                          <w:p w14:paraId="6DD980EA" w14:textId="53A46656" w:rsidR="004D2E21" w:rsidRPr="004D2E21" w:rsidRDefault="004D2E21" w:rsidP="004D2E21">
                            <w:pPr>
                              <w:spacing w:after="0" w:line="240" w:lineRule="auto"/>
                              <w:rPr>
                                <w:b/>
                                <w:bCs/>
                                <w:sz w:val="22"/>
                                <w:szCs w:val="22"/>
                                <w:lang w:val="en-GB"/>
                              </w:rPr>
                            </w:pPr>
                            <w:r w:rsidRPr="004D2E21">
                              <w:rPr>
                                <w:b/>
                                <w:bCs/>
                                <w:sz w:val="22"/>
                                <w:szCs w:val="22"/>
                                <w:lang w:val="en-GB"/>
                              </w:rPr>
                              <w:t>PHARMACY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C49AE" id="Text Box 26" o:spid="_x0000_s1034" type="#_x0000_t202" style="position:absolute;left:0;text-align:left;margin-left:423.2pt;margin-top:28.6pt;width:77.2pt;height:55.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" filled="f" stroked="f" strokeweight=".5pt">
                <v:textbox>
                  <w:txbxContent>
                    <w:p w14:paraId="535BE0B2" w14:textId="6F287C54" w:rsidR="004D2E21" w:rsidRPr="004D2E21" w:rsidRDefault="004D2E21" w:rsidP="004D2E21">
                      <w:pPr>
                        <w:spacing w:after="0" w:line="240" w:lineRule="auto"/>
                        <w:rPr>
                          <w:b/>
                          <w:bCs/>
                          <w:sz w:val="22"/>
                          <w:szCs w:val="22"/>
                          <w:lang w:val="en-GB"/>
                        </w:rPr>
                      </w:pPr>
                      <w:r w:rsidRPr="004D2E21">
                        <w:rPr>
                          <w:b/>
                          <w:bCs/>
                          <w:sz w:val="22"/>
                          <w:szCs w:val="22"/>
                          <w:lang w:val="en-GB"/>
                        </w:rPr>
                        <w:t xml:space="preserve">PRESENT </w:t>
                      </w:r>
                    </w:p>
                    <w:p w14:paraId="6DD980EA" w14:textId="53A46656" w:rsidR="004D2E21" w:rsidRPr="004D2E21" w:rsidRDefault="004D2E21" w:rsidP="004D2E21">
                      <w:pPr>
                        <w:spacing w:after="0" w:line="240" w:lineRule="auto"/>
                        <w:rPr>
                          <w:b/>
                          <w:bCs/>
                          <w:sz w:val="22"/>
                          <w:szCs w:val="22"/>
                          <w:lang w:val="en-GB"/>
                        </w:rPr>
                      </w:pPr>
                      <w:r w:rsidRPr="004D2E21">
                        <w:rPr>
                          <w:b/>
                          <w:bCs/>
                          <w:sz w:val="22"/>
                          <w:szCs w:val="22"/>
                          <w:lang w:val="en-GB"/>
                        </w:rPr>
                        <w:t>PHARMACY SERVICE</w:t>
                      </w:r>
                    </w:p>
                  </w:txbxContent>
                </v:textbox>
              </v:shape>
            </w:pict>
          </mc:Fallback>
        </mc:AlternateContent>
      </w:r>
      <w:r w:rsidR="004D2E21" w:rsidRPr="004D2E21">
        <w:rPr>
          <w:rFonts w:ascii="Arial" w:hAnsi="Arial" w:cs="Arial"/>
          <w:noProof/>
        </w:rPr>
        <mc:AlternateContent>
          <mc:Choice Requires="wps">
            <w:drawing>
              <wp:anchor distT="0" distB="0" distL="114300" distR="114300" simplePos="0" relativeHeight="251720704" behindDoc="0" locked="0" layoutInCell="1" allowOverlap="1" wp14:anchorId="200CB1A4" wp14:editId="09E5C4A8">
                <wp:simplePos x="0" y="0"/>
                <wp:positionH relativeFrom="column">
                  <wp:posOffset>4038600</wp:posOffset>
                </wp:positionH>
                <wp:positionV relativeFrom="paragraph">
                  <wp:posOffset>708660</wp:posOffset>
                </wp:positionV>
                <wp:extent cx="563880" cy="294640"/>
                <wp:effectExtent l="0" t="0" r="0" b="0"/>
                <wp:wrapNone/>
                <wp:docPr id="797441460" name="Text Box 25"/>
                <wp:cNvGraphicFramePr/>
                <a:graphic xmlns:a="http://schemas.openxmlformats.org/drawingml/2006/main">
                  <a:graphicData uri="http://schemas.microsoft.com/office/word/2010/wordprocessingShape">
                    <wps:wsp>
                      <wps:cNvSpPr txBox="1"/>
                      <wps:spPr>
                        <a:xfrm>
                          <a:off x="0" y="0"/>
                          <a:ext cx="563880" cy="294640"/>
                        </a:xfrm>
                        <a:prstGeom prst="rect">
                          <a:avLst/>
                        </a:prstGeom>
                        <a:noFill/>
                        <a:ln w="6350">
                          <a:noFill/>
                        </a:ln>
                      </wps:spPr>
                      <wps:txbx>
                        <w:txbxContent>
                          <w:p w14:paraId="7E21839D" w14:textId="131727E9" w:rsidR="004D2E21" w:rsidRPr="004D2E21" w:rsidRDefault="004D2E21">
                            <w:pPr>
                              <w:rPr>
                                <w:b/>
                                <w:bCs/>
                                <w:sz w:val="22"/>
                                <w:szCs w:val="22"/>
                                <w:lang w:val="en-GB"/>
                              </w:rPr>
                            </w:pPr>
                            <w:r w:rsidRPr="004D2E21">
                              <w:rPr>
                                <w:b/>
                                <w:bCs/>
                                <w:sz w:val="22"/>
                                <w:szCs w:val="22"/>
                                <w:lang w:val="en-GB"/>
                              </w:rPr>
                              <w:t>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CB1A4" id="Text Box 25" o:spid="_x0000_s1035" type="#_x0000_t202" style="position:absolute;left:0;text-align:left;margin-left:318pt;margin-top:55.8pt;width:44.4pt;height:23.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" filled="f" stroked="f" strokeweight=".5pt">
                <v:textbox>
                  <w:txbxContent>
                    <w:p w14:paraId="7E21839D" w14:textId="131727E9" w:rsidR="004D2E21" w:rsidRPr="004D2E21" w:rsidRDefault="004D2E21">
                      <w:pPr>
                        <w:rPr>
                          <w:b/>
                          <w:bCs/>
                          <w:sz w:val="22"/>
                          <w:szCs w:val="22"/>
                          <w:lang w:val="en-GB"/>
                        </w:rPr>
                      </w:pPr>
                      <w:r w:rsidRPr="004D2E21">
                        <w:rPr>
                          <w:b/>
                          <w:bCs/>
                          <w:sz w:val="22"/>
                          <w:szCs w:val="22"/>
                          <w:lang w:val="en-GB"/>
                        </w:rPr>
                        <w:t>2005</w:t>
                      </w:r>
                    </w:p>
                  </w:txbxContent>
                </v:textbox>
              </v:shape>
            </w:pict>
          </mc:Fallback>
        </mc:AlternateContent>
      </w:r>
      <w:r w:rsidR="004D2E21" w:rsidRPr="004D2E21">
        <w:rPr>
          <w:rFonts w:ascii="Arial" w:hAnsi="Arial" w:cs="Arial"/>
          <w:noProof/>
        </w:rPr>
        <mc:AlternateContent>
          <mc:Choice Requires="wps">
            <w:drawing>
              <wp:anchor distT="0" distB="0" distL="114300" distR="114300" simplePos="0" relativeHeight="251719680" behindDoc="0" locked="0" layoutInCell="1" allowOverlap="1" wp14:anchorId="35E6B89C" wp14:editId="0EB0F27F">
                <wp:simplePos x="0" y="0"/>
                <wp:positionH relativeFrom="column">
                  <wp:posOffset>3357880</wp:posOffset>
                </wp:positionH>
                <wp:positionV relativeFrom="paragraph">
                  <wp:posOffset>886460</wp:posOffset>
                </wp:positionV>
                <wp:extent cx="594360" cy="304800"/>
                <wp:effectExtent l="0" t="0" r="0" b="0"/>
                <wp:wrapNone/>
                <wp:docPr id="1065134692" name="Text Box 24"/>
                <wp:cNvGraphicFramePr/>
                <a:graphic xmlns:a="http://schemas.openxmlformats.org/drawingml/2006/main">
                  <a:graphicData uri="http://schemas.microsoft.com/office/word/2010/wordprocessingShape">
                    <wps:wsp>
                      <wps:cNvSpPr txBox="1"/>
                      <wps:spPr>
                        <a:xfrm>
                          <a:off x="0" y="0"/>
                          <a:ext cx="594360" cy="304800"/>
                        </a:xfrm>
                        <a:prstGeom prst="rect">
                          <a:avLst/>
                        </a:prstGeom>
                        <a:noFill/>
                        <a:ln w="6350">
                          <a:noFill/>
                        </a:ln>
                      </wps:spPr>
                      <wps:txbx>
                        <w:txbxContent>
                          <w:p w14:paraId="5DAE62F7" w14:textId="65EE0519" w:rsidR="004D2E21" w:rsidRPr="004D2E21" w:rsidRDefault="004D2E21">
                            <w:pPr>
                              <w:rPr>
                                <w:b/>
                                <w:bCs/>
                                <w:sz w:val="22"/>
                                <w:szCs w:val="22"/>
                                <w:lang w:val="en-GB"/>
                              </w:rPr>
                            </w:pPr>
                            <w:r w:rsidRPr="004D2E21">
                              <w:rPr>
                                <w:b/>
                                <w:bCs/>
                                <w:sz w:val="22"/>
                                <w:szCs w:val="22"/>
                                <w:lang w:val="en-GB"/>
                              </w:rPr>
                              <w:t>1970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6B89C" id="Text Box 24" o:spid="_x0000_s1036" type="#_x0000_t202" style="position:absolute;left:0;text-align:left;margin-left:264.4pt;margin-top:69.8pt;width:46.8pt;height:2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" filled="f" stroked="f" strokeweight=".5pt">
                <v:textbox>
                  <w:txbxContent>
                    <w:p w14:paraId="5DAE62F7" w14:textId="65EE0519" w:rsidR="004D2E21" w:rsidRPr="004D2E21" w:rsidRDefault="004D2E21">
                      <w:pPr>
                        <w:rPr>
                          <w:b/>
                          <w:bCs/>
                          <w:sz w:val="22"/>
                          <w:szCs w:val="22"/>
                          <w:lang w:val="en-GB"/>
                        </w:rPr>
                      </w:pPr>
                      <w:r w:rsidRPr="004D2E21">
                        <w:rPr>
                          <w:b/>
                          <w:bCs/>
                          <w:sz w:val="22"/>
                          <w:szCs w:val="22"/>
                          <w:lang w:val="en-GB"/>
                        </w:rPr>
                        <w:t>1970</w:t>
                      </w:r>
                    </w:p>
                  </w:txbxContent>
                </v:textbox>
              </v:shape>
            </w:pict>
          </mc:Fallback>
        </mc:AlternateContent>
      </w:r>
      <w:r w:rsidR="004D2E21" w:rsidRPr="004D2E21">
        <w:rPr>
          <w:rFonts w:ascii="Arial" w:hAnsi="Arial" w:cs="Arial"/>
          <w:noProof/>
        </w:rPr>
        <mc:AlternateContent>
          <mc:Choice Requires="wps">
            <w:drawing>
              <wp:anchor distT="0" distB="0" distL="114300" distR="114300" simplePos="0" relativeHeight="251718656" behindDoc="0" locked="0" layoutInCell="1" allowOverlap="1" wp14:anchorId="07E75DFE" wp14:editId="7870B8E5">
                <wp:simplePos x="0" y="0"/>
                <wp:positionH relativeFrom="column">
                  <wp:posOffset>2575560</wp:posOffset>
                </wp:positionH>
                <wp:positionV relativeFrom="paragraph">
                  <wp:posOffset>1160780</wp:posOffset>
                </wp:positionV>
                <wp:extent cx="523240" cy="289560"/>
                <wp:effectExtent l="0" t="0" r="0" b="0"/>
                <wp:wrapNone/>
                <wp:docPr id="1692990653" name="Text Box 23"/>
                <wp:cNvGraphicFramePr/>
                <a:graphic xmlns:a="http://schemas.openxmlformats.org/drawingml/2006/main">
                  <a:graphicData uri="http://schemas.microsoft.com/office/word/2010/wordprocessingShape">
                    <wps:wsp>
                      <wps:cNvSpPr txBox="1"/>
                      <wps:spPr>
                        <a:xfrm>
                          <a:off x="0" y="0"/>
                          <a:ext cx="523240" cy="289560"/>
                        </a:xfrm>
                        <a:prstGeom prst="rect">
                          <a:avLst/>
                        </a:prstGeom>
                        <a:noFill/>
                        <a:ln w="6350">
                          <a:noFill/>
                        </a:ln>
                      </wps:spPr>
                      <wps:txbx>
                        <w:txbxContent>
                          <w:p w14:paraId="72A3FE21" w14:textId="6AE0461E" w:rsidR="004D2E21" w:rsidRPr="004D2E21" w:rsidRDefault="004D2E21">
                            <w:pPr>
                              <w:rPr>
                                <w:b/>
                                <w:bCs/>
                                <w:color w:val="FFFFFF" w:themeColor="background1"/>
                                <w:sz w:val="22"/>
                                <w:szCs w:val="22"/>
                                <w:lang w:val="en-GB"/>
                              </w:rPr>
                            </w:pPr>
                            <w:r w:rsidRPr="004D2E21">
                              <w:rPr>
                                <w:b/>
                                <w:bCs/>
                                <w:color w:val="FFFFFF" w:themeColor="background1"/>
                                <w:sz w:val="22"/>
                                <w:szCs w:val="22"/>
                                <w:lang w:val="en-GB"/>
                              </w:rPr>
                              <w:t>1948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E75DFE" id="Text Box 23" o:spid="_x0000_s1037" type="#_x0000_t202" style="position:absolute;left:0;text-align:left;margin-left:202.8pt;margin-top:91.4pt;width:41.2pt;height:22.8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" filled="f" stroked="f" strokeweight=".5pt">
                <v:textbox>
                  <w:txbxContent>
                    <w:p w14:paraId="72A3FE21" w14:textId="6AE0461E" w:rsidR="004D2E21" w:rsidRPr="004D2E21" w:rsidRDefault="004D2E21">
                      <w:pPr>
                        <w:rPr>
                          <w:b/>
                          <w:bCs/>
                          <w:color w:val="FFFFFF" w:themeColor="background1"/>
                          <w:sz w:val="22"/>
                          <w:szCs w:val="22"/>
                          <w:lang w:val="en-GB"/>
                        </w:rPr>
                      </w:pPr>
                      <w:r w:rsidRPr="004D2E21">
                        <w:rPr>
                          <w:b/>
                          <w:bCs/>
                          <w:color w:val="FFFFFF" w:themeColor="background1"/>
                          <w:sz w:val="22"/>
                          <w:szCs w:val="22"/>
                          <w:lang w:val="en-GB"/>
                        </w:rPr>
                        <w:t>1948</w:t>
                      </w:r>
                    </w:p>
                  </w:txbxContent>
                </v:textbox>
              </v:shape>
            </w:pict>
          </mc:Fallback>
        </mc:AlternateContent>
      </w:r>
      <w:r w:rsidR="004D2E21" w:rsidRPr="004D2E21">
        <w:rPr>
          <w:rFonts w:ascii="Arial" w:hAnsi="Arial" w:cs="Arial"/>
          <w:noProof/>
        </w:rPr>
        <mc:AlternateContent>
          <mc:Choice Requires="wps">
            <w:drawing>
              <wp:anchor distT="0" distB="0" distL="114300" distR="114300" simplePos="0" relativeHeight="251717632" behindDoc="0" locked="0" layoutInCell="1" allowOverlap="1" wp14:anchorId="0F42A35F" wp14:editId="202AF29B">
                <wp:simplePos x="0" y="0"/>
                <wp:positionH relativeFrom="column">
                  <wp:posOffset>1803400</wp:posOffset>
                </wp:positionH>
                <wp:positionV relativeFrom="paragraph">
                  <wp:posOffset>1557020</wp:posOffset>
                </wp:positionV>
                <wp:extent cx="502920" cy="228600"/>
                <wp:effectExtent l="0" t="0" r="0" b="0"/>
                <wp:wrapNone/>
                <wp:docPr id="343098724" name="Text Box 22"/>
                <wp:cNvGraphicFramePr/>
                <a:graphic xmlns:a="http://schemas.openxmlformats.org/drawingml/2006/main">
                  <a:graphicData uri="http://schemas.microsoft.com/office/word/2010/wordprocessingShape">
                    <wps:wsp>
                      <wps:cNvSpPr txBox="1"/>
                      <wps:spPr>
                        <a:xfrm>
                          <a:off x="0" y="0"/>
                          <a:ext cx="502920" cy="228600"/>
                        </a:xfrm>
                        <a:prstGeom prst="rect">
                          <a:avLst/>
                        </a:prstGeom>
                        <a:noFill/>
                        <a:ln w="6350">
                          <a:noFill/>
                        </a:ln>
                      </wps:spPr>
                      <wps:txbx>
                        <w:txbxContent>
                          <w:p w14:paraId="5C102114" w14:textId="521D34B5" w:rsidR="004D2E21" w:rsidRPr="004D2E21" w:rsidRDefault="004D2E21">
                            <w:pPr>
                              <w:rPr>
                                <w:b/>
                                <w:bCs/>
                                <w:color w:val="FFFFFF" w:themeColor="background1"/>
                                <w:sz w:val="14"/>
                                <w:szCs w:val="14"/>
                                <w:lang w:val="en-GB"/>
                              </w:rPr>
                            </w:pPr>
                            <w:r w:rsidRPr="004D2E21">
                              <w:rPr>
                                <w:b/>
                                <w:bCs/>
                                <w:color w:val="FFFFFF" w:themeColor="background1"/>
                                <w:sz w:val="14"/>
                                <w:szCs w:val="14"/>
                                <w:lang w:val="en-GB"/>
                              </w:rPr>
                              <w:t>1852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2A35F" id="Text Box 22" o:spid="_x0000_s1038" type="#_x0000_t202" style="position:absolute;left:0;text-align:left;margin-left:142pt;margin-top:122.6pt;width:39.6pt;height:1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" filled="f" stroked="f" strokeweight=".5pt">
                <v:textbox>
                  <w:txbxContent>
                    <w:p w14:paraId="5C102114" w14:textId="521D34B5" w:rsidR="004D2E21" w:rsidRPr="004D2E21" w:rsidRDefault="004D2E21">
                      <w:pPr>
                        <w:rPr>
                          <w:b/>
                          <w:bCs/>
                          <w:color w:val="FFFFFF" w:themeColor="background1"/>
                          <w:sz w:val="14"/>
                          <w:szCs w:val="14"/>
                          <w:lang w:val="en-GB"/>
                        </w:rPr>
                      </w:pPr>
                      <w:r w:rsidRPr="004D2E21">
                        <w:rPr>
                          <w:b/>
                          <w:bCs/>
                          <w:color w:val="FFFFFF" w:themeColor="background1"/>
                          <w:sz w:val="14"/>
                          <w:szCs w:val="14"/>
                          <w:lang w:val="en-GB"/>
                        </w:rPr>
                        <w:t>1852</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716608" behindDoc="0" locked="0" layoutInCell="1" allowOverlap="1" wp14:anchorId="169CAC6F" wp14:editId="66685009">
                <wp:simplePos x="0" y="0"/>
                <wp:positionH relativeFrom="column">
                  <wp:posOffset>1056640</wp:posOffset>
                </wp:positionH>
                <wp:positionV relativeFrom="paragraph">
                  <wp:posOffset>2080260</wp:posOffset>
                </wp:positionV>
                <wp:extent cx="599440" cy="223520"/>
                <wp:effectExtent l="0" t="0" r="0" b="5080"/>
                <wp:wrapNone/>
                <wp:docPr id="226771020" name="Text Box 20"/>
                <wp:cNvGraphicFramePr/>
                <a:graphic xmlns:a="http://schemas.openxmlformats.org/drawingml/2006/main">
                  <a:graphicData uri="http://schemas.microsoft.com/office/word/2010/wordprocessingShape">
                    <wps:wsp>
                      <wps:cNvSpPr txBox="1"/>
                      <wps:spPr>
                        <a:xfrm>
                          <a:off x="0" y="0"/>
                          <a:ext cx="599440" cy="223520"/>
                        </a:xfrm>
                        <a:prstGeom prst="rect">
                          <a:avLst/>
                        </a:prstGeom>
                        <a:noFill/>
                        <a:ln w="6350">
                          <a:noFill/>
                        </a:ln>
                      </wps:spPr>
                      <wps:txbx>
                        <w:txbxContent>
                          <w:p w14:paraId="39006C97" w14:textId="4F00CF2B" w:rsidR="000B11E1" w:rsidRPr="004D2E21" w:rsidRDefault="000B11E1">
                            <w:pPr>
                              <w:rPr>
                                <w:b/>
                                <w:bCs/>
                                <w:color w:val="FFFFFF" w:themeColor="background1"/>
                                <w:sz w:val="12"/>
                                <w:szCs w:val="12"/>
                                <w:lang w:val="en-GB"/>
                              </w:rPr>
                            </w:pPr>
                            <w:r w:rsidRPr="004D2E21">
                              <w:rPr>
                                <w:b/>
                                <w:bCs/>
                                <w:color w:val="FFFFFF" w:themeColor="background1"/>
                                <w:sz w:val="12"/>
                                <w:szCs w:val="12"/>
                                <w:lang w:val="en-GB"/>
                              </w:rPr>
                              <w:t>1815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9CAC6F" id="Text Box 20" o:spid="_x0000_s1039" type="#_x0000_t202" style="position:absolute;left:0;text-align:left;margin-left:83.2pt;margin-top:163.8pt;width:47.2pt;height:17.6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" filled="f" stroked="f" strokeweight=".5pt">
                <v:textbox>
                  <w:txbxContent>
                    <w:p w14:paraId="39006C97" w14:textId="4F00CF2B" w:rsidR="000B11E1" w:rsidRPr="004D2E21" w:rsidRDefault="000B11E1">
                      <w:pPr>
                        <w:rPr>
                          <w:b/>
                          <w:bCs/>
                          <w:color w:val="FFFFFF" w:themeColor="background1"/>
                          <w:sz w:val="12"/>
                          <w:szCs w:val="12"/>
                          <w:lang w:val="en-GB"/>
                        </w:rPr>
                      </w:pPr>
                      <w:r w:rsidRPr="004D2E21">
                        <w:rPr>
                          <w:b/>
                          <w:bCs/>
                          <w:color w:val="FFFFFF" w:themeColor="background1"/>
                          <w:sz w:val="12"/>
                          <w:szCs w:val="12"/>
                          <w:lang w:val="en-GB"/>
                        </w:rPr>
                        <w:t>1815</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701248" behindDoc="0" locked="0" layoutInCell="1" allowOverlap="1" wp14:anchorId="17A286D1" wp14:editId="2293C1B8">
                <wp:simplePos x="0" y="0"/>
                <wp:positionH relativeFrom="column">
                  <wp:posOffset>4445000</wp:posOffset>
                </wp:positionH>
                <wp:positionV relativeFrom="paragraph">
                  <wp:posOffset>805180</wp:posOffset>
                </wp:positionV>
                <wp:extent cx="914400" cy="695960"/>
                <wp:effectExtent l="0" t="0" r="0" b="0"/>
                <wp:wrapNone/>
                <wp:docPr id="441631390" name="Text Box 16"/>
                <wp:cNvGraphicFramePr/>
                <a:graphic xmlns:a="http://schemas.openxmlformats.org/drawingml/2006/main">
                  <a:graphicData uri="http://schemas.microsoft.com/office/word/2010/wordprocessingShape">
                    <wps:wsp>
                      <wps:cNvSpPr txBox="1"/>
                      <wps:spPr>
                        <a:xfrm>
                          <a:off x="0" y="0"/>
                          <a:ext cx="914400" cy="695960"/>
                        </a:xfrm>
                        <a:prstGeom prst="rect">
                          <a:avLst/>
                        </a:prstGeom>
                        <a:noFill/>
                        <a:ln w="6350">
                          <a:noFill/>
                        </a:ln>
                      </wps:spPr>
                      <wps:txbx>
                        <w:txbxContent>
                          <w:p w14:paraId="6E6128E8" w14:textId="3FC3063B" w:rsidR="000B11E1" w:rsidRPr="000B11E1" w:rsidRDefault="000B11E1" w:rsidP="000B11E1">
                            <w:pPr>
                              <w:spacing w:after="0" w:line="240" w:lineRule="auto"/>
                              <w:rPr>
                                <w:sz w:val="20"/>
                                <w:szCs w:val="20"/>
                                <w:lang w:val="en-GB"/>
                              </w:rPr>
                            </w:pPr>
                            <w:r>
                              <w:rPr>
                                <w:sz w:val="20"/>
                                <w:szCs w:val="20"/>
                                <w:lang w:val="en-GB"/>
                              </w:rPr>
                              <w:t xml:space="preserve">Community Pharmacy Contractual Framework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286D1" id="Text Box 16" o:spid="_x0000_s1040" type="#_x0000_t202" style="position:absolute;left:0;text-align:left;margin-left:350pt;margin-top:63.4pt;width:1in;height:5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" filled="f" stroked="f" strokeweight=".5pt">
                <v:textbox>
                  <w:txbxContent>
                    <w:p w14:paraId="6E6128E8" w14:textId="3FC3063B" w:rsidR="000B11E1" w:rsidRPr="000B11E1" w:rsidRDefault="000B11E1" w:rsidP="000B11E1">
                      <w:pPr>
                        <w:spacing w:after="0" w:line="240" w:lineRule="auto"/>
                        <w:rPr>
                          <w:sz w:val="20"/>
                          <w:szCs w:val="20"/>
                          <w:lang w:val="en-GB"/>
                        </w:rPr>
                      </w:pPr>
                      <w:r>
                        <w:rPr>
                          <w:sz w:val="20"/>
                          <w:szCs w:val="20"/>
                          <w:lang w:val="en-GB"/>
                        </w:rPr>
                        <w:t xml:space="preserve">Community Pharmacy Contractual Framework </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715584" behindDoc="0" locked="0" layoutInCell="1" allowOverlap="1" wp14:anchorId="29166E9A" wp14:editId="0E666EAF">
                <wp:simplePos x="0" y="0"/>
                <wp:positionH relativeFrom="column">
                  <wp:posOffset>3566160</wp:posOffset>
                </wp:positionH>
                <wp:positionV relativeFrom="paragraph">
                  <wp:posOffset>1140460</wp:posOffset>
                </wp:positionV>
                <wp:extent cx="914400" cy="624840"/>
                <wp:effectExtent l="0" t="0" r="0" b="3810"/>
                <wp:wrapNone/>
                <wp:docPr id="1174939550" name="Text Box 16"/>
                <wp:cNvGraphicFramePr/>
                <a:graphic xmlns:a="http://schemas.openxmlformats.org/drawingml/2006/main">
                  <a:graphicData uri="http://schemas.microsoft.com/office/word/2010/wordprocessingShape">
                    <wps:wsp>
                      <wps:cNvSpPr txBox="1"/>
                      <wps:spPr>
                        <a:xfrm>
                          <a:off x="0" y="0"/>
                          <a:ext cx="914400" cy="624840"/>
                        </a:xfrm>
                        <a:prstGeom prst="rect">
                          <a:avLst/>
                        </a:prstGeom>
                        <a:noFill/>
                        <a:ln w="6350">
                          <a:noFill/>
                        </a:ln>
                      </wps:spPr>
                      <wps:txbx>
                        <w:txbxContent>
                          <w:p w14:paraId="4F674484" w14:textId="45B5DDF9" w:rsidR="000B11E1" w:rsidRPr="000B11E1" w:rsidRDefault="000B11E1" w:rsidP="000B11E1">
                            <w:pPr>
                              <w:spacing w:after="0" w:line="240" w:lineRule="auto"/>
                              <w:rPr>
                                <w:sz w:val="20"/>
                                <w:szCs w:val="20"/>
                                <w:lang w:val="en-GB"/>
                              </w:rPr>
                            </w:pPr>
                            <w:r>
                              <w:rPr>
                                <w:sz w:val="20"/>
                                <w:szCs w:val="20"/>
                                <w:lang w:val="en-GB"/>
                              </w:rPr>
                              <w:t>Transitions to Clinical Pharmacies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66E9A" id="_x0000_s1041" type="#_x0000_t202" style="position:absolute;left:0;text-align:left;margin-left:280.8pt;margin-top:89.8pt;width:1in;height:49.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" filled="f" stroked="f" strokeweight=".5pt">
                <v:textbox>
                  <w:txbxContent>
                    <w:p w14:paraId="4F674484" w14:textId="45B5DDF9" w:rsidR="000B11E1" w:rsidRPr="000B11E1" w:rsidRDefault="000B11E1" w:rsidP="000B11E1">
                      <w:pPr>
                        <w:spacing w:after="0" w:line="240" w:lineRule="auto"/>
                        <w:rPr>
                          <w:sz w:val="20"/>
                          <w:szCs w:val="20"/>
                          <w:lang w:val="en-GB"/>
                        </w:rPr>
                      </w:pPr>
                      <w:r>
                        <w:rPr>
                          <w:sz w:val="20"/>
                          <w:szCs w:val="20"/>
                          <w:lang w:val="en-GB"/>
                        </w:rPr>
                        <w:t>Transitions to Clinical Pharmacies</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705344" behindDoc="0" locked="0" layoutInCell="1" allowOverlap="1" wp14:anchorId="119AB405" wp14:editId="6F99A215">
                <wp:simplePos x="0" y="0"/>
                <wp:positionH relativeFrom="column">
                  <wp:posOffset>2809240</wp:posOffset>
                </wp:positionH>
                <wp:positionV relativeFrom="paragraph">
                  <wp:posOffset>1465580</wp:posOffset>
                </wp:positionV>
                <wp:extent cx="914400" cy="269240"/>
                <wp:effectExtent l="0" t="0" r="0" b="0"/>
                <wp:wrapNone/>
                <wp:docPr id="634368078" name="Text Box 16"/>
                <wp:cNvGraphicFramePr/>
                <a:graphic xmlns:a="http://schemas.openxmlformats.org/drawingml/2006/main">
                  <a:graphicData uri="http://schemas.microsoft.com/office/word/2010/wordprocessingShape">
                    <wps:wsp>
                      <wps:cNvSpPr txBox="1"/>
                      <wps:spPr>
                        <a:xfrm>
                          <a:off x="0" y="0"/>
                          <a:ext cx="914400" cy="269240"/>
                        </a:xfrm>
                        <a:prstGeom prst="rect">
                          <a:avLst/>
                        </a:prstGeom>
                        <a:noFill/>
                        <a:ln w="6350">
                          <a:noFill/>
                        </a:ln>
                      </wps:spPr>
                      <wps:txbx>
                        <w:txbxContent>
                          <w:p w14:paraId="3D558A6A" w14:textId="502D9A8E" w:rsidR="000B11E1" w:rsidRPr="000B11E1" w:rsidRDefault="000B11E1" w:rsidP="000B11E1">
                            <w:pPr>
                              <w:spacing w:after="0" w:line="240" w:lineRule="auto"/>
                              <w:rPr>
                                <w:sz w:val="20"/>
                                <w:szCs w:val="20"/>
                                <w:lang w:val="en-GB"/>
                              </w:rPr>
                            </w:pPr>
                            <w:r>
                              <w:rPr>
                                <w:sz w:val="20"/>
                                <w:szCs w:val="20"/>
                                <w:lang w:val="en-GB"/>
                              </w:rPr>
                              <w:t>Birth of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AB405" id="_x0000_s1042" type="#_x0000_t202" style="position:absolute;left:0;text-align:left;margin-left:221.2pt;margin-top:115.4pt;width:1in;height:21.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" filled="f" stroked="f" strokeweight=".5pt">
                <v:textbox>
                  <w:txbxContent>
                    <w:p w14:paraId="3D558A6A" w14:textId="502D9A8E" w:rsidR="000B11E1" w:rsidRPr="000B11E1" w:rsidRDefault="000B11E1" w:rsidP="000B11E1">
                      <w:pPr>
                        <w:spacing w:after="0" w:line="240" w:lineRule="auto"/>
                        <w:rPr>
                          <w:sz w:val="20"/>
                          <w:szCs w:val="20"/>
                          <w:lang w:val="en-GB"/>
                        </w:rPr>
                      </w:pPr>
                      <w:r>
                        <w:rPr>
                          <w:sz w:val="20"/>
                          <w:szCs w:val="20"/>
                          <w:lang w:val="en-GB"/>
                        </w:rPr>
                        <w:t>Birth of NHS</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713536" behindDoc="0" locked="0" layoutInCell="1" allowOverlap="1" wp14:anchorId="71B0E92A" wp14:editId="6FD06059">
                <wp:simplePos x="0" y="0"/>
                <wp:positionH relativeFrom="column">
                  <wp:posOffset>3398520</wp:posOffset>
                </wp:positionH>
                <wp:positionV relativeFrom="paragraph">
                  <wp:posOffset>830580</wp:posOffset>
                </wp:positionV>
                <wp:extent cx="378927" cy="378927"/>
                <wp:effectExtent l="0" t="0" r="21590" b="21590"/>
                <wp:wrapNone/>
                <wp:docPr id="41819830" name="Oval 1"/>
                <wp:cNvGraphicFramePr/>
                <a:graphic xmlns:a="http://schemas.openxmlformats.org/drawingml/2006/main">
                  <a:graphicData uri="http://schemas.microsoft.com/office/word/2010/wordprocessingShape">
                    <wps:wsp>
                      <wps:cNvSpPr/>
                      <wps:spPr>
                        <a:xfrm>
                          <a:off x="0" y="0"/>
                          <a:ext cx="378927" cy="378927"/>
                        </a:xfrm>
                        <a:prstGeom prst="ellipse">
                          <a:avLst/>
                        </a:prstGeom>
                      </wps:spPr>
                      <wps:style>
                        <a:lnRef idx="2">
                          <a:schemeClr val="lt1">
                            <a:hueOff val="0"/>
                            <a:satOff val="0"/>
                            <a:lumOff val="0"/>
                            <a:alphaOff val="0"/>
                          </a:schemeClr>
                        </a:lnRef>
                        <a:fillRef idx="1">
                          <a:schemeClr val="accent4">
                            <a:hueOff val="0"/>
                            <a:satOff val="0"/>
                            <a:lumOff val="0"/>
                            <a:alphaOff val="0"/>
                          </a:schemeClr>
                        </a:fillRef>
                        <a:effectRef idx="0">
                          <a:schemeClr val="accent4">
                            <a:hueOff val="0"/>
                            <a:satOff val="0"/>
                            <a:lumOff val="0"/>
                            <a:alphaOff val="0"/>
                          </a:schemeClr>
                        </a:effectRef>
                        <a:fontRef idx="minor">
                          <a:schemeClr val="lt1"/>
                        </a:fontRef>
                      </wps:style>
                      <wps:bodyPr/>
                    </wps:wsp>
                  </a:graphicData>
                </a:graphic>
              </wp:anchor>
            </w:drawing>
          </mc:Choice>
          <mc:Fallback>
            <w:pict>
              <v:oval w14:anchorId="49A5FC39" id="Oval 1" o:spid="_x0000_s1026" style="position:absolute;margin-left:267.6pt;margin-top:65.4pt;width:29.85pt;height:29.8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" fillcolor="#0f9ed5 [3207]" strokecolor="white [3201]" strokeweight="1pt">
                <v:stroke joinstyle="miter"/>
              </v:oval>
            </w:pict>
          </mc:Fallback>
        </mc:AlternateContent>
      </w:r>
      <w:r w:rsidR="000B11E1" w:rsidRPr="004D2E21">
        <w:rPr>
          <w:rFonts w:ascii="Arial" w:hAnsi="Arial" w:cs="Arial"/>
          <w:noProof/>
        </w:rPr>
        <mc:AlternateContent>
          <mc:Choice Requires="wps">
            <w:drawing>
              <wp:anchor distT="0" distB="0" distL="114300" distR="114300" simplePos="0" relativeHeight="251711488" behindDoc="0" locked="0" layoutInCell="1" allowOverlap="1" wp14:anchorId="0A1CE934" wp14:editId="47AF985A">
                <wp:simplePos x="0" y="0"/>
                <wp:positionH relativeFrom="margin">
                  <wp:posOffset>2677160</wp:posOffset>
                </wp:positionH>
                <wp:positionV relativeFrom="paragraph">
                  <wp:posOffset>1140460</wp:posOffset>
                </wp:positionV>
                <wp:extent cx="309880" cy="309880"/>
                <wp:effectExtent l="0" t="0" r="13970" b="13970"/>
                <wp:wrapNone/>
                <wp:docPr id="273703331" name="Oval 1"/>
                <wp:cNvGraphicFramePr/>
                <a:graphic xmlns:a="http://schemas.openxmlformats.org/drawingml/2006/main">
                  <a:graphicData uri="http://schemas.microsoft.com/office/word/2010/wordprocessingShape">
                    <wps:wsp>
                      <wps:cNvSpPr/>
                      <wps:spPr>
                        <a:xfrm>
                          <a:off x="0" y="0"/>
                          <a:ext cx="309880" cy="309880"/>
                        </a:xfrm>
                        <a:prstGeom prst="ellipse">
                          <a:avLst/>
                        </a:prstGeom>
                      </wps:spPr>
                      <wps:style>
                        <a:lnRef idx="2">
                          <a:schemeClr val="lt1">
                            <a:hueOff val="0"/>
                            <a:satOff val="0"/>
                            <a:lumOff val="0"/>
                            <a:alphaOff val="0"/>
                          </a:schemeClr>
                        </a:lnRef>
                        <a:fillRef idx="1">
                          <a:schemeClr val="accent4">
                            <a:hueOff val="0"/>
                            <a:satOff val="0"/>
                            <a:lumOff val="0"/>
                            <a:alphaOff val="0"/>
                          </a:schemeClr>
                        </a:fillRef>
                        <a:effectRef idx="0">
                          <a:schemeClr val="accent4">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1E317F94" id="Oval 1" o:spid="_x0000_s1026" style="position:absolute;margin-left:210.8pt;margin-top:89.8pt;width:24.4pt;height:24.4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" fillcolor="#0f9ed5 [3207]" strokecolor="white [3201]" strokeweight="1pt">
                <v:stroke joinstyle="miter"/>
                <w10:wrap anchorx="margin"/>
              </v:oval>
            </w:pict>
          </mc:Fallback>
        </mc:AlternateContent>
      </w:r>
      <w:r w:rsidR="000B11E1" w:rsidRPr="004D2E21">
        <w:rPr>
          <w:rFonts w:ascii="Arial" w:hAnsi="Arial" w:cs="Arial"/>
          <w:noProof/>
        </w:rPr>
        <mc:AlternateContent>
          <mc:Choice Requires="wps">
            <w:drawing>
              <wp:anchor distT="0" distB="0" distL="114300" distR="114300" simplePos="0" relativeHeight="251703296" behindDoc="0" locked="0" layoutInCell="1" allowOverlap="1" wp14:anchorId="70394438" wp14:editId="53E43B3B">
                <wp:simplePos x="0" y="0"/>
                <wp:positionH relativeFrom="column">
                  <wp:posOffset>2032000</wp:posOffset>
                </wp:positionH>
                <wp:positionV relativeFrom="paragraph">
                  <wp:posOffset>1684020</wp:posOffset>
                </wp:positionV>
                <wp:extent cx="914400" cy="406400"/>
                <wp:effectExtent l="0" t="0" r="0" b="0"/>
                <wp:wrapNone/>
                <wp:docPr id="1037919098" name="Text Box 16"/>
                <wp:cNvGraphicFramePr/>
                <a:graphic xmlns:a="http://schemas.openxmlformats.org/drawingml/2006/main">
                  <a:graphicData uri="http://schemas.microsoft.com/office/word/2010/wordprocessingShape">
                    <wps:wsp>
                      <wps:cNvSpPr txBox="1"/>
                      <wps:spPr>
                        <a:xfrm>
                          <a:off x="0" y="0"/>
                          <a:ext cx="914400" cy="406400"/>
                        </a:xfrm>
                        <a:prstGeom prst="rect">
                          <a:avLst/>
                        </a:prstGeom>
                        <a:noFill/>
                        <a:ln w="6350">
                          <a:noFill/>
                        </a:ln>
                      </wps:spPr>
                      <wps:txbx>
                        <w:txbxContent>
                          <w:p w14:paraId="52E507AC" w14:textId="618AD977" w:rsidR="000B11E1" w:rsidRPr="000B11E1" w:rsidRDefault="000B11E1" w:rsidP="000B11E1">
                            <w:pPr>
                              <w:spacing w:after="0" w:line="240" w:lineRule="auto"/>
                              <w:rPr>
                                <w:sz w:val="20"/>
                                <w:szCs w:val="20"/>
                                <w:lang w:val="en-GB"/>
                              </w:rPr>
                            </w:pPr>
                            <w:r>
                              <w:rPr>
                                <w:sz w:val="20"/>
                                <w:szCs w:val="20"/>
                                <w:lang w:val="en-GB"/>
                              </w:rPr>
                              <w:t>Pharmacy Act of 1852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94438" id="_x0000_s1043" type="#_x0000_t202" style="position:absolute;left:0;text-align:left;margin-left:160pt;margin-top:132.6pt;width:1in;height:3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" filled="f" stroked="f" strokeweight=".5pt">
                <v:textbox>
                  <w:txbxContent>
                    <w:p w14:paraId="52E507AC" w14:textId="618AD977" w:rsidR="000B11E1" w:rsidRPr="000B11E1" w:rsidRDefault="000B11E1" w:rsidP="000B11E1">
                      <w:pPr>
                        <w:spacing w:after="0" w:line="240" w:lineRule="auto"/>
                        <w:rPr>
                          <w:sz w:val="20"/>
                          <w:szCs w:val="20"/>
                          <w:lang w:val="en-GB"/>
                        </w:rPr>
                      </w:pPr>
                      <w:r>
                        <w:rPr>
                          <w:sz w:val="20"/>
                          <w:szCs w:val="20"/>
                          <w:lang w:val="en-GB"/>
                        </w:rPr>
                        <w:t>Pharmacy Act of 1852</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709440" behindDoc="0" locked="0" layoutInCell="1" allowOverlap="1" wp14:anchorId="6FCD67E4" wp14:editId="0E5DA383">
                <wp:simplePos x="0" y="0"/>
                <wp:positionH relativeFrom="column">
                  <wp:posOffset>1864360</wp:posOffset>
                </wp:positionH>
                <wp:positionV relativeFrom="paragraph">
                  <wp:posOffset>1541780</wp:posOffset>
                </wp:positionV>
                <wp:extent cx="264160" cy="248920"/>
                <wp:effectExtent l="0" t="0" r="21590" b="17780"/>
                <wp:wrapNone/>
                <wp:docPr id="683086425" name="Oval 1"/>
                <wp:cNvGraphicFramePr/>
                <a:graphic xmlns:a="http://schemas.openxmlformats.org/drawingml/2006/main">
                  <a:graphicData uri="http://schemas.microsoft.com/office/word/2010/wordprocessingShape">
                    <wps:wsp>
                      <wps:cNvSpPr/>
                      <wps:spPr>
                        <a:xfrm>
                          <a:off x="0" y="0"/>
                          <a:ext cx="264160" cy="248920"/>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01060748" id="Oval 1" o:spid="_x0000_s1026" style="position:absolute;margin-left:146.8pt;margin-top:121.4pt;width:20.8pt;height:19.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" fillcolor="#156082 [3204]" strokecolor="white [3201]" strokeweight="1pt">
                <v:stroke joinstyle="miter"/>
              </v:oval>
            </w:pict>
          </mc:Fallback>
        </mc:AlternateContent>
      </w:r>
      <w:r w:rsidR="000B11E1" w:rsidRPr="004D2E21">
        <w:rPr>
          <w:rFonts w:ascii="Arial" w:hAnsi="Arial" w:cs="Arial"/>
          <w:noProof/>
        </w:rPr>
        <mc:AlternateContent>
          <mc:Choice Requires="wps">
            <w:drawing>
              <wp:anchor distT="0" distB="0" distL="114300" distR="114300" simplePos="0" relativeHeight="251707392" behindDoc="0" locked="0" layoutInCell="1" allowOverlap="1" wp14:anchorId="3BB8239C" wp14:editId="5BEC8FF3">
                <wp:simplePos x="0" y="0"/>
                <wp:positionH relativeFrom="column">
                  <wp:posOffset>1224280</wp:posOffset>
                </wp:positionH>
                <wp:positionV relativeFrom="paragraph">
                  <wp:posOffset>2227580</wp:posOffset>
                </wp:positionV>
                <wp:extent cx="939800" cy="391160"/>
                <wp:effectExtent l="0" t="0" r="0" b="0"/>
                <wp:wrapNone/>
                <wp:docPr id="1965637381" name="Text Box 16"/>
                <wp:cNvGraphicFramePr/>
                <a:graphic xmlns:a="http://schemas.openxmlformats.org/drawingml/2006/main">
                  <a:graphicData uri="http://schemas.microsoft.com/office/word/2010/wordprocessingShape">
                    <wps:wsp>
                      <wps:cNvSpPr txBox="1"/>
                      <wps:spPr>
                        <a:xfrm>
                          <a:off x="0" y="0"/>
                          <a:ext cx="939800" cy="391160"/>
                        </a:xfrm>
                        <a:prstGeom prst="rect">
                          <a:avLst/>
                        </a:prstGeom>
                        <a:noFill/>
                        <a:ln w="6350">
                          <a:noFill/>
                        </a:ln>
                      </wps:spPr>
                      <wps:txbx>
                        <w:txbxContent>
                          <w:p w14:paraId="04DFDFBB" w14:textId="790A9C63" w:rsidR="000B11E1" w:rsidRPr="000B11E1" w:rsidRDefault="000B11E1" w:rsidP="000B11E1">
                            <w:pPr>
                              <w:spacing w:after="0" w:line="240" w:lineRule="auto"/>
                              <w:rPr>
                                <w:sz w:val="20"/>
                                <w:szCs w:val="20"/>
                                <w:lang w:val="en-GB"/>
                              </w:rPr>
                            </w:pPr>
                            <w:r>
                              <w:rPr>
                                <w:sz w:val="20"/>
                                <w:szCs w:val="20"/>
                                <w:lang w:val="en-GB"/>
                              </w:rPr>
                              <w:t>Apothecaries Act 1815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8239C" id="_x0000_s1044" type="#_x0000_t202" style="position:absolute;left:0;text-align:left;margin-left:96.4pt;margin-top:175.4pt;width:74pt;height:30.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" filled="f" stroked="f" strokeweight=".5pt">
                <v:textbox>
                  <w:txbxContent>
                    <w:p w14:paraId="04DFDFBB" w14:textId="790A9C63" w:rsidR="000B11E1" w:rsidRPr="000B11E1" w:rsidRDefault="000B11E1" w:rsidP="000B11E1">
                      <w:pPr>
                        <w:spacing w:after="0" w:line="240" w:lineRule="auto"/>
                        <w:rPr>
                          <w:sz w:val="20"/>
                          <w:szCs w:val="20"/>
                          <w:lang w:val="en-GB"/>
                        </w:rPr>
                      </w:pPr>
                      <w:r>
                        <w:rPr>
                          <w:sz w:val="20"/>
                          <w:szCs w:val="20"/>
                          <w:lang w:val="en-GB"/>
                        </w:rPr>
                        <w:t>Apothecaries Act 1815</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699200" behindDoc="0" locked="0" layoutInCell="1" allowOverlap="1" wp14:anchorId="1F41A93E" wp14:editId="7D85EDAC">
                <wp:simplePos x="0" y="0"/>
                <wp:positionH relativeFrom="margin">
                  <wp:posOffset>1127760</wp:posOffset>
                </wp:positionH>
                <wp:positionV relativeFrom="paragraph">
                  <wp:posOffset>2090420</wp:posOffset>
                </wp:positionV>
                <wp:extent cx="203200" cy="193040"/>
                <wp:effectExtent l="0" t="0" r="25400" b="16510"/>
                <wp:wrapNone/>
                <wp:docPr id="1419920225" name="Oval 1"/>
                <wp:cNvGraphicFramePr/>
                <a:graphic xmlns:a="http://schemas.openxmlformats.org/drawingml/2006/main">
                  <a:graphicData uri="http://schemas.microsoft.com/office/word/2010/wordprocessingShape">
                    <wps:wsp>
                      <wps:cNvSpPr/>
                      <wps:spPr>
                        <a:xfrm>
                          <a:off x="0" y="0"/>
                          <a:ext cx="203200" cy="193040"/>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29A32C7A" id="Oval 1" o:spid="_x0000_s1026" style="position:absolute;margin-left:88.8pt;margin-top:164.6pt;width:16pt;height:15.2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" fillcolor="#156082 [3204]" strokecolor="white [3201]" strokeweight="1pt">
                <v:stroke joinstyle="miter"/>
                <w10:wrap anchorx="margin"/>
              </v:oval>
            </w:pict>
          </mc:Fallback>
        </mc:AlternateContent>
      </w:r>
      <w:r w:rsidR="000B11E1" w:rsidRPr="004D2E21">
        <w:rPr>
          <w:rFonts w:ascii="Arial" w:hAnsi="Arial" w:cs="Arial"/>
          <w:noProof/>
        </w:rPr>
        <mc:AlternateContent>
          <mc:Choice Requires="wps">
            <w:drawing>
              <wp:anchor distT="0" distB="0" distL="114300" distR="114300" simplePos="0" relativeHeight="251697152" behindDoc="0" locked="0" layoutInCell="1" allowOverlap="1" wp14:anchorId="4B9677F5" wp14:editId="4A287DAA">
                <wp:simplePos x="0" y="0"/>
                <wp:positionH relativeFrom="column">
                  <wp:posOffset>492760</wp:posOffset>
                </wp:positionH>
                <wp:positionV relativeFrom="paragraph">
                  <wp:posOffset>2781300</wp:posOffset>
                </wp:positionV>
                <wp:extent cx="914400" cy="624840"/>
                <wp:effectExtent l="0" t="0" r="0" b="3810"/>
                <wp:wrapNone/>
                <wp:docPr id="1148695547" name="Text Box 16"/>
                <wp:cNvGraphicFramePr/>
                <a:graphic xmlns:a="http://schemas.openxmlformats.org/drawingml/2006/main">
                  <a:graphicData uri="http://schemas.microsoft.com/office/word/2010/wordprocessingShape">
                    <wps:wsp>
                      <wps:cNvSpPr txBox="1"/>
                      <wps:spPr>
                        <a:xfrm>
                          <a:off x="0" y="0"/>
                          <a:ext cx="914400" cy="624840"/>
                        </a:xfrm>
                        <a:prstGeom prst="rect">
                          <a:avLst/>
                        </a:prstGeom>
                        <a:noFill/>
                        <a:ln w="6350">
                          <a:noFill/>
                        </a:ln>
                      </wps:spPr>
                      <wps:txbx>
                        <w:txbxContent>
                          <w:p w14:paraId="14564D66" w14:textId="421A89E4" w:rsidR="000B11E1" w:rsidRPr="000B11E1" w:rsidRDefault="000B11E1" w:rsidP="000B11E1">
                            <w:pPr>
                              <w:spacing w:after="0" w:line="240" w:lineRule="auto"/>
                              <w:rPr>
                                <w:sz w:val="20"/>
                                <w:szCs w:val="20"/>
                                <w:lang w:val="en-GB"/>
                              </w:rPr>
                            </w:pPr>
                            <w:r>
                              <w:rPr>
                                <w:sz w:val="20"/>
                                <w:szCs w:val="20"/>
                                <w:lang w:val="en-GB"/>
                              </w:rPr>
                              <w:t>Worshipful Society of Apothecaries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677F5" id="_x0000_s1045" type="#_x0000_t202" style="position:absolute;left:0;text-align:left;margin-left:38.8pt;margin-top:219pt;width:1in;height:49.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" filled="f" stroked="f" strokeweight=".5pt">
                <v:textbox>
                  <w:txbxContent>
                    <w:p w14:paraId="14564D66" w14:textId="421A89E4" w:rsidR="000B11E1" w:rsidRPr="000B11E1" w:rsidRDefault="000B11E1" w:rsidP="000B11E1">
                      <w:pPr>
                        <w:spacing w:after="0" w:line="240" w:lineRule="auto"/>
                        <w:rPr>
                          <w:sz w:val="20"/>
                          <w:szCs w:val="20"/>
                          <w:lang w:val="en-GB"/>
                        </w:rPr>
                      </w:pPr>
                      <w:r>
                        <w:rPr>
                          <w:sz w:val="20"/>
                          <w:szCs w:val="20"/>
                          <w:lang w:val="en-GB"/>
                        </w:rPr>
                        <w:t>Worshipful Society of Apothecaries</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695104" behindDoc="0" locked="0" layoutInCell="1" allowOverlap="1" wp14:anchorId="033288A8" wp14:editId="7E52EA6F">
                <wp:simplePos x="0" y="0"/>
                <wp:positionH relativeFrom="column">
                  <wp:posOffset>-66040</wp:posOffset>
                </wp:positionH>
                <wp:positionV relativeFrom="paragraph">
                  <wp:posOffset>2451100</wp:posOffset>
                </wp:positionV>
                <wp:extent cx="914400" cy="284480"/>
                <wp:effectExtent l="0" t="0" r="0" b="1270"/>
                <wp:wrapNone/>
                <wp:docPr id="662262081" name="Text Box 16"/>
                <wp:cNvGraphicFramePr/>
                <a:graphic xmlns:a="http://schemas.openxmlformats.org/drawingml/2006/main">
                  <a:graphicData uri="http://schemas.microsoft.com/office/word/2010/wordprocessingShape">
                    <wps:wsp>
                      <wps:cNvSpPr txBox="1"/>
                      <wps:spPr>
                        <a:xfrm>
                          <a:off x="0" y="0"/>
                          <a:ext cx="914400" cy="284480"/>
                        </a:xfrm>
                        <a:prstGeom prst="rect">
                          <a:avLst/>
                        </a:prstGeom>
                        <a:noFill/>
                        <a:ln w="6350">
                          <a:noFill/>
                        </a:ln>
                      </wps:spPr>
                      <wps:txbx>
                        <w:txbxContent>
                          <w:p w14:paraId="5EF87A40" w14:textId="481D2497" w:rsidR="000B11E1" w:rsidRPr="000B11E1" w:rsidRDefault="000B11E1">
                            <w:pPr>
                              <w:rPr>
                                <w:sz w:val="20"/>
                                <w:szCs w:val="20"/>
                                <w:lang w:val="en-GB"/>
                              </w:rPr>
                            </w:pPr>
                            <w:r w:rsidRPr="000B11E1">
                              <w:rPr>
                                <w:sz w:val="20"/>
                                <w:szCs w:val="20"/>
                                <w:lang w:val="en-GB"/>
                              </w:rPr>
                              <w:t>16</w:t>
                            </w:r>
                            <w:r w:rsidRPr="000B11E1">
                              <w:rPr>
                                <w:sz w:val="20"/>
                                <w:szCs w:val="20"/>
                                <w:vertAlign w:val="superscript"/>
                                <w:lang w:val="en-GB"/>
                              </w:rPr>
                              <w:t>th</w:t>
                            </w:r>
                            <w:r w:rsidRPr="000B11E1">
                              <w:rPr>
                                <w:sz w:val="20"/>
                                <w:szCs w:val="20"/>
                                <w:lang w:val="en-GB"/>
                              </w:rPr>
                              <w:t xml:space="preserve"> </w:t>
                            </w:r>
                            <w:r w:rsidRPr="000B11E1">
                              <w:rPr>
                                <w:sz w:val="18"/>
                                <w:szCs w:val="18"/>
                                <w:lang w:val="en-GB"/>
                              </w:rPr>
                              <w:t>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3288A8" id="_x0000_s1046" type="#_x0000_t202" style="position:absolute;left:0;text-align:left;margin-left:-5.2pt;margin-top:193pt;width:1in;height:22.4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" filled="f" stroked="f" strokeweight=".5pt">
                <v:textbox>
                  <w:txbxContent>
                    <w:p w14:paraId="5EF87A40" w14:textId="481D2497" w:rsidR="000B11E1" w:rsidRPr="000B11E1" w:rsidRDefault="000B11E1">
                      <w:pPr>
                        <w:rPr>
                          <w:sz w:val="20"/>
                          <w:szCs w:val="20"/>
                          <w:lang w:val="en-GB"/>
                        </w:rPr>
                      </w:pPr>
                      <w:r w:rsidRPr="000B11E1">
                        <w:rPr>
                          <w:sz w:val="20"/>
                          <w:szCs w:val="20"/>
                          <w:lang w:val="en-GB"/>
                        </w:rPr>
                        <w:t>16</w:t>
                      </w:r>
                      <w:r w:rsidRPr="000B11E1">
                        <w:rPr>
                          <w:sz w:val="20"/>
                          <w:szCs w:val="20"/>
                          <w:vertAlign w:val="superscript"/>
                          <w:lang w:val="en-GB"/>
                        </w:rPr>
                        <w:t>th</w:t>
                      </w:r>
                      <w:r w:rsidRPr="000B11E1">
                        <w:rPr>
                          <w:sz w:val="20"/>
                          <w:szCs w:val="20"/>
                          <w:lang w:val="en-GB"/>
                        </w:rPr>
                        <w:t xml:space="preserve"> </w:t>
                      </w:r>
                      <w:r w:rsidRPr="000B11E1">
                        <w:rPr>
                          <w:sz w:val="18"/>
                          <w:szCs w:val="18"/>
                          <w:lang w:val="en-GB"/>
                        </w:rPr>
                        <w:t>Century</w:t>
                      </w:r>
                    </w:p>
                  </w:txbxContent>
                </v:textbox>
              </v:shape>
            </w:pict>
          </mc:Fallback>
        </mc:AlternateContent>
      </w:r>
      <w:r w:rsidR="000B11E1" w:rsidRPr="004D2E21">
        <w:rPr>
          <w:rFonts w:ascii="Arial" w:hAnsi="Arial" w:cs="Arial"/>
          <w:noProof/>
        </w:rPr>
        <mc:AlternateContent>
          <mc:Choice Requires="wps">
            <w:drawing>
              <wp:anchor distT="0" distB="0" distL="114300" distR="114300" simplePos="0" relativeHeight="251694080" behindDoc="0" locked="0" layoutInCell="1" allowOverlap="1" wp14:anchorId="7A06FC9D" wp14:editId="06179339">
                <wp:simplePos x="0" y="0"/>
                <wp:positionH relativeFrom="column">
                  <wp:posOffset>614680</wp:posOffset>
                </wp:positionH>
                <wp:positionV relativeFrom="paragraph">
                  <wp:posOffset>2654300</wp:posOffset>
                </wp:positionV>
                <wp:extent cx="127000" cy="121920"/>
                <wp:effectExtent l="0" t="0" r="25400" b="11430"/>
                <wp:wrapNone/>
                <wp:docPr id="3" name="Oval 1"/>
                <wp:cNvGraphicFramePr/>
                <a:graphic xmlns:a="http://schemas.openxmlformats.org/drawingml/2006/main">
                  <a:graphicData uri="http://schemas.microsoft.com/office/word/2010/wordprocessingShape">
                    <wps:wsp>
                      <wps:cNvSpPr/>
                      <wps:spPr>
                        <a:xfrm flipH="1" flipV="1">
                          <a:off x="0" y="0"/>
                          <a:ext cx="127000" cy="121920"/>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5C6C8722" id="Oval 1" o:spid="_x0000_s1026" style="position:absolute;margin-left:48.4pt;margin-top:209pt;width:10pt;height:9.6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" fillcolor="#156082 [3204]" strokecolor="white [3201]" strokeweight="1pt">
                <v:stroke joinstyle="miter"/>
              </v:oval>
            </w:pict>
          </mc:Fallback>
        </mc:AlternateContent>
      </w:r>
      <w:r w:rsidR="004A74C0" w:rsidRPr="004D2E21">
        <w:rPr>
          <w:rFonts w:ascii="Arial" w:hAnsi="Arial" w:cs="Arial"/>
          <w:noProof/>
        </w:rPr>
        <w:drawing>
          <wp:inline distT="0" distB="0" distL="0" distR="0" wp14:anchorId="7A33E235" wp14:editId="156CC247">
            <wp:extent cx="5486400" cy="3200400"/>
            <wp:effectExtent l="0" t="0" r="0" b="0"/>
            <wp:docPr id="264791894"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6C134E7" w14:textId="77777777" w:rsidR="004A74C0" w:rsidRDefault="004A74C0" w:rsidP="00C5720C">
      <w:pPr>
        <w:jc w:val="both"/>
        <w:rPr>
          <w:rFonts w:ascii="Arial" w:hAnsi="Arial" w:cs="Arial"/>
        </w:rPr>
      </w:pPr>
    </w:p>
    <w:p w14:paraId="64E3060A" w14:textId="725B9CFE" w:rsidR="006B1CAE" w:rsidRPr="003B671A" w:rsidRDefault="00730B1D" w:rsidP="003B671A">
      <w:pPr>
        <w:spacing w:line="360" w:lineRule="auto"/>
        <w:jc w:val="both"/>
        <w:rPr>
          <w:rFonts w:ascii="Times New Roman" w:hAnsi="Times New Roman" w:cs="Times New Roman"/>
          <w:b/>
          <w:bCs/>
          <w:sz w:val="22"/>
          <w:szCs w:val="22"/>
        </w:rPr>
      </w:pPr>
      <w:r w:rsidRPr="003B671A">
        <w:rPr>
          <w:rFonts w:ascii="Times New Roman" w:hAnsi="Times New Roman" w:cs="Times New Roman"/>
          <w:b/>
          <w:bCs/>
          <w:sz w:val="22"/>
          <w:szCs w:val="22"/>
        </w:rPr>
        <w:t xml:space="preserve">Challenges faced by the service </w:t>
      </w:r>
    </w:p>
    <w:p w14:paraId="65D638E6" w14:textId="3C18BA3C" w:rsidR="00730B1D" w:rsidRPr="003B671A" w:rsidRDefault="003B671A" w:rsidP="003B671A">
      <w:pPr>
        <w:spacing w:line="360" w:lineRule="auto"/>
        <w:jc w:val="both"/>
        <w:rPr>
          <w:rFonts w:ascii="Times New Roman" w:hAnsi="Times New Roman" w:cs="Times New Roman"/>
          <w:sz w:val="22"/>
          <w:szCs w:val="22"/>
        </w:rPr>
      </w:pPr>
      <w:r w:rsidRPr="003B671A">
        <w:rPr>
          <w:rFonts w:ascii="Times New Roman" w:hAnsi="Times New Roman" w:cs="Times New Roman"/>
          <w:b/>
          <w:bCs/>
          <w:i/>
          <w:iCs/>
          <w:sz w:val="22"/>
          <w:szCs w:val="22"/>
        </w:rPr>
        <w:t>Insufficient Funding</w:t>
      </w:r>
      <w:r w:rsidRPr="003B671A">
        <w:rPr>
          <w:rFonts w:ascii="Times New Roman" w:hAnsi="Times New Roman" w:cs="Times New Roman"/>
          <w:sz w:val="22"/>
          <w:szCs w:val="22"/>
        </w:rPr>
        <w:t xml:space="preserve">: </w:t>
      </w:r>
      <w:r w:rsidR="00730B1D" w:rsidRPr="003B671A">
        <w:rPr>
          <w:rFonts w:ascii="Times New Roman" w:hAnsi="Times New Roman" w:cs="Times New Roman"/>
          <w:sz w:val="22"/>
          <w:szCs w:val="22"/>
        </w:rPr>
        <w:t xml:space="preserve">Today, insufficient funding remains a critical challenge to pharmacy services. The Community Pharmacy England’s 2025 Pharmacy Pressures Survey reports that almost 1 in 6 pharmacies are at risk of closure due to funding issues. Similarly, Connelly (2025) in the pharmaceutical journal reports </w:t>
      </w:r>
      <w:r w:rsidR="00730B1D" w:rsidRPr="003B671A">
        <w:rPr>
          <w:rFonts w:ascii="Times New Roman" w:hAnsi="Times New Roman" w:cs="Times New Roman"/>
          <w:sz w:val="22"/>
          <w:szCs w:val="22"/>
        </w:rPr>
        <w:lastRenderedPageBreak/>
        <w:t xml:space="preserve">that the funding available to pharmaceutical services falls extremely low beyond the </w:t>
      </w:r>
      <w:r w:rsidR="002722E9" w:rsidRPr="003B671A">
        <w:rPr>
          <w:rFonts w:ascii="Times New Roman" w:hAnsi="Times New Roman" w:cs="Times New Roman"/>
          <w:sz w:val="22"/>
          <w:szCs w:val="22"/>
        </w:rPr>
        <w:t>cost-of-service</w:t>
      </w:r>
      <w:r w:rsidR="00730B1D" w:rsidRPr="003B671A">
        <w:rPr>
          <w:rFonts w:ascii="Times New Roman" w:hAnsi="Times New Roman" w:cs="Times New Roman"/>
          <w:sz w:val="22"/>
          <w:szCs w:val="22"/>
        </w:rPr>
        <w:t xml:space="preserve"> delivery, imposing on the sector a financial strain.</w:t>
      </w:r>
      <w:r w:rsidRPr="003B671A">
        <w:rPr>
          <w:rFonts w:ascii="Times New Roman" w:hAnsi="Times New Roman" w:cs="Times New Roman"/>
          <w:sz w:val="22"/>
          <w:szCs w:val="22"/>
        </w:rPr>
        <w:t xml:space="preserve"> This has contributed to reduced staffing levels and operating hours, and in some cases, permanent closures. </w:t>
      </w:r>
    </w:p>
    <w:p w14:paraId="124520B0" w14:textId="7ADE70C9" w:rsidR="003B671A" w:rsidRPr="003B671A" w:rsidRDefault="003B671A" w:rsidP="003B671A">
      <w:pPr>
        <w:spacing w:line="360" w:lineRule="auto"/>
        <w:jc w:val="both"/>
        <w:rPr>
          <w:rFonts w:ascii="Times New Roman" w:hAnsi="Times New Roman" w:cs="Times New Roman"/>
          <w:sz w:val="22"/>
          <w:szCs w:val="22"/>
        </w:rPr>
      </w:pPr>
      <w:r w:rsidRPr="003B671A">
        <w:rPr>
          <w:rFonts w:ascii="Times New Roman" w:hAnsi="Times New Roman" w:cs="Times New Roman"/>
          <w:b/>
          <w:bCs/>
          <w:i/>
          <w:iCs/>
          <w:sz w:val="22"/>
          <w:szCs w:val="22"/>
        </w:rPr>
        <w:t>Public Perception</w:t>
      </w:r>
      <w:r w:rsidRPr="003B671A">
        <w:rPr>
          <w:rFonts w:ascii="Times New Roman" w:hAnsi="Times New Roman" w:cs="Times New Roman"/>
          <w:i/>
          <w:iCs/>
          <w:sz w:val="22"/>
          <w:szCs w:val="22"/>
        </w:rPr>
        <w:t>:</w:t>
      </w:r>
      <w:r w:rsidRPr="003B671A">
        <w:rPr>
          <w:rFonts w:ascii="Times New Roman" w:hAnsi="Times New Roman" w:cs="Times New Roman"/>
          <w:sz w:val="22"/>
          <w:szCs w:val="22"/>
        </w:rPr>
        <w:t xml:space="preserve"> T</w:t>
      </w:r>
      <w:r w:rsidR="00C4185C">
        <w:rPr>
          <w:rFonts w:ascii="Times New Roman" w:hAnsi="Times New Roman" w:cs="Times New Roman"/>
          <w:sz w:val="22"/>
          <w:szCs w:val="22"/>
        </w:rPr>
        <w:t>o</w:t>
      </w:r>
      <w:r w:rsidRPr="003B671A">
        <w:rPr>
          <w:rFonts w:ascii="Times New Roman" w:hAnsi="Times New Roman" w:cs="Times New Roman"/>
          <w:sz w:val="22"/>
          <w:szCs w:val="22"/>
        </w:rPr>
        <w:t xml:space="preserve"> date, many people hold the ancient view of pharmacies as solely existing to dispense clinical medication. A significant percentage of the population remain</w:t>
      </w:r>
      <w:r w:rsidR="00C4185C">
        <w:rPr>
          <w:rFonts w:ascii="Times New Roman" w:hAnsi="Times New Roman" w:cs="Times New Roman"/>
          <w:sz w:val="22"/>
          <w:szCs w:val="22"/>
        </w:rPr>
        <w:t>s</w:t>
      </w:r>
      <w:r w:rsidRPr="003B671A">
        <w:rPr>
          <w:rFonts w:ascii="Times New Roman" w:hAnsi="Times New Roman" w:cs="Times New Roman"/>
          <w:sz w:val="22"/>
          <w:szCs w:val="22"/>
        </w:rPr>
        <w:t xml:space="preserve"> unaware of the fact that pharmacies are capable of independently managing and treating a variety of minor </w:t>
      </w:r>
      <w:r w:rsidR="00C4185C">
        <w:rPr>
          <w:rFonts w:ascii="Times New Roman" w:hAnsi="Times New Roman" w:cs="Times New Roman"/>
          <w:sz w:val="22"/>
          <w:szCs w:val="22"/>
        </w:rPr>
        <w:t>condition</w:t>
      </w:r>
      <w:r w:rsidRPr="003B671A">
        <w:rPr>
          <w:rFonts w:ascii="Times New Roman" w:hAnsi="Times New Roman" w:cs="Times New Roman"/>
          <w:sz w:val="22"/>
          <w:szCs w:val="22"/>
        </w:rPr>
        <w:t xml:space="preserve">s and providing clinical advice. This skewed view </w:t>
      </w:r>
      <w:r w:rsidR="00C4185C">
        <w:rPr>
          <w:rFonts w:ascii="Times New Roman" w:hAnsi="Times New Roman" w:cs="Times New Roman"/>
          <w:sz w:val="22"/>
          <w:szCs w:val="22"/>
        </w:rPr>
        <w:t>limits</w:t>
      </w:r>
      <w:r w:rsidRPr="003B671A">
        <w:rPr>
          <w:rFonts w:ascii="Times New Roman" w:hAnsi="Times New Roman" w:cs="Times New Roman"/>
          <w:sz w:val="22"/>
          <w:szCs w:val="22"/>
        </w:rPr>
        <w:t xml:space="preserve"> the utili</w:t>
      </w:r>
      <w:r w:rsidR="00C4185C">
        <w:rPr>
          <w:rFonts w:ascii="Times New Roman" w:hAnsi="Times New Roman" w:cs="Times New Roman"/>
          <w:sz w:val="22"/>
          <w:szCs w:val="22"/>
        </w:rPr>
        <w:t>s</w:t>
      </w:r>
      <w:r w:rsidRPr="003B671A">
        <w:rPr>
          <w:rFonts w:ascii="Times New Roman" w:hAnsi="Times New Roman" w:cs="Times New Roman"/>
          <w:sz w:val="22"/>
          <w:szCs w:val="22"/>
        </w:rPr>
        <w:t xml:space="preserve">ation of services provided by pharmacies. </w:t>
      </w:r>
      <w:r w:rsidR="00DD0E68" w:rsidRPr="00DD0E68">
        <w:rPr>
          <w:rFonts w:ascii="Times New Roman" w:hAnsi="Times New Roman" w:cs="Times New Roman"/>
          <w:sz w:val="22"/>
          <w:szCs w:val="22"/>
        </w:rPr>
        <w:t>Moreover, structural impediments within the NHS hinder the complete integration of pharmacists into primary care teams.</w:t>
      </w:r>
      <w:r w:rsidR="00DD0E68">
        <w:rPr>
          <w:rFonts w:ascii="Times New Roman" w:hAnsi="Times New Roman" w:cs="Times New Roman"/>
          <w:sz w:val="22"/>
          <w:szCs w:val="22"/>
        </w:rPr>
        <w:t xml:space="preserve"> </w:t>
      </w:r>
      <w:r w:rsidR="004047D4" w:rsidRPr="004047D4">
        <w:rPr>
          <w:rFonts w:ascii="Times New Roman" w:hAnsi="Times New Roman" w:cs="Times New Roman"/>
          <w:sz w:val="22"/>
          <w:szCs w:val="22"/>
        </w:rPr>
        <w:t>This proves their comprehensive training in diagnosis and medication management is not properly utili</w:t>
      </w:r>
      <w:r w:rsidR="00C4185C">
        <w:rPr>
          <w:rFonts w:ascii="Times New Roman" w:hAnsi="Times New Roman" w:cs="Times New Roman"/>
          <w:sz w:val="22"/>
          <w:szCs w:val="22"/>
        </w:rPr>
        <w:t>s</w:t>
      </w:r>
      <w:r w:rsidR="004047D4" w:rsidRPr="004047D4">
        <w:rPr>
          <w:rFonts w:ascii="Times New Roman" w:hAnsi="Times New Roman" w:cs="Times New Roman"/>
          <w:sz w:val="22"/>
          <w:szCs w:val="22"/>
        </w:rPr>
        <w:t>ed, signifying a lost chance to effectively reduce strain on other sectors of the healthcare system.</w:t>
      </w:r>
      <w:r w:rsidR="00DD0E68">
        <w:rPr>
          <w:rFonts w:ascii="Times New Roman" w:hAnsi="Times New Roman" w:cs="Times New Roman"/>
          <w:sz w:val="22"/>
          <w:szCs w:val="22"/>
        </w:rPr>
        <w:t xml:space="preserve"> Essentially, this constitutes an underutilisation of pharmacies. </w:t>
      </w:r>
    </w:p>
    <w:p w14:paraId="14459229" w14:textId="77777777" w:rsidR="00DD0E68" w:rsidRPr="004D2E21" w:rsidRDefault="00DD0E68" w:rsidP="00DD0E68">
      <w:pPr>
        <w:jc w:val="both"/>
        <w:rPr>
          <w:rFonts w:ascii="Arial" w:hAnsi="Arial" w:cs="Arial"/>
        </w:rPr>
      </w:pPr>
    </w:p>
    <w:p w14:paraId="4C04DE8C" w14:textId="2EBA4C95" w:rsidR="00DD0E68" w:rsidRDefault="00C4185C" w:rsidP="00DD0E68">
      <w:pPr>
        <w:jc w:val="both"/>
        <w:rPr>
          <w:rFonts w:ascii="Arial" w:hAnsi="Arial" w:cs="Arial"/>
          <w:b/>
          <w:bCs/>
        </w:rPr>
      </w:pPr>
      <w:r>
        <w:rPr>
          <w:rFonts w:ascii="Arial" w:hAnsi="Arial" w:cs="Arial"/>
        </w:rPr>
        <w:br/>
      </w:r>
      <w:r w:rsidRPr="00C4185C">
        <w:rPr>
          <w:rFonts w:ascii="Arial" w:hAnsi="Arial" w:cs="Arial"/>
          <w:b/>
          <w:bCs/>
        </w:rPr>
        <w:t xml:space="preserve">TASK 2 </w:t>
      </w:r>
    </w:p>
    <w:p w14:paraId="3AD58A95" w14:textId="315E21DF" w:rsidR="00C4185C" w:rsidRPr="00C44D67" w:rsidRDefault="00C4185C" w:rsidP="00C44D67">
      <w:pPr>
        <w:spacing w:before="240" w:after="0" w:line="360" w:lineRule="auto"/>
        <w:jc w:val="both"/>
        <w:rPr>
          <w:rFonts w:ascii="Arial" w:hAnsi="Arial" w:cs="Arial"/>
          <w:sz w:val="22"/>
          <w:szCs w:val="22"/>
        </w:rPr>
      </w:pPr>
      <w:r w:rsidRPr="00C44D67">
        <w:rPr>
          <w:rFonts w:ascii="Arial" w:hAnsi="Arial" w:cs="Arial"/>
          <w:sz w:val="22"/>
          <w:szCs w:val="22"/>
        </w:rPr>
        <w:t xml:space="preserve">The National Health Service (NHS) began in Britain after World War II, following recommendations from the Beveridge Report </w:t>
      </w:r>
      <w:r w:rsidR="00C44D67" w:rsidRPr="00C44D67">
        <w:rPr>
          <w:rFonts w:ascii="Arial" w:hAnsi="Arial" w:cs="Arial"/>
          <w:sz w:val="22"/>
          <w:szCs w:val="22"/>
        </w:rPr>
        <w:t xml:space="preserve">on Social Insurance and Allied Services </w:t>
      </w:r>
      <w:r w:rsidRPr="00C44D67">
        <w:rPr>
          <w:rFonts w:ascii="Arial" w:hAnsi="Arial" w:cs="Arial"/>
          <w:sz w:val="22"/>
          <w:szCs w:val="22"/>
        </w:rPr>
        <w:t xml:space="preserve">of 1942, which suggested the formation of a universal welfare to tackle five societal giants of want, disease, ignorance, squalor, and idleness (Grosky, 2008). The aftermath of World War II showed the severity of the weakening nature of the healthcare system in Britain, which primarily relied on private hospitals, private doctors and small public services. </w:t>
      </w:r>
      <w:r w:rsidR="00C44D67" w:rsidRPr="00C44D67">
        <w:rPr>
          <w:rFonts w:ascii="Arial" w:hAnsi="Arial" w:cs="Arial"/>
          <w:sz w:val="22"/>
          <w:szCs w:val="22"/>
        </w:rPr>
        <w:t xml:space="preserve">The National Insurance Act of 1911 offered modest coverage for workers, but it did not extend coverage to their families, which resulted in gaps in access to medical treatment. </w:t>
      </w:r>
      <w:r w:rsidRPr="00C44D67">
        <w:rPr>
          <w:rFonts w:ascii="Arial" w:hAnsi="Arial" w:cs="Arial"/>
          <w:sz w:val="22"/>
          <w:szCs w:val="22"/>
        </w:rPr>
        <w:t>This contributed to the commission of the Beveridge Report of 1942</w:t>
      </w:r>
      <w:r w:rsidR="00C44D67" w:rsidRPr="00C44D67">
        <w:rPr>
          <w:rFonts w:ascii="Arial" w:hAnsi="Arial" w:cs="Arial"/>
          <w:sz w:val="22"/>
          <w:szCs w:val="22"/>
        </w:rPr>
        <w:t>,</w:t>
      </w:r>
      <w:r w:rsidRPr="00C44D67">
        <w:rPr>
          <w:rFonts w:ascii="Arial" w:hAnsi="Arial" w:cs="Arial"/>
          <w:sz w:val="22"/>
          <w:szCs w:val="22"/>
        </w:rPr>
        <w:t xml:space="preserve"> which later proposed the creation of a universal healthcare system which wa</w:t>
      </w:r>
      <w:r w:rsidR="00C44D67" w:rsidRPr="00C44D67">
        <w:rPr>
          <w:rFonts w:ascii="Arial" w:hAnsi="Arial" w:cs="Arial"/>
          <w:sz w:val="22"/>
          <w:szCs w:val="22"/>
        </w:rPr>
        <w:t>s</w:t>
      </w:r>
      <w:r w:rsidRPr="00C44D67">
        <w:rPr>
          <w:rFonts w:ascii="Arial" w:hAnsi="Arial" w:cs="Arial"/>
          <w:sz w:val="22"/>
          <w:szCs w:val="22"/>
        </w:rPr>
        <w:t xml:space="preserve"> accessible to everyone and funded by taxes, as a response </w:t>
      </w:r>
      <w:r w:rsidR="00C44D67" w:rsidRPr="00C44D67">
        <w:rPr>
          <w:rFonts w:ascii="Arial" w:hAnsi="Arial" w:cs="Arial"/>
          <w:sz w:val="22"/>
          <w:szCs w:val="22"/>
        </w:rPr>
        <w:t xml:space="preserve">to </w:t>
      </w:r>
      <w:r w:rsidRPr="00C44D67">
        <w:rPr>
          <w:rFonts w:ascii="Arial" w:hAnsi="Arial" w:cs="Arial"/>
          <w:sz w:val="22"/>
          <w:szCs w:val="22"/>
        </w:rPr>
        <w:t xml:space="preserve">the broken healthcare system. </w:t>
      </w:r>
      <w:r w:rsidR="00C44D67" w:rsidRPr="00C44D67">
        <w:rPr>
          <w:rFonts w:ascii="Arial" w:hAnsi="Arial" w:cs="Arial"/>
          <w:sz w:val="22"/>
          <w:szCs w:val="22"/>
        </w:rPr>
        <w:t>As such, the NHS was founded on the pillars of equity, comprehensiveness and accessibility for all (</w:t>
      </w:r>
      <w:proofErr w:type="spellStart"/>
      <w:r w:rsidR="00C44D67" w:rsidRPr="00C44D67">
        <w:rPr>
          <w:rFonts w:ascii="Arial" w:hAnsi="Arial" w:cs="Arial"/>
          <w:sz w:val="22"/>
          <w:szCs w:val="22"/>
        </w:rPr>
        <w:t>Grosis</w:t>
      </w:r>
      <w:proofErr w:type="spellEnd"/>
      <w:r w:rsidR="00C44D67" w:rsidRPr="00C44D67">
        <w:rPr>
          <w:rFonts w:ascii="Arial" w:hAnsi="Arial" w:cs="Arial"/>
          <w:sz w:val="22"/>
          <w:szCs w:val="22"/>
        </w:rPr>
        <w:t xml:space="preserve"> et al., 2010; Klein, 2019). As noted in Khan (2023), A main idea behind the NHS is that everyone should be able to get free healthcare when they need it, even in an emergency. The NHS has done a better job of caring for people with long-term illnesses than most other healthcare institutions around the world, and its staff is quite diverse.</w:t>
      </w:r>
    </w:p>
    <w:p w14:paraId="1589077D" w14:textId="7F66E677" w:rsidR="00C44D67" w:rsidRPr="00C44D67" w:rsidRDefault="00C44D67" w:rsidP="00C44D67">
      <w:pPr>
        <w:spacing w:before="240" w:after="0" w:line="360" w:lineRule="auto"/>
        <w:jc w:val="both"/>
        <w:rPr>
          <w:rFonts w:ascii="Arial" w:hAnsi="Arial" w:cs="Arial"/>
          <w:sz w:val="22"/>
          <w:szCs w:val="22"/>
        </w:rPr>
      </w:pPr>
      <w:r w:rsidRPr="00C44D67">
        <w:rPr>
          <w:rFonts w:ascii="Arial" w:hAnsi="Arial" w:cs="Arial"/>
          <w:sz w:val="22"/>
          <w:szCs w:val="22"/>
        </w:rPr>
        <w:t xml:space="preserve">Since its inception, the NHS has experienced significant transformations. It was formerly a highly centralised system that was arranged around regional hospital boards; however, it has undergone multiple revisions that have introduced foundation trusts, clinical commissioning groups, and </w:t>
      </w:r>
      <w:r w:rsidRPr="00C44D67">
        <w:rPr>
          <w:rFonts w:ascii="Arial" w:hAnsi="Arial" w:cs="Arial"/>
          <w:sz w:val="22"/>
          <w:szCs w:val="22"/>
        </w:rPr>
        <w:lastRenderedPageBreak/>
        <w:t>internal markets. The current system in England is a complicated mixed economy of provision, which is largely impacted by the Health and Social Care Act of 2012, which was passed in 2012. One of its defining characteristics is the separation of commissioning, which is directed by Integrated Care Systems, and provision, which is carried out by NHS trusts, foundation trusts, and private contractors. According to The King's Fund (2022), this approach has been critiqued for its tendency to create a bureaucratic and fragmented landscape, despite the fact that its primary objective is to promote efficiency and integration.</w:t>
      </w:r>
    </w:p>
    <w:p w14:paraId="37FA69A5" w14:textId="7DCC4DCD" w:rsidR="00C44D67" w:rsidRPr="00C44D67" w:rsidRDefault="00C44D67" w:rsidP="00C44D67">
      <w:pPr>
        <w:spacing w:before="240" w:after="0" w:line="360" w:lineRule="auto"/>
        <w:jc w:val="both"/>
        <w:rPr>
          <w:rFonts w:ascii="Arial" w:hAnsi="Arial" w:cs="Arial"/>
          <w:sz w:val="22"/>
          <w:szCs w:val="22"/>
        </w:rPr>
      </w:pPr>
      <w:r w:rsidRPr="00C44D67">
        <w:rPr>
          <w:rFonts w:ascii="Arial" w:hAnsi="Arial" w:cs="Arial"/>
          <w:sz w:val="22"/>
          <w:szCs w:val="22"/>
        </w:rPr>
        <w:t xml:space="preserve">At present, </w:t>
      </w:r>
      <w:proofErr w:type="gramStart"/>
      <w:r w:rsidRPr="00C44D67">
        <w:rPr>
          <w:rFonts w:ascii="Arial" w:hAnsi="Arial" w:cs="Arial"/>
          <w:sz w:val="22"/>
          <w:szCs w:val="22"/>
        </w:rPr>
        <w:t>the  NHS</w:t>
      </w:r>
      <w:proofErr w:type="gramEnd"/>
      <w:r w:rsidRPr="00C44D67">
        <w:rPr>
          <w:rFonts w:ascii="Arial" w:hAnsi="Arial" w:cs="Arial"/>
          <w:sz w:val="22"/>
          <w:szCs w:val="22"/>
        </w:rPr>
        <w:t xml:space="preserve"> functions as a devolved system throughout the four nations of the UK, with NHS England as its main entity. The framework of NHS England is complex, encompassing national supervision, regional procurement, and local service provision. A critical analysis of the operation of the NHS uncovers a service struggling with the conflicts between its fundamental concepts and contemporary reality. For instance, while </w:t>
      </w:r>
      <w:r>
        <w:rPr>
          <w:rFonts w:ascii="Arial" w:hAnsi="Arial" w:cs="Arial"/>
          <w:sz w:val="22"/>
          <w:szCs w:val="22"/>
        </w:rPr>
        <w:t xml:space="preserve">the </w:t>
      </w:r>
      <w:r w:rsidRPr="00C44D67">
        <w:rPr>
          <w:rFonts w:ascii="Arial" w:hAnsi="Arial" w:cs="Arial"/>
          <w:sz w:val="22"/>
          <w:szCs w:val="22"/>
        </w:rPr>
        <w:t>NHS continues to be a source of national pride, primarily maintaining the premise of being free at the point of access, its sustainability is contested from various perspectives</w:t>
      </w:r>
      <w:r>
        <w:rPr>
          <w:rFonts w:ascii="Arial" w:hAnsi="Arial" w:cs="Arial"/>
          <w:sz w:val="22"/>
          <w:szCs w:val="22"/>
        </w:rPr>
        <w:t>,</w:t>
      </w:r>
      <w:r w:rsidRPr="00C44D67">
        <w:rPr>
          <w:rFonts w:ascii="Arial" w:hAnsi="Arial" w:cs="Arial"/>
          <w:sz w:val="22"/>
          <w:szCs w:val="22"/>
        </w:rPr>
        <w:t xml:space="preserve"> such as funding in the midst of </w:t>
      </w:r>
      <w:r>
        <w:rPr>
          <w:rFonts w:ascii="Arial" w:hAnsi="Arial" w:cs="Arial"/>
          <w:sz w:val="22"/>
          <w:szCs w:val="22"/>
        </w:rPr>
        <w:t>r</w:t>
      </w:r>
      <w:r w:rsidRPr="00C44D67">
        <w:rPr>
          <w:rFonts w:ascii="Arial" w:hAnsi="Arial" w:cs="Arial"/>
          <w:sz w:val="22"/>
          <w:szCs w:val="22"/>
        </w:rPr>
        <w:t>ising care demand in the UK. Consistently elevated demand, an ag</w:t>
      </w:r>
      <w:r>
        <w:rPr>
          <w:rFonts w:ascii="Arial" w:hAnsi="Arial" w:cs="Arial"/>
          <w:sz w:val="22"/>
          <w:szCs w:val="22"/>
        </w:rPr>
        <w:t>e</w:t>
      </w:r>
      <w:r w:rsidRPr="00C44D67">
        <w:rPr>
          <w:rFonts w:ascii="Arial" w:hAnsi="Arial" w:cs="Arial"/>
          <w:sz w:val="22"/>
          <w:szCs w:val="22"/>
        </w:rPr>
        <w:t>ing populace with intricate requirements, and financing limitations have resulted in well-documented problems in ambulance response times, emergency department wait times, and elective treatment backlogs. Further, the existence of co-payments for prescriptions, dental care, and optician services in England signifies a significant, albeit enduring, divergence from the principle of entirely free services, underscoring a pragmatic compromise. Most importantly. The growing depe</w:t>
      </w:r>
      <w:r>
        <w:rPr>
          <w:rFonts w:ascii="Arial" w:hAnsi="Arial" w:cs="Arial"/>
          <w:sz w:val="22"/>
          <w:szCs w:val="22"/>
        </w:rPr>
        <w:t>nden</w:t>
      </w:r>
      <w:r w:rsidRPr="00C44D67">
        <w:rPr>
          <w:rFonts w:ascii="Arial" w:hAnsi="Arial" w:cs="Arial"/>
          <w:sz w:val="22"/>
          <w:szCs w:val="22"/>
        </w:rPr>
        <w:t>ce on private suppliers in specific sectors such as pharmaceuticals and specialist care prompts concern regarding the long</w:t>
      </w:r>
      <w:r>
        <w:rPr>
          <w:rFonts w:ascii="Arial" w:hAnsi="Arial" w:cs="Arial"/>
          <w:sz w:val="22"/>
          <w:szCs w:val="22"/>
        </w:rPr>
        <w:t>-</w:t>
      </w:r>
      <w:r w:rsidRPr="00C44D67">
        <w:rPr>
          <w:rFonts w:ascii="Arial" w:hAnsi="Arial" w:cs="Arial"/>
          <w:sz w:val="22"/>
          <w:szCs w:val="22"/>
        </w:rPr>
        <w:t>term viability of the system as a public</w:t>
      </w:r>
      <w:r>
        <w:rPr>
          <w:rFonts w:ascii="Arial" w:hAnsi="Arial" w:cs="Arial"/>
          <w:sz w:val="22"/>
          <w:szCs w:val="22"/>
        </w:rPr>
        <w:t>-</w:t>
      </w:r>
      <w:r w:rsidRPr="00C44D67">
        <w:rPr>
          <w:rFonts w:ascii="Arial" w:hAnsi="Arial" w:cs="Arial"/>
          <w:sz w:val="22"/>
          <w:szCs w:val="22"/>
        </w:rPr>
        <w:t xml:space="preserve">supported entity. </w:t>
      </w:r>
    </w:p>
    <w:p w14:paraId="7E12AA4C" w14:textId="252432B4" w:rsidR="00C44D67" w:rsidRDefault="00C44D67" w:rsidP="00C44D67">
      <w:pPr>
        <w:spacing w:before="240" w:after="0" w:line="360" w:lineRule="auto"/>
        <w:jc w:val="both"/>
        <w:rPr>
          <w:rFonts w:ascii="Arial" w:hAnsi="Arial" w:cs="Arial"/>
          <w:sz w:val="22"/>
          <w:szCs w:val="22"/>
        </w:rPr>
      </w:pPr>
      <w:r w:rsidRPr="00C44D67">
        <w:rPr>
          <w:rFonts w:ascii="Arial" w:hAnsi="Arial" w:cs="Arial"/>
          <w:sz w:val="22"/>
          <w:szCs w:val="22"/>
        </w:rPr>
        <w:t>In conclusion, despite the NHS’s visionary historical formulation and ongoing provision of comprehensive care, its operations are severely hindered by financial, demographic, and workforce challenges. The primary issue for the NHS today is to manage these operational realities without compromising the fundamental principles of equality and universality on which it was established.</w:t>
      </w:r>
    </w:p>
    <w:p w14:paraId="66943A0A" w14:textId="511D1F6F" w:rsidR="00151FE4" w:rsidRDefault="00151FE4" w:rsidP="00C44D67">
      <w:pPr>
        <w:spacing w:before="240" w:after="0" w:line="360" w:lineRule="auto"/>
        <w:jc w:val="both"/>
        <w:rPr>
          <w:rFonts w:ascii="Arial" w:hAnsi="Arial" w:cs="Arial"/>
          <w:sz w:val="22"/>
          <w:szCs w:val="22"/>
        </w:rPr>
      </w:pPr>
      <w:r>
        <w:rPr>
          <w:rFonts w:ascii="Arial" w:hAnsi="Arial" w:cs="Arial"/>
          <w:sz w:val="22"/>
          <w:szCs w:val="22"/>
        </w:rPr>
        <w:br/>
      </w:r>
    </w:p>
    <w:p w14:paraId="654BC036" w14:textId="77777777" w:rsidR="00151FE4" w:rsidRDefault="00151FE4">
      <w:pPr>
        <w:rPr>
          <w:rFonts w:ascii="Arial" w:hAnsi="Arial" w:cs="Arial"/>
          <w:sz w:val="22"/>
          <w:szCs w:val="22"/>
        </w:rPr>
      </w:pPr>
      <w:r>
        <w:rPr>
          <w:rFonts w:ascii="Arial" w:hAnsi="Arial" w:cs="Arial"/>
          <w:sz w:val="22"/>
          <w:szCs w:val="22"/>
        </w:rPr>
        <w:br w:type="page"/>
      </w:r>
    </w:p>
    <w:p w14:paraId="2619BE1F" w14:textId="77777777" w:rsidR="00151FE4" w:rsidRDefault="00151FE4" w:rsidP="00151FE4">
      <w:pPr>
        <w:jc w:val="both"/>
        <w:rPr>
          <w:rFonts w:ascii="Arial" w:hAnsi="Arial" w:cs="Arial"/>
        </w:rPr>
      </w:pPr>
    </w:p>
    <w:p w14:paraId="449F7152" w14:textId="77777777" w:rsidR="00151FE4" w:rsidRDefault="00151FE4" w:rsidP="00151FE4">
      <w:pPr>
        <w:jc w:val="both"/>
        <w:rPr>
          <w:rFonts w:ascii="Arial" w:hAnsi="Arial" w:cs="Arial"/>
          <w:b/>
          <w:bCs/>
        </w:rPr>
      </w:pPr>
      <w:r w:rsidRPr="004D2E21">
        <w:rPr>
          <w:rFonts w:ascii="Arial" w:hAnsi="Arial" w:cs="Arial"/>
          <w:b/>
          <w:bCs/>
        </w:rPr>
        <w:t>REFERENCES</w:t>
      </w:r>
    </w:p>
    <w:p w14:paraId="33CB2A43" w14:textId="77777777" w:rsidR="00151FE4" w:rsidRPr="00C44D67" w:rsidRDefault="00151FE4" w:rsidP="00151FE4">
      <w:pPr>
        <w:spacing w:before="240" w:line="360" w:lineRule="auto"/>
        <w:jc w:val="both"/>
        <w:rPr>
          <w:rFonts w:ascii="Arial" w:hAnsi="Arial" w:cs="Arial"/>
          <w:sz w:val="22"/>
          <w:szCs w:val="22"/>
        </w:rPr>
      </w:pPr>
      <w:r w:rsidRPr="00C44D67">
        <w:rPr>
          <w:rFonts w:ascii="Arial" w:hAnsi="Arial" w:cs="Arial"/>
          <w:color w:val="222222"/>
          <w:sz w:val="22"/>
          <w:szCs w:val="22"/>
          <w:shd w:val="clear" w:color="auto" w:fill="FFFFFF"/>
        </w:rPr>
        <w:t>Adams, D. W. (2011). </w:t>
      </w:r>
      <w:r w:rsidRPr="00C44D67">
        <w:rPr>
          <w:rFonts w:ascii="Arial" w:hAnsi="Arial" w:cs="Arial"/>
          <w:i/>
          <w:iCs/>
          <w:color w:val="222222"/>
          <w:sz w:val="22"/>
          <w:szCs w:val="22"/>
          <w:shd w:val="clear" w:color="auto" w:fill="FFFFFF"/>
        </w:rPr>
        <w:t>The Rise and Fall of the Apothecaries' Assistants 1815-1923</w:t>
      </w:r>
      <w:r w:rsidRPr="00C44D67">
        <w:rPr>
          <w:rFonts w:ascii="Arial" w:hAnsi="Arial" w:cs="Arial"/>
          <w:color w:val="222222"/>
          <w:sz w:val="22"/>
          <w:szCs w:val="22"/>
          <w:shd w:val="clear" w:color="auto" w:fill="FFFFFF"/>
        </w:rPr>
        <w:t> (Doctoral dissertation).</w:t>
      </w:r>
    </w:p>
    <w:p w14:paraId="14210D28" w14:textId="77777777" w:rsidR="00151FE4" w:rsidRPr="00C44D67" w:rsidRDefault="00151FE4" w:rsidP="00151FE4">
      <w:pPr>
        <w:spacing w:before="240" w:line="360" w:lineRule="auto"/>
        <w:jc w:val="both"/>
        <w:rPr>
          <w:rFonts w:ascii="Arial" w:hAnsi="Arial" w:cs="Arial"/>
          <w:color w:val="222222"/>
          <w:sz w:val="22"/>
          <w:szCs w:val="22"/>
          <w:shd w:val="clear" w:color="auto" w:fill="FFFFFF"/>
        </w:rPr>
      </w:pPr>
      <w:r w:rsidRPr="00C44D67">
        <w:rPr>
          <w:rFonts w:ascii="Arial" w:hAnsi="Arial" w:cs="Arial"/>
          <w:color w:val="222222"/>
          <w:sz w:val="22"/>
          <w:szCs w:val="22"/>
          <w:shd w:val="clear" w:color="auto" w:fill="FFFFFF"/>
        </w:rPr>
        <w:t>Anderson, S. ed., 2005. </w:t>
      </w:r>
      <w:r w:rsidRPr="00C44D67">
        <w:rPr>
          <w:rFonts w:ascii="Arial" w:hAnsi="Arial" w:cs="Arial"/>
          <w:i/>
          <w:iCs/>
          <w:color w:val="222222"/>
          <w:sz w:val="22"/>
          <w:szCs w:val="22"/>
          <w:shd w:val="clear" w:color="auto" w:fill="FFFFFF"/>
        </w:rPr>
        <w:t>Making medicines: a brief history of pharmacy and pharmaceuticals</w:t>
      </w:r>
      <w:r w:rsidRPr="00C44D67">
        <w:rPr>
          <w:rFonts w:ascii="Arial" w:hAnsi="Arial" w:cs="Arial"/>
          <w:color w:val="222222"/>
          <w:sz w:val="22"/>
          <w:szCs w:val="22"/>
          <w:shd w:val="clear" w:color="auto" w:fill="FFFFFF"/>
        </w:rPr>
        <w:t>. Pharmaceutical Press.</w:t>
      </w:r>
    </w:p>
    <w:p w14:paraId="53026F94" w14:textId="77777777" w:rsidR="00151FE4" w:rsidRPr="00C44D67" w:rsidRDefault="00151FE4" w:rsidP="00151FE4">
      <w:pPr>
        <w:spacing w:before="240" w:line="360" w:lineRule="auto"/>
        <w:jc w:val="both"/>
        <w:rPr>
          <w:rFonts w:ascii="Arial" w:hAnsi="Arial" w:cs="Arial"/>
          <w:color w:val="222222"/>
          <w:sz w:val="22"/>
          <w:szCs w:val="22"/>
          <w:shd w:val="clear" w:color="auto" w:fill="FFFFFF"/>
        </w:rPr>
      </w:pPr>
      <w:r w:rsidRPr="00C44D67">
        <w:rPr>
          <w:rFonts w:ascii="Arial" w:hAnsi="Arial" w:cs="Arial"/>
          <w:color w:val="222222"/>
          <w:sz w:val="22"/>
          <w:szCs w:val="22"/>
          <w:shd w:val="clear" w:color="auto" w:fill="FFFFFF"/>
        </w:rPr>
        <w:t xml:space="preserve">Brown, S.L., Smith, J.E., </w:t>
      </w:r>
      <w:proofErr w:type="spellStart"/>
      <w:r w:rsidRPr="00C44D67">
        <w:rPr>
          <w:rFonts w:ascii="Arial" w:hAnsi="Arial" w:cs="Arial"/>
          <w:color w:val="222222"/>
          <w:sz w:val="22"/>
          <w:szCs w:val="22"/>
          <w:shd w:val="clear" w:color="auto" w:fill="FFFFFF"/>
        </w:rPr>
        <w:t>Rapado</w:t>
      </w:r>
      <w:proofErr w:type="spellEnd"/>
      <w:r w:rsidRPr="00C44D67">
        <w:rPr>
          <w:rFonts w:ascii="Arial" w:hAnsi="Arial" w:cs="Arial"/>
          <w:color w:val="222222"/>
          <w:sz w:val="22"/>
          <w:szCs w:val="22"/>
          <w:shd w:val="clear" w:color="auto" w:fill="FFFFFF"/>
        </w:rPr>
        <w:t xml:space="preserve">, R., Prior, A.L. and James, D.H., 2025. Public perceptions of community pharmacy roles in public health services: further content validity analysis of free text comments from the </w:t>
      </w:r>
      <w:proofErr w:type="spellStart"/>
      <w:r w:rsidRPr="00C44D67">
        <w:rPr>
          <w:rFonts w:ascii="Arial" w:hAnsi="Arial" w:cs="Arial"/>
          <w:color w:val="222222"/>
          <w:sz w:val="22"/>
          <w:szCs w:val="22"/>
          <w:shd w:val="clear" w:color="auto" w:fill="FFFFFF"/>
        </w:rPr>
        <w:t>PubPharmQ</w:t>
      </w:r>
      <w:proofErr w:type="spellEnd"/>
      <w:r w:rsidRPr="00C44D67">
        <w:rPr>
          <w:rFonts w:ascii="Arial" w:hAnsi="Arial" w:cs="Arial"/>
          <w:color w:val="222222"/>
          <w:sz w:val="22"/>
          <w:szCs w:val="22"/>
          <w:shd w:val="clear" w:color="auto" w:fill="FFFFFF"/>
        </w:rPr>
        <w:t xml:space="preserve"> Questionnaire. </w:t>
      </w:r>
      <w:r w:rsidRPr="00C44D67">
        <w:rPr>
          <w:rFonts w:ascii="Arial" w:hAnsi="Arial" w:cs="Arial"/>
          <w:i/>
          <w:iCs/>
          <w:color w:val="222222"/>
          <w:sz w:val="22"/>
          <w:szCs w:val="22"/>
          <w:shd w:val="clear" w:color="auto" w:fill="FFFFFF"/>
        </w:rPr>
        <w:t>International Journal of Pharmacy Practice</w:t>
      </w:r>
      <w:r w:rsidRPr="00C44D67">
        <w:rPr>
          <w:rFonts w:ascii="Arial" w:hAnsi="Arial" w:cs="Arial"/>
          <w:color w:val="222222"/>
          <w:sz w:val="22"/>
          <w:szCs w:val="22"/>
          <w:shd w:val="clear" w:color="auto" w:fill="FFFFFF"/>
        </w:rPr>
        <w:t xml:space="preserve">, </w:t>
      </w:r>
      <w:proofErr w:type="gramStart"/>
      <w:r w:rsidRPr="00C44D67">
        <w:rPr>
          <w:rFonts w:ascii="Arial" w:hAnsi="Arial" w:cs="Arial"/>
          <w:color w:val="222222"/>
          <w:sz w:val="22"/>
          <w:szCs w:val="22"/>
          <w:shd w:val="clear" w:color="auto" w:fill="FFFFFF"/>
        </w:rPr>
        <w:t>p.riaf</w:t>
      </w:r>
      <w:proofErr w:type="gramEnd"/>
      <w:r w:rsidRPr="00C44D67">
        <w:rPr>
          <w:rFonts w:ascii="Arial" w:hAnsi="Arial" w:cs="Arial"/>
          <w:color w:val="222222"/>
          <w:sz w:val="22"/>
          <w:szCs w:val="22"/>
          <w:shd w:val="clear" w:color="auto" w:fill="FFFFFF"/>
        </w:rPr>
        <w:t>031.</w:t>
      </w:r>
    </w:p>
    <w:p w14:paraId="1F7F5583" w14:textId="77777777" w:rsidR="00151FE4" w:rsidRPr="00C44D67" w:rsidRDefault="00151FE4" w:rsidP="00151FE4">
      <w:pPr>
        <w:spacing w:before="240" w:line="360" w:lineRule="auto"/>
        <w:jc w:val="both"/>
        <w:rPr>
          <w:rFonts w:ascii="Arial" w:hAnsi="Arial" w:cs="Arial"/>
          <w:sz w:val="22"/>
          <w:szCs w:val="22"/>
        </w:rPr>
      </w:pPr>
      <w:r w:rsidRPr="00C44D67">
        <w:rPr>
          <w:rFonts w:ascii="Arial" w:hAnsi="Arial" w:cs="Arial"/>
          <w:sz w:val="22"/>
          <w:szCs w:val="22"/>
        </w:rPr>
        <w:t>Community Pharmacy England – Pharmacy Pressures Survey 2025</w:t>
      </w:r>
    </w:p>
    <w:p w14:paraId="730046C6" w14:textId="77777777" w:rsidR="00151FE4" w:rsidRPr="00C44D67" w:rsidRDefault="00151FE4" w:rsidP="00151FE4">
      <w:pPr>
        <w:spacing w:before="240" w:line="360" w:lineRule="auto"/>
        <w:jc w:val="both"/>
        <w:rPr>
          <w:rFonts w:ascii="Arial" w:hAnsi="Arial" w:cs="Arial"/>
          <w:sz w:val="22"/>
          <w:szCs w:val="22"/>
        </w:rPr>
      </w:pPr>
      <w:r w:rsidRPr="00C44D67">
        <w:rPr>
          <w:rFonts w:ascii="Arial" w:hAnsi="Arial" w:cs="Arial"/>
          <w:sz w:val="22"/>
          <w:szCs w:val="22"/>
        </w:rPr>
        <w:t>Connelly, D. (2025). Funding gap: economic analysis paints dire picture of community pharmacy’s sustainability</w:t>
      </w:r>
    </w:p>
    <w:p w14:paraId="6CA7FF01" w14:textId="77777777" w:rsidR="00151FE4" w:rsidRPr="00C44D67" w:rsidRDefault="00151FE4" w:rsidP="00151FE4">
      <w:pPr>
        <w:spacing w:before="240" w:line="360" w:lineRule="auto"/>
        <w:jc w:val="both"/>
        <w:rPr>
          <w:rFonts w:ascii="Arial" w:hAnsi="Arial" w:cs="Arial"/>
          <w:b/>
          <w:bCs/>
          <w:sz w:val="22"/>
          <w:szCs w:val="22"/>
        </w:rPr>
      </w:pPr>
      <w:r w:rsidRPr="00C44D67">
        <w:rPr>
          <w:rFonts w:ascii="Arial" w:hAnsi="Arial" w:cs="Arial"/>
          <w:color w:val="222222"/>
          <w:sz w:val="22"/>
          <w:szCs w:val="22"/>
          <w:shd w:val="clear" w:color="auto" w:fill="FFFFFF"/>
        </w:rPr>
        <w:t>Gorsky, M., 2008. The British National Health Service 1948–2008: a review of the historiography. </w:t>
      </w:r>
      <w:r w:rsidRPr="00C44D67">
        <w:rPr>
          <w:rFonts w:ascii="Arial" w:hAnsi="Arial" w:cs="Arial"/>
          <w:i/>
          <w:iCs/>
          <w:color w:val="222222"/>
          <w:sz w:val="22"/>
          <w:szCs w:val="22"/>
          <w:shd w:val="clear" w:color="auto" w:fill="FFFFFF"/>
        </w:rPr>
        <w:t>Social History of Medicine</w:t>
      </w:r>
      <w:r w:rsidRPr="00C44D67">
        <w:rPr>
          <w:rFonts w:ascii="Arial" w:hAnsi="Arial" w:cs="Arial"/>
          <w:color w:val="222222"/>
          <w:sz w:val="22"/>
          <w:szCs w:val="22"/>
          <w:shd w:val="clear" w:color="auto" w:fill="FFFFFF"/>
        </w:rPr>
        <w:t>, </w:t>
      </w:r>
      <w:r w:rsidRPr="00C44D67">
        <w:rPr>
          <w:rFonts w:ascii="Arial" w:hAnsi="Arial" w:cs="Arial"/>
          <w:i/>
          <w:iCs/>
          <w:color w:val="222222"/>
          <w:sz w:val="22"/>
          <w:szCs w:val="22"/>
          <w:shd w:val="clear" w:color="auto" w:fill="FFFFFF"/>
        </w:rPr>
        <w:t>21</w:t>
      </w:r>
      <w:r w:rsidRPr="00C44D67">
        <w:rPr>
          <w:rFonts w:ascii="Arial" w:hAnsi="Arial" w:cs="Arial"/>
          <w:color w:val="222222"/>
          <w:sz w:val="22"/>
          <w:szCs w:val="22"/>
          <w:shd w:val="clear" w:color="auto" w:fill="FFFFFF"/>
        </w:rPr>
        <w:t>(3), pp.437-460.</w:t>
      </w:r>
    </w:p>
    <w:p w14:paraId="03EECAEB" w14:textId="77777777" w:rsidR="00151FE4" w:rsidRPr="00C44D67" w:rsidRDefault="00151FE4" w:rsidP="00151FE4">
      <w:pPr>
        <w:spacing w:before="240" w:line="360" w:lineRule="auto"/>
        <w:jc w:val="both"/>
        <w:rPr>
          <w:rFonts w:ascii="Arial" w:hAnsi="Arial" w:cs="Arial"/>
          <w:color w:val="222222"/>
          <w:sz w:val="22"/>
          <w:szCs w:val="22"/>
          <w:shd w:val="clear" w:color="auto" w:fill="FFFFFF"/>
        </w:rPr>
      </w:pPr>
      <w:proofErr w:type="spellStart"/>
      <w:r w:rsidRPr="00C44D67">
        <w:rPr>
          <w:rFonts w:ascii="Arial" w:hAnsi="Arial" w:cs="Arial"/>
          <w:color w:val="222222"/>
          <w:sz w:val="22"/>
          <w:szCs w:val="22"/>
          <w:shd w:val="clear" w:color="auto" w:fill="FFFFFF"/>
        </w:rPr>
        <w:t>Grosios</w:t>
      </w:r>
      <w:proofErr w:type="spellEnd"/>
      <w:r w:rsidRPr="00C44D67">
        <w:rPr>
          <w:rFonts w:ascii="Arial" w:hAnsi="Arial" w:cs="Arial"/>
          <w:color w:val="222222"/>
          <w:sz w:val="22"/>
          <w:szCs w:val="22"/>
          <w:shd w:val="clear" w:color="auto" w:fill="FFFFFF"/>
        </w:rPr>
        <w:t>, K., Gahan, P.B. and Burbidge, J., 2010. Overview of healthcare in the UK. </w:t>
      </w:r>
      <w:r w:rsidRPr="00C44D67">
        <w:rPr>
          <w:rFonts w:ascii="Arial" w:hAnsi="Arial" w:cs="Arial"/>
          <w:i/>
          <w:iCs/>
          <w:color w:val="222222"/>
          <w:sz w:val="22"/>
          <w:szCs w:val="22"/>
          <w:shd w:val="clear" w:color="auto" w:fill="FFFFFF"/>
        </w:rPr>
        <w:t>EPMA journal</w:t>
      </w:r>
      <w:r w:rsidRPr="00C44D67">
        <w:rPr>
          <w:rFonts w:ascii="Arial" w:hAnsi="Arial" w:cs="Arial"/>
          <w:color w:val="222222"/>
          <w:sz w:val="22"/>
          <w:szCs w:val="22"/>
          <w:shd w:val="clear" w:color="auto" w:fill="FFFFFF"/>
        </w:rPr>
        <w:t>, </w:t>
      </w:r>
      <w:r w:rsidRPr="00C44D67">
        <w:rPr>
          <w:rFonts w:ascii="Arial" w:hAnsi="Arial" w:cs="Arial"/>
          <w:i/>
          <w:iCs/>
          <w:color w:val="222222"/>
          <w:sz w:val="22"/>
          <w:szCs w:val="22"/>
          <w:shd w:val="clear" w:color="auto" w:fill="FFFFFF"/>
        </w:rPr>
        <w:t>1</w:t>
      </w:r>
      <w:r w:rsidRPr="00C44D67">
        <w:rPr>
          <w:rFonts w:ascii="Arial" w:hAnsi="Arial" w:cs="Arial"/>
          <w:color w:val="222222"/>
          <w:sz w:val="22"/>
          <w:szCs w:val="22"/>
          <w:shd w:val="clear" w:color="auto" w:fill="FFFFFF"/>
        </w:rPr>
        <w:t>(4), pp.529-534.</w:t>
      </w:r>
    </w:p>
    <w:p w14:paraId="7AEB4F17" w14:textId="77777777" w:rsidR="00151FE4" w:rsidRPr="00C44D67" w:rsidRDefault="00151FE4" w:rsidP="00151FE4">
      <w:pPr>
        <w:spacing w:before="240" w:line="360" w:lineRule="auto"/>
        <w:jc w:val="both"/>
        <w:rPr>
          <w:rFonts w:ascii="Arial" w:hAnsi="Arial" w:cs="Arial"/>
          <w:color w:val="222222"/>
          <w:sz w:val="22"/>
          <w:szCs w:val="22"/>
          <w:shd w:val="clear" w:color="auto" w:fill="FFFFFF"/>
        </w:rPr>
      </w:pPr>
      <w:r w:rsidRPr="00C44D67">
        <w:rPr>
          <w:rFonts w:ascii="Arial" w:hAnsi="Arial" w:cs="Arial"/>
          <w:color w:val="222222"/>
          <w:sz w:val="22"/>
          <w:szCs w:val="22"/>
          <w:shd w:val="clear" w:color="auto" w:fill="FFFFFF"/>
        </w:rPr>
        <w:t>Holloway, S.W., 1966. THE Apothecaries’ Act, 1815: A Reinterpretation. </w:t>
      </w:r>
      <w:r w:rsidRPr="00C44D67">
        <w:rPr>
          <w:rFonts w:ascii="Arial" w:hAnsi="Arial" w:cs="Arial"/>
          <w:i/>
          <w:iCs/>
          <w:color w:val="222222"/>
          <w:sz w:val="22"/>
          <w:szCs w:val="22"/>
          <w:shd w:val="clear" w:color="auto" w:fill="FFFFFF"/>
        </w:rPr>
        <w:t>Medical History</w:t>
      </w:r>
      <w:r w:rsidRPr="00C44D67">
        <w:rPr>
          <w:rFonts w:ascii="Arial" w:hAnsi="Arial" w:cs="Arial"/>
          <w:color w:val="222222"/>
          <w:sz w:val="22"/>
          <w:szCs w:val="22"/>
          <w:shd w:val="clear" w:color="auto" w:fill="FFFFFF"/>
        </w:rPr>
        <w:t>, </w:t>
      </w:r>
      <w:r w:rsidRPr="00C44D67">
        <w:rPr>
          <w:rFonts w:ascii="Arial" w:hAnsi="Arial" w:cs="Arial"/>
          <w:i/>
          <w:iCs/>
          <w:color w:val="222222"/>
          <w:sz w:val="22"/>
          <w:szCs w:val="22"/>
          <w:shd w:val="clear" w:color="auto" w:fill="FFFFFF"/>
        </w:rPr>
        <w:t>10</w:t>
      </w:r>
      <w:r w:rsidRPr="00C44D67">
        <w:rPr>
          <w:rFonts w:ascii="Arial" w:hAnsi="Arial" w:cs="Arial"/>
          <w:color w:val="222222"/>
          <w:sz w:val="22"/>
          <w:szCs w:val="22"/>
          <w:shd w:val="clear" w:color="auto" w:fill="FFFFFF"/>
        </w:rPr>
        <w:t>(2), pp.107-129.</w:t>
      </w:r>
    </w:p>
    <w:p w14:paraId="30462EA0" w14:textId="77777777" w:rsidR="00151FE4" w:rsidRPr="00C44D67" w:rsidRDefault="00151FE4" w:rsidP="00151FE4">
      <w:pPr>
        <w:spacing w:before="240" w:line="360" w:lineRule="auto"/>
        <w:jc w:val="both"/>
        <w:rPr>
          <w:rFonts w:ascii="Arial" w:hAnsi="Arial" w:cs="Arial"/>
          <w:b/>
          <w:bCs/>
          <w:sz w:val="22"/>
          <w:szCs w:val="22"/>
        </w:rPr>
      </w:pPr>
      <w:r w:rsidRPr="00C44D67">
        <w:rPr>
          <w:rFonts w:ascii="Arial" w:hAnsi="Arial" w:cs="Arial"/>
          <w:color w:val="222222"/>
          <w:sz w:val="22"/>
          <w:szCs w:val="22"/>
          <w:shd w:val="clear" w:color="auto" w:fill="FFFFFF"/>
        </w:rPr>
        <w:t>Khan, Z., 2023. The emerging challenges and strengths of the National Health Services: a physician perspective. </w:t>
      </w:r>
      <w:r w:rsidRPr="00C44D67">
        <w:rPr>
          <w:rFonts w:ascii="Arial" w:hAnsi="Arial" w:cs="Arial"/>
          <w:i/>
          <w:iCs/>
          <w:color w:val="222222"/>
          <w:sz w:val="22"/>
          <w:szCs w:val="22"/>
          <w:shd w:val="clear" w:color="auto" w:fill="FFFFFF"/>
        </w:rPr>
        <w:t>Cureus</w:t>
      </w:r>
      <w:r w:rsidRPr="00C44D67">
        <w:rPr>
          <w:rFonts w:ascii="Arial" w:hAnsi="Arial" w:cs="Arial"/>
          <w:color w:val="222222"/>
          <w:sz w:val="22"/>
          <w:szCs w:val="22"/>
          <w:shd w:val="clear" w:color="auto" w:fill="FFFFFF"/>
        </w:rPr>
        <w:t>, </w:t>
      </w:r>
      <w:r w:rsidRPr="00C44D67">
        <w:rPr>
          <w:rFonts w:ascii="Arial" w:hAnsi="Arial" w:cs="Arial"/>
          <w:i/>
          <w:iCs/>
          <w:color w:val="222222"/>
          <w:sz w:val="22"/>
          <w:szCs w:val="22"/>
          <w:shd w:val="clear" w:color="auto" w:fill="FFFFFF"/>
        </w:rPr>
        <w:t>15</w:t>
      </w:r>
      <w:r w:rsidRPr="00C44D67">
        <w:rPr>
          <w:rFonts w:ascii="Arial" w:hAnsi="Arial" w:cs="Arial"/>
          <w:color w:val="222222"/>
          <w:sz w:val="22"/>
          <w:szCs w:val="22"/>
          <w:shd w:val="clear" w:color="auto" w:fill="FFFFFF"/>
        </w:rPr>
        <w:t>(5).</w:t>
      </w:r>
    </w:p>
    <w:p w14:paraId="0F7780FA" w14:textId="77777777" w:rsidR="00151FE4" w:rsidRPr="00C44D67" w:rsidRDefault="00151FE4" w:rsidP="00151FE4">
      <w:pPr>
        <w:spacing w:before="240" w:line="360" w:lineRule="auto"/>
        <w:jc w:val="both"/>
        <w:rPr>
          <w:sz w:val="22"/>
          <w:szCs w:val="22"/>
        </w:rPr>
      </w:pPr>
      <w:r w:rsidRPr="00C44D67">
        <w:rPr>
          <w:rFonts w:ascii="Arial" w:hAnsi="Arial" w:cs="Arial"/>
          <w:color w:val="222222"/>
          <w:sz w:val="22"/>
          <w:szCs w:val="22"/>
          <w:shd w:val="clear" w:color="auto" w:fill="FFFFFF"/>
        </w:rPr>
        <w:t>Klein, R., 2019. </w:t>
      </w:r>
      <w:r w:rsidRPr="00C44D67">
        <w:rPr>
          <w:rFonts w:ascii="Arial" w:hAnsi="Arial" w:cs="Arial"/>
          <w:i/>
          <w:iCs/>
          <w:color w:val="222222"/>
          <w:sz w:val="22"/>
          <w:szCs w:val="22"/>
          <w:shd w:val="clear" w:color="auto" w:fill="FFFFFF"/>
        </w:rPr>
        <w:t>The new politics of the NHS</w:t>
      </w:r>
      <w:r w:rsidRPr="00C44D67">
        <w:rPr>
          <w:rFonts w:ascii="Arial" w:hAnsi="Arial" w:cs="Arial"/>
          <w:color w:val="222222"/>
          <w:sz w:val="22"/>
          <w:szCs w:val="22"/>
          <w:shd w:val="clear" w:color="auto" w:fill="FFFFFF"/>
        </w:rPr>
        <w:t>. CRC Press.</w:t>
      </w:r>
    </w:p>
    <w:p w14:paraId="769BA9EB" w14:textId="77777777" w:rsidR="00151FE4" w:rsidRPr="00C44D67" w:rsidRDefault="00151FE4" w:rsidP="00151FE4">
      <w:pPr>
        <w:spacing w:before="240" w:line="360" w:lineRule="auto"/>
        <w:jc w:val="both"/>
        <w:rPr>
          <w:rFonts w:ascii="Arial" w:hAnsi="Arial" w:cs="Arial"/>
          <w:sz w:val="22"/>
          <w:szCs w:val="22"/>
        </w:rPr>
      </w:pPr>
      <w:proofErr w:type="spellStart"/>
      <w:r w:rsidRPr="00C44D67">
        <w:rPr>
          <w:rFonts w:ascii="Arial" w:hAnsi="Arial" w:cs="Arial"/>
          <w:color w:val="222222"/>
          <w:sz w:val="22"/>
          <w:szCs w:val="22"/>
          <w:shd w:val="clear" w:color="auto" w:fill="FFFFFF"/>
        </w:rPr>
        <w:t>Moullin</w:t>
      </w:r>
      <w:proofErr w:type="spellEnd"/>
      <w:r w:rsidRPr="00C44D67">
        <w:rPr>
          <w:rFonts w:ascii="Arial" w:hAnsi="Arial" w:cs="Arial"/>
          <w:color w:val="222222"/>
          <w:sz w:val="22"/>
          <w:szCs w:val="22"/>
          <w:shd w:val="clear" w:color="auto" w:fill="FFFFFF"/>
        </w:rPr>
        <w:t>, J.C., Sabater-Hernández, D., Fernandez-</w:t>
      </w:r>
      <w:proofErr w:type="spellStart"/>
      <w:r w:rsidRPr="00C44D67">
        <w:rPr>
          <w:rFonts w:ascii="Arial" w:hAnsi="Arial" w:cs="Arial"/>
          <w:color w:val="222222"/>
          <w:sz w:val="22"/>
          <w:szCs w:val="22"/>
          <w:shd w:val="clear" w:color="auto" w:fill="FFFFFF"/>
        </w:rPr>
        <w:t>Llimos</w:t>
      </w:r>
      <w:proofErr w:type="spellEnd"/>
      <w:r w:rsidRPr="00C44D67">
        <w:rPr>
          <w:rFonts w:ascii="Arial" w:hAnsi="Arial" w:cs="Arial"/>
          <w:color w:val="222222"/>
          <w:sz w:val="22"/>
          <w:szCs w:val="22"/>
          <w:shd w:val="clear" w:color="auto" w:fill="FFFFFF"/>
        </w:rPr>
        <w:t>, F. and Benrimoj, S.I., 2013. Defining professional pharmacy services in community pharmacy. </w:t>
      </w:r>
      <w:r w:rsidRPr="00C44D67">
        <w:rPr>
          <w:rFonts w:ascii="Arial" w:hAnsi="Arial" w:cs="Arial"/>
          <w:i/>
          <w:iCs/>
          <w:color w:val="222222"/>
          <w:sz w:val="22"/>
          <w:szCs w:val="22"/>
          <w:shd w:val="clear" w:color="auto" w:fill="FFFFFF"/>
        </w:rPr>
        <w:t>Research in Social and Administrative Pharmacy</w:t>
      </w:r>
      <w:r w:rsidRPr="00C44D67">
        <w:rPr>
          <w:rFonts w:ascii="Arial" w:hAnsi="Arial" w:cs="Arial"/>
          <w:color w:val="222222"/>
          <w:sz w:val="22"/>
          <w:szCs w:val="22"/>
          <w:shd w:val="clear" w:color="auto" w:fill="FFFFFF"/>
        </w:rPr>
        <w:t>, </w:t>
      </w:r>
      <w:r w:rsidRPr="00C44D67">
        <w:rPr>
          <w:rFonts w:ascii="Arial" w:hAnsi="Arial" w:cs="Arial"/>
          <w:i/>
          <w:iCs/>
          <w:color w:val="222222"/>
          <w:sz w:val="22"/>
          <w:szCs w:val="22"/>
          <w:shd w:val="clear" w:color="auto" w:fill="FFFFFF"/>
        </w:rPr>
        <w:t>9</w:t>
      </w:r>
      <w:r w:rsidRPr="00C44D67">
        <w:rPr>
          <w:rFonts w:ascii="Arial" w:hAnsi="Arial" w:cs="Arial"/>
          <w:color w:val="222222"/>
          <w:sz w:val="22"/>
          <w:szCs w:val="22"/>
          <w:shd w:val="clear" w:color="auto" w:fill="FFFFFF"/>
        </w:rPr>
        <w:t>(6), pp.989-995.</w:t>
      </w:r>
    </w:p>
    <w:p w14:paraId="4CD297ED" w14:textId="77777777" w:rsidR="00151FE4" w:rsidRPr="00C44D67" w:rsidRDefault="00151FE4" w:rsidP="00151FE4">
      <w:pPr>
        <w:spacing w:before="240" w:line="360" w:lineRule="auto"/>
        <w:jc w:val="both"/>
        <w:rPr>
          <w:rFonts w:ascii="Arial" w:hAnsi="Arial" w:cs="Arial"/>
          <w:sz w:val="22"/>
          <w:szCs w:val="22"/>
        </w:rPr>
      </w:pPr>
      <w:r w:rsidRPr="00C44D67">
        <w:rPr>
          <w:rFonts w:ascii="Arial" w:hAnsi="Arial" w:cs="Arial"/>
          <w:sz w:val="22"/>
          <w:szCs w:val="22"/>
        </w:rPr>
        <w:lastRenderedPageBreak/>
        <w:t xml:space="preserve">Royal Pharmaceutical Society (n.d.). In the Beginning: The </w:t>
      </w:r>
      <w:r>
        <w:rPr>
          <w:rFonts w:ascii="Arial" w:hAnsi="Arial" w:cs="Arial"/>
          <w:sz w:val="22"/>
          <w:szCs w:val="22"/>
        </w:rPr>
        <w:t>H</w:t>
      </w:r>
      <w:r w:rsidRPr="00C44D67">
        <w:rPr>
          <w:rFonts w:ascii="Arial" w:hAnsi="Arial" w:cs="Arial"/>
          <w:sz w:val="22"/>
          <w:szCs w:val="22"/>
        </w:rPr>
        <w:t xml:space="preserve">istory of Royal Pharmaceutical Society. </w:t>
      </w:r>
      <w:hyperlink r:id="rId24" w:history="1">
        <w:r w:rsidRPr="00C44D67">
          <w:rPr>
            <w:rStyle w:val="Hyperlink"/>
            <w:rFonts w:ascii="Arial" w:hAnsi="Arial" w:cs="Arial"/>
            <w:sz w:val="22"/>
            <w:szCs w:val="22"/>
          </w:rPr>
          <w:t>https://www.rpharms.com/history</w:t>
        </w:r>
      </w:hyperlink>
      <w:r>
        <w:rPr>
          <w:rFonts w:ascii="Arial" w:hAnsi="Arial" w:cs="Arial"/>
          <w:sz w:val="22"/>
          <w:szCs w:val="22"/>
        </w:rPr>
        <w:t xml:space="preserve"> (Accessed: 12 October, 2025).</w:t>
      </w:r>
    </w:p>
    <w:p w14:paraId="461B4D2B" w14:textId="77777777" w:rsidR="00151FE4" w:rsidRPr="00C44D67" w:rsidRDefault="00151FE4" w:rsidP="00151FE4">
      <w:pPr>
        <w:spacing w:before="240" w:line="360" w:lineRule="auto"/>
        <w:jc w:val="both"/>
        <w:rPr>
          <w:rFonts w:ascii="Arial" w:hAnsi="Arial" w:cs="Arial"/>
          <w:color w:val="222222"/>
          <w:sz w:val="22"/>
          <w:szCs w:val="22"/>
          <w:shd w:val="clear" w:color="auto" w:fill="FFFFFF"/>
        </w:rPr>
      </w:pPr>
      <w:r w:rsidRPr="00C44D67">
        <w:rPr>
          <w:rFonts w:ascii="Arial" w:hAnsi="Arial" w:cs="Arial"/>
          <w:color w:val="222222"/>
          <w:sz w:val="22"/>
          <w:szCs w:val="22"/>
          <w:shd w:val="clear" w:color="auto" w:fill="FFFFFF"/>
        </w:rPr>
        <w:t>Simmons, A.E., 2004. </w:t>
      </w:r>
      <w:r w:rsidRPr="00C44D67">
        <w:rPr>
          <w:rFonts w:ascii="Arial" w:hAnsi="Arial" w:cs="Arial"/>
          <w:i/>
          <w:iCs/>
          <w:color w:val="222222"/>
          <w:sz w:val="22"/>
          <w:szCs w:val="22"/>
          <w:shd w:val="clear" w:color="auto" w:fill="FFFFFF"/>
        </w:rPr>
        <w:t>The chemical and pharmaceutical trading activities of the Society of Apothecaries, 1822 to 1922</w:t>
      </w:r>
      <w:r w:rsidRPr="00C44D67">
        <w:rPr>
          <w:rFonts w:ascii="Arial" w:hAnsi="Arial" w:cs="Arial"/>
          <w:color w:val="222222"/>
          <w:sz w:val="22"/>
          <w:szCs w:val="22"/>
          <w:shd w:val="clear" w:color="auto" w:fill="FFFFFF"/>
        </w:rPr>
        <w:t>. Open University (United Kingdom).</w:t>
      </w:r>
    </w:p>
    <w:p w14:paraId="206C3DF2" w14:textId="77777777" w:rsidR="00151FE4" w:rsidRPr="00C44D67" w:rsidRDefault="00151FE4" w:rsidP="00151FE4">
      <w:pPr>
        <w:spacing w:before="240" w:line="360" w:lineRule="auto"/>
        <w:jc w:val="both"/>
        <w:rPr>
          <w:rFonts w:ascii="Arial" w:hAnsi="Arial" w:cs="Arial"/>
          <w:color w:val="222222"/>
          <w:sz w:val="22"/>
          <w:szCs w:val="22"/>
          <w:shd w:val="clear" w:color="auto" w:fill="FFFFFF"/>
        </w:rPr>
      </w:pPr>
      <w:r w:rsidRPr="00C44D67">
        <w:rPr>
          <w:rFonts w:ascii="Arial" w:hAnsi="Arial" w:cs="Arial"/>
          <w:color w:val="222222"/>
          <w:sz w:val="22"/>
          <w:szCs w:val="22"/>
          <w:shd w:val="clear" w:color="auto" w:fill="FFFFFF"/>
        </w:rPr>
        <w:t>Tannenbaum, C. and Tsuyuki, R.T., 2013. The expanding scope of pharmacists’ practice: implications for physicians. </w:t>
      </w:r>
      <w:proofErr w:type="spellStart"/>
      <w:r w:rsidRPr="00C44D67">
        <w:rPr>
          <w:rFonts w:ascii="Arial" w:hAnsi="Arial" w:cs="Arial"/>
          <w:i/>
          <w:iCs/>
          <w:color w:val="222222"/>
          <w:sz w:val="22"/>
          <w:szCs w:val="22"/>
          <w:shd w:val="clear" w:color="auto" w:fill="FFFFFF"/>
        </w:rPr>
        <w:t>Cmaj</w:t>
      </w:r>
      <w:proofErr w:type="spellEnd"/>
      <w:r w:rsidRPr="00C44D67">
        <w:rPr>
          <w:rFonts w:ascii="Arial" w:hAnsi="Arial" w:cs="Arial"/>
          <w:color w:val="222222"/>
          <w:sz w:val="22"/>
          <w:szCs w:val="22"/>
          <w:shd w:val="clear" w:color="auto" w:fill="FFFFFF"/>
        </w:rPr>
        <w:t>, </w:t>
      </w:r>
      <w:r w:rsidRPr="00C44D67">
        <w:rPr>
          <w:rFonts w:ascii="Arial" w:hAnsi="Arial" w:cs="Arial"/>
          <w:i/>
          <w:iCs/>
          <w:color w:val="222222"/>
          <w:sz w:val="22"/>
          <w:szCs w:val="22"/>
          <w:shd w:val="clear" w:color="auto" w:fill="FFFFFF"/>
        </w:rPr>
        <w:t>185</w:t>
      </w:r>
      <w:r w:rsidRPr="00C44D67">
        <w:rPr>
          <w:rFonts w:ascii="Arial" w:hAnsi="Arial" w:cs="Arial"/>
          <w:color w:val="222222"/>
          <w:sz w:val="22"/>
          <w:szCs w:val="22"/>
          <w:shd w:val="clear" w:color="auto" w:fill="FFFFFF"/>
        </w:rPr>
        <w:t>(14), pp.1228-1232.</w:t>
      </w:r>
    </w:p>
    <w:p w14:paraId="73911FCA" w14:textId="77777777" w:rsidR="00151FE4" w:rsidRPr="00C44D67" w:rsidRDefault="00151FE4" w:rsidP="00151FE4">
      <w:pPr>
        <w:spacing w:before="240" w:after="0" w:line="360" w:lineRule="auto"/>
        <w:jc w:val="both"/>
        <w:rPr>
          <w:rFonts w:ascii="Arial" w:hAnsi="Arial" w:cs="Arial"/>
          <w:sz w:val="22"/>
          <w:szCs w:val="22"/>
        </w:rPr>
      </w:pPr>
      <w:r w:rsidRPr="00C44D67">
        <w:rPr>
          <w:rFonts w:ascii="Arial" w:hAnsi="Arial" w:cs="Arial"/>
          <w:sz w:val="22"/>
          <w:szCs w:val="22"/>
        </w:rPr>
        <w:t xml:space="preserve">The Kings fund (2022). The Health and Social Care Act 2022: How we got here and what it means </w:t>
      </w:r>
      <w:hyperlink r:id="rId25" w:history="1">
        <w:r w:rsidRPr="00C44D67">
          <w:rPr>
            <w:rStyle w:val="Hyperlink"/>
            <w:rFonts w:ascii="Arial" w:hAnsi="Arial" w:cs="Arial"/>
            <w:sz w:val="22"/>
            <w:szCs w:val="22"/>
          </w:rPr>
          <w:t>https://www.kingsfund.org.uk/insight-and-analysis/projects/health-and-care-act-2022-make-sense-legislation</w:t>
        </w:r>
      </w:hyperlink>
      <w:r w:rsidRPr="00C44D67">
        <w:rPr>
          <w:rFonts w:ascii="Arial" w:hAnsi="Arial" w:cs="Arial"/>
          <w:sz w:val="22"/>
          <w:szCs w:val="22"/>
        </w:rPr>
        <w:t xml:space="preserve"> </w:t>
      </w:r>
      <w:r>
        <w:rPr>
          <w:rFonts w:ascii="Arial" w:hAnsi="Arial" w:cs="Arial"/>
          <w:sz w:val="22"/>
          <w:szCs w:val="22"/>
        </w:rPr>
        <w:t>(Accessed: 12 October, 2025).</w:t>
      </w:r>
    </w:p>
    <w:p w14:paraId="217D6F09" w14:textId="77777777" w:rsidR="00151FE4" w:rsidRPr="00C44D67" w:rsidRDefault="00151FE4" w:rsidP="00151FE4">
      <w:pPr>
        <w:spacing w:before="240" w:line="360" w:lineRule="auto"/>
        <w:jc w:val="both"/>
        <w:rPr>
          <w:rFonts w:ascii="Arial" w:hAnsi="Arial" w:cs="Arial"/>
          <w:sz w:val="22"/>
          <w:szCs w:val="22"/>
        </w:rPr>
      </w:pPr>
      <w:r w:rsidRPr="00C44D67">
        <w:rPr>
          <w:rFonts w:ascii="Arial" w:hAnsi="Arial" w:cs="Arial"/>
          <w:sz w:val="22"/>
          <w:szCs w:val="22"/>
        </w:rPr>
        <w:t xml:space="preserve">The Pharmaceutical Journal (2018). NH70 Major moments in pharmacy 1948 – 2018. Available at: </w:t>
      </w:r>
      <w:hyperlink r:id="rId26" w:history="1">
        <w:r w:rsidRPr="00C44D67">
          <w:rPr>
            <w:rStyle w:val="Hyperlink"/>
            <w:rFonts w:ascii="Arial" w:hAnsi="Arial" w:cs="Arial"/>
            <w:sz w:val="22"/>
            <w:szCs w:val="22"/>
          </w:rPr>
          <w:t>https://pharmaceutical-journal.com/article/infographics/nhs70-major-moments-in-pharmacy-1948-2018</w:t>
        </w:r>
      </w:hyperlink>
      <w:r>
        <w:rPr>
          <w:rFonts w:ascii="Arial" w:hAnsi="Arial" w:cs="Arial"/>
          <w:sz w:val="22"/>
          <w:szCs w:val="22"/>
        </w:rPr>
        <w:t xml:space="preserve"> (Accessed: 12 October, 2025).</w:t>
      </w:r>
    </w:p>
    <w:p w14:paraId="6419806A" w14:textId="77777777" w:rsidR="00151FE4" w:rsidRPr="00C44D67" w:rsidRDefault="00151FE4" w:rsidP="00151FE4">
      <w:pPr>
        <w:spacing w:before="240" w:line="360" w:lineRule="auto"/>
        <w:jc w:val="both"/>
        <w:rPr>
          <w:rFonts w:ascii="Arial" w:hAnsi="Arial" w:cs="Arial"/>
          <w:sz w:val="22"/>
          <w:szCs w:val="22"/>
        </w:rPr>
      </w:pPr>
      <w:r w:rsidRPr="00C44D67">
        <w:rPr>
          <w:rFonts w:ascii="Arial" w:hAnsi="Arial" w:cs="Arial"/>
          <w:color w:val="222222"/>
          <w:sz w:val="22"/>
          <w:szCs w:val="22"/>
          <w:shd w:val="clear" w:color="auto" w:fill="FFFFFF"/>
        </w:rPr>
        <w:t>Watkin, B., 1978. </w:t>
      </w:r>
      <w:r w:rsidRPr="00C44D67">
        <w:rPr>
          <w:rFonts w:ascii="Arial" w:hAnsi="Arial" w:cs="Arial"/>
          <w:i/>
          <w:iCs/>
          <w:color w:val="222222"/>
          <w:sz w:val="22"/>
          <w:szCs w:val="22"/>
          <w:shd w:val="clear" w:color="auto" w:fill="FFFFFF"/>
        </w:rPr>
        <w:t>The National Health Service: the first phase. 1948-1974 and after</w:t>
      </w:r>
      <w:r w:rsidRPr="00C44D67">
        <w:rPr>
          <w:rFonts w:ascii="Arial" w:hAnsi="Arial" w:cs="Arial"/>
          <w:color w:val="222222"/>
          <w:sz w:val="22"/>
          <w:szCs w:val="22"/>
          <w:shd w:val="clear" w:color="auto" w:fill="FFFFFF"/>
        </w:rPr>
        <w:t> (pp. v170).</w:t>
      </w:r>
    </w:p>
    <w:p w14:paraId="41603BAC" w14:textId="77777777" w:rsidR="00151FE4" w:rsidRDefault="00151FE4" w:rsidP="00151FE4"/>
    <w:p w14:paraId="2165954B" w14:textId="77777777" w:rsidR="00151FE4" w:rsidRDefault="00151FE4" w:rsidP="00C44D67">
      <w:pPr>
        <w:spacing w:before="240" w:after="0" w:line="360" w:lineRule="auto"/>
        <w:jc w:val="both"/>
        <w:rPr>
          <w:rFonts w:ascii="Arial" w:hAnsi="Arial" w:cs="Arial"/>
          <w:sz w:val="22"/>
          <w:szCs w:val="22"/>
        </w:rPr>
      </w:pPr>
    </w:p>
    <w:p w14:paraId="68A416BA" w14:textId="77777777" w:rsidR="00C44D67" w:rsidRDefault="00C44D67" w:rsidP="00C44D67">
      <w:pPr>
        <w:spacing w:after="0" w:line="360" w:lineRule="auto"/>
        <w:jc w:val="both"/>
        <w:rPr>
          <w:rFonts w:ascii="Arial" w:hAnsi="Arial" w:cs="Arial"/>
          <w:sz w:val="22"/>
          <w:szCs w:val="22"/>
        </w:rPr>
      </w:pPr>
    </w:p>
    <w:p w14:paraId="40C3A285" w14:textId="77777777" w:rsidR="00C44D67" w:rsidRDefault="00C44D67" w:rsidP="00C44D67">
      <w:pPr>
        <w:spacing w:after="0" w:line="360" w:lineRule="auto"/>
        <w:jc w:val="both"/>
        <w:rPr>
          <w:rFonts w:ascii="Arial" w:hAnsi="Arial" w:cs="Arial"/>
          <w:sz w:val="22"/>
          <w:szCs w:val="22"/>
        </w:rPr>
      </w:pPr>
    </w:p>
    <w:p w14:paraId="047AEE47" w14:textId="77777777" w:rsidR="00C4185C" w:rsidRDefault="00C4185C" w:rsidP="00DD0E68">
      <w:pPr>
        <w:jc w:val="both"/>
        <w:rPr>
          <w:rFonts w:ascii="Arial" w:hAnsi="Arial" w:cs="Arial"/>
          <w:b/>
          <w:bCs/>
        </w:rPr>
      </w:pPr>
    </w:p>
    <w:p w14:paraId="71DA8EC7" w14:textId="77777777" w:rsidR="00DD0E68" w:rsidRDefault="00DD0E68" w:rsidP="00DD0E68">
      <w:pPr>
        <w:jc w:val="both"/>
        <w:rPr>
          <w:rFonts w:ascii="Arial" w:hAnsi="Arial" w:cs="Arial"/>
        </w:rPr>
      </w:pPr>
    </w:p>
    <w:sectPr w:rsidR="00DD0E68" w:rsidSect="00C44D6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46E74" w14:textId="77777777" w:rsidR="004B62EC" w:rsidRDefault="004B62EC" w:rsidP="00285744">
      <w:pPr>
        <w:spacing w:after="0" w:line="240" w:lineRule="auto"/>
      </w:pPr>
      <w:r>
        <w:separator/>
      </w:r>
    </w:p>
  </w:endnote>
  <w:endnote w:type="continuationSeparator" w:id="0">
    <w:p w14:paraId="7FD02D33" w14:textId="77777777" w:rsidR="004B62EC" w:rsidRDefault="004B62EC" w:rsidP="00285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94D43" w14:textId="77777777" w:rsidR="00C44D67" w:rsidRDefault="00C44D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263489"/>
      <w:docPartObj>
        <w:docPartGallery w:val="Page Numbers (Bottom of Page)"/>
        <w:docPartUnique/>
      </w:docPartObj>
    </w:sdtPr>
    <w:sdtEndPr>
      <w:rPr>
        <w:noProof/>
      </w:rPr>
    </w:sdtEndPr>
    <w:sdtContent>
      <w:p w14:paraId="2736763C" w14:textId="51DD5EDC" w:rsidR="00C44D67" w:rsidRDefault="00C44D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9EBD8E" w14:textId="77777777" w:rsidR="00285744" w:rsidRDefault="002857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9EEE7" w14:textId="77777777" w:rsidR="00C44D67" w:rsidRDefault="00C44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44488" w14:textId="77777777" w:rsidR="004B62EC" w:rsidRDefault="004B62EC" w:rsidP="00285744">
      <w:pPr>
        <w:spacing w:after="0" w:line="240" w:lineRule="auto"/>
      </w:pPr>
      <w:r>
        <w:separator/>
      </w:r>
    </w:p>
  </w:footnote>
  <w:footnote w:type="continuationSeparator" w:id="0">
    <w:p w14:paraId="478A2208" w14:textId="77777777" w:rsidR="004B62EC" w:rsidRDefault="004B62EC" w:rsidP="002857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F1020" w14:textId="77777777" w:rsidR="00C44D67" w:rsidRDefault="00C44D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CEE45" w14:textId="77777777" w:rsidR="00285744" w:rsidRDefault="002857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408B2" w14:textId="77777777" w:rsidR="00C44D67" w:rsidRPr="00C44D67" w:rsidRDefault="00C44D67" w:rsidP="00C44D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30pt;height:30pt;visibility:visible;mso-wrap-style:square" o:bullet="t">
        <v:imagedata r:id="rId1" o:title=""/>
      </v:shape>
    </w:pict>
  </w:numPicBullet>
  <w:abstractNum w:abstractNumId="0" w15:restartNumberingAfterBreak="0">
    <w:nsid w:val="1C756E55"/>
    <w:multiLevelType w:val="multilevel"/>
    <w:tmpl w:val="28906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48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E0sTA2MTcxtzSysDBW0lEKTi0uzszPAykwqgUAFNTXMSwAAAA="/>
  </w:docVars>
  <w:rsids>
    <w:rsidRoot w:val="00285744"/>
    <w:rsid w:val="00000E69"/>
    <w:rsid w:val="000B11E1"/>
    <w:rsid w:val="000D49F1"/>
    <w:rsid w:val="000F307D"/>
    <w:rsid w:val="001244AF"/>
    <w:rsid w:val="0014106F"/>
    <w:rsid w:val="00151FE4"/>
    <w:rsid w:val="00182D97"/>
    <w:rsid w:val="002722E9"/>
    <w:rsid w:val="00285744"/>
    <w:rsid w:val="0029566E"/>
    <w:rsid w:val="002A6457"/>
    <w:rsid w:val="002B5554"/>
    <w:rsid w:val="00317EE3"/>
    <w:rsid w:val="003608D1"/>
    <w:rsid w:val="003A0971"/>
    <w:rsid w:val="003B671A"/>
    <w:rsid w:val="003B755B"/>
    <w:rsid w:val="003D6DA4"/>
    <w:rsid w:val="004047D4"/>
    <w:rsid w:val="004A74C0"/>
    <w:rsid w:val="004B62EC"/>
    <w:rsid w:val="004D2E21"/>
    <w:rsid w:val="004F5063"/>
    <w:rsid w:val="00670CFA"/>
    <w:rsid w:val="00671F7C"/>
    <w:rsid w:val="006B1CAE"/>
    <w:rsid w:val="006E6561"/>
    <w:rsid w:val="00712EE2"/>
    <w:rsid w:val="00730B1D"/>
    <w:rsid w:val="007C2980"/>
    <w:rsid w:val="007F7468"/>
    <w:rsid w:val="008B0F32"/>
    <w:rsid w:val="00902D8B"/>
    <w:rsid w:val="009F180D"/>
    <w:rsid w:val="00A3650F"/>
    <w:rsid w:val="00A96D3B"/>
    <w:rsid w:val="00AA4758"/>
    <w:rsid w:val="00AF3E1F"/>
    <w:rsid w:val="00B3326B"/>
    <w:rsid w:val="00B945E5"/>
    <w:rsid w:val="00C001B6"/>
    <w:rsid w:val="00C22367"/>
    <w:rsid w:val="00C4185C"/>
    <w:rsid w:val="00C44D67"/>
    <w:rsid w:val="00C5720C"/>
    <w:rsid w:val="00C7136B"/>
    <w:rsid w:val="00CC3FE9"/>
    <w:rsid w:val="00D54040"/>
    <w:rsid w:val="00DD0E68"/>
    <w:rsid w:val="00E15266"/>
    <w:rsid w:val="00EB5E53"/>
    <w:rsid w:val="00ED62C0"/>
    <w:rsid w:val="00F866E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FC1D79"/>
  <w15:chartTrackingRefBased/>
  <w15:docId w15:val="{6A93A245-1328-47CD-8C71-AF0BB1E5A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5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5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5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5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744"/>
    <w:rPr>
      <w:rFonts w:eastAsiaTheme="majorEastAsia" w:cstheme="majorBidi"/>
      <w:color w:val="272727" w:themeColor="text1" w:themeTint="D8"/>
    </w:rPr>
  </w:style>
  <w:style w:type="paragraph" w:styleId="Title">
    <w:name w:val="Title"/>
    <w:basedOn w:val="Normal"/>
    <w:next w:val="Normal"/>
    <w:link w:val="TitleChar"/>
    <w:uiPriority w:val="10"/>
    <w:qFormat/>
    <w:rsid w:val="00285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744"/>
    <w:pPr>
      <w:spacing w:before="160"/>
      <w:jc w:val="center"/>
    </w:pPr>
    <w:rPr>
      <w:i/>
      <w:iCs/>
      <w:color w:val="404040" w:themeColor="text1" w:themeTint="BF"/>
    </w:rPr>
  </w:style>
  <w:style w:type="character" w:customStyle="1" w:styleId="QuoteChar">
    <w:name w:val="Quote Char"/>
    <w:basedOn w:val="DefaultParagraphFont"/>
    <w:link w:val="Quote"/>
    <w:uiPriority w:val="29"/>
    <w:rsid w:val="00285744"/>
    <w:rPr>
      <w:i/>
      <w:iCs/>
      <w:color w:val="404040" w:themeColor="text1" w:themeTint="BF"/>
    </w:rPr>
  </w:style>
  <w:style w:type="paragraph" w:styleId="ListParagraph">
    <w:name w:val="List Paragraph"/>
    <w:basedOn w:val="Normal"/>
    <w:uiPriority w:val="34"/>
    <w:qFormat/>
    <w:rsid w:val="00285744"/>
    <w:pPr>
      <w:ind w:left="720"/>
      <w:contextualSpacing/>
    </w:pPr>
  </w:style>
  <w:style w:type="character" w:styleId="IntenseEmphasis">
    <w:name w:val="Intense Emphasis"/>
    <w:basedOn w:val="DefaultParagraphFont"/>
    <w:uiPriority w:val="21"/>
    <w:qFormat/>
    <w:rsid w:val="00285744"/>
    <w:rPr>
      <w:i/>
      <w:iCs/>
      <w:color w:val="0F4761" w:themeColor="accent1" w:themeShade="BF"/>
    </w:rPr>
  </w:style>
  <w:style w:type="paragraph" w:styleId="IntenseQuote">
    <w:name w:val="Intense Quote"/>
    <w:basedOn w:val="Normal"/>
    <w:next w:val="Normal"/>
    <w:link w:val="IntenseQuoteChar"/>
    <w:uiPriority w:val="30"/>
    <w:qFormat/>
    <w:rsid w:val="00285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744"/>
    <w:rPr>
      <w:i/>
      <w:iCs/>
      <w:color w:val="0F4761" w:themeColor="accent1" w:themeShade="BF"/>
    </w:rPr>
  </w:style>
  <w:style w:type="character" w:styleId="IntenseReference">
    <w:name w:val="Intense Reference"/>
    <w:basedOn w:val="DefaultParagraphFont"/>
    <w:uiPriority w:val="32"/>
    <w:qFormat/>
    <w:rsid w:val="00285744"/>
    <w:rPr>
      <w:b/>
      <w:bCs/>
      <w:smallCaps/>
      <w:color w:val="0F4761" w:themeColor="accent1" w:themeShade="BF"/>
      <w:spacing w:val="5"/>
    </w:rPr>
  </w:style>
  <w:style w:type="paragraph" w:styleId="Header">
    <w:name w:val="header"/>
    <w:basedOn w:val="Normal"/>
    <w:link w:val="HeaderChar"/>
    <w:uiPriority w:val="99"/>
    <w:unhideWhenUsed/>
    <w:rsid w:val="00285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5744"/>
  </w:style>
  <w:style w:type="paragraph" w:styleId="Footer">
    <w:name w:val="footer"/>
    <w:basedOn w:val="Normal"/>
    <w:link w:val="FooterChar"/>
    <w:uiPriority w:val="99"/>
    <w:unhideWhenUsed/>
    <w:rsid w:val="00285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5744"/>
  </w:style>
  <w:style w:type="character" w:styleId="Strong">
    <w:name w:val="Strong"/>
    <w:basedOn w:val="DefaultParagraphFont"/>
    <w:uiPriority w:val="22"/>
    <w:qFormat/>
    <w:rsid w:val="007C2980"/>
    <w:rPr>
      <w:b/>
      <w:bCs/>
    </w:rPr>
  </w:style>
  <w:style w:type="paragraph" w:styleId="NormalWeb">
    <w:name w:val="Normal (Web)"/>
    <w:basedOn w:val="Normal"/>
    <w:uiPriority w:val="99"/>
    <w:semiHidden/>
    <w:unhideWhenUsed/>
    <w:rsid w:val="00317EE3"/>
    <w:pPr>
      <w:spacing w:before="100" w:beforeAutospacing="1" w:after="100" w:afterAutospacing="1" w:line="240" w:lineRule="auto"/>
    </w:pPr>
    <w:rPr>
      <w:rFonts w:ascii="Times New Roman" w:eastAsia="Times New Roman" w:hAnsi="Times New Roman" w:cs="Times New Roman"/>
      <w:kern w:val="0"/>
      <w:lang w:eastAsia="en-CA"/>
      <w14:ligatures w14:val="none"/>
    </w:rPr>
  </w:style>
  <w:style w:type="character" w:styleId="Emphasis">
    <w:name w:val="Emphasis"/>
    <w:basedOn w:val="DefaultParagraphFont"/>
    <w:uiPriority w:val="20"/>
    <w:qFormat/>
    <w:rsid w:val="00317EE3"/>
    <w:rPr>
      <w:i/>
      <w:iCs/>
    </w:rPr>
  </w:style>
  <w:style w:type="character" w:styleId="Hyperlink">
    <w:name w:val="Hyperlink"/>
    <w:basedOn w:val="DefaultParagraphFont"/>
    <w:uiPriority w:val="99"/>
    <w:unhideWhenUsed/>
    <w:rsid w:val="009F180D"/>
    <w:rPr>
      <w:color w:val="467886" w:themeColor="hyperlink"/>
      <w:u w:val="single"/>
    </w:rPr>
  </w:style>
  <w:style w:type="character" w:styleId="UnresolvedMention">
    <w:name w:val="Unresolved Mention"/>
    <w:basedOn w:val="DefaultParagraphFont"/>
    <w:uiPriority w:val="99"/>
    <w:semiHidden/>
    <w:unhideWhenUsed/>
    <w:rsid w:val="009F180D"/>
    <w:rPr>
      <w:color w:val="605E5C"/>
      <w:shd w:val="clear" w:color="auto" w:fill="E1DFDD"/>
    </w:rPr>
  </w:style>
  <w:style w:type="character" w:customStyle="1" w:styleId="muibox-root">
    <w:name w:val="muibox-root"/>
    <w:basedOn w:val="DefaultParagraphFont"/>
    <w:rsid w:val="00C44D67"/>
  </w:style>
  <w:style w:type="character" w:customStyle="1" w:styleId="css-0">
    <w:name w:val="css-0"/>
    <w:basedOn w:val="DefaultParagraphFont"/>
    <w:rsid w:val="00C44D67"/>
  </w:style>
  <w:style w:type="character" w:customStyle="1" w:styleId="css-10o52y0">
    <w:name w:val="css-10o52y0"/>
    <w:basedOn w:val="DefaultParagraphFont"/>
    <w:rsid w:val="00C44D67"/>
  </w:style>
  <w:style w:type="character" w:customStyle="1" w:styleId="css-h5d7i9">
    <w:name w:val="css-h5d7i9"/>
    <w:basedOn w:val="DefaultParagraphFont"/>
    <w:rsid w:val="00C44D67"/>
  </w:style>
  <w:style w:type="character" w:customStyle="1" w:styleId="css-1tmeul0">
    <w:name w:val="css-1tmeul0"/>
    <w:basedOn w:val="DefaultParagraphFont"/>
    <w:rsid w:val="00C44D67"/>
  </w:style>
  <w:style w:type="character" w:customStyle="1" w:styleId="css-1g9q2al">
    <w:name w:val="css-1g9q2al"/>
    <w:basedOn w:val="DefaultParagraphFont"/>
    <w:rsid w:val="00C44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jpeg"/><Relationship Id="rId26" Type="http://schemas.openxmlformats.org/officeDocument/2006/relationships/hyperlink" Target="https://pharmaceutical-journal.com/article/infographics/nhs70-major-moments-in-pharmacy-1948-2018" TargetMode="External"/><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5.jpeg"/><Relationship Id="rId25" Type="http://schemas.openxmlformats.org/officeDocument/2006/relationships/hyperlink" Target="https://www.kingsfund.org.uk/insight-and-analysis/projects/health-and-care-act-2022-make-sense-legislation"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rpharms.com/history"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microsoft.com/office/2007/relationships/diagramDrawing" Target="diagrams/drawing1.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jpeg"/><Relationship Id="rId22" Type="http://schemas.openxmlformats.org/officeDocument/2006/relationships/diagramColors" Target="diagrams/colors1.xm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B8D1C2-9431-415A-B1C5-2539527817C7}" type="doc">
      <dgm:prSet loTypeId="urn:microsoft.com/office/officeart/2005/8/layout/arrow2" loCatId="process" qsTypeId="urn:microsoft.com/office/officeart/2005/8/quickstyle/simple1" qsCatId="simple" csTypeId="urn:microsoft.com/office/officeart/2005/8/colors/colorful4" csCatId="colorful" phldr="1"/>
      <dgm:spPr/>
      <dgm:t>
        <a:bodyPr/>
        <a:lstStyle/>
        <a:p>
          <a:endParaRPr lang="en-CA"/>
        </a:p>
      </dgm:t>
    </dgm:pt>
    <dgm:pt modelId="{A8E97092-C939-47A1-A186-5518A890CED9}">
      <dgm:prSet/>
      <dgm:spPr/>
      <dgm:t>
        <a:bodyPr/>
        <a:lstStyle/>
        <a:p>
          <a:endParaRPr lang="en-CA"/>
        </a:p>
      </dgm:t>
    </dgm:pt>
    <dgm:pt modelId="{250A2CF0-663B-4B56-B0CD-92D080190225}" type="sibTrans" cxnId="{7555F53B-D288-4587-B395-CA468C431F93}">
      <dgm:prSet/>
      <dgm:spPr/>
      <dgm:t>
        <a:bodyPr/>
        <a:lstStyle/>
        <a:p>
          <a:endParaRPr lang="en-CA"/>
        </a:p>
      </dgm:t>
    </dgm:pt>
    <dgm:pt modelId="{312C04FE-7597-4A4C-8434-32E8DE681EE0}" type="parTrans" cxnId="{7555F53B-D288-4587-B395-CA468C431F93}">
      <dgm:prSet/>
      <dgm:spPr/>
      <dgm:t>
        <a:bodyPr/>
        <a:lstStyle/>
        <a:p>
          <a:endParaRPr lang="en-CA"/>
        </a:p>
      </dgm:t>
    </dgm:pt>
    <dgm:pt modelId="{4A261AA8-7A1F-4ABB-B8E5-1397E0755B23}" type="pres">
      <dgm:prSet presAssocID="{CCB8D1C2-9431-415A-B1C5-2539527817C7}" presName="arrowDiagram" presStyleCnt="0">
        <dgm:presLayoutVars>
          <dgm:chMax val="5"/>
          <dgm:dir/>
          <dgm:resizeHandles val="exact"/>
        </dgm:presLayoutVars>
      </dgm:prSet>
      <dgm:spPr/>
    </dgm:pt>
    <dgm:pt modelId="{80EB14AB-6240-4C6E-9F65-F068ABE85816}" type="pres">
      <dgm:prSet presAssocID="{CCB8D1C2-9431-415A-B1C5-2539527817C7}" presName="arrow" presStyleLbl="bgShp" presStyleIdx="0" presStyleCnt="1" custLinFactNeighborX="7926" custLinFactNeighborY="56268"/>
      <dgm:spPr/>
    </dgm:pt>
    <dgm:pt modelId="{F701AE5A-763C-4378-8563-C922F02FF7C1}" type="pres">
      <dgm:prSet presAssocID="{CCB8D1C2-9431-415A-B1C5-2539527817C7}" presName="arrowDiagram1" presStyleCnt="0">
        <dgm:presLayoutVars>
          <dgm:bulletEnabled val="1"/>
        </dgm:presLayoutVars>
      </dgm:prSet>
      <dgm:spPr/>
    </dgm:pt>
    <dgm:pt modelId="{D3575A39-58E1-42AD-9A5F-BBEC17564BD1}" type="pres">
      <dgm:prSet presAssocID="{A8E97092-C939-47A1-A186-5518A890CED9}" presName="bullet1" presStyleLbl="node1" presStyleIdx="0" presStyleCnt="1"/>
      <dgm:spPr/>
    </dgm:pt>
    <dgm:pt modelId="{E0D27B1C-FF60-43AF-8C16-F167BD6F4EAE}" type="pres">
      <dgm:prSet presAssocID="{A8E97092-C939-47A1-A186-5518A890CED9}" presName="textBox1" presStyleLbl="revTx" presStyleIdx="0" presStyleCnt="1">
        <dgm:presLayoutVars>
          <dgm:bulletEnabled val="1"/>
        </dgm:presLayoutVars>
      </dgm:prSet>
      <dgm:spPr/>
    </dgm:pt>
  </dgm:ptLst>
  <dgm:cxnLst>
    <dgm:cxn modelId="{8DB1B621-41A5-4064-8A4E-C04BCE0E25B7}" type="presOf" srcId="{A8E97092-C939-47A1-A186-5518A890CED9}" destId="{E0D27B1C-FF60-43AF-8C16-F167BD6F4EAE}" srcOrd="0" destOrd="0" presId="urn:microsoft.com/office/officeart/2005/8/layout/arrow2"/>
    <dgm:cxn modelId="{7555F53B-D288-4587-B395-CA468C431F93}" srcId="{CCB8D1C2-9431-415A-B1C5-2539527817C7}" destId="{A8E97092-C939-47A1-A186-5518A890CED9}" srcOrd="0" destOrd="0" parTransId="{312C04FE-7597-4A4C-8434-32E8DE681EE0}" sibTransId="{250A2CF0-663B-4B56-B0CD-92D080190225}"/>
    <dgm:cxn modelId="{FD8458D2-CEF2-4E8D-9E96-F740CA46B445}" type="presOf" srcId="{CCB8D1C2-9431-415A-B1C5-2539527817C7}" destId="{4A261AA8-7A1F-4ABB-B8E5-1397E0755B23}" srcOrd="0" destOrd="0" presId="urn:microsoft.com/office/officeart/2005/8/layout/arrow2"/>
    <dgm:cxn modelId="{1D56B7B3-87B1-4392-9199-7EE6AF637B6D}" type="presParOf" srcId="{4A261AA8-7A1F-4ABB-B8E5-1397E0755B23}" destId="{80EB14AB-6240-4C6E-9F65-F068ABE85816}" srcOrd="0" destOrd="0" presId="urn:microsoft.com/office/officeart/2005/8/layout/arrow2"/>
    <dgm:cxn modelId="{FBAB6AC1-1068-4C1D-ACF8-F982F7DF2831}" type="presParOf" srcId="{4A261AA8-7A1F-4ABB-B8E5-1397E0755B23}" destId="{F701AE5A-763C-4378-8563-C922F02FF7C1}" srcOrd="1" destOrd="0" presId="urn:microsoft.com/office/officeart/2005/8/layout/arrow2"/>
    <dgm:cxn modelId="{C286A30A-2623-4FE0-9C27-5EFD9AFA50C2}" type="presParOf" srcId="{F701AE5A-763C-4378-8563-C922F02FF7C1}" destId="{D3575A39-58E1-42AD-9A5F-BBEC17564BD1}" srcOrd="0" destOrd="0" presId="urn:microsoft.com/office/officeart/2005/8/layout/arrow2"/>
    <dgm:cxn modelId="{423CFBA8-4E63-441D-AD6A-543D75721679}" type="presParOf" srcId="{F701AE5A-763C-4378-8563-C922F02FF7C1}" destId="{E0D27B1C-FF60-43AF-8C16-F167BD6F4EAE}" srcOrd="1" destOrd="0" presId="urn:microsoft.com/office/officeart/2005/8/layout/arrow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EB14AB-6240-4C6E-9F65-F068ABE85816}">
      <dsp:nvSpPr>
        <dsp:cNvPr id="0" name=""/>
        <dsp:cNvSpPr/>
      </dsp:nvSpPr>
      <dsp:spPr>
        <a:xfrm>
          <a:off x="365760" y="0"/>
          <a:ext cx="5120640" cy="3200400"/>
        </a:xfrm>
        <a:prstGeom prst="swooshArrow">
          <a:avLst>
            <a:gd name="adj1" fmla="val 25000"/>
            <a:gd name="adj2" fmla="val 2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3575A39-58E1-42AD-9A5F-BBEC17564BD1}">
      <dsp:nvSpPr>
        <dsp:cNvPr id="0" name=""/>
        <dsp:cNvSpPr/>
      </dsp:nvSpPr>
      <dsp:spPr>
        <a:xfrm>
          <a:off x="4089928" y="649041"/>
          <a:ext cx="378927" cy="37892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D27B1C-FF60-43AF-8C16-F167BD6F4EAE}">
      <dsp:nvSpPr>
        <dsp:cNvPr id="0" name=""/>
        <dsp:cNvSpPr/>
      </dsp:nvSpPr>
      <dsp:spPr>
        <a:xfrm>
          <a:off x="2231136" y="838504"/>
          <a:ext cx="2048256" cy="2361895"/>
        </a:xfrm>
        <a:prstGeom prst="round2Diag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00786" bIns="0" numCol="1" spcCol="1270" anchor="t" anchorCtr="0">
          <a:noAutofit/>
        </a:bodyPr>
        <a:lstStyle/>
        <a:p>
          <a:pPr marL="0" lvl="0" indent="0" algn="r" defTabSz="2889250">
            <a:lnSpc>
              <a:spcPct val="90000"/>
            </a:lnSpc>
            <a:spcBef>
              <a:spcPct val="0"/>
            </a:spcBef>
            <a:spcAft>
              <a:spcPct val="35000"/>
            </a:spcAft>
            <a:buNone/>
          </a:pPr>
          <a:endParaRPr lang="en-CA" sz="6500" kern="1200"/>
        </a:p>
      </dsp:txBody>
      <dsp:txXfrm>
        <a:off x="2331124" y="938492"/>
        <a:ext cx="1848280" cy="2161919"/>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711C2-C69A-49DF-AAF6-020974289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1924</Words>
  <Characters>10973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andy amissah</cp:lastModifiedBy>
  <cp:revision>2</cp:revision>
  <dcterms:created xsi:type="dcterms:W3CDTF">2025-10-15T21:01:00Z</dcterms:created>
  <dcterms:modified xsi:type="dcterms:W3CDTF">2025-10-15T21:01:00Z</dcterms:modified>
</cp:coreProperties>
</file>