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7C69085" wp14:paraId="473768AE" wp14:textId="05D5094C">
      <w:pPr>
        <w:pStyle w:val="Heading5"/>
        <w:shd w:val="clear" w:color="auto" w:fill="FFFFFF" w:themeFill="background1"/>
        <w:spacing w:before="0" w:beforeAutospacing="off" w:after="120" w:afterAutospacing="off"/>
        <w:jc w:val="left"/>
        <w:rPr>
          <w:rFonts w:ascii="Aptos" w:hAnsi="Aptos" w:eastAsia="Aptos" w:cs="Aptos"/>
          <w:b w:val="1"/>
          <w:bCs w:val="1"/>
          <w:noProof w:val="0"/>
          <w:sz w:val="24"/>
          <w:szCs w:val="24"/>
          <w:lang w:val="en-GB"/>
        </w:rPr>
      </w:pPr>
      <w:r w:rsidRPr="51F2DB54" w:rsidR="7A9C95AF">
        <w:rPr>
          <w:rFonts w:ascii="Aptos" w:hAnsi="Aptos" w:eastAsia="" w:cs="" w:asciiTheme="minorAscii" w:hAnsiTheme="minorAscii" w:eastAsiaTheme="minorEastAsia" w:cstheme="minorBidi"/>
          <w:b w:val="1"/>
          <w:bCs w:val="1"/>
          <w:noProof w:val="0"/>
          <w:color w:val="auto"/>
          <w:sz w:val="24"/>
          <w:szCs w:val="24"/>
          <w:lang w:val="en-GB" w:eastAsia="ja-JP" w:bidi="ar-SA"/>
        </w:rPr>
        <w:t>Critically reflect upon what constitutes inequality; consider examples to underpin your response</w:t>
      </w:r>
    </w:p>
    <w:p xmlns:wp14="http://schemas.microsoft.com/office/word/2010/wordml" wp14:paraId="5E5787A5" wp14:textId="651AF13D">
      <w:pPr>
        <w:rPr>
          <w:b w:val="0"/>
          <w:bCs w:val="0"/>
        </w:rPr>
      </w:pPr>
    </w:p>
    <w:p w:rsidR="07D7B63D" w:rsidP="51F2DB54" w:rsidRDefault="07D7B63D" w14:paraId="00F93E93" w14:textId="5570002B">
      <w:pPr>
        <w:spacing w:before="240" w:beforeAutospacing="off" w:after="240" w:afterAutospacing="off"/>
        <w:rPr>
          <w:rFonts w:ascii="Aptos" w:hAnsi="Aptos" w:eastAsia="Aptos" w:cs="Aptos"/>
          <w:b w:val="0"/>
          <w:bCs w:val="0"/>
          <w:noProof w:val="0"/>
          <w:sz w:val="24"/>
          <w:szCs w:val="24"/>
          <w:lang w:val="en-GB"/>
        </w:rPr>
      </w:pPr>
      <w:r w:rsidRPr="51F2DB54" w:rsidR="732A8945">
        <w:rPr>
          <w:rFonts w:ascii="Aptos" w:hAnsi="Aptos" w:eastAsia="Aptos" w:cs="Aptos"/>
          <w:b w:val="0"/>
          <w:bCs w:val="0"/>
          <w:noProof w:val="0"/>
          <w:sz w:val="24"/>
          <w:szCs w:val="24"/>
          <w:lang w:val="en-GB"/>
        </w:rPr>
        <w:t xml:space="preserve">Inequality is considered one of the </w:t>
      </w:r>
      <w:r w:rsidRPr="51F2DB54" w:rsidR="732A8945">
        <w:rPr>
          <w:rFonts w:ascii="Aptos" w:hAnsi="Aptos" w:eastAsia="Aptos" w:cs="Aptos"/>
          <w:b w:val="0"/>
          <w:bCs w:val="0"/>
          <w:noProof w:val="0"/>
          <w:sz w:val="24"/>
          <w:szCs w:val="24"/>
          <w:lang w:val="en-GB"/>
        </w:rPr>
        <w:t>major issues</w:t>
      </w:r>
      <w:r w:rsidRPr="51F2DB54" w:rsidR="732A8945">
        <w:rPr>
          <w:rFonts w:ascii="Aptos" w:hAnsi="Aptos" w:eastAsia="Aptos" w:cs="Aptos"/>
          <w:b w:val="0"/>
          <w:bCs w:val="0"/>
          <w:noProof w:val="0"/>
          <w:sz w:val="24"/>
          <w:szCs w:val="24"/>
          <w:lang w:val="en-GB"/>
        </w:rPr>
        <w:t xml:space="preserve"> in society, as it restricts social progress and hinders overall development.</w:t>
      </w:r>
      <w:r w:rsidRPr="51F2DB54" w:rsidR="5C29B083">
        <w:rPr>
          <w:rFonts w:ascii="Aptos" w:hAnsi="Aptos" w:eastAsia="Aptos" w:cs="Aptos"/>
          <w:b w:val="0"/>
          <w:bCs w:val="0"/>
          <w:noProof w:val="0"/>
          <w:sz w:val="24"/>
          <w:szCs w:val="24"/>
          <w:lang w:val="en-GB"/>
        </w:rPr>
        <w:t xml:space="preserve"> </w:t>
      </w:r>
      <w:r w:rsidRPr="51F2DB54" w:rsidR="5C29B083">
        <w:rPr>
          <w:rFonts w:ascii="Aptos" w:hAnsi="Aptos" w:eastAsia="Aptos" w:cs="Aptos"/>
          <w:b w:val="0"/>
          <w:bCs w:val="0"/>
          <w:noProof w:val="0"/>
          <w:sz w:val="24"/>
          <w:szCs w:val="24"/>
          <w:lang w:val="en-GB"/>
        </w:rPr>
        <w:t>United Nations Development Programme (UNDP)</w:t>
      </w:r>
      <w:r w:rsidRPr="51F2DB54" w:rsidR="5C29B083">
        <w:rPr>
          <w:rFonts w:ascii="Aptos" w:hAnsi="Aptos" w:eastAsia="Aptos" w:cs="Aptos"/>
          <w:b w:val="0"/>
          <w:bCs w:val="0"/>
          <w:noProof w:val="0"/>
          <w:sz w:val="24"/>
          <w:szCs w:val="24"/>
          <w:lang w:val="en-GB"/>
        </w:rPr>
        <w:t xml:space="preserve"> </w:t>
      </w:r>
      <w:r w:rsidRPr="51F2DB54" w:rsidR="5C29B083">
        <w:rPr>
          <w:rFonts w:ascii="Aptos" w:hAnsi="Aptos" w:eastAsia="Aptos" w:cs="Aptos"/>
          <w:b w:val="0"/>
          <w:bCs w:val="0"/>
          <w:noProof w:val="0"/>
          <w:sz w:val="24"/>
          <w:szCs w:val="24"/>
          <w:lang w:val="en-GB"/>
        </w:rPr>
        <w:t>(2019)</w:t>
      </w:r>
      <w:r w:rsidRPr="51F2DB54" w:rsidR="5C29B083">
        <w:rPr>
          <w:rFonts w:ascii="Aptos" w:hAnsi="Aptos" w:eastAsia="Aptos" w:cs="Aptos"/>
          <w:b w:val="0"/>
          <w:bCs w:val="0"/>
          <w:noProof w:val="0"/>
          <w:sz w:val="24"/>
          <w:szCs w:val="24"/>
          <w:lang w:val="en-GB"/>
        </w:rPr>
        <w:t xml:space="preserve"> defines Inequality as an unequal distribution of opportunities, resources and results among individuals or groups, including variations in health, education, employment, wages and access to power and influence; these inequalities may evolve from organisational or individual factors that aids few groups while impeding others</w:t>
      </w:r>
      <w:r w:rsidRPr="51F2DB54" w:rsidR="14662100">
        <w:rPr>
          <w:rFonts w:ascii="Aptos" w:hAnsi="Aptos" w:eastAsia="Aptos" w:cs="Aptos"/>
          <w:b w:val="0"/>
          <w:bCs w:val="0"/>
          <w:noProof w:val="0"/>
          <w:sz w:val="24"/>
          <w:szCs w:val="24"/>
          <w:lang w:val="en-GB"/>
        </w:rPr>
        <w:t>; it highlights that various dimensions of inequality are interconnected, meaning that inequalities in one area often supports others, which gives rise to persistent social and economic disadvantages.</w:t>
      </w:r>
    </w:p>
    <w:p w:rsidR="36E880FC" w:rsidP="51F2DB54" w:rsidRDefault="36E880FC" w14:paraId="409B9C17" w14:textId="459C7234">
      <w:pPr>
        <w:spacing w:before="240" w:beforeAutospacing="off" w:after="240" w:afterAutospacing="off"/>
        <w:rPr>
          <w:rFonts w:ascii="Aptos" w:hAnsi="Aptos" w:eastAsia="Aptos" w:cs="Aptos"/>
          <w:b w:val="0"/>
          <w:bCs w:val="0"/>
          <w:noProof w:val="0"/>
          <w:sz w:val="24"/>
          <w:szCs w:val="24"/>
          <w:lang w:val="en-GB"/>
        </w:rPr>
      </w:pPr>
      <w:r w:rsidRPr="51F2DB54" w:rsidR="16ED079F">
        <w:rPr>
          <w:rFonts w:ascii="Aptos" w:hAnsi="Aptos" w:eastAsia="Aptos" w:cs="Aptos"/>
          <w:b w:val="0"/>
          <w:bCs w:val="0"/>
          <w:noProof w:val="0"/>
          <w:sz w:val="24"/>
          <w:szCs w:val="24"/>
          <w:lang w:val="en-GB"/>
        </w:rPr>
        <w:t xml:space="preserve">According to </w:t>
      </w:r>
      <w:r w:rsidRPr="51F2DB54" w:rsidR="16ED079F">
        <w:rPr>
          <w:rFonts w:ascii="Aptos" w:hAnsi="Aptos" w:eastAsia="Aptos" w:cs="Aptos"/>
          <w:b w:val="0"/>
          <w:bCs w:val="0"/>
          <w:noProof w:val="0"/>
          <w:sz w:val="24"/>
          <w:szCs w:val="24"/>
          <w:lang w:val="en-GB"/>
        </w:rPr>
        <w:t>UNU-WIDER (2015)</w:t>
      </w:r>
      <w:r w:rsidRPr="51F2DB54" w:rsidR="16ED079F">
        <w:rPr>
          <w:rFonts w:ascii="Aptos" w:hAnsi="Aptos" w:eastAsia="Aptos" w:cs="Aptos"/>
          <w:b w:val="0"/>
          <w:bCs w:val="0"/>
          <w:noProof w:val="0"/>
          <w:sz w:val="24"/>
          <w:szCs w:val="24"/>
          <w:lang w:val="en-GB"/>
        </w:rPr>
        <w:t xml:space="preserve"> inequality is explained as disparities in living standards or households, reflecting their relative positions within an income distribution and it is important because inequality affects citizens' wellbeing and social stability, lower inequality tends to improve outcomes for those at the bottom; although diminishing inequality is often seen as a desirable social goal, debates persist about the extent to which redistribution might weaken economic incentives; it also highlights inequality is determined using household incomes or usage data collected through surveys.</w:t>
      </w:r>
    </w:p>
    <w:p w:rsidR="0888AE46" w:rsidP="51F2DB54" w:rsidRDefault="0888AE46" w14:paraId="002F555C" w14:textId="5044B93B">
      <w:pPr>
        <w:pStyle w:val="Normal"/>
        <w:spacing w:before="240" w:beforeAutospacing="off" w:after="240" w:afterAutospacing="off"/>
        <w:rPr>
          <w:rFonts w:ascii="Aptos" w:hAnsi="Aptos" w:eastAsia="Aptos" w:cs="Aptos"/>
          <w:b w:val="0"/>
          <w:bCs w:val="0"/>
          <w:noProof w:val="0"/>
          <w:sz w:val="24"/>
          <w:szCs w:val="24"/>
          <w:lang w:val="en-GB"/>
        </w:rPr>
      </w:pPr>
      <w:r w:rsidRPr="51F2DB54" w:rsidR="028011C0">
        <w:rPr>
          <w:rFonts w:ascii="Aptos" w:hAnsi="Aptos" w:eastAsia="Aptos" w:cs="Aptos"/>
          <w:b w:val="1"/>
          <w:bCs w:val="1"/>
          <w:noProof w:val="0"/>
          <w:sz w:val="24"/>
          <w:szCs w:val="24"/>
          <w:lang w:val="en-GB"/>
        </w:rPr>
        <w:t>Let us consider the LGBTQ+ community as an example and view their experiences in various forms of inequality, particularly</w:t>
      </w:r>
      <w:r w:rsidRPr="51F2DB54" w:rsidR="028011C0">
        <w:rPr>
          <w:rFonts w:ascii="Aptos" w:hAnsi="Aptos" w:eastAsia="Aptos" w:cs="Aptos"/>
          <w:b w:val="1"/>
          <w:bCs w:val="1"/>
          <w:noProof w:val="0"/>
          <w:sz w:val="24"/>
          <w:szCs w:val="24"/>
          <w:lang w:val="en-GB"/>
        </w:rPr>
        <w:t xml:space="preserve"> cultural and social</w:t>
      </w:r>
      <w:r w:rsidRPr="51F2DB54" w:rsidR="028011C0">
        <w:rPr>
          <w:rFonts w:ascii="Aptos" w:hAnsi="Aptos" w:eastAsia="Aptos" w:cs="Aptos"/>
          <w:b w:val="1"/>
          <w:bCs w:val="1"/>
          <w:noProof w:val="0"/>
          <w:sz w:val="24"/>
          <w:szCs w:val="24"/>
          <w:lang w:val="en-GB"/>
        </w:rPr>
        <w:t xml:space="preserve">, on a </w:t>
      </w:r>
      <w:r w:rsidRPr="51F2DB54" w:rsidR="09D52598">
        <w:rPr>
          <w:rFonts w:ascii="Aptos" w:hAnsi="Aptos" w:eastAsia="Aptos" w:cs="Aptos"/>
          <w:b w:val="1"/>
          <w:bCs w:val="1"/>
          <w:noProof w:val="0"/>
          <w:sz w:val="24"/>
          <w:szCs w:val="24"/>
          <w:lang w:val="en-GB"/>
        </w:rPr>
        <w:t>global</w:t>
      </w:r>
      <w:r w:rsidRPr="51F2DB54" w:rsidR="028011C0">
        <w:rPr>
          <w:rFonts w:ascii="Aptos" w:hAnsi="Aptos" w:eastAsia="Aptos" w:cs="Aptos"/>
          <w:b w:val="1"/>
          <w:bCs w:val="1"/>
          <w:noProof w:val="0"/>
          <w:sz w:val="24"/>
          <w:szCs w:val="24"/>
          <w:lang w:val="en-GB"/>
        </w:rPr>
        <w:t xml:space="preserve"> scale.</w:t>
      </w:r>
      <w:r w:rsidRPr="51F2DB54" w:rsidR="028011C0">
        <w:rPr>
          <w:rFonts w:ascii="Aptos" w:hAnsi="Aptos" w:eastAsia="Aptos" w:cs="Aptos"/>
          <w:b w:val="0"/>
          <w:bCs w:val="0"/>
          <w:noProof w:val="0"/>
          <w:sz w:val="24"/>
          <w:szCs w:val="24"/>
          <w:lang w:val="en-GB"/>
        </w:rPr>
        <w:t xml:space="preserve"> Here,</w:t>
      </w:r>
      <w:r w:rsidRPr="51F2DB54" w:rsidR="214DB3E0">
        <w:rPr>
          <w:rFonts w:ascii="Aptos" w:hAnsi="Aptos" w:eastAsia="Aptos" w:cs="Aptos"/>
          <w:b w:val="0"/>
          <w:bCs w:val="0"/>
          <w:noProof w:val="0"/>
          <w:sz w:val="24"/>
          <w:szCs w:val="24"/>
          <w:lang w:val="en-GB"/>
        </w:rPr>
        <w:t xml:space="preserve"> we examine the experiences of the LGBTQ+ group as a divergent and distinct community, scrutinizing the paths in which they face cultural and social inequalities across wider global settings. By considering a broader global perspective, the aim is just not to emphasize the discrimination faced by the LGBTQ+ community but also to investigate and explore the paths that cut across various cultures, social </w:t>
      </w:r>
      <w:r w:rsidRPr="51F2DB54" w:rsidR="214DB3E0">
        <w:rPr>
          <w:rFonts w:ascii="Aptos" w:hAnsi="Aptos" w:eastAsia="Aptos" w:cs="Aptos"/>
          <w:b w:val="0"/>
          <w:bCs w:val="0"/>
          <w:noProof w:val="0"/>
          <w:sz w:val="24"/>
          <w:szCs w:val="24"/>
          <w:lang w:val="en-GB"/>
        </w:rPr>
        <w:t>norms</w:t>
      </w:r>
      <w:r w:rsidRPr="51F2DB54" w:rsidR="214DB3E0">
        <w:rPr>
          <w:rFonts w:ascii="Aptos" w:hAnsi="Aptos" w:eastAsia="Aptos" w:cs="Aptos"/>
          <w:b w:val="0"/>
          <w:bCs w:val="0"/>
          <w:noProof w:val="0"/>
          <w:sz w:val="24"/>
          <w:szCs w:val="24"/>
          <w:lang w:val="en-GB"/>
        </w:rPr>
        <w:t xml:space="preserve"> and legislations.</w:t>
      </w:r>
    </w:p>
    <w:p w:rsidR="1DAE2B44" w:rsidP="51F2DB54" w:rsidRDefault="1DAE2B44" w14:paraId="375E0618" w14:textId="7863C82E">
      <w:pPr>
        <w:pStyle w:val="Normal"/>
        <w:spacing w:before="240" w:beforeAutospacing="off" w:after="240" w:afterAutospacing="off"/>
        <w:rPr>
          <w:rFonts w:ascii="Aptos" w:hAnsi="Aptos" w:eastAsia="Aptos" w:cs="Aptos"/>
          <w:b w:val="0"/>
          <w:bCs w:val="0"/>
          <w:noProof w:val="0"/>
          <w:sz w:val="24"/>
          <w:szCs w:val="24"/>
          <w:lang w:val="en-GB"/>
        </w:rPr>
      </w:pPr>
      <w:r w:rsidRPr="51F2DB54" w:rsidR="05ABBCE3">
        <w:rPr>
          <w:rFonts w:ascii="Aptos" w:hAnsi="Aptos" w:eastAsia="Aptos" w:cs="Aptos"/>
          <w:b w:val="0"/>
          <w:bCs w:val="0"/>
          <w:noProof w:val="0"/>
          <w:sz w:val="24"/>
          <w:szCs w:val="24"/>
          <w:lang w:val="en-GB"/>
        </w:rPr>
        <w:t xml:space="preserve">The evaluation performed here will explore how cultural norms including heteronormativity, religious values, gender binaries and social settings including housing, employment etc wholly bestow to the marginalization of LGBTQ+ individuals; this includes different settings from countries where lawful protections prevail and people opinions are additionally inclusive, to those locations where the LGBTQ+ identities are penalized as crime or socially stigmatized. For instance, in </w:t>
      </w:r>
      <w:r w:rsidRPr="51F2DB54" w:rsidR="72C18088">
        <w:rPr>
          <w:rFonts w:ascii="Aptos" w:hAnsi="Aptos" w:eastAsia="Aptos" w:cs="Aptos"/>
          <w:b w:val="0"/>
          <w:bCs w:val="0"/>
          <w:noProof w:val="0"/>
          <w:sz w:val="24"/>
          <w:szCs w:val="24"/>
          <w:lang w:val="en-GB"/>
        </w:rPr>
        <w:t>Middle East</w:t>
      </w:r>
      <w:r w:rsidRPr="51F2DB54" w:rsidR="05ABBCE3">
        <w:rPr>
          <w:rFonts w:ascii="Aptos" w:hAnsi="Aptos" w:eastAsia="Aptos" w:cs="Aptos"/>
          <w:b w:val="0"/>
          <w:bCs w:val="0"/>
          <w:noProof w:val="0"/>
          <w:sz w:val="24"/>
          <w:szCs w:val="24"/>
          <w:lang w:val="en-GB"/>
        </w:rPr>
        <w:t xml:space="preserve"> and North-African countries, LGBTQ+ community face deep socio-economic exclusion </w:t>
      </w:r>
      <w:r w:rsidRPr="51F2DB54" w:rsidR="05ABBCE3">
        <w:rPr>
          <w:rFonts w:ascii="Aptos" w:hAnsi="Aptos" w:eastAsia="Aptos" w:cs="Aptos"/>
          <w:b w:val="0"/>
          <w:bCs w:val="0"/>
          <w:noProof w:val="0"/>
          <w:sz w:val="24"/>
          <w:szCs w:val="24"/>
          <w:lang w:val="en-GB"/>
        </w:rPr>
        <w:t>(TIMEP, 2023).</w:t>
      </w:r>
      <w:r w:rsidRPr="51F2DB54" w:rsidR="05ABBCE3">
        <w:rPr>
          <w:rFonts w:ascii="Aptos" w:hAnsi="Aptos" w:eastAsia="Aptos" w:cs="Aptos"/>
          <w:b w:val="0"/>
          <w:bCs w:val="0"/>
          <w:noProof w:val="0"/>
          <w:sz w:val="24"/>
          <w:szCs w:val="24"/>
          <w:lang w:val="en-GB"/>
        </w:rPr>
        <w:t xml:space="preserve"> Simultaneously, the universal study over a wider angle set highlights that even where strict legal protections prevail, LGBTQ+ community face exclusion, subjected to stigma, mental health </w:t>
      </w:r>
      <w:r w:rsidRPr="51F2DB54" w:rsidR="05ABBCE3">
        <w:rPr>
          <w:rFonts w:ascii="Aptos" w:hAnsi="Aptos" w:eastAsia="Aptos" w:cs="Aptos"/>
          <w:b w:val="0"/>
          <w:bCs w:val="0"/>
          <w:noProof w:val="0"/>
          <w:sz w:val="24"/>
          <w:szCs w:val="24"/>
          <w:lang w:val="en-GB"/>
        </w:rPr>
        <w:t>deterioration</w:t>
      </w:r>
      <w:r w:rsidRPr="51F2DB54" w:rsidR="05ABBCE3">
        <w:rPr>
          <w:rFonts w:ascii="Aptos" w:hAnsi="Aptos" w:eastAsia="Aptos" w:cs="Aptos"/>
          <w:b w:val="0"/>
          <w:bCs w:val="0"/>
          <w:noProof w:val="0"/>
          <w:sz w:val="24"/>
          <w:szCs w:val="24"/>
          <w:lang w:val="en-GB"/>
        </w:rPr>
        <w:t xml:space="preserve"> and cultural invisibility </w:t>
      </w:r>
      <w:r w:rsidRPr="51F2DB54" w:rsidR="05ABBCE3">
        <w:rPr>
          <w:rFonts w:ascii="Aptos" w:hAnsi="Aptos" w:eastAsia="Aptos" w:cs="Aptos"/>
          <w:b w:val="0"/>
          <w:bCs w:val="0"/>
          <w:noProof w:val="0"/>
          <w:sz w:val="24"/>
          <w:szCs w:val="24"/>
          <w:lang w:val="en-GB"/>
        </w:rPr>
        <w:t>(</w:t>
      </w:r>
      <w:r w:rsidRPr="51F2DB54" w:rsidR="05ABBCE3">
        <w:rPr>
          <w:rFonts w:ascii="Aptos" w:hAnsi="Aptos" w:eastAsia="Aptos" w:cs="Aptos"/>
          <w:b w:val="0"/>
          <w:bCs w:val="0"/>
          <w:noProof w:val="0"/>
          <w:sz w:val="24"/>
          <w:szCs w:val="24"/>
          <w:lang w:val="en-GB"/>
        </w:rPr>
        <w:t>Maltempi</w:t>
      </w:r>
      <w:r w:rsidRPr="51F2DB54" w:rsidR="05ABBCE3">
        <w:rPr>
          <w:rFonts w:ascii="Aptos" w:hAnsi="Aptos" w:eastAsia="Aptos" w:cs="Aptos"/>
          <w:b w:val="0"/>
          <w:bCs w:val="0"/>
          <w:noProof w:val="0"/>
          <w:sz w:val="24"/>
          <w:szCs w:val="24"/>
          <w:lang w:val="en-GB"/>
        </w:rPr>
        <w:t>, Yu, Bruna</w:t>
      </w:r>
      <w:r w:rsidRPr="51F2DB54" w:rsidR="2A311E97">
        <w:rPr>
          <w:rFonts w:ascii="Aptos" w:hAnsi="Aptos" w:eastAsia="Aptos" w:cs="Aptos"/>
          <w:b w:val="0"/>
          <w:bCs w:val="0"/>
          <w:noProof w:val="0"/>
          <w:sz w:val="24"/>
          <w:szCs w:val="24"/>
          <w:lang w:val="en-GB"/>
        </w:rPr>
        <w:t xml:space="preserve">, </w:t>
      </w:r>
      <w:r w:rsidRPr="51F2DB54" w:rsidR="2A311E97">
        <w:rPr>
          <w:rFonts w:ascii="Aptos" w:hAnsi="Aptos" w:eastAsia="Aptos" w:cs="Aptos"/>
          <w:b w:val="0"/>
          <w:bCs w:val="0"/>
          <w:noProof w:val="0"/>
          <w:sz w:val="24"/>
          <w:szCs w:val="24"/>
          <w:lang w:val="en-GB"/>
        </w:rPr>
        <w:t>n</w:t>
      </w:r>
      <w:r w:rsidRPr="51F2DB54" w:rsidR="2A311E97">
        <w:rPr>
          <w:rFonts w:ascii="Aptos" w:hAnsi="Aptos" w:eastAsia="Aptos" w:cs="Aptos"/>
          <w:b w:val="0"/>
          <w:bCs w:val="0"/>
          <w:noProof w:val="0"/>
          <w:sz w:val="24"/>
          <w:szCs w:val="24"/>
          <w:lang w:val="en-GB"/>
        </w:rPr>
        <w:t>.d</w:t>
      </w:r>
      <w:r w:rsidRPr="51F2DB54" w:rsidR="2A311E97">
        <w:rPr>
          <w:rFonts w:ascii="Aptos" w:hAnsi="Aptos" w:eastAsia="Aptos" w:cs="Aptos"/>
          <w:b w:val="0"/>
          <w:bCs w:val="0"/>
          <w:noProof w:val="0"/>
          <w:sz w:val="24"/>
          <w:szCs w:val="24"/>
          <w:lang w:val="en-GB"/>
        </w:rPr>
        <w:t>)</w:t>
      </w:r>
    </w:p>
    <w:p w:rsidR="51F2DB54" w:rsidP="51F2DB54" w:rsidRDefault="51F2DB54" w14:paraId="54CFB876" w14:textId="3E67793C">
      <w:pPr>
        <w:pStyle w:val="Normal"/>
        <w:spacing w:before="240" w:beforeAutospacing="off" w:after="240" w:afterAutospacing="off"/>
        <w:rPr>
          <w:rFonts w:ascii="Aptos" w:hAnsi="Aptos" w:eastAsia="Aptos" w:cs="Aptos"/>
          <w:b w:val="1"/>
          <w:bCs w:val="1"/>
          <w:noProof w:val="0"/>
          <w:sz w:val="24"/>
          <w:szCs w:val="24"/>
          <w:lang w:val="en-GB"/>
        </w:rPr>
      </w:pPr>
    </w:p>
    <w:p w:rsidR="1A48FCAF" w:rsidP="51F2DB54" w:rsidRDefault="1A48FCAF" w14:paraId="750503B3" w14:textId="0836FC38">
      <w:pPr>
        <w:spacing w:before="240" w:beforeAutospacing="off" w:after="240" w:afterAutospacing="off"/>
        <w:rPr>
          <w:rFonts w:ascii="Aptos" w:hAnsi="Aptos" w:eastAsia="Aptos" w:cs="Aptos"/>
          <w:b w:val="1"/>
          <w:bCs w:val="1"/>
          <w:noProof w:val="0"/>
          <w:sz w:val="24"/>
          <w:szCs w:val="24"/>
          <w:lang w:val="en-GB"/>
        </w:rPr>
      </w:pPr>
      <w:r w:rsidRPr="51F2DB54" w:rsidR="1A48FCAF">
        <w:rPr>
          <w:rFonts w:ascii="Aptos" w:hAnsi="Aptos" w:eastAsia="Aptos" w:cs="Aptos"/>
          <w:b w:val="1"/>
          <w:bCs w:val="1"/>
          <w:noProof w:val="0"/>
          <w:sz w:val="24"/>
          <w:szCs w:val="24"/>
          <w:lang w:val="en-GB"/>
        </w:rPr>
        <w:t xml:space="preserve">Let us consider inequality within </w:t>
      </w:r>
      <w:r w:rsidRPr="51F2DB54" w:rsidR="1A48FCAF">
        <w:rPr>
          <w:rFonts w:ascii="Aptos" w:hAnsi="Aptos" w:eastAsia="Aptos" w:cs="Aptos"/>
          <w:b w:val="1"/>
          <w:bCs w:val="1"/>
          <w:noProof w:val="0"/>
          <w:sz w:val="24"/>
          <w:szCs w:val="24"/>
          <w:lang w:val="en-GB"/>
        </w:rPr>
        <w:t>established</w:t>
      </w:r>
      <w:r w:rsidRPr="51F2DB54" w:rsidR="1A48FCAF">
        <w:rPr>
          <w:rFonts w:ascii="Aptos" w:hAnsi="Aptos" w:eastAsia="Aptos" w:cs="Aptos"/>
          <w:b w:val="1"/>
          <w:bCs w:val="1"/>
          <w:noProof w:val="0"/>
          <w:sz w:val="24"/>
          <w:szCs w:val="24"/>
          <w:lang w:val="en-GB"/>
        </w:rPr>
        <w:t xml:space="preserve"> theoretical frameworks, drawing on academic literature to examine the cultural and social challenges faced by the LGBTQ+ community globally.</w:t>
      </w:r>
    </w:p>
    <w:p w:rsidR="51F2DB54" w:rsidP="51F2DB54" w:rsidRDefault="51F2DB54" w14:paraId="1307267C" w14:textId="7EE022B4">
      <w:pPr>
        <w:pStyle w:val="Normal"/>
        <w:spacing w:before="240" w:beforeAutospacing="off" w:after="240" w:afterAutospacing="off"/>
        <w:rPr>
          <w:rFonts w:ascii="Aptos" w:hAnsi="Aptos" w:eastAsia="Aptos" w:cs="Aptos"/>
          <w:b w:val="0"/>
          <w:bCs w:val="0"/>
          <w:noProof w:val="0"/>
          <w:sz w:val="24"/>
          <w:szCs w:val="24"/>
          <w:lang w:val="en-GB"/>
        </w:rPr>
      </w:pPr>
    </w:p>
    <w:p w:rsidR="6B542629" w:rsidP="51F2DB54" w:rsidRDefault="6B542629" w14:paraId="6F226082" w14:textId="652E166F">
      <w:pPr>
        <w:pStyle w:val="Normal"/>
        <w:spacing w:before="240" w:beforeAutospacing="off" w:after="240" w:afterAutospacing="off"/>
        <w:rPr>
          <w:rFonts w:ascii="Aptos" w:hAnsi="Aptos" w:eastAsia="Aptos" w:cs="Aptos"/>
          <w:b w:val="0"/>
          <w:bCs w:val="0"/>
          <w:noProof w:val="0"/>
          <w:sz w:val="24"/>
          <w:szCs w:val="24"/>
          <w:lang w:val="en-GB"/>
        </w:rPr>
      </w:pPr>
      <w:r w:rsidRPr="51F2DB54" w:rsidR="281C98B9">
        <w:rPr>
          <w:rFonts w:ascii="Aptos" w:hAnsi="Aptos" w:eastAsia="Aptos" w:cs="Aptos"/>
          <w:b w:val="0"/>
          <w:bCs w:val="0"/>
          <w:noProof w:val="0"/>
          <w:sz w:val="24"/>
          <w:szCs w:val="24"/>
          <w:lang w:val="en-GB"/>
        </w:rPr>
        <w:t xml:space="preserve">Branstrom, Hughes, and </w:t>
      </w:r>
      <w:r w:rsidRPr="51F2DB54" w:rsidR="281C98B9">
        <w:rPr>
          <w:rFonts w:ascii="Aptos" w:hAnsi="Aptos" w:eastAsia="Aptos" w:cs="Aptos"/>
          <w:b w:val="0"/>
          <w:bCs w:val="0"/>
          <w:noProof w:val="0"/>
          <w:sz w:val="24"/>
          <w:szCs w:val="24"/>
          <w:lang w:val="en-GB"/>
        </w:rPr>
        <w:t>Pachankis</w:t>
      </w:r>
      <w:r w:rsidRPr="51F2DB54" w:rsidR="281C98B9">
        <w:rPr>
          <w:rFonts w:ascii="Aptos" w:hAnsi="Aptos" w:eastAsia="Aptos" w:cs="Aptos"/>
          <w:b w:val="0"/>
          <w:bCs w:val="0"/>
          <w:noProof w:val="0"/>
          <w:sz w:val="24"/>
          <w:szCs w:val="24"/>
          <w:lang w:val="en-GB"/>
        </w:rPr>
        <w:t xml:space="preserve"> (2023) </w:t>
      </w:r>
      <w:r w:rsidRPr="51F2DB54" w:rsidR="281C98B9">
        <w:rPr>
          <w:rFonts w:ascii="Aptos" w:hAnsi="Aptos" w:eastAsia="Aptos" w:cs="Aptos"/>
          <w:b w:val="0"/>
          <w:bCs w:val="0"/>
          <w:noProof w:val="0"/>
          <w:sz w:val="24"/>
          <w:szCs w:val="24"/>
          <w:lang w:val="en-GB"/>
        </w:rPr>
        <w:t>argue that while Minority Stress Theory provides a broadly valid framework for understanding LGBTQ mental health inequalities across diverse global contexts, it should be culturally adapted to reflect how stigma, discrimination, and identity concealment are shaped by local norms, legal systems, and social structures</w:t>
      </w:r>
      <w:r w:rsidRPr="51F2DB54" w:rsidR="3189D66F">
        <w:rPr>
          <w:rFonts w:ascii="Aptos" w:hAnsi="Aptos" w:eastAsia="Aptos" w:cs="Aptos"/>
          <w:b w:val="0"/>
          <w:bCs w:val="0"/>
          <w:noProof w:val="0"/>
          <w:sz w:val="24"/>
          <w:szCs w:val="24"/>
          <w:lang w:val="en-GB"/>
        </w:rPr>
        <w:t xml:space="preserve">. </w:t>
      </w:r>
      <w:r w:rsidRPr="51F2DB54" w:rsidR="3189D66F">
        <w:rPr>
          <w:rFonts w:ascii="Aptos" w:hAnsi="Aptos" w:eastAsia="Aptos" w:cs="Aptos"/>
          <w:b w:val="0"/>
          <w:bCs w:val="0"/>
          <w:noProof w:val="0"/>
          <w:sz w:val="24"/>
          <w:szCs w:val="24"/>
          <w:lang w:val="en-GB"/>
        </w:rPr>
        <w:t>Marshall et al (2016</w:t>
      </w:r>
      <w:r w:rsidRPr="51F2DB54" w:rsidR="7D81D7B4">
        <w:rPr>
          <w:rFonts w:ascii="Aptos" w:hAnsi="Aptos" w:eastAsia="Aptos" w:cs="Aptos"/>
          <w:b w:val="0"/>
          <w:bCs w:val="0"/>
          <w:noProof w:val="0"/>
          <w:sz w:val="24"/>
          <w:szCs w:val="24"/>
          <w:lang w:val="en-GB"/>
        </w:rPr>
        <w:t xml:space="preserve">) </w:t>
      </w:r>
      <w:r w:rsidRPr="51F2DB54" w:rsidR="281C98B9">
        <w:rPr>
          <w:rFonts w:ascii="Aptos" w:hAnsi="Aptos" w:eastAsia="Aptos" w:cs="Aptos"/>
          <w:b w:val="0"/>
          <w:bCs w:val="0"/>
          <w:noProof w:val="0"/>
          <w:sz w:val="24"/>
          <w:szCs w:val="24"/>
          <w:lang w:val="en-GB"/>
        </w:rPr>
        <w:t xml:space="preserve">highlight that although the theory’s central concepts, such as victimisation and internalised stigma, are relevant worldwide, their effects and meanings differ; for instance, concealing one’s identity may protect well-being in highly stigmatising or collectivist societies rather than </w:t>
      </w:r>
      <w:r w:rsidRPr="51F2DB54" w:rsidR="281C98B9">
        <w:rPr>
          <w:rFonts w:ascii="Aptos" w:hAnsi="Aptos" w:eastAsia="Aptos" w:cs="Aptos"/>
          <w:b w:val="0"/>
          <w:bCs w:val="0"/>
          <w:noProof w:val="0"/>
          <w:sz w:val="24"/>
          <w:szCs w:val="24"/>
          <w:lang w:val="en-GB"/>
        </w:rPr>
        <w:t>exacerbate</w:t>
      </w:r>
      <w:r w:rsidRPr="51F2DB54" w:rsidR="281C98B9">
        <w:rPr>
          <w:rFonts w:ascii="Aptos" w:hAnsi="Aptos" w:eastAsia="Aptos" w:cs="Aptos"/>
          <w:b w:val="0"/>
          <w:bCs w:val="0"/>
          <w:noProof w:val="0"/>
          <w:sz w:val="24"/>
          <w:szCs w:val="24"/>
          <w:lang w:val="en-GB"/>
        </w:rPr>
        <w:t xml:space="preserve"> distress.</w:t>
      </w:r>
    </w:p>
    <w:p w:rsidR="648DFAB1" w:rsidP="7F31F3AE" w:rsidRDefault="648DFAB1" w14:paraId="3872BF71" w14:textId="6E509D2F">
      <w:pPr>
        <w:pStyle w:val="Normal"/>
        <w:spacing w:before="240" w:beforeAutospacing="off" w:after="240" w:afterAutospacing="off"/>
        <w:rPr>
          <w:rFonts w:ascii="Aptos" w:hAnsi="Aptos" w:eastAsia="Aptos" w:cs="Aptos"/>
          <w:b w:val="0"/>
          <w:bCs w:val="0"/>
          <w:noProof w:val="0"/>
          <w:sz w:val="24"/>
          <w:szCs w:val="24"/>
          <w:lang w:val="en-GB"/>
        </w:rPr>
      </w:pPr>
      <w:r w:rsidRPr="51F2DB54" w:rsidR="26D8DA2B">
        <w:rPr>
          <w:rFonts w:ascii="Aptos" w:hAnsi="Aptos" w:eastAsia="Aptos" w:cs="Aptos"/>
          <w:b w:val="0"/>
          <w:bCs w:val="0"/>
          <w:noProof w:val="0"/>
          <w:sz w:val="24"/>
          <w:szCs w:val="24"/>
          <w:lang w:val="en-GB"/>
        </w:rPr>
        <w:t>Bridges et al. (2024)</w:t>
      </w:r>
      <w:r w:rsidRPr="51F2DB54" w:rsidR="26D8DA2B">
        <w:rPr>
          <w:rFonts w:ascii="Aptos" w:hAnsi="Aptos" w:eastAsia="Aptos" w:cs="Aptos"/>
          <w:b w:val="0"/>
          <w:bCs w:val="0"/>
          <w:noProof w:val="0"/>
          <w:sz w:val="24"/>
          <w:szCs w:val="24"/>
          <w:lang w:val="en-GB"/>
        </w:rPr>
        <w:t xml:space="preserve"> explain that LGBTQ+ individuals face </w:t>
      </w:r>
      <w:r w:rsidRPr="51F2DB54" w:rsidR="26D8DA2B">
        <w:rPr>
          <w:rFonts w:ascii="Aptos" w:hAnsi="Aptos" w:eastAsia="Aptos" w:cs="Aptos"/>
          <w:b w:val="0"/>
          <w:bCs w:val="0"/>
          <w:noProof w:val="0"/>
          <w:sz w:val="24"/>
          <w:szCs w:val="24"/>
          <w:lang w:val="en-GB"/>
        </w:rPr>
        <w:t>additional</w:t>
      </w:r>
      <w:r w:rsidRPr="51F2DB54" w:rsidR="26D8DA2B">
        <w:rPr>
          <w:rFonts w:ascii="Aptos" w:hAnsi="Aptos" w:eastAsia="Aptos" w:cs="Aptos"/>
          <w:b w:val="0"/>
          <w:bCs w:val="0"/>
          <w:noProof w:val="0"/>
          <w:sz w:val="24"/>
          <w:szCs w:val="24"/>
          <w:lang w:val="en-GB"/>
        </w:rPr>
        <w:t xml:space="preserve"> challenges because social and cultural structures, along with government policies, often overlook the broader issues affecting them; neoliberal ideologies, which emphasize individual responsibility and market-based solutions, can limit access to support and reinforce inequalities. Using an intersectional framework, the authors show how different forms of discrimination such as sexism, racism, and homophobia, interact and compound the difficulties experienced by LGBTQ+ people</w:t>
      </w:r>
      <w:r w:rsidRPr="51F2DB54" w:rsidR="47DAF1CE">
        <w:rPr>
          <w:rFonts w:ascii="Aptos" w:hAnsi="Aptos" w:eastAsia="Aptos" w:cs="Aptos"/>
          <w:b w:val="0"/>
          <w:bCs w:val="0"/>
          <w:noProof w:val="0"/>
          <w:sz w:val="24"/>
          <w:szCs w:val="24"/>
          <w:lang w:val="en-GB"/>
        </w:rPr>
        <w:t xml:space="preserve"> (</w:t>
      </w:r>
      <w:r w:rsidRPr="51F2DB54" w:rsidR="47DAF1CE">
        <w:rPr>
          <w:rFonts w:ascii="Aptos" w:hAnsi="Aptos" w:eastAsia="Aptos" w:cs="Aptos"/>
          <w:b w:val="0"/>
          <w:bCs w:val="0"/>
          <w:noProof w:val="0"/>
          <w:sz w:val="24"/>
          <w:szCs w:val="24"/>
          <w:lang w:val="en-GB"/>
        </w:rPr>
        <w:t>Zarzycka et al., 2017)</w:t>
      </w:r>
    </w:p>
    <w:p w:rsidR="4D4E53FB" w:rsidP="51F2DB54" w:rsidRDefault="4D4E53FB" w14:paraId="72D43EDE" w14:textId="21D25FE6">
      <w:pPr>
        <w:spacing w:before="240" w:beforeAutospacing="off" w:after="240" w:afterAutospacing="off"/>
        <w:rPr>
          <w:rFonts w:ascii="Aptos" w:hAnsi="Aptos" w:eastAsia="Aptos" w:cs="Aptos"/>
          <w:b w:val="0"/>
          <w:bCs w:val="0"/>
          <w:noProof w:val="0"/>
          <w:sz w:val="24"/>
          <w:szCs w:val="24"/>
          <w:lang w:val="en-GB"/>
        </w:rPr>
      </w:pPr>
      <w:r w:rsidRPr="51F2DB54" w:rsidR="54FFF3BF">
        <w:rPr>
          <w:rFonts w:ascii="Aptos" w:hAnsi="Aptos" w:eastAsia="Aptos" w:cs="Aptos"/>
          <w:b w:val="0"/>
          <w:bCs w:val="0"/>
          <w:noProof w:val="0"/>
          <w:sz w:val="24"/>
          <w:szCs w:val="24"/>
          <w:lang w:val="en-GB"/>
        </w:rPr>
        <w:t>Pain (2022)</w:t>
      </w:r>
      <w:r w:rsidRPr="51F2DB54" w:rsidR="54FFF3BF">
        <w:rPr>
          <w:rFonts w:ascii="Aptos" w:hAnsi="Aptos" w:eastAsia="Aptos" w:cs="Aptos"/>
          <w:b w:val="0"/>
          <w:bCs w:val="0"/>
          <w:noProof w:val="0"/>
          <w:sz w:val="24"/>
          <w:szCs w:val="24"/>
          <w:lang w:val="en-GB"/>
        </w:rPr>
        <w:t xml:space="preserve"> explores how digital technologies influence the cultural and social experiences of LGBTQ+ communities on a global scale; she emphasizes that online platforms allow LGBTQ+ individuals to express their identities, form supportive communities, and engage in activism, often providing spaces for empowerment and resistance where offline environments may be restrictive. Using an intersectional and transnational perspective, Pain and the contributing authors examine how race, gender, sexuality, disability, and colonial histories intersect to shape LGBTQ+ experiences in </w:t>
      </w:r>
      <w:r w:rsidRPr="51F2DB54" w:rsidR="54FFF3BF">
        <w:rPr>
          <w:rFonts w:ascii="Aptos" w:hAnsi="Aptos" w:eastAsia="Aptos" w:cs="Aptos"/>
          <w:b w:val="0"/>
          <w:bCs w:val="0"/>
          <w:noProof w:val="0"/>
          <w:sz w:val="24"/>
          <w:szCs w:val="24"/>
          <w:lang w:val="en-GB"/>
        </w:rPr>
        <w:t>different cultural</w:t>
      </w:r>
      <w:r w:rsidRPr="51F2DB54" w:rsidR="54FFF3BF">
        <w:rPr>
          <w:rFonts w:ascii="Aptos" w:hAnsi="Aptos" w:eastAsia="Aptos" w:cs="Aptos"/>
          <w:b w:val="0"/>
          <w:bCs w:val="0"/>
          <w:noProof w:val="0"/>
          <w:sz w:val="24"/>
          <w:szCs w:val="24"/>
          <w:lang w:val="en-GB"/>
        </w:rPr>
        <w:t xml:space="preserve"> contexts.</w:t>
      </w:r>
    </w:p>
    <w:p w:rsidR="4D4E53FB" w:rsidP="51F2DB54" w:rsidRDefault="4D4E53FB" w14:paraId="2A7EF3CA" w14:textId="08FD6922">
      <w:pPr>
        <w:pStyle w:val="Normal"/>
        <w:spacing w:before="240" w:beforeAutospacing="off" w:after="240" w:afterAutospacing="off"/>
        <w:rPr>
          <w:rFonts w:ascii="Aptos" w:hAnsi="Aptos" w:eastAsia="Aptos" w:cs="Aptos"/>
          <w:b w:val="0"/>
          <w:bCs w:val="0"/>
          <w:noProof w:val="0"/>
          <w:sz w:val="24"/>
          <w:szCs w:val="24"/>
          <w:lang w:val="en-GB"/>
        </w:rPr>
      </w:pPr>
      <w:r w:rsidRPr="51F2DB54" w:rsidR="61F7811E">
        <w:rPr>
          <w:rFonts w:ascii="Aptos" w:hAnsi="Aptos" w:eastAsia="Aptos" w:cs="Aptos"/>
          <w:b w:val="0"/>
          <w:bCs w:val="0"/>
          <w:noProof w:val="0"/>
          <w:sz w:val="24"/>
          <w:szCs w:val="24"/>
          <w:lang w:val="en-GB"/>
        </w:rPr>
        <w:t xml:space="preserve">Drawing on critical and cultural studies frameworks, the author </w:t>
      </w:r>
      <w:r w:rsidRPr="51F2DB54" w:rsidR="5BCBB0B9">
        <w:rPr>
          <w:rFonts w:ascii="Aptos" w:hAnsi="Aptos" w:eastAsia="Aptos" w:cs="Aptos"/>
          <w:b w:val="0"/>
          <w:bCs w:val="0"/>
          <w:noProof w:val="0"/>
          <w:sz w:val="24"/>
          <w:szCs w:val="24"/>
          <w:lang w:val="en-GB"/>
        </w:rPr>
        <w:t>analyses</w:t>
      </w:r>
      <w:r w:rsidRPr="51F2DB54" w:rsidR="61F7811E">
        <w:rPr>
          <w:rFonts w:ascii="Aptos" w:hAnsi="Aptos" w:eastAsia="Aptos" w:cs="Aptos"/>
          <w:b w:val="0"/>
          <w:bCs w:val="0"/>
          <w:noProof w:val="0"/>
          <w:sz w:val="24"/>
          <w:szCs w:val="24"/>
          <w:lang w:val="en-GB"/>
        </w:rPr>
        <w:t xml:space="preserve"> queer cyberculture and representation, highlighting how digital media mediates identity construction and negotiation; this approach underscores the significant role of digital spaces in shaping both social and cultural aspects of queer life worldwide </w:t>
      </w:r>
      <w:r w:rsidRPr="51F2DB54" w:rsidR="61F7811E">
        <w:rPr>
          <w:rFonts w:ascii="Aptos" w:hAnsi="Aptos" w:eastAsia="Aptos" w:cs="Aptos"/>
          <w:b w:val="0"/>
          <w:bCs w:val="0"/>
          <w:noProof w:val="0"/>
          <w:sz w:val="24"/>
          <w:szCs w:val="24"/>
          <w:lang w:val="en-GB"/>
        </w:rPr>
        <w:t>(Pain</w:t>
      </w:r>
      <w:r w:rsidRPr="51F2DB54" w:rsidR="6C5A1C01">
        <w:rPr>
          <w:rFonts w:ascii="Aptos" w:hAnsi="Aptos" w:eastAsia="Aptos" w:cs="Aptos"/>
          <w:b w:val="0"/>
          <w:bCs w:val="0"/>
          <w:noProof w:val="0"/>
          <w:sz w:val="24"/>
          <w:szCs w:val="24"/>
          <w:lang w:val="en-GB"/>
        </w:rPr>
        <w:t xml:space="preserve"> </w:t>
      </w:r>
      <w:r w:rsidRPr="51F2DB54" w:rsidR="61F7811E">
        <w:rPr>
          <w:rFonts w:ascii="Aptos" w:hAnsi="Aptos" w:eastAsia="Aptos" w:cs="Aptos"/>
          <w:b w:val="0"/>
          <w:bCs w:val="0"/>
          <w:noProof w:val="0"/>
          <w:sz w:val="24"/>
          <w:szCs w:val="24"/>
          <w:lang w:val="en-GB"/>
        </w:rPr>
        <w:t>2022</w:t>
      </w:r>
      <w:r w:rsidRPr="51F2DB54" w:rsidR="0F21EB78">
        <w:rPr>
          <w:rFonts w:ascii="Aptos" w:hAnsi="Aptos" w:eastAsia="Aptos" w:cs="Aptos"/>
          <w:b w:val="0"/>
          <w:bCs w:val="0"/>
          <w:noProof w:val="0"/>
          <w:sz w:val="24"/>
          <w:szCs w:val="24"/>
          <w:lang w:val="en-GB"/>
        </w:rPr>
        <w:t>, Lytle et al., 2018</w:t>
      </w:r>
      <w:r w:rsidRPr="51F2DB54" w:rsidR="61F7811E">
        <w:rPr>
          <w:rFonts w:ascii="Aptos" w:hAnsi="Aptos" w:eastAsia="Aptos" w:cs="Aptos"/>
          <w:b w:val="0"/>
          <w:bCs w:val="0"/>
          <w:noProof w:val="0"/>
          <w:sz w:val="24"/>
          <w:szCs w:val="24"/>
          <w:lang w:val="en-GB"/>
        </w:rPr>
        <w:t>)</w:t>
      </w:r>
      <w:r w:rsidRPr="51F2DB54" w:rsidR="61F7811E">
        <w:rPr>
          <w:rFonts w:ascii="Aptos" w:hAnsi="Aptos" w:eastAsia="Aptos" w:cs="Aptos"/>
          <w:b w:val="0"/>
          <w:bCs w:val="0"/>
          <w:noProof w:val="0"/>
          <w:sz w:val="24"/>
          <w:szCs w:val="24"/>
          <w:lang w:val="en-GB"/>
        </w:rPr>
        <w:t>.</w:t>
      </w:r>
    </w:p>
    <w:p w:rsidR="195EEAB1" w:rsidP="51F2DB54" w:rsidRDefault="195EEAB1" w14:paraId="5BE3264F" w14:textId="675C7FB2">
      <w:pPr>
        <w:pStyle w:val="Normal"/>
        <w:spacing w:before="240" w:beforeAutospacing="off" w:after="240" w:afterAutospacing="off"/>
        <w:rPr>
          <w:rFonts w:ascii="Aptos" w:hAnsi="Aptos" w:eastAsia="Aptos" w:cs="Aptos"/>
          <w:b w:val="0"/>
          <w:bCs w:val="0"/>
          <w:noProof w:val="0"/>
          <w:sz w:val="24"/>
          <w:szCs w:val="24"/>
          <w:lang w:val="en-GB"/>
        </w:rPr>
      </w:pPr>
      <w:r w:rsidRPr="51F2DB54" w:rsidR="6DF3BD2B">
        <w:rPr>
          <w:rFonts w:ascii="Aptos" w:hAnsi="Aptos" w:eastAsia="Aptos" w:cs="Aptos"/>
          <w:b w:val="0"/>
          <w:bCs w:val="0"/>
          <w:noProof w:val="0"/>
          <w:sz w:val="24"/>
          <w:szCs w:val="24"/>
          <w:lang w:val="en-GB"/>
        </w:rPr>
        <w:t>Branstrom et al. (2023)</w:t>
      </w:r>
      <w:r w:rsidRPr="51F2DB54" w:rsidR="6DF3BD2B">
        <w:rPr>
          <w:rFonts w:ascii="Aptos" w:hAnsi="Aptos" w:eastAsia="Aptos" w:cs="Aptos"/>
          <w:b w:val="0"/>
          <w:bCs w:val="0"/>
          <w:noProof w:val="0"/>
          <w:sz w:val="24"/>
          <w:szCs w:val="24"/>
          <w:lang w:val="en-GB"/>
        </w:rPr>
        <w:t xml:space="preserve"> explain that cultural and social inequalities experienced by LGBTQ+ individuals often arise from barriers to societal integration, which significantly impact mental health; these barriers include unemployment, unstable housing, limited social participation, and exclusion from family structures and religious communities, all of which reduce a sense of belonging and increase risks of depression and suicidality </w:t>
      </w:r>
      <w:r w:rsidRPr="51F2DB54" w:rsidR="6DF3BD2B">
        <w:rPr>
          <w:rFonts w:ascii="Aptos" w:hAnsi="Aptos" w:eastAsia="Aptos" w:cs="Aptos"/>
          <w:b w:val="0"/>
          <w:bCs w:val="0"/>
          <w:noProof w:val="0"/>
          <w:sz w:val="24"/>
          <w:szCs w:val="24"/>
          <w:lang w:val="en-GB"/>
        </w:rPr>
        <w:t>(Wagner et al., 2018; Stahlman et al., 2016).</w:t>
      </w:r>
      <w:r w:rsidRPr="51F2DB54" w:rsidR="6DF3BD2B">
        <w:rPr>
          <w:rFonts w:ascii="Aptos" w:hAnsi="Aptos" w:eastAsia="Aptos" w:cs="Aptos"/>
          <w:b w:val="0"/>
          <w:bCs w:val="0"/>
          <w:noProof w:val="0"/>
          <w:sz w:val="24"/>
          <w:szCs w:val="24"/>
          <w:lang w:val="en-GB"/>
        </w:rPr>
        <w:t xml:space="preserve"> Furthermore, while religion can serve as a source of social support in some contexts, it often reinforces stigma and discrimination</w:t>
      </w:r>
      <w:r w:rsidRPr="51F2DB54" w:rsidR="6DF3BD2B">
        <w:rPr>
          <w:rFonts w:ascii="Aptos" w:hAnsi="Aptos" w:eastAsia="Aptos" w:cs="Aptos"/>
          <w:b w:val="0"/>
          <w:bCs w:val="0"/>
          <w:noProof w:val="0"/>
          <w:sz w:val="24"/>
          <w:szCs w:val="24"/>
          <w:lang w:val="en-GB"/>
        </w:rPr>
        <w:t xml:space="preserve">, </w:t>
      </w:r>
      <w:r w:rsidRPr="51F2DB54" w:rsidR="6DF3BD2B">
        <w:rPr>
          <w:rFonts w:ascii="Aptos" w:hAnsi="Aptos" w:eastAsia="Aptos" w:cs="Aptos"/>
          <w:b w:val="0"/>
          <w:bCs w:val="0"/>
          <w:noProof w:val="0"/>
          <w:sz w:val="24"/>
          <w:szCs w:val="24"/>
          <w:lang w:val="en-GB"/>
        </w:rPr>
        <w:t>e</w:t>
      </w:r>
      <w:r w:rsidRPr="51F2DB54" w:rsidR="6DF3BD2B">
        <w:rPr>
          <w:rFonts w:ascii="Aptos" w:hAnsi="Aptos" w:eastAsia="Aptos" w:cs="Aptos"/>
          <w:b w:val="0"/>
          <w:bCs w:val="0"/>
          <w:noProof w:val="0"/>
          <w:sz w:val="24"/>
          <w:szCs w:val="24"/>
          <w:lang w:val="en-GB"/>
        </w:rPr>
        <w:t>xacerbati</w:t>
      </w:r>
      <w:r w:rsidRPr="51F2DB54" w:rsidR="6DF3BD2B">
        <w:rPr>
          <w:rFonts w:ascii="Aptos" w:hAnsi="Aptos" w:eastAsia="Aptos" w:cs="Aptos"/>
          <w:b w:val="0"/>
          <w:bCs w:val="0"/>
          <w:noProof w:val="0"/>
          <w:sz w:val="24"/>
          <w:szCs w:val="24"/>
          <w:lang w:val="en-GB"/>
        </w:rPr>
        <w:t>ng</w:t>
      </w:r>
      <w:r w:rsidRPr="51F2DB54" w:rsidR="6DF3BD2B">
        <w:rPr>
          <w:rFonts w:ascii="Aptos" w:hAnsi="Aptos" w:eastAsia="Aptos" w:cs="Aptos"/>
          <w:b w:val="0"/>
          <w:bCs w:val="0"/>
          <w:noProof w:val="0"/>
          <w:sz w:val="24"/>
          <w:szCs w:val="24"/>
          <w:lang w:val="en-GB"/>
        </w:rPr>
        <w:t xml:space="preserve"> </w:t>
      </w:r>
      <w:r w:rsidRPr="51F2DB54" w:rsidR="6DF3BD2B">
        <w:rPr>
          <w:rFonts w:ascii="Aptos" w:hAnsi="Aptos" w:eastAsia="Aptos" w:cs="Aptos"/>
          <w:b w:val="0"/>
          <w:bCs w:val="0"/>
          <w:noProof w:val="0"/>
          <w:sz w:val="24"/>
          <w:szCs w:val="24"/>
          <w:lang w:val="en-GB"/>
        </w:rPr>
        <w:t xml:space="preserve">mental health challenges among LGBTQ+ people </w:t>
      </w:r>
      <w:r w:rsidRPr="51F2DB54" w:rsidR="6DF3BD2B">
        <w:rPr>
          <w:rFonts w:ascii="Aptos" w:hAnsi="Aptos" w:eastAsia="Aptos" w:cs="Aptos"/>
          <w:b w:val="0"/>
          <w:bCs w:val="0"/>
          <w:noProof w:val="0"/>
          <w:sz w:val="24"/>
          <w:szCs w:val="24"/>
          <w:lang w:val="en-GB"/>
        </w:rPr>
        <w:t>(Ross &amp; Anderson, 2014).</w:t>
      </w:r>
      <w:r w:rsidRPr="51F2DB54" w:rsidR="6DF3BD2B">
        <w:rPr>
          <w:rFonts w:ascii="Aptos" w:hAnsi="Aptos" w:eastAsia="Aptos" w:cs="Aptos"/>
          <w:b w:val="0"/>
          <w:bCs w:val="0"/>
          <w:noProof w:val="0"/>
          <w:sz w:val="24"/>
          <w:szCs w:val="24"/>
          <w:lang w:val="en-GB"/>
        </w:rPr>
        <w:t xml:space="preserve"> Collectively, these studies underscore how structural and cultural barriers perpetuate inequality and restrict LGBTQ+ inclusion in society.</w:t>
      </w:r>
    </w:p>
    <w:p w:rsidR="50A06A44" w:rsidP="50A06A44" w:rsidRDefault="50A06A44" w14:paraId="320060CD" w14:textId="2A60039F">
      <w:pPr>
        <w:pStyle w:val="Normal"/>
        <w:spacing w:before="240" w:beforeAutospacing="off" w:after="240" w:afterAutospacing="off"/>
        <w:rPr>
          <w:rFonts w:ascii="Aptos" w:hAnsi="Aptos" w:eastAsia="Aptos" w:cs="Aptos"/>
          <w:b w:val="0"/>
          <w:bCs w:val="0"/>
          <w:noProof w:val="0"/>
          <w:sz w:val="24"/>
          <w:szCs w:val="24"/>
          <w:lang w:val="en-GB"/>
        </w:rPr>
      </w:pPr>
    </w:p>
    <w:p w:rsidR="7568A4A4" w:rsidP="51F2DB54" w:rsidRDefault="7568A4A4" w14:paraId="08B2BC9E" w14:textId="76FFEA0F">
      <w:pPr>
        <w:pStyle w:val="Normal"/>
        <w:spacing w:before="240" w:beforeAutospacing="off" w:after="240" w:afterAutospacing="off"/>
        <w:rPr>
          <w:rFonts w:ascii="Aptos" w:hAnsi="Aptos" w:eastAsia="Aptos" w:cs="Aptos"/>
          <w:b w:val="0"/>
          <w:bCs w:val="0"/>
          <w:noProof w:val="0"/>
          <w:sz w:val="24"/>
          <w:szCs w:val="24"/>
          <w:lang w:val="en-GB"/>
        </w:rPr>
      </w:pPr>
      <w:r w:rsidRPr="51F2DB54" w:rsidR="44ECB9C5">
        <w:rPr>
          <w:rFonts w:ascii="Aptos" w:hAnsi="Aptos" w:eastAsia="Aptos" w:cs="Aptos"/>
          <w:b w:val="0"/>
          <w:bCs w:val="0"/>
          <w:noProof w:val="0"/>
          <w:sz w:val="24"/>
          <w:szCs w:val="24"/>
          <w:lang w:val="en-GB"/>
        </w:rPr>
        <w:t xml:space="preserve">Hatzenbuehler et al. (2011) and </w:t>
      </w:r>
      <w:r w:rsidRPr="51F2DB54" w:rsidR="44ECB9C5">
        <w:rPr>
          <w:rFonts w:ascii="Aptos" w:hAnsi="Aptos" w:eastAsia="Aptos" w:cs="Aptos"/>
          <w:b w:val="0"/>
          <w:bCs w:val="0"/>
          <w:noProof w:val="0"/>
          <w:sz w:val="24"/>
          <w:szCs w:val="24"/>
          <w:lang w:val="en-GB"/>
        </w:rPr>
        <w:t>Pachankis</w:t>
      </w:r>
      <w:r w:rsidRPr="51F2DB54" w:rsidR="3472CFF7">
        <w:rPr>
          <w:rFonts w:ascii="Aptos" w:hAnsi="Aptos" w:eastAsia="Aptos" w:cs="Aptos"/>
          <w:b w:val="0"/>
          <w:bCs w:val="0"/>
          <w:noProof w:val="0"/>
          <w:sz w:val="24"/>
          <w:szCs w:val="24"/>
          <w:lang w:val="en-GB"/>
        </w:rPr>
        <w:t xml:space="preserve"> (2018)</w:t>
      </w:r>
      <w:r w:rsidRPr="51F2DB54" w:rsidR="44ECB9C5">
        <w:rPr>
          <w:rFonts w:ascii="Aptos" w:hAnsi="Aptos" w:eastAsia="Aptos" w:cs="Aptos"/>
          <w:b w:val="0"/>
          <w:bCs w:val="0"/>
          <w:noProof w:val="0"/>
          <w:sz w:val="24"/>
          <w:szCs w:val="24"/>
          <w:lang w:val="en-GB"/>
        </w:rPr>
        <w:t xml:space="preserve"> highlight that variations in structural stigma, discriminatory laws, and societal acceptance across different countries significantly influence the mental health and social well-being of LGBTQ+ individuals.</w:t>
      </w:r>
      <w:r w:rsidRPr="51F2DB54" w:rsidR="44ECB9C5">
        <w:rPr>
          <w:rFonts w:ascii="Aptos" w:hAnsi="Aptos" w:eastAsia="Aptos" w:cs="Aptos"/>
          <w:b w:val="0"/>
          <w:bCs w:val="0"/>
          <w:noProof w:val="0"/>
          <w:sz w:val="24"/>
          <w:szCs w:val="24"/>
          <w:lang w:val="en-GB"/>
        </w:rPr>
        <w:t xml:space="preserve"> Massad (2002)</w:t>
      </w:r>
      <w:r w:rsidRPr="51F2DB54" w:rsidR="44ECB9C5">
        <w:rPr>
          <w:rFonts w:ascii="Aptos" w:hAnsi="Aptos" w:eastAsia="Aptos" w:cs="Aptos"/>
          <w:b w:val="0"/>
          <w:bCs w:val="0"/>
          <w:noProof w:val="0"/>
          <w:sz w:val="24"/>
          <w:szCs w:val="24"/>
          <w:lang w:val="en-GB"/>
        </w:rPr>
        <w:t xml:space="preserve"> cautions against applying Western frameworks universally, arguing that cultural differences must be acknowledged when analysing inequality. Similarly, </w:t>
      </w:r>
      <w:r w:rsidRPr="51F2DB54" w:rsidR="44ECB9C5">
        <w:rPr>
          <w:rFonts w:ascii="Aptos" w:hAnsi="Aptos" w:eastAsia="Aptos" w:cs="Aptos"/>
          <w:b w:val="0"/>
          <w:bCs w:val="0"/>
          <w:noProof w:val="0"/>
          <w:sz w:val="24"/>
          <w:szCs w:val="24"/>
          <w:lang w:val="en-GB"/>
        </w:rPr>
        <w:t>Sullivan (2001</w:t>
      </w:r>
      <w:r w:rsidRPr="51F2DB54" w:rsidR="44ECB9C5">
        <w:rPr>
          <w:rFonts w:ascii="Aptos" w:hAnsi="Aptos" w:eastAsia="Aptos" w:cs="Aptos"/>
          <w:b w:val="0"/>
          <w:bCs w:val="0"/>
          <w:noProof w:val="0"/>
          <w:sz w:val="24"/>
          <w:szCs w:val="24"/>
          <w:lang w:val="en-GB"/>
        </w:rPr>
        <w:t xml:space="preserve">) </w:t>
      </w:r>
      <w:r w:rsidRPr="51F2DB54" w:rsidR="44ECB9C5">
        <w:rPr>
          <w:rFonts w:ascii="Aptos" w:hAnsi="Aptos" w:eastAsia="Aptos" w:cs="Aptos"/>
          <w:b w:val="0"/>
          <w:bCs w:val="0"/>
          <w:noProof w:val="0"/>
          <w:sz w:val="24"/>
          <w:szCs w:val="24"/>
          <w:lang w:val="en-GB"/>
        </w:rPr>
        <w:t>observes</w:t>
      </w:r>
      <w:r w:rsidRPr="51F2DB54" w:rsidR="44ECB9C5">
        <w:rPr>
          <w:rFonts w:ascii="Aptos" w:hAnsi="Aptos" w:eastAsia="Aptos" w:cs="Aptos"/>
          <w:b w:val="0"/>
          <w:bCs w:val="0"/>
          <w:noProof w:val="0"/>
          <w:sz w:val="24"/>
          <w:szCs w:val="24"/>
          <w:lang w:val="en-GB"/>
        </w:rPr>
        <w:t xml:space="preserve"> that while common themes of discrimination exist globally, each nation’s cultural norms and social systems shape how LGBTQ+ identities and inequalities are experienced. </w:t>
      </w:r>
      <w:r w:rsidRPr="51F2DB54" w:rsidR="44ECB9C5">
        <w:rPr>
          <w:rFonts w:ascii="Aptos" w:hAnsi="Aptos" w:eastAsia="Aptos" w:cs="Aptos"/>
          <w:b w:val="0"/>
          <w:bCs w:val="0"/>
          <w:noProof w:val="0"/>
          <w:sz w:val="24"/>
          <w:szCs w:val="24"/>
          <w:lang w:val="en-GB"/>
        </w:rPr>
        <w:t>Rajabzadeh</w:t>
      </w:r>
      <w:r w:rsidRPr="51F2DB54" w:rsidR="44ECB9C5">
        <w:rPr>
          <w:rFonts w:ascii="Aptos" w:hAnsi="Aptos" w:eastAsia="Aptos" w:cs="Aptos"/>
          <w:b w:val="0"/>
          <w:bCs w:val="0"/>
          <w:noProof w:val="0"/>
          <w:sz w:val="24"/>
          <w:szCs w:val="24"/>
          <w:lang w:val="en-GB"/>
        </w:rPr>
        <w:t xml:space="preserve"> et al. (2021)</w:t>
      </w:r>
      <w:r w:rsidRPr="51F2DB54" w:rsidR="44ECB9C5">
        <w:rPr>
          <w:rFonts w:ascii="Aptos" w:hAnsi="Aptos" w:eastAsia="Aptos" w:cs="Aptos"/>
          <w:b w:val="0"/>
          <w:bCs w:val="0"/>
          <w:noProof w:val="0"/>
          <w:sz w:val="24"/>
          <w:szCs w:val="24"/>
          <w:lang w:val="en-GB"/>
        </w:rPr>
        <w:t xml:space="preserve"> further emphasize the importance of incorporating perspectives from the Global South, recognising that local cultural and social contexts are essential for understanding the diversity of LGBTQ+ experiences worldwide.</w:t>
      </w:r>
    </w:p>
    <w:p w:rsidR="66C2DFDE" w:rsidP="50A06A44" w:rsidRDefault="66C2DFDE" w14:paraId="0CFE936D" w14:textId="417AEF5A">
      <w:pPr>
        <w:pStyle w:val="Normal"/>
        <w:spacing w:before="240" w:beforeAutospacing="off" w:after="240" w:afterAutospacing="off"/>
        <w:rPr>
          <w:rFonts w:ascii="Aptos" w:hAnsi="Aptos" w:eastAsia="Aptos" w:cs="Aptos"/>
          <w:b w:val="0"/>
          <w:bCs w:val="0"/>
          <w:noProof w:val="0"/>
          <w:sz w:val="24"/>
          <w:szCs w:val="24"/>
          <w:lang w:val="en-GB"/>
        </w:rPr>
      </w:pPr>
      <w:r w:rsidRPr="51F2DB54" w:rsidR="796C1BE7">
        <w:rPr>
          <w:rFonts w:ascii="Aptos" w:hAnsi="Aptos" w:eastAsia="Aptos" w:cs="Aptos"/>
          <w:b w:val="0"/>
          <w:bCs w:val="0"/>
          <w:noProof w:val="0"/>
          <w:sz w:val="24"/>
          <w:szCs w:val="24"/>
          <w:lang w:val="en-GB"/>
        </w:rPr>
        <w:t xml:space="preserve">Inequality is further reinforced in rural or culturally conservative contexts, where healthcare systems </w:t>
      </w:r>
      <w:r w:rsidRPr="51F2DB54" w:rsidR="796C1BE7">
        <w:rPr>
          <w:rFonts w:ascii="Aptos" w:hAnsi="Aptos" w:eastAsia="Aptos" w:cs="Aptos"/>
          <w:b w:val="0"/>
          <w:bCs w:val="0"/>
          <w:noProof w:val="0"/>
          <w:sz w:val="24"/>
          <w:szCs w:val="24"/>
          <w:lang w:val="en-GB"/>
        </w:rPr>
        <w:t>remain</w:t>
      </w:r>
      <w:r w:rsidRPr="51F2DB54" w:rsidR="796C1BE7">
        <w:rPr>
          <w:rFonts w:ascii="Aptos" w:hAnsi="Aptos" w:eastAsia="Aptos" w:cs="Aptos"/>
          <w:b w:val="0"/>
          <w:bCs w:val="0"/>
          <w:noProof w:val="0"/>
          <w:sz w:val="24"/>
          <w:szCs w:val="24"/>
          <w:lang w:val="en-GB"/>
        </w:rPr>
        <w:t xml:space="preserve"> heteronormative and </w:t>
      </w:r>
      <w:r w:rsidRPr="51F2DB54" w:rsidR="796C1BE7">
        <w:rPr>
          <w:rFonts w:ascii="Aptos" w:hAnsi="Aptos" w:eastAsia="Aptos" w:cs="Aptos"/>
          <w:b w:val="0"/>
          <w:bCs w:val="0"/>
          <w:noProof w:val="0"/>
          <w:sz w:val="24"/>
          <w:szCs w:val="24"/>
          <w:lang w:val="en-GB"/>
        </w:rPr>
        <w:t>fail to</w:t>
      </w:r>
      <w:r w:rsidRPr="51F2DB54" w:rsidR="796C1BE7">
        <w:rPr>
          <w:rFonts w:ascii="Aptos" w:hAnsi="Aptos" w:eastAsia="Aptos" w:cs="Aptos"/>
          <w:b w:val="0"/>
          <w:bCs w:val="0"/>
          <w:noProof w:val="0"/>
          <w:sz w:val="24"/>
          <w:szCs w:val="24"/>
          <w:lang w:val="en-GB"/>
        </w:rPr>
        <w:t xml:space="preserve"> meet LGBTQ+ needs </w:t>
      </w:r>
      <w:r w:rsidRPr="51F2DB54" w:rsidR="796C1BE7">
        <w:rPr>
          <w:rFonts w:ascii="Aptos" w:hAnsi="Aptos" w:eastAsia="Aptos" w:cs="Aptos"/>
          <w:b w:val="0"/>
          <w:bCs w:val="0"/>
          <w:noProof w:val="0"/>
          <w:sz w:val="24"/>
          <w:szCs w:val="24"/>
          <w:lang w:val="en-GB"/>
        </w:rPr>
        <w:t>(Bernstein et al., 2024)</w:t>
      </w:r>
      <w:r w:rsidRPr="51F2DB54" w:rsidR="796C1BE7">
        <w:rPr>
          <w:rFonts w:ascii="Aptos" w:hAnsi="Aptos" w:eastAsia="Aptos" w:cs="Aptos"/>
          <w:b w:val="0"/>
          <w:bCs w:val="0"/>
          <w:noProof w:val="0"/>
          <w:sz w:val="24"/>
          <w:szCs w:val="24"/>
          <w:lang w:val="en-GB"/>
        </w:rPr>
        <w:t xml:space="preserve">. The social inequality manifests through limited access to supportive networks, such as inclusive schools, families, and peer groups, research shows that supportive environments like gay-straight alliances and LGBTQ+ pride events reduce risks of suicide, substance use, and social isolation, whereas lack of such support exacerbates inequality </w:t>
      </w:r>
      <w:r w:rsidRPr="51F2DB54" w:rsidR="796C1BE7">
        <w:rPr>
          <w:rFonts w:ascii="Aptos" w:hAnsi="Aptos" w:eastAsia="Aptos" w:cs="Aptos"/>
          <w:b w:val="0"/>
          <w:bCs w:val="0"/>
          <w:noProof w:val="0"/>
          <w:sz w:val="24"/>
          <w:szCs w:val="24"/>
          <w:lang w:val="en-GB"/>
        </w:rPr>
        <w:t>(</w:t>
      </w:r>
      <w:r w:rsidRPr="51F2DB54" w:rsidR="796C1BE7">
        <w:rPr>
          <w:rFonts w:ascii="Aptos" w:hAnsi="Aptos" w:eastAsia="Aptos" w:cs="Aptos"/>
          <w:b w:val="0"/>
          <w:bCs w:val="0"/>
          <w:noProof w:val="0"/>
          <w:sz w:val="24"/>
          <w:szCs w:val="24"/>
          <w:lang w:val="en-GB"/>
        </w:rPr>
        <w:t>Saewyc</w:t>
      </w:r>
      <w:r w:rsidRPr="51F2DB54" w:rsidR="796C1BE7">
        <w:rPr>
          <w:rFonts w:ascii="Aptos" w:hAnsi="Aptos" w:eastAsia="Aptos" w:cs="Aptos"/>
          <w:b w:val="0"/>
          <w:bCs w:val="0"/>
          <w:noProof w:val="0"/>
          <w:sz w:val="24"/>
          <w:szCs w:val="24"/>
          <w:lang w:val="en-GB"/>
        </w:rPr>
        <w:t xml:space="preserve"> et al., 2020; Watson et al., 2020). </w:t>
      </w:r>
      <w:r w:rsidRPr="51F2DB54" w:rsidR="796C1BE7">
        <w:rPr>
          <w:rFonts w:ascii="Aptos" w:hAnsi="Aptos" w:eastAsia="Aptos" w:cs="Aptos"/>
          <w:b w:val="0"/>
          <w:bCs w:val="0"/>
          <w:noProof w:val="0"/>
          <w:sz w:val="24"/>
          <w:szCs w:val="24"/>
          <w:lang w:val="en-GB"/>
        </w:rPr>
        <w:t xml:space="preserve">Family rejection and stigma around disclosure are major cultural barriers, contributing to anxiety and depression among LGBTQ+ individuals </w:t>
      </w:r>
      <w:r w:rsidRPr="51F2DB54" w:rsidR="796C1BE7">
        <w:rPr>
          <w:rFonts w:ascii="Aptos" w:hAnsi="Aptos" w:eastAsia="Aptos" w:cs="Aptos"/>
          <w:b w:val="0"/>
          <w:bCs w:val="0"/>
          <w:noProof w:val="0"/>
          <w:sz w:val="24"/>
          <w:szCs w:val="24"/>
          <w:lang w:val="en-GB"/>
        </w:rPr>
        <w:t>(Pollitt et al., 2017; Sammut, 2021).</w:t>
      </w:r>
    </w:p>
    <w:p w:rsidR="66C2DFDE" w:rsidP="51F2DB54" w:rsidRDefault="66C2DFDE" w14:paraId="01F6AF52" w14:textId="7267C5E2">
      <w:pPr>
        <w:spacing w:before="240" w:beforeAutospacing="off" w:after="240" w:afterAutospacing="off"/>
        <w:rPr>
          <w:rFonts w:ascii="Aptos" w:hAnsi="Aptos" w:eastAsia="Aptos" w:cs="Aptos"/>
          <w:b w:val="0"/>
          <w:bCs w:val="0"/>
          <w:noProof w:val="0"/>
          <w:sz w:val="24"/>
          <w:szCs w:val="24"/>
          <w:lang w:val="en-GB"/>
        </w:rPr>
      </w:pPr>
      <w:r w:rsidRPr="51F2DB54" w:rsidR="7569B8CB">
        <w:rPr>
          <w:rFonts w:ascii="Aptos" w:hAnsi="Aptos" w:eastAsia="Aptos" w:cs="Aptos"/>
          <w:b w:val="0"/>
          <w:bCs w:val="0"/>
          <w:noProof w:val="0"/>
          <w:sz w:val="24"/>
          <w:szCs w:val="24"/>
          <w:lang w:val="en-GB"/>
        </w:rPr>
        <w:t xml:space="preserve">Coker et al., 2010 and </w:t>
      </w:r>
      <w:r w:rsidRPr="51F2DB54" w:rsidR="7569B8CB">
        <w:rPr>
          <w:rFonts w:ascii="Aptos" w:hAnsi="Aptos" w:eastAsia="Aptos" w:cs="Aptos"/>
          <w:b w:val="0"/>
          <w:bCs w:val="0"/>
          <w:noProof w:val="0"/>
          <w:sz w:val="24"/>
          <w:szCs w:val="24"/>
          <w:lang w:val="en-GB"/>
        </w:rPr>
        <w:t>Sevelius</w:t>
      </w:r>
      <w:r w:rsidRPr="51F2DB54" w:rsidR="7569B8CB">
        <w:rPr>
          <w:rFonts w:ascii="Aptos" w:hAnsi="Aptos" w:eastAsia="Aptos" w:cs="Aptos"/>
          <w:b w:val="0"/>
          <w:bCs w:val="0"/>
          <w:noProof w:val="0"/>
          <w:sz w:val="24"/>
          <w:szCs w:val="24"/>
          <w:lang w:val="en-GB"/>
        </w:rPr>
        <w:t xml:space="preserve"> et al., 2014</w:t>
      </w:r>
      <w:r w:rsidRPr="51F2DB54" w:rsidR="7569B8CB">
        <w:rPr>
          <w:rFonts w:ascii="Aptos" w:hAnsi="Aptos" w:eastAsia="Aptos" w:cs="Aptos"/>
          <w:b w:val="0"/>
          <w:bCs w:val="0"/>
          <w:noProof w:val="0"/>
          <w:sz w:val="24"/>
          <w:szCs w:val="24"/>
          <w:lang w:val="en-GB"/>
        </w:rPr>
        <w:t xml:space="preserve"> reviewed and underscored structural inequality within healthcare, as LGBTQ+ patients </w:t>
      </w:r>
      <w:r w:rsidRPr="51F2DB54" w:rsidR="7569B8CB">
        <w:rPr>
          <w:rFonts w:ascii="Aptos" w:hAnsi="Aptos" w:eastAsia="Aptos" w:cs="Aptos"/>
          <w:b w:val="0"/>
          <w:bCs w:val="0"/>
          <w:noProof w:val="0"/>
          <w:sz w:val="24"/>
          <w:szCs w:val="24"/>
          <w:lang w:val="en-GB"/>
        </w:rPr>
        <w:t>frequently</w:t>
      </w:r>
      <w:r w:rsidRPr="51F2DB54" w:rsidR="7569B8CB">
        <w:rPr>
          <w:rFonts w:ascii="Aptos" w:hAnsi="Aptos" w:eastAsia="Aptos" w:cs="Aptos"/>
          <w:b w:val="0"/>
          <w:bCs w:val="0"/>
          <w:noProof w:val="0"/>
          <w:sz w:val="24"/>
          <w:szCs w:val="24"/>
          <w:lang w:val="en-GB"/>
        </w:rPr>
        <w:t xml:space="preserve"> </w:t>
      </w:r>
      <w:r w:rsidRPr="51F2DB54" w:rsidR="7569B8CB">
        <w:rPr>
          <w:rFonts w:ascii="Aptos" w:hAnsi="Aptos" w:eastAsia="Aptos" w:cs="Aptos"/>
          <w:b w:val="0"/>
          <w:bCs w:val="0"/>
          <w:noProof w:val="0"/>
          <w:sz w:val="24"/>
          <w:szCs w:val="24"/>
          <w:lang w:val="en-GB"/>
        </w:rPr>
        <w:t>encounter</w:t>
      </w:r>
      <w:r w:rsidRPr="51F2DB54" w:rsidR="7569B8CB">
        <w:rPr>
          <w:rFonts w:ascii="Aptos" w:hAnsi="Aptos" w:eastAsia="Aptos" w:cs="Aptos"/>
          <w:b w:val="0"/>
          <w:bCs w:val="0"/>
          <w:noProof w:val="0"/>
          <w:sz w:val="24"/>
          <w:szCs w:val="24"/>
          <w:lang w:val="en-GB"/>
        </w:rPr>
        <w:t xml:space="preserve"> biased or uninformed healthcare providers, limiting access to </w:t>
      </w:r>
      <w:r w:rsidRPr="51F2DB54" w:rsidR="7569B8CB">
        <w:rPr>
          <w:rFonts w:ascii="Aptos" w:hAnsi="Aptos" w:eastAsia="Aptos" w:cs="Aptos"/>
          <w:b w:val="0"/>
          <w:bCs w:val="0"/>
          <w:noProof w:val="0"/>
          <w:sz w:val="24"/>
          <w:szCs w:val="24"/>
          <w:lang w:val="en-GB"/>
        </w:rPr>
        <w:t>appropriate treatment</w:t>
      </w:r>
      <w:r w:rsidRPr="51F2DB54" w:rsidR="7569B8CB">
        <w:rPr>
          <w:rFonts w:ascii="Aptos" w:hAnsi="Aptos" w:eastAsia="Aptos" w:cs="Aptos"/>
          <w:b w:val="0"/>
          <w:bCs w:val="0"/>
          <w:noProof w:val="0"/>
          <w:sz w:val="24"/>
          <w:szCs w:val="24"/>
          <w:lang w:val="en-GB"/>
        </w:rPr>
        <w:t xml:space="preserve"> and increasing chronic illness prevalence. Intersectional inequalities where sexuality intersects with race, gender, or occupation further intensify disadvantage. For instance, transgender women engaged in sex work and sexual minorities of </w:t>
      </w:r>
      <w:r w:rsidRPr="51F2DB54" w:rsidR="7569B8CB">
        <w:rPr>
          <w:rFonts w:ascii="Aptos" w:hAnsi="Aptos" w:eastAsia="Aptos" w:cs="Aptos"/>
          <w:b w:val="0"/>
          <w:bCs w:val="0"/>
          <w:noProof w:val="0"/>
          <w:sz w:val="24"/>
          <w:szCs w:val="24"/>
          <w:lang w:val="en-GB"/>
        </w:rPr>
        <w:t>color</w:t>
      </w:r>
      <w:r w:rsidRPr="51F2DB54" w:rsidR="7569B8CB">
        <w:rPr>
          <w:rFonts w:ascii="Aptos" w:hAnsi="Aptos" w:eastAsia="Aptos" w:cs="Aptos"/>
          <w:b w:val="0"/>
          <w:bCs w:val="0"/>
          <w:noProof w:val="0"/>
          <w:sz w:val="24"/>
          <w:szCs w:val="24"/>
          <w:lang w:val="en-GB"/>
        </w:rPr>
        <w:t xml:space="preserve"> experience compounded stigma, violence, and health disparities </w:t>
      </w:r>
      <w:r w:rsidRPr="51F2DB54" w:rsidR="7569B8CB">
        <w:rPr>
          <w:rFonts w:ascii="Aptos" w:hAnsi="Aptos" w:eastAsia="Aptos" w:cs="Aptos"/>
          <w:b w:val="0"/>
          <w:bCs w:val="0"/>
          <w:noProof w:val="0"/>
          <w:sz w:val="24"/>
          <w:szCs w:val="24"/>
          <w:lang w:val="en-GB"/>
        </w:rPr>
        <w:t>(Budhwani et al., 2021).</w:t>
      </w:r>
    </w:p>
    <w:p w:rsidR="66C2DFDE" w:rsidP="50A06A44" w:rsidRDefault="66C2DFDE" w14:paraId="3B5742E9" w14:textId="2BB5DF8A">
      <w:pPr>
        <w:spacing w:before="240" w:beforeAutospacing="off" w:after="240" w:afterAutospacing="off"/>
        <w:rPr>
          <w:rFonts w:ascii="Aptos" w:hAnsi="Aptos" w:eastAsia="Aptos" w:cs="Aptos"/>
          <w:b w:val="0"/>
          <w:bCs w:val="0"/>
          <w:noProof w:val="0"/>
          <w:sz w:val="24"/>
          <w:szCs w:val="24"/>
          <w:lang w:val="en-GB"/>
        </w:rPr>
      </w:pPr>
      <w:r w:rsidRPr="51F2DB54" w:rsidR="796C1BE7">
        <w:rPr>
          <w:rFonts w:ascii="Aptos" w:hAnsi="Aptos" w:eastAsia="Aptos" w:cs="Aptos"/>
          <w:b w:val="0"/>
          <w:bCs w:val="0"/>
          <w:noProof w:val="0"/>
          <w:sz w:val="24"/>
          <w:szCs w:val="24"/>
          <w:lang w:val="en-GB"/>
        </w:rPr>
        <w:t>Chan</w:t>
      </w:r>
      <w:r w:rsidRPr="51F2DB54" w:rsidR="13AD0FB4">
        <w:rPr>
          <w:rFonts w:ascii="Aptos" w:hAnsi="Aptos" w:eastAsia="Aptos" w:cs="Aptos"/>
          <w:b w:val="0"/>
          <w:bCs w:val="0"/>
          <w:noProof w:val="0"/>
          <w:sz w:val="24"/>
          <w:szCs w:val="24"/>
          <w:lang w:val="en-GB"/>
        </w:rPr>
        <w:t xml:space="preserve"> (</w:t>
      </w:r>
      <w:r w:rsidRPr="51F2DB54" w:rsidR="796C1BE7">
        <w:rPr>
          <w:rFonts w:ascii="Aptos" w:hAnsi="Aptos" w:eastAsia="Aptos" w:cs="Aptos"/>
          <w:b w:val="0"/>
          <w:bCs w:val="0"/>
          <w:noProof w:val="0"/>
          <w:sz w:val="24"/>
          <w:szCs w:val="24"/>
          <w:lang w:val="en-GB"/>
        </w:rPr>
        <w:t>2022</w:t>
      </w:r>
      <w:r w:rsidRPr="51F2DB54" w:rsidR="09575A95">
        <w:rPr>
          <w:rFonts w:ascii="Aptos" w:hAnsi="Aptos" w:eastAsia="Aptos" w:cs="Aptos"/>
          <w:b w:val="0"/>
          <w:bCs w:val="0"/>
          <w:noProof w:val="0"/>
          <w:sz w:val="24"/>
          <w:szCs w:val="24"/>
          <w:lang w:val="en-GB"/>
        </w:rPr>
        <w:t>)</w:t>
      </w:r>
      <w:r w:rsidRPr="51F2DB54" w:rsidR="796C1BE7">
        <w:rPr>
          <w:rFonts w:ascii="Aptos" w:hAnsi="Aptos" w:eastAsia="Aptos" w:cs="Aptos"/>
          <w:b w:val="0"/>
          <w:bCs w:val="0"/>
          <w:noProof w:val="0"/>
          <w:sz w:val="24"/>
          <w:szCs w:val="24"/>
          <w:lang w:val="en-GB"/>
        </w:rPr>
        <w:t xml:space="preserve"> </w:t>
      </w:r>
      <w:r w:rsidRPr="51F2DB54" w:rsidR="6C429E7D">
        <w:rPr>
          <w:rFonts w:ascii="Aptos" w:hAnsi="Aptos" w:eastAsia="Aptos" w:cs="Aptos"/>
          <w:b w:val="0"/>
          <w:bCs w:val="0"/>
          <w:noProof w:val="0"/>
          <w:sz w:val="24"/>
          <w:szCs w:val="24"/>
          <w:lang w:val="en-GB"/>
        </w:rPr>
        <w:t xml:space="preserve">and </w:t>
      </w:r>
      <w:r w:rsidRPr="51F2DB54" w:rsidR="796C1BE7">
        <w:rPr>
          <w:rFonts w:ascii="Aptos" w:hAnsi="Aptos" w:eastAsia="Aptos" w:cs="Aptos"/>
          <w:b w:val="0"/>
          <w:bCs w:val="0"/>
          <w:noProof w:val="0"/>
          <w:sz w:val="24"/>
          <w:szCs w:val="24"/>
          <w:lang w:val="en-GB"/>
        </w:rPr>
        <w:t>Ghabrial</w:t>
      </w:r>
      <w:r w:rsidRPr="51F2DB54" w:rsidR="58A42528">
        <w:rPr>
          <w:rFonts w:ascii="Aptos" w:hAnsi="Aptos" w:eastAsia="Aptos" w:cs="Aptos"/>
          <w:b w:val="0"/>
          <w:bCs w:val="0"/>
          <w:noProof w:val="0"/>
          <w:sz w:val="24"/>
          <w:szCs w:val="24"/>
          <w:lang w:val="en-GB"/>
        </w:rPr>
        <w:t>(</w:t>
      </w:r>
      <w:r w:rsidRPr="51F2DB54" w:rsidR="796C1BE7">
        <w:rPr>
          <w:rFonts w:ascii="Aptos" w:hAnsi="Aptos" w:eastAsia="Aptos" w:cs="Aptos"/>
          <w:b w:val="0"/>
          <w:bCs w:val="0"/>
          <w:noProof w:val="0"/>
          <w:sz w:val="24"/>
          <w:szCs w:val="24"/>
          <w:lang w:val="en-GB"/>
        </w:rPr>
        <w:t>2017</w:t>
      </w:r>
      <w:r w:rsidRPr="51F2DB54" w:rsidR="21F71343">
        <w:rPr>
          <w:rFonts w:ascii="Aptos" w:hAnsi="Aptos" w:eastAsia="Aptos" w:cs="Aptos"/>
          <w:b w:val="0"/>
          <w:bCs w:val="0"/>
          <w:noProof w:val="0"/>
          <w:sz w:val="24"/>
          <w:szCs w:val="24"/>
          <w:lang w:val="en-GB"/>
        </w:rPr>
        <w:t>)</w:t>
      </w:r>
      <w:r w:rsidRPr="51F2DB54" w:rsidR="796C1BE7">
        <w:rPr>
          <w:rFonts w:ascii="Aptos" w:hAnsi="Aptos" w:eastAsia="Aptos" w:cs="Aptos"/>
          <w:b w:val="0"/>
          <w:bCs w:val="0"/>
          <w:noProof w:val="0"/>
          <w:sz w:val="24"/>
          <w:szCs w:val="24"/>
          <w:lang w:val="en-GB"/>
        </w:rPr>
        <w:t xml:space="preserve"> utters addressing the social and cultural inequalities,</w:t>
      </w:r>
      <w:r w:rsidRPr="51F2DB54" w:rsidR="796C1BE7">
        <w:rPr>
          <w:rFonts w:ascii="Aptos" w:hAnsi="Aptos" w:eastAsia="Aptos" w:cs="Aptos"/>
          <w:b w:val="0"/>
          <w:bCs w:val="0"/>
          <w:noProof w:val="0"/>
          <w:sz w:val="24"/>
          <w:szCs w:val="24"/>
          <w:lang w:val="en-GB"/>
        </w:rPr>
        <w:t xml:space="preserve"> </w:t>
      </w:r>
      <w:r w:rsidRPr="51F2DB54" w:rsidR="796C1BE7">
        <w:rPr>
          <w:rFonts w:ascii="Aptos" w:hAnsi="Aptos" w:eastAsia="Aptos" w:cs="Aptos"/>
          <w:b w:val="0"/>
          <w:bCs w:val="0"/>
          <w:noProof w:val="0"/>
          <w:sz w:val="24"/>
          <w:szCs w:val="24"/>
          <w:lang w:val="en-GB"/>
        </w:rPr>
        <w:t>emergin</w:t>
      </w:r>
      <w:r w:rsidRPr="51F2DB54" w:rsidR="796C1BE7">
        <w:rPr>
          <w:rFonts w:ascii="Aptos" w:hAnsi="Aptos" w:eastAsia="Aptos" w:cs="Aptos"/>
          <w:b w:val="0"/>
          <w:bCs w:val="0"/>
          <w:noProof w:val="0"/>
          <w:sz w:val="24"/>
          <w:szCs w:val="24"/>
          <w:lang w:val="en-GB"/>
        </w:rPr>
        <w:t>g</w:t>
      </w:r>
      <w:r w:rsidRPr="51F2DB54" w:rsidR="796C1BE7">
        <w:rPr>
          <w:rFonts w:ascii="Aptos" w:hAnsi="Aptos" w:eastAsia="Aptos" w:cs="Aptos"/>
          <w:b w:val="0"/>
          <w:bCs w:val="0"/>
          <w:noProof w:val="0"/>
          <w:sz w:val="24"/>
          <w:szCs w:val="24"/>
          <w:lang w:val="en-GB"/>
        </w:rPr>
        <w:t xml:space="preserve"> from stigma, exclusion, and systemic neglect in healthcare, education, and family structures requires intersectional and community-based approaches that promote inclusion, connectedness, and culturally sensitive care.</w:t>
      </w:r>
    </w:p>
    <w:p w:rsidR="37149847" w:rsidP="7F31F3AE" w:rsidRDefault="37149847" w14:paraId="6C03B05A" w14:textId="3AAD7C98">
      <w:pPr>
        <w:pStyle w:val="Normal"/>
        <w:spacing w:before="240" w:beforeAutospacing="off" w:after="240" w:afterAutospacing="off"/>
        <w:rPr>
          <w:rFonts w:ascii="Aptos" w:hAnsi="Aptos" w:eastAsia="Aptos" w:cs="Aptos"/>
          <w:b w:val="0"/>
          <w:bCs w:val="0"/>
          <w:noProof w:val="0"/>
          <w:sz w:val="24"/>
          <w:szCs w:val="24"/>
          <w:lang w:val="en-GB"/>
        </w:rPr>
      </w:pPr>
      <w:r w:rsidRPr="51F2DB54" w:rsidR="7766DD23">
        <w:rPr>
          <w:rFonts w:ascii="Aptos" w:hAnsi="Aptos" w:eastAsia="Aptos" w:cs="Aptos"/>
          <w:b w:val="0"/>
          <w:bCs w:val="0"/>
          <w:noProof w:val="0"/>
          <w:sz w:val="24"/>
          <w:szCs w:val="24"/>
          <w:lang w:val="en-GB"/>
        </w:rPr>
        <w:t xml:space="preserve">According to </w:t>
      </w:r>
      <w:r w:rsidRPr="51F2DB54" w:rsidR="5517E370">
        <w:rPr>
          <w:rFonts w:ascii="Aptos" w:hAnsi="Aptos" w:eastAsia="Aptos" w:cs="Aptos"/>
          <w:b w:val="0"/>
          <w:bCs w:val="0"/>
          <w:noProof w:val="0"/>
          <w:sz w:val="24"/>
          <w:szCs w:val="24"/>
          <w:lang w:val="en-GB"/>
        </w:rPr>
        <w:t>Balsam et al</w:t>
      </w:r>
      <w:r w:rsidRPr="51F2DB54" w:rsidR="648CBD58">
        <w:rPr>
          <w:rFonts w:ascii="Aptos" w:hAnsi="Aptos" w:eastAsia="Aptos" w:cs="Aptos"/>
          <w:b w:val="0"/>
          <w:bCs w:val="0"/>
          <w:noProof w:val="0"/>
          <w:sz w:val="24"/>
          <w:szCs w:val="24"/>
          <w:lang w:val="en-GB"/>
        </w:rPr>
        <w:t xml:space="preserve"> (</w:t>
      </w:r>
      <w:r w:rsidRPr="51F2DB54" w:rsidR="5517E370">
        <w:rPr>
          <w:rFonts w:ascii="Aptos" w:hAnsi="Aptos" w:eastAsia="Aptos" w:cs="Aptos"/>
          <w:b w:val="0"/>
          <w:bCs w:val="0"/>
          <w:noProof w:val="0"/>
          <w:sz w:val="24"/>
          <w:szCs w:val="24"/>
          <w:lang w:val="en-GB"/>
        </w:rPr>
        <w:t>2011</w:t>
      </w:r>
      <w:r w:rsidRPr="51F2DB54" w:rsidR="48BE7B3C">
        <w:rPr>
          <w:rFonts w:ascii="Aptos" w:hAnsi="Aptos" w:eastAsia="Aptos" w:cs="Aptos"/>
          <w:b w:val="0"/>
          <w:bCs w:val="0"/>
          <w:noProof w:val="0"/>
          <w:sz w:val="24"/>
          <w:szCs w:val="24"/>
          <w:lang w:val="en-GB"/>
        </w:rPr>
        <w:t>)</w:t>
      </w:r>
      <w:r w:rsidRPr="51F2DB54" w:rsidR="5517E370">
        <w:rPr>
          <w:rFonts w:ascii="Aptos" w:hAnsi="Aptos" w:eastAsia="Aptos" w:cs="Aptos"/>
          <w:b w:val="0"/>
          <w:bCs w:val="0"/>
          <w:noProof w:val="0"/>
          <w:sz w:val="24"/>
          <w:szCs w:val="24"/>
          <w:lang w:val="en-GB"/>
        </w:rPr>
        <w:t xml:space="preserve"> </w:t>
      </w:r>
      <w:r w:rsidRPr="51F2DB54" w:rsidR="7766DD23">
        <w:rPr>
          <w:rFonts w:ascii="Aptos" w:hAnsi="Aptos" w:eastAsia="Aptos" w:cs="Aptos"/>
          <w:b w:val="0"/>
          <w:bCs w:val="0"/>
          <w:noProof w:val="0"/>
          <w:sz w:val="24"/>
          <w:szCs w:val="24"/>
          <w:lang w:val="en-GB"/>
        </w:rPr>
        <w:t xml:space="preserve">the </w:t>
      </w:r>
      <w:r w:rsidRPr="51F2DB54" w:rsidR="7766DD23">
        <w:rPr>
          <w:rFonts w:ascii="Aptos" w:hAnsi="Aptos" w:eastAsia="Aptos" w:cs="Aptos"/>
          <w:b w:val="0"/>
          <w:bCs w:val="0"/>
          <w:noProof w:val="0"/>
          <w:sz w:val="24"/>
          <w:szCs w:val="24"/>
          <w:lang w:val="en-GB"/>
        </w:rPr>
        <w:t>social ecological model</w:t>
      </w:r>
      <w:r w:rsidRPr="51F2DB54" w:rsidR="7766DD23">
        <w:rPr>
          <w:rFonts w:ascii="Aptos" w:hAnsi="Aptos" w:eastAsia="Aptos" w:cs="Aptos"/>
          <w:b w:val="0"/>
          <w:bCs w:val="0"/>
          <w:noProof w:val="0"/>
          <w:sz w:val="24"/>
          <w:szCs w:val="24"/>
          <w:lang w:val="en-GB"/>
        </w:rPr>
        <w:t>, individual development is shaped by in</w:t>
      </w:r>
      <w:r w:rsidRPr="51F2DB54" w:rsidR="7766DD23">
        <w:rPr>
          <w:rFonts w:ascii="Aptos" w:hAnsi="Aptos" w:eastAsia="Aptos" w:cs="Aptos"/>
          <w:b w:val="0"/>
          <w:bCs w:val="0"/>
          <w:noProof w:val="0"/>
          <w:sz w:val="24"/>
          <w:szCs w:val="24"/>
          <w:lang w:val="en-GB"/>
        </w:rPr>
        <w:t xml:space="preserve">teractions between the person and their surrounding environment. For </w:t>
      </w:r>
      <w:r w:rsidRPr="51F2DB54" w:rsidR="7766DD23">
        <w:rPr>
          <w:rFonts w:ascii="Aptos" w:hAnsi="Aptos" w:eastAsia="Aptos" w:cs="Aptos"/>
          <w:b w:val="0"/>
          <w:bCs w:val="0"/>
          <w:noProof w:val="0"/>
          <w:sz w:val="24"/>
          <w:szCs w:val="24"/>
          <w:lang w:val="en-GB"/>
        </w:rPr>
        <w:t>LGBTQ+ adolescents</w:t>
      </w:r>
      <w:r w:rsidRPr="51F2DB54" w:rsidR="7766DD23">
        <w:rPr>
          <w:rFonts w:ascii="Aptos" w:hAnsi="Aptos" w:eastAsia="Aptos" w:cs="Aptos"/>
          <w:b w:val="0"/>
          <w:bCs w:val="0"/>
          <w:noProof w:val="0"/>
          <w:sz w:val="24"/>
          <w:szCs w:val="24"/>
          <w:lang w:val="en-GB"/>
        </w:rPr>
        <w:t>, the school context is particularly influential, as it can either reinforce or reduce existing inequalities. Research</w:t>
      </w:r>
      <w:r w:rsidRPr="51F2DB54" w:rsidR="7766DD23">
        <w:rPr>
          <w:rFonts w:ascii="Aptos" w:hAnsi="Aptos" w:eastAsia="Aptos" w:cs="Aptos"/>
          <w:b w:val="0"/>
          <w:bCs w:val="0"/>
          <w:noProof w:val="0"/>
          <w:sz w:val="24"/>
          <w:szCs w:val="24"/>
          <w:lang w:val="en-GB"/>
        </w:rPr>
        <w:t xml:space="preserve"> </w:t>
      </w:r>
      <w:r w:rsidRPr="51F2DB54" w:rsidR="7766DD23">
        <w:rPr>
          <w:rFonts w:ascii="Aptos" w:hAnsi="Aptos" w:eastAsia="Aptos" w:cs="Aptos"/>
          <w:b w:val="0"/>
          <w:bCs w:val="0"/>
          <w:noProof w:val="0"/>
          <w:sz w:val="24"/>
          <w:szCs w:val="24"/>
          <w:lang w:val="en-GB"/>
        </w:rPr>
        <w:t>indicate</w:t>
      </w:r>
      <w:r w:rsidRPr="51F2DB54" w:rsidR="7766DD23">
        <w:rPr>
          <w:rFonts w:ascii="Aptos" w:hAnsi="Aptos" w:eastAsia="Aptos" w:cs="Aptos"/>
          <w:b w:val="0"/>
          <w:bCs w:val="0"/>
          <w:noProof w:val="0"/>
          <w:sz w:val="24"/>
          <w:szCs w:val="24"/>
          <w:lang w:val="en-GB"/>
        </w:rPr>
        <w:t>s</w:t>
      </w:r>
      <w:r w:rsidRPr="51F2DB54" w:rsidR="7766DD23">
        <w:rPr>
          <w:rFonts w:ascii="Aptos" w:hAnsi="Aptos" w:eastAsia="Aptos" w:cs="Aptos"/>
          <w:b w:val="0"/>
          <w:bCs w:val="0"/>
          <w:noProof w:val="0"/>
          <w:sz w:val="24"/>
          <w:szCs w:val="24"/>
          <w:lang w:val="en-GB"/>
        </w:rPr>
        <w:t xml:space="preserve"> that </w:t>
      </w:r>
      <w:r w:rsidRPr="51F2DB54" w:rsidR="7766DD23">
        <w:rPr>
          <w:rFonts w:ascii="Aptos" w:hAnsi="Aptos" w:eastAsia="Aptos" w:cs="Aptos"/>
          <w:b w:val="0"/>
          <w:bCs w:val="0"/>
          <w:noProof w:val="0"/>
          <w:sz w:val="24"/>
          <w:szCs w:val="24"/>
          <w:lang w:val="en-GB"/>
        </w:rPr>
        <w:t>inclusive and protective school policies</w:t>
      </w:r>
      <w:r w:rsidRPr="51F2DB54" w:rsidR="7766DD23">
        <w:rPr>
          <w:rFonts w:ascii="Aptos" w:hAnsi="Aptos" w:eastAsia="Aptos" w:cs="Aptos"/>
          <w:b w:val="0"/>
          <w:bCs w:val="0"/>
          <w:noProof w:val="0"/>
          <w:sz w:val="24"/>
          <w:szCs w:val="24"/>
          <w:lang w:val="en-GB"/>
        </w:rPr>
        <w:t xml:space="preserve"> have a significant impact on students’ mental health, safety, and sense of belonging </w:t>
      </w:r>
      <w:r w:rsidRPr="51F2DB54" w:rsidR="7766DD23">
        <w:rPr>
          <w:rFonts w:ascii="Aptos" w:hAnsi="Aptos" w:eastAsia="Aptos" w:cs="Aptos"/>
          <w:b w:val="0"/>
          <w:bCs w:val="0"/>
          <w:noProof w:val="0"/>
          <w:sz w:val="24"/>
          <w:szCs w:val="24"/>
          <w:lang w:val="en-GB"/>
        </w:rPr>
        <w:t>(Ancheta et al., 2021)</w:t>
      </w:r>
      <w:r w:rsidRPr="51F2DB54" w:rsidR="7766DD23">
        <w:rPr>
          <w:rFonts w:ascii="Aptos" w:hAnsi="Aptos" w:eastAsia="Aptos" w:cs="Aptos"/>
          <w:b w:val="0"/>
          <w:bCs w:val="0"/>
          <w:noProof w:val="0"/>
          <w:sz w:val="24"/>
          <w:szCs w:val="24"/>
          <w:lang w:val="en-GB"/>
        </w:rPr>
        <w:t xml:space="preserve">. Studies further suggest that schools are uniquely positioned to tackle social and health disparities by fostering </w:t>
      </w:r>
      <w:r w:rsidRPr="51F2DB54" w:rsidR="7766DD23">
        <w:rPr>
          <w:rFonts w:ascii="Aptos" w:hAnsi="Aptos" w:eastAsia="Aptos" w:cs="Aptos"/>
          <w:b w:val="0"/>
          <w:bCs w:val="0"/>
          <w:noProof w:val="0"/>
          <w:sz w:val="24"/>
          <w:szCs w:val="24"/>
          <w:lang w:val="en-GB"/>
        </w:rPr>
        <w:t>safe, affirming, and supportive climates</w:t>
      </w:r>
      <w:r w:rsidRPr="51F2DB54" w:rsidR="7766DD23">
        <w:rPr>
          <w:rFonts w:ascii="Aptos" w:hAnsi="Aptos" w:eastAsia="Aptos" w:cs="Aptos"/>
          <w:b w:val="0"/>
          <w:bCs w:val="0"/>
          <w:noProof w:val="0"/>
          <w:sz w:val="24"/>
          <w:szCs w:val="24"/>
          <w:lang w:val="en-GB"/>
        </w:rPr>
        <w:t xml:space="preserve"> for LGBTQ+ youth</w:t>
      </w:r>
      <w:r w:rsidRPr="51F2DB54" w:rsidR="7766DD23">
        <w:rPr>
          <w:rFonts w:ascii="Aptos" w:hAnsi="Aptos" w:eastAsia="Aptos" w:cs="Aptos"/>
          <w:b w:val="0"/>
          <w:bCs w:val="0"/>
          <w:noProof w:val="0"/>
          <w:sz w:val="24"/>
          <w:szCs w:val="24"/>
          <w:lang w:val="en-GB"/>
        </w:rPr>
        <w:t xml:space="preserve"> (Gower et al., 2018; Woodford et al., 2018).</w:t>
      </w:r>
    </w:p>
    <w:p w:rsidR="37149847" w:rsidP="51F2DB54" w:rsidRDefault="37149847" w14:paraId="6B72C1BE" w14:textId="76F8199E">
      <w:pPr>
        <w:spacing w:before="240" w:beforeAutospacing="off" w:after="240" w:afterAutospacing="off"/>
        <w:rPr>
          <w:rFonts w:ascii="Aptos" w:hAnsi="Aptos" w:eastAsia="Aptos" w:cs="Aptos"/>
          <w:b w:val="0"/>
          <w:bCs w:val="0"/>
          <w:noProof w:val="0"/>
          <w:sz w:val="24"/>
          <w:szCs w:val="24"/>
          <w:lang w:val="en-GB"/>
        </w:rPr>
      </w:pPr>
      <w:r w:rsidRPr="51F2DB54" w:rsidR="6BDEB789">
        <w:rPr>
          <w:rFonts w:ascii="Aptos" w:hAnsi="Aptos" w:eastAsia="Aptos" w:cs="Aptos"/>
          <w:b w:val="0"/>
          <w:bCs w:val="0"/>
          <w:noProof w:val="0"/>
          <w:sz w:val="24"/>
          <w:szCs w:val="24"/>
          <w:lang w:val="en-GB"/>
        </w:rPr>
        <w:t xml:space="preserve">A </w:t>
      </w:r>
      <w:r w:rsidRPr="51F2DB54" w:rsidR="6BDEB789">
        <w:rPr>
          <w:rFonts w:ascii="Aptos" w:hAnsi="Aptos" w:eastAsia="Aptos" w:cs="Aptos"/>
          <w:b w:val="0"/>
          <w:bCs w:val="0"/>
          <w:noProof w:val="0"/>
          <w:sz w:val="24"/>
          <w:szCs w:val="24"/>
          <w:lang w:val="en-GB"/>
        </w:rPr>
        <w:t>positive and inclusive school climate</w:t>
      </w:r>
      <w:r w:rsidRPr="51F2DB54" w:rsidR="02D92A2F">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one that embraces diversity</w:t>
      </w:r>
      <w:r w:rsidRPr="51F2DB54" w:rsidR="750F79C4">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 xml:space="preserve">has been associated with reduced rates of bullying, victimisation, and risky behaviours, alongside lower instances of suicidal ideation among LGBTQ+ students (Konishi et al., 2013; </w:t>
      </w:r>
      <w:r w:rsidRPr="51F2DB54" w:rsidR="6BDEB789">
        <w:rPr>
          <w:rFonts w:ascii="Aptos" w:hAnsi="Aptos" w:eastAsia="Aptos" w:cs="Aptos"/>
          <w:b w:val="0"/>
          <w:bCs w:val="0"/>
          <w:noProof w:val="0"/>
          <w:sz w:val="24"/>
          <w:szCs w:val="24"/>
          <w:lang w:val="en-GB"/>
        </w:rPr>
        <w:t>Kosciw</w:t>
      </w:r>
      <w:r w:rsidRPr="51F2DB54" w:rsidR="6BDEB789">
        <w:rPr>
          <w:rFonts w:ascii="Aptos" w:hAnsi="Aptos" w:eastAsia="Aptos" w:cs="Aptos"/>
          <w:b w:val="0"/>
          <w:bCs w:val="0"/>
          <w:noProof w:val="0"/>
          <w:sz w:val="24"/>
          <w:szCs w:val="24"/>
          <w:lang w:val="en-GB"/>
        </w:rPr>
        <w:t xml:space="preserve"> et al., 2013; Hatzenbuehler et al., 2014). When students feel accepted and connected to their school community, they experience less minority stress and show improved academic outcomes, health, and overall wellbeing </w:t>
      </w:r>
      <w:r w:rsidRPr="51F2DB54" w:rsidR="6BDEB789">
        <w:rPr>
          <w:rFonts w:ascii="Aptos" w:hAnsi="Aptos" w:eastAsia="Aptos" w:cs="Aptos"/>
          <w:b w:val="0"/>
          <w:bCs w:val="0"/>
          <w:noProof w:val="0"/>
          <w:sz w:val="24"/>
          <w:szCs w:val="24"/>
          <w:lang w:val="en-GB"/>
        </w:rPr>
        <w:t>(Denny et al., 2016; Perales &amp; Campbell, 2020).</w:t>
      </w:r>
    </w:p>
    <w:p w:rsidR="37149847" w:rsidP="50A06A44" w:rsidRDefault="37149847" w14:paraId="0E21D692" w14:textId="03D8D088">
      <w:pPr>
        <w:spacing w:before="240" w:beforeAutospacing="off" w:after="240" w:afterAutospacing="off"/>
        <w:rPr>
          <w:rFonts w:ascii="Aptos" w:hAnsi="Aptos" w:eastAsia="Aptos" w:cs="Aptos"/>
          <w:b w:val="0"/>
          <w:bCs w:val="0"/>
          <w:noProof w:val="0"/>
          <w:sz w:val="24"/>
          <w:szCs w:val="24"/>
          <w:lang w:val="en-GB"/>
        </w:rPr>
      </w:pPr>
      <w:r w:rsidRPr="51F2DB54" w:rsidR="6BDEB789">
        <w:rPr>
          <w:rFonts w:ascii="Aptos" w:hAnsi="Aptos" w:eastAsia="Aptos" w:cs="Aptos"/>
          <w:b w:val="0"/>
          <w:bCs w:val="0"/>
          <w:noProof w:val="0"/>
          <w:sz w:val="24"/>
          <w:szCs w:val="24"/>
          <w:lang w:val="en-GB"/>
        </w:rPr>
        <w:t xml:space="preserve">Scholars have </w:t>
      </w:r>
      <w:r w:rsidRPr="51F2DB54" w:rsidR="6BDEB789">
        <w:rPr>
          <w:rFonts w:ascii="Aptos" w:hAnsi="Aptos" w:eastAsia="Aptos" w:cs="Aptos"/>
          <w:b w:val="0"/>
          <w:bCs w:val="0"/>
          <w:noProof w:val="0"/>
          <w:sz w:val="24"/>
          <w:szCs w:val="24"/>
          <w:lang w:val="en-GB"/>
        </w:rPr>
        <w:t>identified</w:t>
      </w:r>
      <w:r w:rsidRPr="51F2DB54" w:rsidR="6BDEB789">
        <w:rPr>
          <w:rFonts w:ascii="Aptos" w:hAnsi="Aptos" w:eastAsia="Aptos" w:cs="Aptos"/>
          <w:b w:val="0"/>
          <w:bCs w:val="0"/>
          <w:noProof w:val="0"/>
          <w:sz w:val="24"/>
          <w:szCs w:val="24"/>
          <w:lang w:val="en-GB"/>
        </w:rPr>
        <w:t xml:space="preserve"> a range of approaches to enhance inclusivity, including </w:t>
      </w:r>
      <w:r w:rsidRPr="51F2DB54" w:rsidR="6BDEB789">
        <w:rPr>
          <w:rFonts w:ascii="Aptos" w:hAnsi="Aptos" w:eastAsia="Aptos" w:cs="Aptos"/>
          <w:b w:val="0"/>
          <w:bCs w:val="0"/>
          <w:noProof w:val="0"/>
          <w:sz w:val="24"/>
          <w:szCs w:val="24"/>
          <w:lang w:val="en-GB"/>
        </w:rPr>
        <w:t>anti-discrimination and anti-bullying policies</w:t>
      </w:r>
      <w:r w:rsidRPr="51F2DB54" w:rsidR="6BDEB789">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LGBTQ+ student organisations</w:t>
      </w:r>
      <w:r w:rsidRPr="51F2DB54" w:rsidR="6BDEB789">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teacher interventions</w:t>
      </w:r>
      <w:r w:rsidRPr="51F2DB54" w:rsidR="6BDEB789">
        <w:rPr>
          <w:rFonts w:ascii="Aptos" w:hAnsi="Aptos" w:eastAsia="Aptos" w:cs="Aptos"/>
          <w:b w:val="0"/>
          <w:bCs w:val="0"/>
          <w:noProof w:val="0"/>
          <w:sz w:val="24"/>
          <w:szCs w:val="24"/>
          <w:lang w:val="en-GB"/>
        </w:rPr>
        <w:t xml:space="preserve">, and </w:t>
      </w:r>
      <w:r w:rsidRPr="51F2DB54" w:rsidR="6BDEB789">
        <w:rPr>
          <w:rFonts w:ascii="Aptos" w:hAnsi="Aptos" w:eastAsia="Aptos" w:cs="Aptos"/>
          <w:b w:val="0"/>
          <w:bCs w:val="0"/>
          <w:noProof w:val="0"/>
          <w:sz w:val="24"/>
          <w:szCs w:val="24"/>
          <w:lang w:val="en-GB"/>
        </w:rPr>
        <w:t>inclusive curricula</w:t>
      </w:r>
      <w:r w:rsidRPr="51F2DB54" w:rsidR="6BDEB789">
        <w:rPr>
          <w:rFonts w:ascii="Aptos" w:hAnsi="Aptos" w:eastAsia="Aptos" w:cs="Aptos"/>
          <w:b w:val="0"/>
          <w:bCs w:val="0"/>
          <w:noProof w:val="0"/>
          <w:sz w:val="24"/>
          <w:szCs w:val="24"/>
          <w:lang w:val="en-GB"/>
        </w:rPr>
        <w:t xml:space="preserve"> (Konishi et al., 2013; </w:t>
      </w:r>
      <w:r w:rsidRPr="51F2DB54" w:rsidR="6BDEB789">
        <w:rPr>
          <w:rFonts w:ascii="Aptos" w:hAnsi="Aptos" w:eastAsia="Aptos" w:cs="Aptos"/>
          <w:b w:val="0"/>
          <w:bCs w:val="0"/>
          <w:noProof w:val="0"/>
          <w:sz w:val="24"/>
          <w:szCs w:val="24"/>
          <w:lang w:val="en-GB"/>
        </w:rPr>
        <w:t>Kosciw</w:t>
      </w:r>
      <w:r w:rsidRPr="51F2DB54" w:rsidR="6BDEB789">
        <w:rPr>
          <w:rFonts w:ascii="Aptos" w:hAnsi="Aptos" w:eastAsia="Aptos" w:cs="Aptos"/>
          <w:b w:val="0"/>
          <w:bCs w:val="0"/>
          <w:noProof w:val="0"/>
          <w:sz w:val="24"/>
          <w:szCs w:val="24"/>
          <w:lang w:val="en-GB"/>
        </w:rPr>
        <w:t xml:space="preserve"> et al., 2013). Policies that explicitly recognise </w:t>
      </w:r>
      <w:r w:rsidRPr="51F2DB54" w:rsidR="6BDEB789">
        <w:rPr>
          <w:rFonts w:ascii="Aptos" w:hAnsi="Aptos" w:eastAsia="Aptos" w:cs="Aptos"/>
          <w:b w:val="0"/>
          <w:bCs w:val="0"/>
          <w:noProof w:val="0"/>
          <w:sz w:val="24"/>
          <w:szCs w:val="24"/>
          <w:lang w:val="en-GB"/>
        </w:rPr>
        <w:t>sexual orientation, gender identity, and gender expression (SOGIE)</w:t>
      </w:r>
      <w:r w:rsidRPr="51F2DB54" w:rsidR="6BDEB789">
        <w:rPr>
          <w:rFonts w:ascii="Aptos" w:hAnsi="Aptos" w:eastAsia="Aptos" w:cs="Aptos"/>
          <w:b w:val="0"/>
          <w:bCs w:val="0"/>
          <w:noProof w:val="0"/>
          <w:sz w:val="24"/>
          <w:szCs w:val="24"/>
          <w:lang w:val="en-GB"/>
        </w:rPr>
        <w:t xml:space="preserve"> have proven particularly effective, promoting greater safety and reducing victimisation (Kull et al., 2016). Schools that adopt several SOGIE-focused policies also tend to report lower truancy rates across the student body (</w:t>
      </w:r>
      <w:r w:rsidRPr="51F2DB54" w:rsidR="6BDEB789">
        <w:rPr>
          <w:rFonts w:ascii="Aptos" w:hAnsi="Aptos" w:eastAsia="Aptos" w:cs="Aptos"/>
          <w:b w:val="0"/>
          <w:bCs w:val="0"/>
          <w:noProof w:val="0"/>
          <w:sz w:val="24"/>
          <w:szCs w:val="24"/>
          <w:lang w:val="en-GB"/>
        </w:rPr>
        <w:t>Day et al., 2019).</w:t>
      </w:r>
    </w:p>
    <w:p w:rsidR="37149847" w:rsidP="50A06A44" w:rsidRDefault="37149847" w14:paraId="0DF6C794" w14:textId="33A6A654">
      <w:pPr>
        <w:spacing w:before="240" w:beforeAutospacing="off" w:after="240" w:afterAutospacing="off"/>
        <w:rPr>
          <w:rFonts w:ascii="Aptos" w:hAnsi="Aptos" w:eastAsia="Aptos" w:cs="Aptos"/>
          <w:b w:val="0"/>
          <w:bCs w:val="0"/>
          <w:noProof w:val="0"/>
          <w:sz w:val="24"/>
          <w:szCs w:val="24"/>
          <w:lang w:val="en-GB"/>
        </w:rPr>
      </w:pPr>
      <w:r w:rsidRPr="51F2DB54" w:rsidR="6BDEB789">
        <w:rPr>
          <w:rFonts w:ascii="Aptos" w:hAnsi="Aptos" w:eastAsia="Aptos" w:cs="Aptos"/>
          <w:b w:val="0"/>
          <w:bCs w:val="0"/>
          <w:noProof w:val="0"/>
          <w:sz w:val="24"/>
          <w:szCs w:val="24"/>
          <w:lang w:val="en-GB"/>
        </w:rPr>
        <w:t>Gay–Straight Alliances (GSAs)</w:t>
      </w:r>
      <w:r w:rsidRPr="51F2DB54" w:rsidR="31E25DF9">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student-led groups that create safe spaces for LGBTQ+ youth and allies</w:t>
      </w:r>
      <w:r w:rsidRPr="51F2DB54" w:rsidR="2EC25282">
        <w:rPr>
          <w:rFonts w:ascii="Aptos" w:hAnsi="Aptos" w:eastAsia="Aptos" w:cs="Aptos"/>
          <w:b w:val="0"/>
          <w:bCs w:val="0"/>
          <w:noProof w:val="0"/>
          <w:sz w:val="24"/>
          <w:szCs w:val="24"/>
          <w:lang w:val="en-GB"/>
        </w:rPr>
        <w:t xml:space="preserve"> </w:t>
      </w:r>
      <w:r w:rsidRPr="51F2DB54" w:rsidR="6BDEB789">
        <w:rPr>
          <w:rFonts w:ascii="Aptos" w:hAnsi="Aptos" w:eastAsia="Aptos" w:cs="Aptos"/>
          <w:b w:val="0"/>
          <w:bCs w:val="0"/>
          <w:noProof w:val="0"/>
          <w:sz w:val="24"/>
          <w:szCs w:val="24"/>
          <w:lang w:val="en-GB"/>
        </w:rPr>
        <w:t xml:space="preserve">are another effective strategy. Evidence from the United States and Canada suggests that GSAs can reduce drug misuse, alleviate minority stress, and encourage a broader culture of acceptance </w:t>
      </w:r>
      <w:r w:rsidRPr="51F2DB54" w:rsidR="6BDEB789">
        <w:rPr>
          <w:rFonts w:ascii="Aptos" w:hAnsi="Aptos" w:eastAsia="Aptos" w:cs="Aptos"/>
          <w:b w:val="0"/>
          <w:bCs w:val="0"/>
          <w:noProof w:val="0"/>
          <w:sz w:val="24"/>
          <w:szCs w:val="24"/>
          <w:lang w:val="en-GB"/>
        </w:rPr>
        <w:t>(Heck et al., 2014; Marx &amp; Kettrey, 2016).</w:t>
      </w:r>
      <w:r w:rsidRPr="51F2DB54" w:rsidR="6BDEB789">
        <w:rPr>
          <w:rFonts w:ascii="Aptos" w:hAnsi="Aptos" w:eastAsia="Aptos" w:cs="Aptos"/>
          <w:b w:val="0"/>
          <w:bCs w:val="0"/>
          <w:noProof w:val="0"/>
          <w:sz w:val="24"/>
          <w:szCs w:val="24"/>
          <w:lang w:val="en-GB"/>
        </w:rPr>
        <w:t xml:space="preserve"> Such initiatives not only </w:t>
      </w:r>
      <w:r w:rsidRPr="51F2DB54" w:rsidR="6BDEB789">
        <w:rPr>
          <w:rFonts w:ascii="Aptos" w:hAnsi="Aptos" w:eastAsia="Aptos" w:cs="Aptos"/>
          <w:b w:val="0"/>
          <w:bCs w:val="0"/>
          <w:noProof w:val="0"/>
          <w:sz w:val="24"/>
          <w:szCs w:val="24"/>
          <w:lang w:val="en-GB"/>
        </w:rPr>
        <w:t>benefit</w:t>
      </w:r>
      <w:r w:rsidRPr="51F2DB54" w:rsidR="6BDEB789">
        <w:rPr>
          <w:rFonts w:ascii="Aptos" w:hAnsi="Aptos" w:eastAsia="Aptos" w:cs="Aptos"/>
          <w:b w:val="0"/>
          <w:bCs w:val="0"/>
          <w:noProof w:val="0"/>
          <w:sz w:val="24"/>
          <w:szCs w:val="24"/>
          <w:lang w:val="en-GB"/>
        </w:rPr>
        <w:t xml:space="preserve"> LGBTQ+ students but contribute to a more inclusive and </w:t>
      </w:r>
      <w:r w:rsidRPr="51F2DB54" w:rsidR="6BDEB789">
        <w:rPr>
          <w:rFonts w:ascii="Aptos" w:hAnsi="Aptos" w:eastAsia="Aptos" w:cs="Aptos"/>
          <w:b w:val="0"/>
          <w:bCs w:val="0"/>
          <w:noProof w:val="0"/>
          <w:sz w:val="24"/>
          <w:szCs w:val="24"/>
          <w:lang w:val="en-GB"/>
        </w:rPr>
        <w:t>equitable</w:t>
      </w:r>
      <w:r w:rsidRPr="51F2DB54" w:rsidR="6BDEB789">
        <w:rPr>
          <w:rFonts w:ascii="Aptos" w:hAnsi="Aptos" w:eastAsia="Aptos" w:cs="Aptos"/>
          <w:b w:val="0"/>
          <w:bCs w:val="0"/>
          <w:noProof w:val="0"/>
          <w:sz w:val="24"/>
          <w:szCs w:val="24"/>
          <w:lang w:val="en-GB"/>
        </w:rPr>
        <w:t xml:space="preserve"> school environment overall.</w:t>
      </w:r>
    </w:p>
    <w:p w:rsidR="37149847" w:rsidP="51F2DB54" w:rsidRDefault="37149847" w14:paraId="196E9C37" w14:textId="302A44C7">
      <w:pPr>
        <w:spacing w:before="240" w:beforeAutospacing="off" w:after="240" w:afterAutospacing="off"/>
        <w:rPr>
          <w:rFonts w:ascii="Aptos" w:hAnsi="Aptos" w:eastAsia="Aptos" w:cs="Aptos"/>
          <w:b w:val="0"/>
          <w:bCs w:val="0"/>
          <w:noProof w:val="0"/>
          <w:sz w:val="24"/>
          <w:szCs w:val="24"/>
          <w:lang w:val="en-GB"/>
        </w:rPr>
      </w:pPr>
      <w:r w:rsidRPr="51F2DB54" w:rsidR="0807CB2D">
        <w:rPr>
          <w:rFonts w:ascii="Aptos" w:hAnsi="Aptos" w:eastAsia="Aptos" w:cs="Aptos"/>
          <w:b w:val="0"/>
          <w:bCs w:val="0"/>
          <w:noProof w:val="0"/>
          <w:sz w:val="24"/>
          <w:szCs w:val="24"/>
          <w:lang w:val="en-GB"/>
        </w:rPr>
        <w:t xml:space="preserve">Educators also play a pivotal role. Providing </w:t>
      </w:r>
      <w:r w:rsidRPr="51F2DB54" w:rsidR="0807CB2D">
        <w:rPr>
          <w:rFonts w:ascii="Aptos" w:hAnsi="Aptos" w:eastAsia="Aptos" w:cs="Aptos"/>
          <w:b w:val="0"/>
          <w:bCs w:val="0"/>
          <w:noProof w:val="0"/>
          <w:sz w:val="24"/>
          <w:szCs w:val="24"/>
          <w:lang w:val="en-GB"/>
        </w:rPr>
        <w:t>LGBTQ+-inclusive training</w:t>
      </w:r>
      <w:r w:rsidRPr="51F2DB54" w:rsidR="0807CB2D">
        <w:rPr>
          <w:rFonts w:ascii="Aptos" w:hAnsi="Aptos" w:eastAsia="Aptos" w:cs="Aptos"/>
          <w:b w:val="0"/>
          <w:bCs w:val="0"/>
          <w:noProof w:val="0"/>
          <w:sz w:val="24"/>
          <w:szCs w:val="24"/>
          <w:lang w:val="en-GB"/>
        </w:rPr>
        <w:t xml:space="preserve"> for teachers, staff, and healthcare workers helps build a supportive culture</w:t>
      </w:r>
      <w:r w:rsidRPr="51F2DB54" w:rsidR="0807CB2D">
        <w:rPr>
          <w:rFonts w:ascii="Aptos" w:hAnsi="Aptos" w:eastAsia="Aptos" w:cs="Aptos"/>
          <w:b w:val="0"/>
          <w:bCs w:val="0"/>
          <w:noProof w:val="0"/>
          <w:sz w:val="24"/>
          <w:szCs w:val="24"/>
          <w:lang w:val="en-GB"/>
        </w:rPr>
        <w:t xml:space="preserve"> (Gower et al., 2018).</w:t>
      </w:r>
      <w:r w:rsidRPr="51F2DB54" w:rsidR="0807CB2D">
        <w:rPr>
          <w:rFonts w:ascii="Aptos" w:hAnsi="Aptos" w:eastAsia="Aptos" w:cs="Aptos"/>
          <w:b w:val="0"/>
          <w:bCs w:val="0"/>
          <w:noProof w:val="0"/>
          <w:sz w:val="24"/>
          <w:szCs w:val="24"/>
          <w:lang w:val="en-GB"/>
        </w:rPr>
        <w:t xml:space="preserve"> Training that raises awareness of the alienation faced by LGBTQ+ students enables educators to promote values of fairness, respect, and equality in their teaching (</w:t>
      </w:r>
      <w:r w:rsidRPr="51F2DB54" w:rsidR="0807CB2D">
        <w:rPr>
          <w:rFonts w:ascii="Aptos" w:hAnsi="Aptos" w:eastAsia="Aptos" w:cs="Aptos"/>
          <w:b w:val="0"/>
          <w:bCs w:val="0"/>
          <w:noProof w:val="0"/>
          <w:sz w:val="24"/>
          <w:szCs w:val="24"/>
          <w:lang w:val="en-GB"/>
        </w:rPr>
        <w:t>Glazzard</w:t>
      </w:r>
      <w:r w:rsidRPr="51F2DB54" w:rsidR="0807CB2D">
        <w:rPr>
          <w:rFonts w:ascii="Aptos" w:hAnsi="Aptos" w:eastAsia="Aptos" w:cs="Aptos"/>
          <w:b w:val="0"/>
          <w:bCs w:val="0"/>
          <w:noProof w:val="0"/>
          <w:sz w:val="24"/>
          <w:szCs w:val="24"/>
          <w:lang w:val="en-GB"/>
        </w:rPr>
        <w:t xml:space="preserve"> &amp; Stones, 2020). Programmes such as </w:t>
      </w:r>
      <w:r w:rsidRPr="51F2DB54" w:rsidR="0807CB2D">
        <w:rPr>
          <w:rFonts w:ascii="Aptos" w:hAnsi="Aptos" w:eastAsia="Aptos" w:cs="Aptos"/>
          <w:b w:val="0"/>
          <w:bCs w:val="0"/>
          <w:noProof w:val="0"/>
          <w:sz w:val="24"/>
          <w:szCs w:val="24"/>
          <w:lang w:val="en-GB"/>
        </w:rPr>
        <w:t>RLAS (Reducing LGBTQ Adolescent Suicide)</w:t>
      </w:r>
      <w:r w:rsidRPr="51F2DB54" w:rsidR="0807CB2D">
        <w:rPr>
          <w:rFonts w:ascii="Aptos" w:hAnsi="Aptos" w:eastAsia="Aptos" w:cs="Aptos"/>
          <w:b w:val="0"/>
          <w:bCs w:val="0"/>
          <w:noProof w:val="0"/>
          <w:sz w:val="24"/>
          <w:szCs w:val="24"/>
          <w:lang w:val="en-GB"/>
        </w:rPr>
        <w:t xml:space="preserve"> </w:t>
      </w:r>
      <w:r w:rsidRPr="51F2DB54" w:rsidR="0807CB2D">
        <w:rPr>
          <w:rFonts w:ascii="Aptos" w:hAnsi="Aptos" w:eastAsia="Aptos" w:cs="Aptos"/>
          <w:b w:val="0"/>
          <w:bCs w:val="0"/>
          <w:noProof w:val="0"/>
          <w:sz w:val="24"/>
          <w:szCs w:val="24"/>
          <w:lang w:val="en-GB"/>
        </w:rPr>
        <w:t>demonstrate</w:t>
      </w:r>
      <w:r w:rsidRPr="51F2DB54" w:rsidR="0807CB2D">
        <w:rPr>
          <w:rFonts w:ascii="Aptos" w:hAnsi="Aptos" w:eastAsia="Aptos" w:cs="Aptos"/>
          <w:b w:val="0"/>
          <w:bCs w:val="0"/>
          <w:noProof w:val="0"/>
          <w:sz w:val="24"/>
          <w:szCs w:val="24"/>
          <w:lang w:val="en-GB"/>
        </w:rPr>
        <w:t xml:space="preserve"> how nurse-led, school-based interventions can strengthen wellbeing and prevent discrimination </w:t>
      </w:r>
      <w:r w:rsidRPr="51F2DB54" w:rsidR="0807CB2D">
        <w:rPr>
          <w:rFonts w:ascii="Aptos" w:hAnsi="Aptos" w:eastAsia="Aptos" w:cs="Aptos"/>
          <w:b w:val="0"/>
          <w:bCs w:val="0"/>
          <w:noProof w:val="0"/>
          <w:sz w:val="24"/>
          <w:szCs w:val="24"/>
          <w:lang w:val="en-GB"/>
        </w:rPr>
        <w:t>(Willging et al., 2016).</w:t>
      </w:r>
    </w:p>
    <w:p w:rsidR="37149847" w:rsidP="50A06A44" w:rsidRDefault="37149847" w14:paraId="12F8A4FB" w14:textId="6644F6FA">
      <w:pPr>
        <w:spacing w:before="240" w:beforeAutospacing="off" w:after="240" w:afterAutospacing="off"/>
        <w:rPr>
          <w:rFonts w:ascii="Aptos" w:hAnsi="Aptos" w:eastAsia="Aptos" w:cs="Aptos"/>
          <w:b w:val="0"/>
          <w:bCs w:val="0"/>
          <w:noProof w:val="0"/>
          <w:sz w:val="24"/>
          <w:szCs w:val="24"/>
          <w:lang w:val="en-GB"/>
        </w:rPr>
      </w:pPr>
      <w:r w:rsidRPr="51F2DB54" w:rsidR="47DA728A">
        <w:rPr>
          <w:rFonts w:ascii="Aptos" w:hAnsi="Aptos" w:eastAsia="Aptos" w:cs="Aptos"/>
          <w:b w:val="0"/>
          <w:bCs w:val="0"/>
          <w:noProof w:val="0"/>
          <w:sz w:val="24"/>
          <w:szCs w:val="24"/>
          <w:lang w:val="en-GB"/>
        </w:rPr>
        <w:t xml:space="preserve">Globally, there is growing advocacy for </w:t>
      </w:r>
      <w:r w:rsidRPr="51F2DB54" w:rsidR="47DA728A">
        <w:rPr>
          <w:rFonts w:ascii="Aptos" w:hAnsi="Aptos" w:eastAsia="Aptos" w:cs="Aptos"/>
          <w:b w:val="0"/>
          <w:bCs w:val="0"/>
          <w:noProof w:val="0"/>
          <w:sz w:val="24"/>
          <w:szCs w:val="24"/>
          <w:lang w:val="en-GB"/>
        </w:rPr>
        <w:t>inclusive school climates</w:t>
      </w:r>
      <w:r w:rsidRPr="51F2DB54" w:rsidR="47DA728A">
        <w:rPr>
          <w:rFonts w:ascii="Aptos" w:hAnsi="Aptos" w:eastAsia="Aptos" w:cs="Aptos"/>
          <w:b w:val="0"/>
          <w:bCs w:val="0"/>
          <w:noProof w:val="0"/>
          <w:sz w:val="24"/>
          <w:szCs w:val="24"/>
          <w:lang w:val="en-GB"/>
        </w:rPr>
        <w:t xml:space="preserve"> to reduce violence, stigma, and discrimination while improving mental health outcomes for LGBTQ+ youth. Yet, most research has focused on North America, leaving a gap in evidence from developing contexts. Furthermore, while the benefits of inclusive practices are well established, limited experimental work explores their implementation in real-world settings. Given the diversity of experiences within the LGBTQ+ community, a </w:t>
      </w:r>
      <w:r w:rsidRPr="51F2DB54" w:rsidR="47DA728A">
        <w:rPr>
          <w:rFonts w:ascii="Aptos" w:hAnsi="Aptos" w:eastAsia="Aptos" w:cs="Aptos"/>
          <w:b w:val="0"/>
          <w:bCs w:val="0"/>
          <w:noProof w:val="0"/>
          <w:sz w:val="24"/>
          <w:szCs w:val="24"/>
          <w:lang w:val="en-GB"/>
        </w:rPr>
        <w:t>flexible and context-sensitive approach</w:t>
      </w:r>
      <w:r w:rsidRPr="51F2DB54" w:rsidR="47DA728A">
        <w:rPr>
          <w:rFonts w:ascii="Aptos" w:hAnsi="Aptos" w:eastAsia="Aptos" w:cs="Aptos"/>
          <w:b w:val="0"/>
          <w:bCs w:val="0"/>
          <w:noProof w:val="0"/>
          <w:sz w:val="24"/>
          <w:szCs w:val="24"/>
          <w:lang w:val="en-GB"/>
        </w:rPr>
        <w:t xml:space="preserve"> to policy and practice is essential, rather than adopting uniform strategies that may not meet all students’ needs </w:t>
      </w:r>
      <w:r w:rsidRPr="51F2DB54" w:rsidR="47DA728A">
        <w:rPr>
          <w:rFonts w:ascii="Aptos" w:hAnsi="Aptos" w:eastAsia="Aptos" w:cs="Aptos"/>
          <w:b w:val="0"/>
          <w:bCs w:val="0"/>
          <w:noProof w:val="0"/>
          <w:sz w:val="24"/>
          <w:szCs w:val="24"/>
          <w:lang w:val="en-GB"/>
        </w:rPr>
        <w:t>(Day et al., 2019).</w:t>
      </w:r>
    </w:p>
    <w:p w:rsidR="50A06A44" w:rsidP="51F2DB54" w:rsidRDefault="50A06A44" w14:paraId="59406D2F" w14:textId="0CDA4D68">
      <w:pPr>
        <w:rPr>
          <w:b w:val="1"/>
          <w:bCs w:val="1"/>
        </w:rPr>
      </w:pPr>
    </w:p>
    <w:p w:rsidR="57C69085" w:rsidP="51F2DB54" w:rsidRDefault="57C69085" w14:paraId="08E055EB" w14:textId="2820ADC5">
      <w:pPr>
        <w:pStyle w:val="Normal"/>
        <w:spacing w:before="240" w:beforeAutospacing="off" w:after="240" w:afterAutospacing="off"/>
        <w:rPr>
          <w:rFonts w:ascii="Aptos" w:hAnsi="Aptos" w:eastAsia="Aptos" w:cs="Aptos"/>
          <w:b w:val="1"/>
          <w:bCs w:val="1"/>
          <w:noProof w:val="0"/>
          <w:sz w:val="24"/>
          <w:szCs w:val="24"/>
          <w:lang w:val="en-GB"/>
        </w:rPr>
      </w:pPr>
      <w:r w:rsidRPr="51F2DB54" w:rsidR="75DDF61C">
        <w:rPr>
          <w:rFonts w:ascii="Aptos" w:hAnsi="Aptos" w:eastAsia="Aptos" w:cs="Aptos"/>
          <w:b w:val="1"/>
          <w:bCs w:val="1"/>
          <w:noProof w:val="0"/>
          <w:sz w:val="24"/>
          <w:szCs w:val="24"/>
          <w:lang w:val="en-GB"/>
        </w:rPr>
        <w:t>Let us examine inequality from a practical perspective by exploring the cultural and social challenges experienced by the LGBTQ</w:t>
      </w:r>
      <w:r w:rsidRPr="51F2DB54" w:rsidR="75DDF61C">
        <w:rPr>
          <w:rFonts w:ascii="Aptos" w:hAnsi="Aptos" w:eastAsia="Aptos" w:cs="Aptos"/>
          <w:b w:val="1"/>
          <w:bCs w:val="1"/>
          <w:noProof w:val="0"/>
          <w:sz w:val="24"/>
          <w:szCs w:val="24"/>
          <w:lang w:val="en-GB"/>
        </w:rPr>
        <w:t>+ community globally</w:t>
      </w:r>
      <w:r w:rsidRPr="51F2DB54" w:rsidR="6322D41F">
        <w:rPr>
          <w:rFonts w:ascii="Aptos" w:hAnsi="Aptos" w:eastAsia="Aptos" w:cs="Aptos"/>
          <w:b w:val="1"/>
          <w:bCs w:val="1"/>
          <w:noProof w:val="0"/>
          <w:sz w:val="24"/>
          <w:szCs w:val="24"/>
          <w:lang w:val="en-GB"/>
        </w:rPr>
        <w:t xml:space="preserve">, </w:t>
      </w:r>
      <w:r w:rsidRPr="51F2DB54" w:rsidR="6322D41F">
        <w:rPr>
          <w:rFonts w:ascii="Aptos" w:hAnsi="Aptos" w:eastAsia="Aptos" w:cs="Aptos"/>
          <w:b w:val="1"/>
          <w:bCs w:val="1"/>
          <w:noProof w:val="0"/>
          <w:sz w:val="24"/>
          <w:szCs w:val="24"/>
          <w:lang w:val="en-GB"/>
        </w:rPr>
        <w:t>alongside the policies in place to address these inequalities.</w:t>
      </w:r>
    </w:p>
    <w:p w:rsidR="57C69085" w:rsidP="1D98EB58" w:rsidRDefault="57C69085" w14:paraId="1ADF58C8" w14:textId="16443967">
      <w:pPr>
        <w:pStyle w:val="Normal"/>
        <w:spacing w:before="240" w:beforeAutospacing="off" w:after="240" w:afterAutospacing="off"/>
        <w:rPr>
          <w:rFonts w:ascii="Aptos" w:hAnsi="Aptos" w:eastAsia="Aptos" w:cs="Aptos"/>
          <w:b w:val="1"/>
          <w:bCs w:val="1"/>
          <w:noProof w:val="0"/>
          <w:sz w:val="24"/>
          <w:szCs w:val="24"/>
          <w:lang w:val="en-GB"/>
        </w:rPr>
      </w:pPr>
    </w:p>
    <w:p w:rsidR="57C69085" w:rsidP="51F2DB54" w:rsidRDefault="57C69085" w14:paraId="0008B0DD" w14:textId="01F13D08">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Marquez et al. (2023) argue that LGBTQ+ adolescents</w:t>
      </w:r>
      <w:r w:rsidRPr="51F2DB54" w:rsidR="521961D0">
        <w:rPr>
          <w:rFonts w:ascii="Aptos" w:hAnsi="Aptos" w:eastAsia="Aptos" w:cs="Aptos"/>
          <w:b w:val="0"/>
          <w:bCs w:val="0"/>
          <w:noProof w:val="0"/>
          <w:sz w:val="24"/>
          <w:szCs w:val="24"/>
          <w:lang w:val="en-GB"/>
        </w:rPr>
        <w:t xml:space="preserve"> </w:t>
      </w:r>
      <w:r w:rsidRPr="51F2DB54" w:rsidR="0D2C6096">
        <w:rPr>
          <w:rFonts w:ascii="Aptos" w:hAnsi="Aptos" w:eastAsia="Aptos" w:cs="Aptos"/>
          <w:b w:val="0"/>
          <w:bCs w:val="0"/>
          <w:noProof w:val="0"/>
          <w:sz w:val="24"/>
          <w:szCs w:val="24"/>
          <w:lang w:val="en-GB"/>
        </w:rPr>
        <w:t>especially transgender, non-binary, and sexual minority youth</w:t>
      </w:r>
      <w:r w:rsidRPr="51F2DB54" w:rsidR="0F9232D7">
        <w:rPr>
          <w:rFonts w:ascii="Aptos" w:hAnsi="Aptos" w:eastAsia="Aptos" w:cs="Aptos"/>
          <w:b w:val="0"/>
          <w:bCs w:val="0"/>
          <w:noProof w:val="0"/>
          <w:sz w:val="24"/>
          <w:szCs w:val="24"/>
          <w:lang w:val="en-GB"/>
        </w:rPr>
        <w:t xml:space="preserve"> </w:t>
      </w:r>
      <w:r w:rsidRPr="51F2DB54" w:rsidR="0D2C6096">
        <w:rPr>
          <w:rFonts w:ascii="Aptos" w:hAnsi="Aptos" w:eastAsia="Aptos" w:cs="Aptos"/>
          <w:b w:val="0"/>
          <w:bCs w:val="0"/>
          <w:noProof w:val="0"/>
          <w:sz w:val="24"/>
          <w:szCs w:val="24"/>
          <w:lang w:val="en-GB"/>
        </w:rPr>
        <w:t xml:space="preserve">experience </w:t>
      </w:r>
      <w:r w:rsidRPr="51F2DB54" w:rsidR="0D2C6096">
        <w:rPr>
          <w:rFonts w:ascii="Aptos" w:hAnsi="Aptos" w:eastAsia="Aptos" w:cs="Aptos"/>
          <w:b w:val="0"/>
          <w:bCs w:val="0"/>
          <w:noProof w:val="0"/>
          <w:sz w:val="24"/>
          <w:szCs w:val="24"/>
          <w:lang w:val="en-GB"/>
        </w:rPr>
        <w:t>substantially poorer</w:t>
      </w:r>
      <w:r w:rsidRPr="51F2DB54" w:rsidR="0D2C6096">
        <w:rPr>
          <w:rFonts w:ascii="Aptos" w:hAnsi="Aptos" w:eastAsia="Aptos" w:cs="Aptos"/>
          <w:b w:val="0"/>
          <w:bCs w:val="0"/>
          <w:noProof w:val="0"/>
          <w:sz w:val="24"/>
          <w:szCs w:val="24"/>
          <w:lang w:val="en-GB"/>
        </w:rPr>
        <w:t xml:space="preserve"> wellbeing than their heterosexual and cisgender peers. These gaps are not marginal; the disparities are often larger than those linked to socioeconomic background, ethnicity, or disability. Their research suggests that the roots of these inequalities lie not within the young people themselves but within their environments. Systemic discrimination, bullying, social rejection, and the lack of visible LGBTQ+ representation in schools and communities contribute to an atmosphere where LGBTQ+ adolescents feel unsafe, invalidated, or invisible. Such environments restrict opportunities for positive identity development and reinforce the internalisation of stigma, which in turn affects mental health, confidence, and educational engagement.</w:t>
      </w:r>
    </w:p>
    <w:p w:rsidR="57C69085" w:rsidP="51F2DB54" w:rsidRDefault="57C69085" w14:paraId="761728BD" w14:textId="7B8DD43E">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 xml:space="preserve">Marquez et al. (2023) also show that schools often play </w:t>
      </w:r>
      <w:r w:rsidRPr="51F2DB54" w:rsidR="0D2C6096">
        <w:rPr>
          <w:rFonts w:ascii="Aptos" w:hAnsi="Aptos" w:eastAsia="Aptos" w:cs="Aptos"/>
          <w:b w:val="0"/>
          <w:bCs w:val="0"/>
          <w:noProof w:val="0"/>
          <w:sz w:val="24"/>
          <w:szCs w:val="24"/>
          <w:lang w:val="en-GB"/>
        </w:rPr>
        <w:t>a central role</w:t>
      </w:r>
      <w:r w:rsidRPr="51F2DB54" w:rsidR="0D2C6096">
        <w:rPr>
          <w:rFonts w:ascii="Aptos" w:hAnsi="Aptos" w:eastAsia="Aptos" w:cs="Aptos"/>
          <w:b w:val="0"/>
          <w:bCs w:val="0"/>
          <w:noProof w:val="0"/>
          <w:sz w:val="24"/>
          <w:szCs w:val="24"/>
          <w:lang w:val="en-GB"/>
        </w:rPr>
        <w:t xml:space="preserve"> in shaping wellbeing outcomes. When curricula exclude LGBTQ+ narratives or when policies </w:t>
      </w:r>
      <w:r w:rsidRPr="51F2DB54" w:rsidR="0D2C6096">
        <w:rPr>
          <w:rFonts w:ascii="Aptos" w:hAnsi="Aptos" w:eastAsia="Aptos" w:cs="Aptos"/>
          <w:b w:val="0"/>
          <w:bCs w:val="0"/>
          <w:noProof w:val="0"/>
          <w:sz w:val="24"/>
          <w:szCs w:val="24"/>
          <w:lang w:val="en-GB"/>
        </w:rPr>
        <w:t>fail to</w:t>
      </w:r>
      <w:r w:rsidRPr="51F2DB54" w:rsidR="0D2C6096">
        <w:rPr>
          <w:rFonts w:ascii="Aptos" w:hAnsi="Aptos" w:eastAsia="Aptos" w:cs="Aptos"/>
          <w:b w:val="0"/>
          <w:bCs w:val="0"/>
          <w:noProof w:val="0"/>
          <w:sz w:val="24"/>
          <w:szCs w:val="24"/>
          <w:lang w:val="en-GB"/>
        </w:rPr>
        <w:t xml:space="preserve"> explicitly protect LGBTQ+ students, the institution implicitly reinforces heteronormativity and cisnormativity. LGBTQ+ adolescents may feel pressured to conceal their identities, thereby increasing stress and limiting opportunities to seek support. The absence of positive representation—whether through inclusive teaching materials or adult role models—can further intensify feelings of isolation and difference. These findings point towards the importance of institutional accountability in reducing wellbeing disparities.</w:t>
      </w:r>
    </w:p>
    <w:p w:rsidR="57C69085" w:rsidP="51F2DB54" w:rsidRDefault="57C69085" w14:paraId="713AC995" w14:textId="4A3C6A4C">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Tollemache et al. (2021) build on this understanding by arguing that wellbeing interventions must extend beyond the treatment of mental distress. They emphasise the need for approaches that actively cultivate belonging, inclusion, and affirming identity development. According to their findings, the most protective factors for LGBTQ+ adolescents are not only access to mental health services but also supportive peer groups, affirming educators, and community spaces in which they can safely explore and express their identities. Tollemache et al. (2021) therefore suggest that wellbeing frameworks must shift towards preventative and relational models that strengthen social connectedness rather than simply addressing symptoms after harm has occurred.</w:t>
      </w:r>
    </w:p>
    <w:p w:rsidR="57C69085" w:rsidP="51F2DB54" w:rsidRDefault="57C69085" w14:paraId="73CDD142" w14:textId="0E914AD6">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 xml:space="preserve">This argument aligns closely with the work of Takács et al. (2015), whose cross-European study highlights the powerful influence of cultural acceptance on LGBTQ+ wellbeing. Their findings reveal notable variations across countries that correlate directly with levels of social tolerance and legal protection. LGBTQ+ people living in societies characterised by cultural acceptance report lower levels of stress, greater life satisfaction, and better health outcomes. Conversely, those in environments where prejudice is socially or politically reinforced experience much poorer wellbeing. Takács et al. (2015) therefore argue that inequalities are socially constructed rather than inevitable, shaped by the cultural narratives and norms that a society chooses to uphold. This perspective challenges the idea that LGBTQ+ mental health disparities are fixed, </w:t>
      </w:r>
      <w:r w:rsidRPr="51F2DB54" w:rsidR="0D2C6096">
        <w:rPr>
          <w:rFonts w:ascii="Aptos" w:hAnsi="Aptos" w:eastAsia="Aptos" w:cs="Aptos"/>
          <w:b w:val="0"/>
          <w:bCs w:val="0"/>
          <w:noProof w:val="0"/>
          <w:sz w:val="24"/>
          <w:szCs w:val="24"/>
          <w:lang w:val="en-GB"/>
        </w:rPr>
        <w:t>demonstrating</w:t>
      </w:r>
      <w:r w:rsidRPr="51F2DB54" w:rsidR="0D2C6096">
        <w:rPr>
          <w:rFonts w:ascii="Aptos" w:hAnsi="Aptos" w:eastAsia="Aptos" w:cs="Aptos"/>
          <w:b w:val="0"/>
          <w:bCs w:val="0"/>
          <w:noProof w:val="0"/>
          <w:sz w:val="24"/>
          <w:szCs w:val="24"/>
          <w:lang w:val="en-GB"/>
        </w:rPr>
        <w:t xml:space="preserve"> that improving cultural attitudes can significantly reduce inequality.</w:t>
      </w:r>
    </w:p>
    <w:p w:rsidR="57C69085" w:rsidP="51F2DB54" w:rsidRDefault="57C69085" w14:paraId="2D4E9D65" w14:textId="2D1DD1FD">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 xml:space="preserve">Kahl et al. (2025) extend this view by providing a </w:t>
      </w:r>
      <w:r w:rsidRPr="51F2DB54" w:rsidR="0D2C6096">
        <w:rPr>
          <w:rFonts w:ascii="Aptos" w:hAnsi="Aptos" w:eastAsia="Aptos" w:cs="Aptos"/>
          <w:b w:val="0"/>
          <w:bCs w:val="0"/>
          <w:noProof w:val="0"/>
          <w:sz w:val="24"/>
          <w:szCs w:val="24"/>
          <w:lang w:val="en-GB"/>
        </w:rPr>
        <w:t>neuropsychosocial</w:t>
      </w:r>
      <w:r w:rsidRPr="51F2DB54" w:rsidR="0D2C6096">
        <w:rPr>
          <w:rFonts w:ascii="Aptos" w:hAnsi="Aptos" w:eastAsia="Aptos" w:cs="Aptos"/>
          <w:b w:val="0"/>
          <w:bCs w:val="0"/>
          <w:noProof w:val="0"/>
          <w:sz w:val="24"/>
          <w:szCs w:val="24"/>
          <w:lang w:val="en-GB"/>
        </w:rPr>
        <w:t xml:space="preserve"> explanation of how discrimination affects the body and mind. Their research shows that persistent exposure to stigma, exclusion, and microaggressions activates chronic stress responses, disrupting emotional regulation and increasing vulnerability to psychological disorders. Over time, these stress responses become embedded, leading to heightened risks of anxiety, depression, and trauma-related symptoms. Kahl et al. (2025) therefore </w:t>
      </w:r>
      <w:r w:rsidRPr="51F2DB54" w:rsidR="0D2C6096">
        <w:rPr>
          <w:rFonts w:ascii="Aptos" w:hAnsi="Aptos" w:eastAsia="Aptos" w:cs="Aptos"/>
          <w:b w:val="0"/>
          <w:bCs w:val="0"/>
          <w:noProof w:val="0"/>
          <w:sz w:val="24"/>
          <w:szCs w:val="24"/>
          <w:lang w:val="en-GB"/>
        </w:rPr>
        <w:t>demonstrate</w:t>
      </w:r>
      <w:r w:rsidRPr="51F2DB54" w:rsidR="0D2C6096">
        <w:rPr>
          <w:rFonts w:ascii="Aptos" w:hAnsi="Aptos" w:eastAsia="Aptos" w:cs="Aptos"/>
          <w:b w:val="0"/>
          <w:bCs w:val="0"/>
          <w:noProof w:val="0"/>
          <w:sz w:val="24"/>
          <w:szCs w:val="24"/>
          <w:lang w:val="en-GB"/>
        </w:rPr>
        <w:t xml:space="preserve"> that inequality has measurable physiological consequences, reinforcing the point that discrimination is not only a social problem but a health issue with long-term impacts.</w:t>
      </w:r>
    </w:p>
    <w:p w:rsidR="57C69085" w:rsidP="51F2DB54" w:rsidRDefault="57C69085" w14:paraId="79054C88" w14:textId="362E1107">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 xml:space="preserve">The National Academies of Sciences, Engineering, and Medicine (2021) further highlight the structural roots of these disparities. They argue that legal frameworks, healthcare systems, and educational institutions often reproduce inequality through discriminatory policies, inaccessible services, and assumptions that prioritise heterosexual and cisgender identities as the norm. For example, barriers to gender-affirming healthcare—in the form of restrictive policies, long waiting lists, or a lack of trained professionals—create unnecessary suffering and delay essential support. Similarly, school systems that </w:t>
      </w:r>
      <w:r w:rsidRPr="51F2DB54" w:rsidR="0D2C6096">
        <w:rPr>
          <w:rFonts w:ascii="Aptos" w:hAnsi="Aptos" w:eastAsia="Aptos" w:cs="Aptos"/>
          <w:b w:val="0"/>
          <w:bCs w:val="0"/>
          <w:noProof w:val="0"/>
          <w:sz w:val="24"/>
          <w:szCs w:val="24"/>
          <w:lang w:val="en-GB"/>
        </w:rPr>
        <w:t>fail to</w:t>
      </w:r>
      <w:r w:rsidRPr="51F2DB54" w:rsidR="0D2C6096">
        <w:rPr>
          <w:rFonts w:ascii="Aptos" w:hAnsi="Aptos" w:eastAsia="Aptos" w:cs="Aptos"/>
          <w:b w:val="0"/>
          <w:bCs w:val="0"/>
          <w:noProof w:val="0"/>
          <w:sz w:val="24"/>
          <w:szCs w:val="24"/>
          <w:lang w:val="en-GB"/>
        </w:rPr>
        <w:t xml:space="preserve"> implement robust anti-bullying strategies or inclusive curricula may inadvertently perpetuate hostility and exclusion. According to the National Academies (2021), these structural inequalities contribute significantly to the ongoing marginalisation of LGBTQ+ people.</w:t>
      </w:r>
    </w:p>
    <w:p w:rsidR="57C69085" w:rsidP="51F2DB54" w:rsidRDefault="57C69085" w14:paraId="7B2D38A8" w14:textId="1C75F8AE">
      <w:pPr>
        <w:spacing w:before="240" w:beforeAutospacing="off" w:after="240" w:afterAutospacing="off"/>
        <w:rPr>
          <w:rFonts w:ascii="Aptos" w:hAnsi="Aptos" w:eastAsia="Aptos" w:cs="Aptos"/>
          <w:b w:val="0"/>
          <w:bCs w:val="0"/>
          <w:noProof w:val="0"/>
          <w:sz w:val="24"/>
          <w:szCs w:val="24"/>
          <w:lang w:val="en-GB"/>
        </w:rPr>
      </w:pPr>
      <w:r w:rsidRPr="51F2DB54" w:rsidR="0D2C6096">
        <w:rPr>
          <w:rFonts w:ascii="Aptos" w:hAnsi="Aptos" w:eastAsia="Aptos" w:cs="Aptos"/>
          <w:b w:val="0"/>
          <w:bCs w:val="0"/>
          <w:noProof w:val="0"/>
          <w:sz w:val="24"/>
          <w:szCs w:val="24"/>
          <w:lang w:val="en-GB"/>
        </w:rPr>
        <w:t xml:space="preserve">Collectively, the authors argue that achieving meaningful equality for LGBTQ+ adolescents </w:t>
      </w:r>
      <w:r w:rsidRPr="51F2DB54" w:rsidR="0D2C6096">
        <w:rPr>
          <w:rFonts w:ascii="Aptos" w:hAnsi="Aptos" w:eastAsia="Aptos" w:cs="Aptos"/>
          <w:b w:val="0"/>
          <w:bCs w:val="0"/>
          <w:noProof w:val="0"/>
          <w:sz w:val="24"/>
          <w:szCs w:val="24"/>
          <w:lang w:val="en-GB"/>
        </w:rPr>
        <w:t>requires</w:t>
      </w:r>
      <w:r w:rsidRPr="51F2DB54" w:rsidR="0D2C6096">
        <w:rPr>
          <w:rFonts w:ascii="Aptos" w:hAnsi="Aptos" w:eastAsia="Aptos" w:cs="Aptos"/>
          <w:b w:val="0"/>
          <w:bCs w:val="0"/>
          <w:noProof w:val="0"/>
          <w:sz w:val="24"/>
          <w:szCs w:val="24"/>
          <w:lang w:val="en-GB"/>
        </w:rPr>
        <w:t xml:space="preserve"> more than building individual resilience or expanding mental health provision. While therapeutic support plays </w:t>
      </w:r>
      <w:r w:rsidRPr="51F2DB54" w:rsidR="0D2C6096">
        <w:rPr>
          <w:rFonts w:ascii="Aptos" w:hAnsi="Aptos" w:eastAsia="Aptos" w:cs="Aptos"/>
          <w:b w:val="0"/>
          <w:bCs w:val="0"/>
          <w:noProof w:val="0"/>
          <w:sz w:val="24"/>
          <w:szCs w:val="24"/>
          <w:lang w:val="en-GB"/>
        </w:rPr>
        <w:t>an important role</w:t>
      </w:r>
      <w:r w:rsidRPr="51F2DB54" w:rsidR="0D2C6096">
        <w:rPr>
          <w:rFonts w:ascii="Aptos" w:hAnsi="Aptos" w:eastAsia="Aptos" w:cs="Aptos"/>
          <w:b w:val="0"/>
          <w:bCs w:val="0"/>
          <w:noProof w:val="0"/>
          <w:sz w:val="24"/>
          <w:szCs w:val="24"/>
          <w:lang w:val="en-GB"/>
        </w:rPr>
        <w:t xml:space="preserve">, it cannot undo the cumulative effects of cultural stigma and institutional exclusion. Instead, broader societal and institutional changes are essential. This includes the creation of inclusive policies, the integration of LGBTQ+ perspectives into education, and the transformation of community practices to promote visibility and belonging. Intersectionality must also be central, recognising that LGBTQ+ adolescents who are also disabled, racialised, or </w:t>
      </w:r>
      <w:r w:rsidRPr="51F2DB54" w:rsidR="0D2C6096">
        <w:rPr>
          <w:rFonts w:ascii="Aptos" w:hAnsi="Aptos" w:eastAsia="Aptos" w:cs="Aptos"/>
          <w:b w:val="0"/>
          <w:bCs w:val="0"/>
          <w:noProof w:val="0"/>
          <w:sz w:val="24"/>
          <w:szCs w:val="24"/>
          <w:lang w:val="en-GB"/>
        </w:rPr>
        <w:t>economically disadvantaged</w:t>
      </w:r>
      <w:r w:rsidRPr="51F2DB54" w:rsidR="0D2C6096">
        <w:rPr>
          <w:rFonts w:ascii="Aptos" w:hAnsi="Aptos" w:eastAsia="Aptos" w:cs="Aptos"/>
          <w:b w:val="0"/>
          <w:bCs w:val="0"/>
          <w:noProof w:val="0"/>
          <w:sz w:val="24"/>
          <w:szCs w:val="24"/>
          <w:lang w:val="en-GB"/>
        </w:rPr>
        <w:t xml:space="preserve"> often face compounded forms of inequality.</w:t>
      </w:r>
    </w:p>
    <w:p w:rsidR="57C69085" w:rsidP="32A1C1CC" w:rsidRDefault="57C69085" w14:paraId="20C09222" w14:textId="4BABC76C">
      <w:pPr>
        <w:spacing w:before="240" w:beforeAutospacing="off" w:after="240" w:afterAutospacing="off"/>
        <w:rPr>
          <w:rFonts w:ascii="Aptos" w:hAnsi="Aptos" w:eastAsia="Aptos" w:cs="Aptos"/>
          <w:b w:val="0"/>
          <w:bCs w:val="0"/>
          <w:noProof w:val="0"/>
          <w:sz w:val="24"/>
          <w:szCs w:val="24"/>
          <w:lang w:val="en-GB"/>
        </w:rPr>
      </w:pPr>
    </w:p>
    <w:p w:rsidR="57C69085" w:rsidP="51F2DB54" w:rsidRDefault="57C69085" w14:paraId="16CBE62B" w14:textId="2BBB42BB">
      <w:pPr>
        <w:spacing w:before="240" w:beforeAutospacing="off" w:after="240" w:afterAutospacing="off"/>
        <w:rPr>
          <w:rFonts w:ascii="Aptos" w:hAnsi="Aptos" w:eastAsia="Aptos" w:cs="Aptos"/>
          <w:b w:val="0"/>
          <w:bCs w:val="0"/>
          <w:noProof w:val="0"/>
          <w:sz w:val="24"/>
          <w:szCs w:val="24"/>
          <w:lang w:val="en-GB"/>
        </w:rPr>
      </w:pPr>
      <w:r w:rsidRPr="51F2DB54" w:rsidR="5B5A012D">
        <w:rPr>
          <w:rFonts w:ascii="Aptos" w:hAnsi="Aptos" w:eastAsia="Aptos" w:cs="Aptos"/>
          <w:b w:val="0"/>
          <w:bCs w:val="0"/>
          <w:noProof w:val="0"/>
          <w:sz w:val="24"/>
          <w:szCs w:val="24"/>
          <w:lang w:val="en-GB"/>
        </w:rPr>
        <w:t xml:space="preserve">Inequality can be understood as a long-standing and structured imbalance in access to rights, opportunities, safety, and social influence between </w:t>
      </w:r>
      <w:r w:rsidRPr="51F2DB54" w:rsidR="5B5A012D">
        <w:rPr>
          <w:rFonts w:ascii="Aptos" w:hAnsi="Aptos" w:eastAsia="Aptos" w:cs="Aptos"/>
          <w:b w:val="0"/>
          <w:bCs w:val="0"/>
          <w:noProof w:val="0"/>
          <w:sz w:val="24"/>
          <w:szCs w:val="24"/>
          <w:lang w:val="en-GB"/>
        </w:rPr>
        <w:t>different groups</w:t>
      </w:r>
      <w:r w:rsidRPr="51F2DB54" w:rsidR="5B5A012D">
        <w:rPr>
          <w:rFonts w:ascii="Aptos" w:hAnsi="Aptos" w:eastAsia="Aptos" w:cs="Aptos"/>
          <w:b w:val="0"/>
          <w:bCs w:val="0"/>
          <w:noProof w:val="0"/>
          <w:sz w:val="24"/>
          <w:szCs w:val="24"/>
          <w:lang w:val="en-GB"/>
        </w:rPr>
        <w:t xml:space="preserve"> in society (UNDP, 2020). It is not merely the product of isolated discriminatory acts but is rooted in wider policy frameworks, cultural expectations, and institutional norms. For LGBTQ+ populations around the world, these inequalities are reinforced through restrictive laws, social hostility, inconsistent access to public services, and limited legal recognition (ILGA World, 2023).</w:t>
      </w:r>
    </w:p>
    <w:p w:rsidR="57C69085" w:rsidP="51F2DB54" w:rsidRDefault="57C69085" w14:paraId="24DF9523" w14:textId="5E8725C9">
      <w:pPr>
        <w:spacing w:before="240" w:beforeAutospacing="off" w:after="240" w:afterAutospacing="off"/>
        <w:rPr>
          <w:rFonts w:ascii="Aptos" w:hAnsi="Aptos" w:eastAsia="Aptos" w:cs="Aptos"/>
          <w:b w:val="0"/>
          <w:bCs w:val="0"/>
          <w:noProof w:val="0"/>
          <w:sz w:val="24"/>
          <w:szCs w:val="24"/>
          <w:lang w:val="en-GB"/>
        </w:rPr>
      </w:pPr>
      <w:r w:rsidRPr="51F2DB54" w:rsidR="5B5A012D">
        <w:rPr>
          <w:rFonts w:ascii="Aptos" w:hAnsi="Aptos" w:eastAsia="Aptos" w:cs="Aptos"/>
          <w:b w:val="0"/>
          <w:bCs w:val="0"/>
          <w:noProof w:val="0"/>
          <w:sz w:val="24"/>
          <w:szCs w:val="24"/>
          <w:lang w:val="en-GB"/>
        </w:rPr>
        <w:t>In some contexts, state legislation explicitly criminalises LGBTQ+ identities, embedding discrimination directly into the legal system. Uganda’s Anti-Homosexuality Act (2023) introduces extremely harsh penalties, including life imprisonment and, in certain circumstances, the death penalty. Following its enactment, human rights organisations have reported rising levels of violence, arbitrary arrests, and reduced engagement with essential health services, particularly in relation to HIV care (Human Rights Watch, 2023; Amnesty International, 2024). Nigeria’s Same-Sex Marriage (Prohibition) Act (2014) similarly targets same-sex relationships and LGBTQ+ associations, creating conditions in which police harassment, extortion, and mass arrests can occur with impunity (Human Rights Watch, 2016). These examples highlight how law can serve not as a protective instrument but as a mechanism for legitimising social exclusion and fear.</w:t>
      </w:r>
    </w:p>
    <w:p w:rsidR="57C69085" w:rsidP="51F2DB54" w:rsidRDefault="57C69085" w14:paraId="1AD342E0" w14:textId="63237131">
      <w:pPr>
        <w:spacing w:before="240" w:beforeAutospacing="off" w:after="240" w:afterAutospacing="off"/>
        <w:rPr>
          <w:rFonts w:ascii="Aptos" w:hAnsi="Aptos" w:eastAsia="Aptos" w:cs="Aptos"/>
          <w:b w:val="0"/>
          <w:bCs w:val="0"/>
          <w:noProof w:val="0"/>
          <w:sz w:val="24"/>
          <w:szCs w:val="24"/>
          <w:lang w:val="en-GB"/>
        </w:rPr>
      </w:pPr>
      <w:r w:rsidRPr="51F2DB54" w:rsidR="5B5A012D">
        <w:rPr>
          <w:rFonts w:ascii="Aptos" w:hAnsi="Aptos" w:eastAsia="Aptos" w:cs="Aptos"/>
          <w:b w:val="0"/>
          <w:bCs w:val="0"/>
          <w:noProof w:val="0"/>
          <w:sz w:val="24"/>
          <w:szCs w:val="24"/>
          <w:lang w:val="en-GB"/>
        </w:rPr>
        <w:t xml:space="preserve">Even in countries where major legal reforms have taken place, significant inequalities </w:t>
      </w:r>
      <w:r w:rsidRPr="51F2DB54" w:rsidR="5B5A012D">
        <w:rPr>
          <w:rFonts w:ascii="Aptos" w:hAnsi="Aptos" w:eastAsia="Aptos" w:cs="Aptos"/>
          <w:b w:val="0"/>
          <w:bCs w:val="0"/>
          <w:noProof w:val="0"/>
          <w:sz w:val="24"/>
          <w:szCs w:val="24"/>
          <w:lang w:val="en-GB"/>
        </w:rPr>
        <w:t>remain</w:t>
      </w:r>
      <w:r w:rsidRPr="51F2DB54" w:rsidR="5B5A012D">
        <w:rPr>
          <w:rFonts w:ascii="Aptos" w:hAnsi="Aptos" w:eastAsia="Aptos" w:cs="Aptos"/>
          <w:b w:val="0"/>
          <w:bCs w:val="0"/>
          <w:noProof w:val="0"/>
          <w:sz w:val="24"/>
          <w:szCs w:val="24"/>
          <w:lang w:val="en-GB"/>
        </w:rPr>
        <w:t xml:space="preserve"> because formal protections are not always translated into practice. In India, although homosexuality was decriminalised in 2018, the Transgender Persons (Protection of Rights) Act 2019 has been criticised for its restrictive and bureaucratic processes for gender recognition. Transgender people continue to face prejudice in employment, healthcare, and housing, </w:t>
      </w:r>
      <w:r w:rsidRPr="51F2DB54" w:rsidR="5B5A012D">
        <w:rPr>
          <w:rFonts w:ascii="Aptos" w:hAnsi="Aptos" w:eastAsia="Aptos" w:cs="Aptos"/>
          <w:b w:val="0"/>
          <w:bCs w:val="0"/>
          <w:noProof w:val="0"/>
          <w:sz w:val="24"/>
          <w:szCs w:val="24"/>
          <w:lang w:val="en-GB"/>
        </w:rPr>
        <w:t>demonstrating</w:t>
      </w:r>
      <w:r w:rsidRPr="51F2DB54" w:rsidR="5B5A012D">
        <w:rPr>
          <w:rFonts w:ascii="Aptos" w:hAnsi="Aptos" w:eastAsia="Aptos" w:cs="Aptos"/>
          <w:b w:val="0"/>
          <w:bCs w:val="0"/>
          <w:noProof w:val="0"/>
          <w:sz w:val="24"/>
          <w:szCs w:val="24"/>
          <w:lang w:val="en-GB"/>
        </w:rPr>
        <w:t xml:space="preserve"> that legislative change alone does not remove systemic disadvantage (Human Rights Watch, 2022). A similar dynamic is </w:t>
      </w:r>
      <w:r w:rsidRPr="51F2DB54" w:rsidR="5B5A012D">
        <w:rPr>
          <w:rFonts w:ascii="Aptos" w:hAnsi="Aptos" w:eastAsia="Aptos" w:cs="Aptos"/>
          <w:b w:val="0"/>
          <w:bCs w:val="0"/>
          <w:noProof w:val="0"/>
          <w:sz w:val="24"/>
          <w:szCs w:val="24"/>
          <w:lang w:val="en-GB"/>
        </w:rPr>
        <w:t>evident</w:t>
      </w:r>
      <w:r w:rsidRPr="51F2DB54" w:rsidR="5B5A012D">
        <w:rPr>
          <w:rFonts w:ascii="Aptos" w:hAnsi="Aptos" w:eastAsia="Aptos" w:cs="Aptos"/>
          <w:b w:val="0"/>
          <w:bCs w:val="0"/>
          <w:noProof w:val="0"/>
          <w:sz w:val="24"/>
          <w:szCs w:val="24"/>
          <w:lang w:val="en-GB"/>
        </w:rPr>
        <w:t xml:space="preserve"> in the United States, where federal marriage equality exists alongside a surge in state-level restrictions on gender-affirming healthcare and LGBTQ+ representation in schools. These political developments undermine national protections and produce inconsistent rights across states (ACLU, 2024).</w:t>
      </w:r>
    </w:p>
    <w:p w:rsidR="57C69085" w:rsidP="51F2DB54" w:rsidRDefault="57C69085" w14:paraId="447587C7" w14:textId="73568BF6">
      <w:pPr>
        <w:spacing w:before="240" w:beforeAutospacing="off" w:after="240" w:afterAutospacing="off"/>
        <w:rPr>
          <w:rFonts w:ascii="Aptos" w:hAnsi="Aptos" w:eastAsia="Aptos" w:cs="Aptos"/>
          <w:b w:val="0"/>
          <w:bCs w:val="0"/>
          <w:noProof w:val="0"/>
          <w:sz w:val="24"/>
          <w:szCs w:val="24"/>
          <w:lang w:val="en-GB"/>
        </w:rPr>
      </w:pPr>
      <w:r w:rsidRPr="51F2DB54" w:rsidR="5B5A012D">
        <w:rPr>
          <w:rFonts w:ascii="Aptos" w:hAnsi="Aptos" w:eastAsia="Aptos" w:cs="Aptos"/>
          <w:b w:val="0"/>
          <w:bCs w:val="0"/>
          <w:noProof w:val="0"/>
          <w:sz w:val="24"/>
          <w:szCs w:val="24"/>
          <w:lang w:val="en-GB"/>
        </w:rPr>
        <w:t>Countries often considered leaders in LGBTQ+ inclusion also face challenges in turning legal rights into equal lived experiences. In the UK, the Equality Act 2010 and same-sex marriage legislation provide robust protection on paper. However, transgender individuals experience extensive delays in accessing public gender identity services, often waiting several years for appointments (NHS England, 2023). Hate crime incidents—particularly those targeting trans people</w:t>
      </w:r>
      <w:r w:rsidRPr="51F2DB54" w:rsidR="17EE93A7">
        <w:rPr>
          <w:rFonts w:ascii="Aptos" w:hAnsi="Aptos" w:eastAsia="Aptos" w:cs="Aptos"/>
          <w:b w:val="0"/>
          <w:bCs w:val="0"/>
          <w:noProof w:val="0"/>
          <w:sz w:val="24"/>
          <w:szCs w:val="24"/>
          <w:lang w:val="en-GB"/>
        </w:rPr>
        <w:t xml:space="preserve"> </w:t>
      </w:r>
      <w:r w:rsidRPr="51F2DB54" w:rsidR="5B5A012D">
        <w:rPr>
          <w:rFonts w:ascii="Aptos" w:hAnsi="Aptos" w:eastAsia="Aptos" w:cs="Aptos"/>
          <w:b w:val="0"/>
          <w:bCs w:val="0"/>
          <w:noProof w:val="0"/>
          <w:sz w:val="24"/>
          <w:szCs w:val="24"/>
          <w:lang w:val="en-GB"/>
        </w:rPr>
        <w:t xml:space="preserve">have also increased, reflecting ongoing social hostility (UK Home Office, 2023). Canada’s legal protections mirror this pattern; while rights are formally recognised, access to gender-affirming healthcare differs by region, and Indigenous 2SLGBTQI+ people experience disproportionate levels of homelessness, violence, and discrimination (Government of Canada, 2022). These cases show that legal recognition does not automatically </w:t>
      </w:r>
      <w:r w:rsidRPr="51F2DB54" w:rsidR="5B5A012D">
        <w:rPr>
          <w:rFonts w:ascii="Aptos" w:hAnsi="Aptos" w:eastAsia="Aptos" w:cs="Aptos"/>
          <w:b w:val="0"/>
          <w:bCs w:val="0"/>
          <w:noProof w:val="0"/>
          <w:sz w:val="24"/>
          <w:szCs w:val="24"/>
          <w:lang w:val="en-GB"/>
        </w:rPr>
        <w:t>eliminate</w:t>
      </w:r>
      <w:r w:rsidRPr="51F2DB54" w:rsidR="5B5A012D">
        <w:rPr>
          <w:rFonts w:ascii="Aptos" w:hAnsi="Aptos" w:eastAsia="Aptos" w:cs="Aptos"/>
          <w:b w:val="0"/>
          <w:bCs w:val="0"/>
          <w:noProof w:val="0"/>
          <w:sz w:val="24"/>
          <w:szCs w:val="24"/>
          <w:lang w:val="en-GB"/>
        </w:rPr>
        <w:t xml:space="preserve"> structural and cultural barriers.</w:t>
      </w:r>
    </w:p>
    <w:p w:rsidR="57C69085" w:rsidP="51F2DB54" w:rsidRDefault="57C69085" w14:paraId="09579081" w14:textId="40BB713E">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In some contexts, discriminatory practices occur at regional or local levels even when national laws are designed to uphold equality. Poland </w:t>
      </w:r>
      <w:r w:rsidRPr="51F2DB54" w:rsidR="60BB73C0">
        <w:rPr>
          <w:rFonts w:ascii="Aptos" w:hAnsi="Aptos" w:eastAsia="Aptos" w:cs="Aptos"/>
          <w:b w:val="0"/>
          <w:bCs w:val="0"/>
          <w:noProof w:val="0"/>
          <w:sz w:val="24"/>
          <w:szCs w:val="24"/>
          <w:lang w:val="en-GB"/>
        </w:rPr>
        <w:t>provides</w:t>
      </w:r>
      <w:r w:rsidRPr="51F2DB54" w:rsidR="60BB73C0">
        <w:rPr>
          <w:rFonts w:ascii="Aptos" w:hAnsi="Aptos" w:eastAsia="Aptos" w:cs="Aptos"/>
          <w:b w:val="0"/>
          <w:bCs w:val="0"/>
          <w:noProof w:val="0"/>
          <w:sz w:val="24"/>
          <w:szCs w:val="24"/>
          <w:lang w:val="en-GB"/>
        </w:rPr>
        <w:t xml:space="preserve"> a clear example of this contradiction. Although the country has formal anti-discrimination protections, more than 90 municipalities declared themselves “LGBT-free zones” between 2019 and 2021, creating symbolic and practical barriers to LGBTQ+ inclusion (Amnesty International, 2021). These declarations, though lacking legal force, carried significant social and political influence. They signalled institutional endorsement of exclusionary attitudes, encouraged hostility, and discouraged LGBTQ+ people from </w:t>
      </w:r>
      <w:r w:rsidRPr="51F2DB54" w:rsidR="60BB73C0">
        <w:rPr>
          <w:rFonts w:ascii="Aptos" w:hAnsi="Aptos" w:eastAsia="Aptos" w:cs="Aptos"/>
          <w:b w:val="0"/>
          <w:bCs w:val="0"/>
          <w:noProof w:val="0"/>
          <w:sz w:val="24"/>
          <w:szCs w:val="24"/>
          <w:lang w:val="en-GB"/>
        </w:rPr>
        <w:t>participating</w:t>
      </w:r>
      <w:r w:rsidRPr="51F2DB54" w:rsidR="60BB73C0">
        <w:rPr>
          <w:rFonts w:ascii="Aptos" w:hAnsi="Aptos" w:eastAsia="Aptos" w:cs="Aptos"/>
          <w:b w:val="0"/>
          <w:bCs w:val="0"/>
          <w:noProof w:val="0"/>
          <w:sz w:val="24"/>
          <w:szCs w:val="24"/>
          <w:lang w:val="en-GB"/>
        </w:rPr>
        <w:t xml:space="preserve"> openly in public life. As a result, national-level protections were undermined by local authorities whose actions fostered an atmosphere of fear and marginalisation. This illustrates how political culture and local governance can override or dilute the intended effects of national equality legislation.</w:t>
      </w:r>
    </w:p>
    <w:p w:rsidR="57C69085" w:rsidP="51F2DB54" w:rsidRDefault="57C69085" w14:paraId="037D8426" w14:textId="7354F77B">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Brazil </w:t>
      </w:r>
      <w:r w:rsidRPr="51F2DB54" w:rsidR="60BB73C0">
        <w:rPr>
          <w:rFonts w:ascii="Aptos" w:hAnsi="Aptos" w:eastAsia="Aptos" w:cs="Aptos"/>
          <w:b w:val="0"/>
          <w:bCs w:val="0"/>
          <w:noProof w:val="0"/>
          <w:sz w:val="24"/>
          <w:szCs w:val="24"/>
          <w:lang w:val="en-GB"/>
        </w:rPr>
        <w:t>demonstrates</w:t>
      </w:r>
      <w:r w:rsidRPr="51F2DB54" w:rsidR="60BB73C0">
        <w:rPr>
          <w:rFonts w:ascii="Aptos" w:hAnsi="Aptos" w:eastAsia="Aptos" w:cs="Aptos"/>
          <w:b w:val="0"/>
          <w:bCs w:val="0"/>
          <w:noProof w:val="0"/>
          <w:sz w:val="24"/>
          <w:szCs w:val="24"/>
          <w:lang w:val="en-GB"/>
        </w:rPr>
        <w:t xml:space="preserve"> a similar pattern. Despite the Supreme Court’s landmark decision in 2019 to criminalise homophobia and transphobia, violence against LGBTQ+ people—especially transgender women</w:t>
      </w:r>
      <w:r w:rsidRPr="51F2DB54" w:rsidR="4249733D">
        <w:rPr>
          <w:rFonts w:ascii="Aptos" w:hAnsi="Aptos" w:eastAsia="Aptos" w:cs="Aptos"/>
          <w:b w:val="0"/>
          <w:bCs w:val="0"/>
          <w:noProof w:val="0"/>
          <w:sz w:val="24"/>
          <w:szCs w:val="24"/>
          <w:lang w:val="en-GB"/>
        </w:rPr>
        <w:t xml:space="preserve"> </w:t>
      </w:r>
      <w:r w:rsidRPr="51F2DB54" w:rsidR="60BB73C0">
        <w:rPr>
          <w:rFonts w:ascii="Aptos" w:hAnsi="Aptos" w:eastAsia="Aptos" w:cs="Aptos"/>
          <w:b w:val="0"/>
          <w:bCs w:val="0"/>
          <w:noProof w:val="0"/>
          <w:sz w:val="24"/>
          <w:szCs w:val="24"/>
          <w:lang w:val="en-GB"/>
        </w:rPr>
        <w:t>remains</w:t>
      </w:r>
      <w:r w:rsidRPr="51F2DB54" w:rsidR="60BB73C0">
        <w:rPr>
          <w:rFonts w:ascii="Aptos" w:hAnsi="Aptos" w:eastAsia="Aptos" w:cs="Aptos"/>
          <w:b w:val="0"/>
          <w:bCs w:val="0"/>
          <w:noProof w:val="0"/>
          <w:sz w:val="24"/>
          <w:szCs w:val="24"/>
          <w:lang w:val="en-GB"/>
        </w:rPr>
        <w:t xml:space="preserve"> alarmingly high. Reports continue to document high rates of murder, harassment, and social exclusion directed at transgender communities (Transgender Europe, 2023). These outcomes reflect the gap between legal progress and lived experience. Weak enforcement mechanisms, insufficient police training, and entrenched social stigma all contribute to the persistently </w:t>
      </w:r>
      <w:r w:rsidRPr="51F2DB54" w:rsidR="60BB73C0">
        <w:rPr>
          <w:rFonts w:ascii="Aptos" w:hAnsi="Aptos" w:eastAsia="Aptos" w:cs="Aptos"/>
          <w:b w:val="0"/>
          <w:bCs w:val="0"/>
          <w:noProof w:val="0"/>
          <w:sz w:val="24"/>
          <w:szCs w:val="24"/>
          <w:lang w:val="en-GB"/>
        </w:rPr>
        <w:t>high levels</w:t>
      </w:r>
      <w:r w:rsidRPr="51F2DB54" w:rsidR="60BB73C0">
        <w:rPr>
          <w:rFonts w:ascii="Aptos" w:hAnsi="Aptos" w:eastAsia="Aptos" w:cs="Aptos"/>
          <w:b w:val="0"/>
          <w:bCs w:val="0"/>
          <w:noProof w:val="0"/>
          <w:sz w:val="24"/>
          <w:szCs w:val="24"/>
          <w:lang w:val="en-GB"/>
        </w:rPr>
        <w:t xml:space="preserve"> of violence. Thus, although legal reforms formally recognise LGBTQ+ rights, they do not automatically translate into meaningful protection on the ground. Enforcement </w:t>
      </w:r>
      <w:r w:rsidRPr="51F2DB54" w:rsidR="60BB73C0">
        <w:rPr>
          <w:rFonts w:ascii="Aptos" w:hAnsi="Aptos" w:eastAsia="Aptos" w:cs="Aptos"/>
          <w:b w:val="0"/>
          <w:bCs w:val="0"/>
          <w:noProof w:val="0"/>
          <w:sz w:val="24"/>
          <w:szCs w:val="24"/>
          <w:lang w:val="en-GB"/>
        </w:rPr>
        <w:t>remains</w:t>
      </w:r>
      <w:r w:rsidRPr="51F2DB54" w:rsidR="60BB73C0">
        <w:rPr>
          <w:rFonts w:ascii="Aptos" w:hAnsi="Aptos" w:eastAsia="Aptos" w:cs="Aptos"/>
          <w:b w:val="0"/>
          <w:bCs w:val="0"/>
          <w:noProof w:val="0"/>
          <w:sz w:val="24"/>
          <w:szCs w:val="24"/>
          <w:lang w:val="en-GB"/>
        </w:rPr>
        <w:t xml:space="preserve"> inconsistent, often influenced by local officials’ attitudes or the broader political climate.</w:t>
      </w:r>
    </w:p>
    <w:p w:rsidR="57C69085" w:rsidP="51F2DB54" w:rsidRDefault="57C69085" w14:paraId="32BC8F3E" w14:textId="1CEEC3BC">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These cases </w:t>
      </w:r>
      <w:r w:rsidRPr="51F2DB54" w:rsidR="60BB73C0">
        <w:rPr>
          <w:rFonts w:ascii="Aptos" w:hAnsi="Aptos" w:eastAsia="Aptos" w:cs="Aptos"/>
          <w:b w:val="0"/>
          <w:bCs w:val="0"/>
          <w:noProof w:val="0"/>
          <w:sz w:val="24"/>
          <w:szCs w:val="24"/>
          <w:lang w:val="en-GB"/>
        </w:rPr>
        <w:t>demonstrate</w:t>
      </w:r>
      <w:r w:rsidRPr="51F2DB54" w:rsidR="60BB73C0">
        <w:rPr>
          <w:rFonts w:ascii="Aptos" w:hAnsi="Aptos" w:eastAsia="Aptos" w:cs="Aptos"/>
          <w:b w:val="0"/>
          <w:bCs w:val="0"/>
          <w:noProof w:val="0"/>
          <w:sz w:val="24"/>
          <w:szCs w:val="24"/>
          <w:lang w:val="en-GB"/>
        </w:rPr>
        <w:t xml:space="preserve"> that effective implementation of policy is influenced not only by legal frameworks but also by societal norms and political dynamics. Even the most progressive legislation can fall short when applied within contexts where prejudice is socially or institutionally embedded. Local leaders may resist or reinterpret national laws, while communities may hold cultural values that conflict with inclusive policies. Consequently, equality cannot be understood solely as a matter of legal reform; it is deeply shaped by the interplay of governance structures, social attitudes, and institutional capacity.</w:t>
      </w:r>
    </w:p>
    <w:p w:rsidR="57C69085" w:rsidP="51F2DB54" w:rsidRDefault="57C69085" w14:paraId="74E281F2" w14:textId="13639983">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The complexity of inequality increases further when viewed through an intersectional lens. LGBTQ+ individuals who also belong to other marginalised groups—such as migrants, ethnic minorities, or those facing economic hardship—often experience compounded forms of vulnerability. LGBTQ+ asylum seekers in the UK and Europe face significant barriers during the asylum process, where they </w:t>
      </w:r>
      <w:r w:rsidRPr="51F2DB54" w:rsidR="60BB73C0">
        <w:rPr>
          <w:rFonts w:ascii="Aptos" w:hAnsi="Aptos" w:eastAsia="Aptos" w:cs="Aptos"/>
          <w:b w:val="0"/>
          <w:bCs w:val="0"/>
          <w:noProof w:val="0"/>
          <w:sz w:val="24"/>
          <w:szCs w:val="24"/>
          <w:lang w:val="en-GB"/>
        </w:rPr>
        <w:t>are required to</w:t>
      </w:r>
      <w:r w:rsidRPr="51F2DB54" w:rsidR="60BB73C0">
        <w:rPr>
          <w:rFonts w:ascii="Aptos" w:hAnsi="Aptos" w:eastAsia="Aptos" w:cs="Aptos"/>
          <w:b w:val="0"/>
          <w:bCs w:val="0"/>
          <w:noProof w:val="0"/>
          <w:sz w:val="24"/>
          <w:szCs w:val="24"/>
          <w:lang w:val="en-GB"/>
        </w:rPr>
        <w:t xml:space="preserve"> “prove” their sexual orientation or gender identity. This often involves intrusive questioning, cultural bias, or unrealistic expectations </w:t>
      </w:r>
      <w:r w:rsidRPr="51F2DB54" w:rsidR="60BB73C0">
        <w:rPr>
          <w:rFonts w:ascii="Aptos" w:hAnsi="Aptos" w:eastAsia="Aptos" w:cs="Aptos"/>
          <w:b w:val="0"/>
          <w:bCs w:val="0"/>
          <w:noProof w:val="0"/>
          <w:sz w:val="24"/>
          <w:szCs w:val="24"/>
          <w:lang w:val="en-GB"/>
        </w:rPr>
        <w:t>regarding</w:t>
      </w:r>
      <w:r w:rsidRPr="51F2DB54" w:rsidR="60BB73C0">
        <w:rPr>
          <w:rFonts w:ascii="Aptos" w:hAnsi="Aptos" w:eastAsia="Aptos" w:cs="Aptos"/>
          <w:b w:val="0"/>
          <w:bCs w:val="0"/>
          <w:noProof w:val="0"/>
          <w:sz w:val="24"/>
          <w:szCs w:val="24"/>
          <w:lang w:val="en-GB"/>
        </w:rPr>
        <w:t xml:space="preserve"> personal history and behaviour (UK Home Office, 2020). Many applicants come from contexts where expressing their identity would have endangered their lives, yet asylum processes </w:t>
      </w:r>
      <w:r w:rsidRPr="51F2DB54" w:rsidR="60BB73C0">
        <w:rPr>
          <w:rFonts w:ascii="Aptos" w:hAnsi="Aptos" w:eastAsia="Aptos" w:cs="Aptos"/>
          <w:b w:val="0"/>
          <w:bCs w:val="0"/>
          <w:noProof w:val="0"/>
          <w:sz w:val="24"/>
          <w:szCs w:val="24"/>
          <w:lang w:val="en-GB"/>
        </w:rPr>
        <w:t>frequently</w:t>
      </w:r>
      <w:r w:rsidRPr="51F2DB54" w:rsidR="60BB73C0">
        <w:rPr>
          <w:rFonts w:ascii="Aptos" w:hAnsi="Aptos" w:eastAsia="Aptos" w:cs="Aptos"/>
          <w:b w:val="0"/>
          <w:bCs w:val="0"/>
          <w:noProof w:val="0"/>
          <w:sz w:val="24"/>
          <w:szCs w:val="24"/>
          <w:lang w:val="en-GB"/>
        </w:rPr>
        <w:t xml:space="preserve"> rely on stereotyped notions of LGBTQ+ identity that do not reflect diverse lived experiences.</w:t>
      </w:r>
    </w:p>
    <w:p w:rsidR="57C69085" w:rsidP="51F2DB54" w:rsidRDefault="57C69085" w14:paraId="4EC2C16C" w14:textId="62E245BD">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Furthermore, detention centres </w:t>
      </w:r>
      <w:r w:rsidRPr="51F2DB54" w:rsidR="60BB73C0">
        <w:rPr>
          <w:rFonts w:ascii="Aptos" w:hAnsi="Aptos" w:eastAsia="Aptos" w:cs="Aptos"/>
          <w:b w:val="0"/>
          <w:bCs w:val="0"/>
          <w:noProof w:val="0"/>
          <w:sz w:val="24"/>
          <w:szCs w:val="24"/>
          <w:lang w:val="en-GB"/>
        </w:rPr>
        <w:t>frequently</w:t>
      </w:r>
      <w:r w:rsidRPr="51F2DB54" w:rsidR="60BB73C0">
        <w:rPr>
          <w:rFonts w:ascii="Aptos" w:hAnsi="Aptos" w:eastAsia="Aptos" w:cs="Aptos"/>
          <w:b w:val="0"/>
          <w:bCs w:val="0"/>
          <w:noProof w:val="0"/>
          <w:sz w:val="24"/>
          <w:szCs w:val="24"/>
          <w:lang w:val="en-GB"/>
        </w:rPr>
        <w:t xml:space="preserve"> pose risks to LGBTQ+ migrants. Research shows that these environments can expose individuals to discrimination, harassment, and isolation from both staff and other detainees (Stonewall, 2023). The lack of tailored safeguarding procedures or trauma-informed support means that administrative systems can inadvertently perpetuate harm. These experiences highlight how bureaucratic practices, even when not intentionally discriminatory, can reinforce inequality by </w:t>
      </w:r>
      <w:r w:rsidRPr="51F2DB54" w:rsidR="60BB73C0">
        <w:rPr>
          <w:rFonts w:ascii="Aptos" w:hAnsi="Aptos" w:eastAsia="Aptos" w:cs="Aptos"/>
          <w:b w:val="0"/>
          <w:bCs w:val="0"/>
          <w:noProof w:val="0"/>
          <w:sz w:val="24"/>
          <w:szCs w:val="24"/>
          <w:lang w:val="en-GB"/>
        </w:rPr>
        <w:t>failing to consider</w:t>
      </w:r>
      <w:r w:rsidRPr="51F2DB54" w:rsidR="60BB73C0">
        <w:rPr>
          <w:rFonts w:ascii="Aptos" w:hAnsi="Aptos" w:eastAsia="Aptos" w:cs="Aptos"/>
          <w:b w:val="0"/>
          <w:bCs w:val="0"/>
          <w:noProof w:val="0"/>
          <w:sz w:val="24"/>
          <w:szCs w:val="24"/>
          <w:lang w:val="en-GB"/>
        </w:rPr>
        <w:t xml:space="preserve"> the specific needs and vulnerabilities of LGBTQ+ people with intersecting identities.</w:t>
      </w:r>
    </w:p>
    <w:p w:rsidR="57C69085" w:rsidP="51F2DB54" w:rsidRDefault="57C69085" w14:paraId="75639928" w14:textId="68998AF2">
      <w:pPr>
        <w:spacing w:before="240" w:beforeAutospacing="off" w:after="240" w:afterAutospacing="off"/>
        <w:rPr>
          <w:rFonts w:ascii="Aptos" w:hAnsi="Aptos" w:eastAsia="Aptos" w:cs="Aptos"/>
          <w:b w:val="0"/>
          <w:bCs w:val="0"/>
          <w:noProof w:val="0"/>
          <w:sz w:val="24"/>
          <w:szCs w:val="24"/>
          <w:lang w:val="en-GB"/>
        </w:rPr>
      </w:pPr>
      <w:r w:rsidRPr="51F2DB54" w:rsidR="60BB73C0">
        <w:rPr>
          <w:rFonts w:ascii="Aptos" w:hAnsi="Aptos" w:eastAsia="Aptos" w:cs="Aptos"/>
          <w:b w:val="0"/>
          <w:bCs w:val="0"/>
          <w:noProof w:val="0"/>
          <w:sz w:val="24"/>
          <w:szCs w:val="24"/>
          <w:lang w:val="en-GB"/>
        </w:rPr>
        <w:t xml:space="preserve">Overall, global experiences reveal that LGBTQ+ inequality is embedded within legal systems, political structures, and cultural norms. Many countries have made significant legislative strides, yet these advances often </w:t>
      </w:r>
      <w:r w:rsidRPr="51F2DB54" w:rsidR="60BB73C0">
        <w:rPr>
          <w:rFonts w:ascii="Aptos" w:hAnsi="Aptos" w:eastAsia="Aptos" w:cs="Aptos"/>
          <w:b w:val="0"/>
          <w:bCs w:val="0"/>
          <w:noProof w:val="0"/>
          <w:sz w:val="24"/>
          <w:szCs w:val="24"/>
          <w:lang w:val="en-GB"/>
        </w:rPr>
        <w:t>fail to</w:t>
      </w:r>
      <w:r w:rsidRPr="51F2DB54" w:rsidR="60BB73C0">
        <w:rPr>
          <w:rFonts w:ascii="Aptos" w:hAnsi="Aptos" w:eastAsia="Aptos" w:cs="Aptos"/>
          <w:b w:val="0"/>
          <w:bCs w:val="0"/>
          <w:noProof w:val="0"/>
          <w:sz w:val="24"/>
          <w:szCs w:val="24"/>
          <w:lang w:val="en-GB"/>
        </w:rPr>
        <w:t xml:space="preserve"> ensure equal treatment in everyday life. Institutional limitations, culturally rooted prejudice, and inconsistent enforcement contribute to continued marginalisation. To address these persistent inequalities, efforts must extend beyond the creation of legal rights. Societies must invest in transforming social attitudes, strengthening accountability, and ensuring that public institutions</w:t>
      </w:r>
      <w:r w:rsidRPr="51F2DB54" w:rsidR="7D64902F">
        <w:rPr>
          <w:rFonts w:ascii="Aptos" w:hAnsi="Aptos" w:eastAsia="Aptos" w:cs="Aptos"/>
          <w:b w:val="0"/>
          <w:bCs w:val="0"/>
          <w:noProof w:val="0"/>
          <w:sz w:val="24"/>
          <w:szCs w:val="24"/>
          <w:lang w:val="en-GB"/>
        </w:rPr>
        <w:t xml:space="preserve"> </w:t>
      </w:r>
      <w:r w:rsidRPr="51F2DB54" w:rsidR="60BB73C0">
        <w:rPr>
          <w:rFonts w:ascii="Aptos" w:hAnsi="Aptos" w:eastAsia="Aptos" w:cs="Aptos"/>
          <w:b w:val="0"/>
          <w:bCs w:val="0"/>
          <w:noProof w:val="0"/>
          <w:sz w:val="24"/>
          <w:szCs w:val="24"/>
          <w:lang w:val="en-GB"/>
        </w:rPr>
        <w:t>from immigration systems to policing and local governance</w:t>
      </w:r>
      <w:r w:rsidRPr="51F2DB54" w:rsidR="4FDC4E4D">
        <w:rPr>
          <w:rFonts w:ascii="Aptos" w:hAnsi="Aptos" w:eastAsia="Aptos" w:cs="Aptos"/>
          <w:b w:val="0"/>
          <w:bCs w:val="0"/>
          <w:noProof w:val="0"/>
          <w:sz w:val="24"/>
          <w:szCs w:val="24"/>
          <w:lang w:val="en-GB"/>
        </w:rPr>
        <w:t xml:space="preserve"> </w:t>
      </w:r>
      <w:r w:rsidRPr="51F2DB54" w:rsidR="60BB73C0">
        <w:rPr>
          <w:rFonts w:ascii="Aptos" w:hAnsi="Aptos" w:eastAsia="Aptos" w:cs="Aptos"/>
          <w:b w:val="0"/>
          <w:bCs w:val="0"/>
          <w:noProof w:val="0"/>
          <w:sz w:val="24"/>
          <w:szCs w:val="24"/>
          <w:lang w:val="en-GB"/>
        </w:rPr>
        <w:t>uphold equality consistently and effectively. Without such structural and cultural change, formal protections alone cannot guarantee safety, dignity, or equal opportunity for LGBTQ+ communities around the world.</w:t>
      </w:r>
      <w:r w:rsidRPr="51F2DB54" w:rsidR="5098A679">
        <w:rPr>
          <w:rFonts w:ascii="Aptos" w:hAnsi="Aptos" w:eastAsia="Aptos" w:cs="Aptos"/>
          <w:b w:val="0"/>
          <w:bCs w:val="0"/>
          <w:noProof w:val="0"/>
          <w:sz w:val="24"/>
          <w:szCs w:val="24"/>
          <w:lang w:val="en-GB"/>
        </w:rPr>
        <w:t xml:space="preserve"> </w:t>
      </w:r>
    </w:p>
    <w:p w:rsidR="57C69085" w:rsidP="51F2DB54" w:rsidRDefault="57C69085" w14:paraId="6C1ADC81" w14:textId="1D9D925E">
      <w:pPr>
        <w:spacing w:before="240" w:beforeAutospacing="off" w:after="240" w:afterAutospacing="off"/>
        <w:rPr>
          <w:rFonts w:ascii="Aptos" w:hAnsi="Aptos" w:eastAsia="Aptos" w:cs="Aptos"/>
          <w:b w:val="0"/>
          <w:bCs w:val="0"/>
          <w:noProof w:val="0"/>
          <w:sz w:val="24"/>
          <w:szCs w:val="24"/>
          <w:lang w:val="en-GB"/>
        </w:rPr>
      </w:pPr>
      <w:r w:rsidRPr="51F2DB54" w:rsidR="5098A679">
        <w:rPr>
          <w:rFonts w:ascii="Aptos" w:hAnsi="Aptos" w:eastAsia="Aptos" w:cs="Aptos"/>
          <w:b w:val="0"/>
          <w:bCs w:val="0"/>
          <w:noProof w:val="0"/>
          <w:sz w:val="24"/>
          <w:szCs w:val="24"/>
          <w:lang w:val="en-GB"/>
        </w:rPr>
        <w:t xml:space="preserve">Overall, the global evidence makes clear that LGBTQ+ inequality persists through a combination of discriminatory social norms and inconsistent implementation of legal protections. Studies show that LGBTQ+ people continue to experience disproportionately poor wellbeing outcomes because of exclusionary environments, institutional bias, and the absence of meaningful representation, even in contexts where rights </w:t>
      </w:r>
      <w:r w:rsidRPr="51F2DB54" w:rsidR="5098A679">
        <w:rPr>
          <w:rFonts w:ascii="Aptos" w:hAnsi="Aptos" w:eastAsia="Aptos" w:cs="Aptos"/>
          <w:b w:val="0"/>
          <w:bCs w:val="0"/>
          <w:noProof w:val="0"/>
          <w:sz w:val="24"/>
          <w:szCs w:val="24"/>
          <w:lang w:val="en-GB"/>
        </w:rPr>
        <w:t>appear to be formally</w:t>
      </w:r>
      <w:r w:rsidRPr="51F2DB54" w:rsidR="5098A679">
        <w:rPr>
          <w:rFonts w:ascii="Aptos" w:hAnsi="Aptos" w:eastAsia="Aptos" w:cs="Aptos"/>
          <w:b w:val="0"/>
          <w:bCs w:val="0"/>
          <w:noProof w:val="0"/>
          <w:sz w:val="24"/>
          <w:szCs w:val="24"/>
          <w:lang w:val="en-GB"/>
        </w:rPr>
        <w:t xml:space="preserve"> protected (Marquez et al., 2023; NASEM, 2021). Situations in Poland and Brazil </w:t>
      </w:r>
      <w:r w:rsidRPr="51F2DB54" w:rsidR="5098A679">
        <w:rPr>
          <w:rFonts w:ascii="Aptos" w:hAnsi="Aptos" w:eastAsia="Aptos" w:cs="Aptos"/>
          <w:b w:val="0"/>
          <w:bCs w:val="0"/>
          <w:noProof w:val="0"/>
          <w:sz w:val="24"/>
          <w:szCs w:val="24"/>
          <w:lang w:val="en-GB"/>
        </w:rPr>
        <w:t>demonstrate</w:t>
      </w:r>
      <w:r w:rsidRPr="51F2DB54" w:rsidR="5098A679">
        <w:rPr>
          <w:rFonts w:ascii="Aptos" w:hAnsi="Aptos" w:eastAsia="Aptos" w:cs="Aptos"/>
          <w:b w:val="0"/>
          <w:bCs w:val="0"/>
          <w:noProof w:val="0"/>
          <w:sz w:val="24"/>
          <w:szCs w:val="24"/>
          <w:lang w:val="en-GB"/>
        </w:rPr>
        <w:t xml:space="preserve"> how political narratives and weak enforcement can effectively negate national legislation, allowing hostility and violence to continue despite nominal protections (Amnesty International, 2021; Transgender Europe, 2023). Furthermore, intersectional groups—such as LGBTQ+ migrants, ethnic minorities, and those facing economic hardship—are often placed at even greater risk, particularly within asylum and administrative systems that rely on intrusive processes and lack </w:t>
      </w:r>
      <w:r w:rsidRPr="51F2DB54" w:rsidR="5098A679">
        <w:rPr>
          <w:rFonts w:ascii="Aptos" w:hAnsi="Aptos" w:eastAsia="Aptos" w:cs="Aptos"/>
          <w:b w:val="0"/>
          <w:bCs w:val="0"/>
          <w:noProof w:val="0"/>
          <w:sz w:val="24"/>
          <w:szCs w:val="24"/>
          <w:lang w:val="en-GB"/>
        </w:rPr>
        <w:t>appropriate safeguards</w:t>
      </w:r>
      <w:r w:rsidRPr="51F2DB54" w:rsidR="5098A679">
        <w:rPr>
          <w:rFonts w:ascii="Aptos" w:hAnsi="Aptos" w:eastAsia="Aptos" w:cs="Aptos"/>
          <w:b w:val="0"/>
          <w:bCs w:val="0"/>
          <w:noProof w:val="0"/>
          <w:sz w:val="24"/>
          <w:szCs w:val="24"/>
          <w:lang w:val="en-GB"/>
        </w:rPr>
        <w:t xml:space="preserve"> (UK Home Office, 2020; Stonewall, 2023).</w:t>
      </w:r>
    </w:p>
    <w:p w:rsidR="57C69085" w:rsidP="51F2DB54" w:rsidRDefault="57C69085" w14:paraId="41F8B508" w14:textId="51B6FBAB">
      <w:pPr>
        <w:spacing w:before="240" w:beforeAutospacing="off" w:after="240" w:afterAutospacing="off"/>
        <w:rPr>
          <w:rFonts w:ascii="Aptos" w:hAnsi="Aptos" w:eastAsia="Aptos" w:cs="Aptos"/>
          <w:b w:val="0"/>
          <w:bCs w:val="0"/>
          <w:noProof w:val="0"/>
          <w:sz w:val="24"/>
          <w:szCs w:val="24"/>
          <w:lang w:val="en-GB"/>
        </w:rPr>
      </w:pPr>
      <w:r w:rsidRPr="1D98EB58" w:rsidR="449AB595">
        <w:rPr>
          <w:rFonts w:ascii="Aptos" w:hAnsi="Aptos" w:eastAsia="Aptos" w:cs="Aptos"/>
          <w:b w:val="0"/>
          <w:bCs w:val="0"/>
          <w:noProof w:val="0"/>
          <w:sz w:val="24"/>
          <w:szCs w:val="24"/>
          <w:lang w:val="en-GB"/>
        </w:rPr>
        <w:t>Addressing these persistent inequalities requires a comprehensive approach. Legal reforms must be accompanied by robust monitoring, culturally sensitive institutional practices, and education aimed at shifting societal attitudes. Without tackling the structural and cultural factors that reinforce bias, legal rights alone cannot ensure equality. Achieving genuine inclusion therefore depends on changing both the systems and the social climates in which LGBTQ+ people live.</w:t>
      </w:r>
    </w:p>
    <w:p w:rsidR="1D98EB58" w:rsidP="1D98EB58" w:rsidRDefault="1D98EB58" w14:paraId="69A523E3" w14:textId="0A714515">
      <w:pPr>
        <w:spacing w:before="240" w:beforeAutospacing="off" w:after="240" w:afterAutospacing="off"/>
        <w:rPr>
          <w:rFonts w:ascii="Aptos" w:hAnsi="Aptos" w:eastAsia="Aptos" w:cs="Aptos"/>
          <w:b w:val="0"/>
          <w:bCs w:val="0"/>
          <w:noProof w:val="0"/>
          <w:sz w:val="24"/>
          <w:szCs w:val="24"/>
          <w:lang w:val="en-GB"/>
        </w:rPr>
      </w:pPr>
    </w:p>
    <w:p w:rsidR="1D98EB58" w:rsidP="1D98EB58" w:rsidRDefault="1D98EB58" w14:paraId="322A26FE" w14:textId="0115492B">
      <w:pPr>
        <w:spacing w:before="240" w:beforeAutospacing="off" w:after="240" w:afterAutospacing="off"/>
        <w:rPr>
          <w:rFonts w:ascii="Aptos" w:hAnsi="Aptos" w:eastAsia="Aptos" w:cs="Aptos"/>
          <w:b w:val="0"/>
          <w:bCs w:val="0"/>
          <w:noProof w:val="0"/>
          <w:sz w:val="24"/>
          <w:szCs w:val="24"/>
          <w:lang w:val="en-GB"/>
        </w:rPr>
      </w:pPr>
    </w:p>
    <w:p w:rsidR="1D98EB58" w:rsidP="1D98EB58" w:rsidRDefault="1D98EB58" w14:paraId="38E409E8" w14:textId="6BFF4527">
      <w:pPr>
        <w:spacing w:before="240" w:beforeAutospacing="off" w:after="240" w:afterAutospacing="off"/>
        <w:rPr>
          <w:rFonts w:ascii="Aptos" w:hAnsi="Aptos" w:eastAsia="Aptos" w:cs="Aptos"/>
          <w:b w:val="0"/>
          <w:bCs w:val="0"/>
          <w:noProof w:val="0"/>
          <w:sz w:val="24"/>
          <w:szCs w:val="24"/>
          <w:lang w:val="en-GB"/>
        </w:rPr>
      </w:pPr>
    </w:p>
    <w:p w:rsidR="49A99C68" w:rsidP="1D98EB58" w:rsidRDefault="49A99C68" w14:paraId="186C781D" w14:textId="145BA9F8">
      <w:pPr>
        <w:rPr>
          <w:rFonts w:ascii="Aptos" w:hAnsi="Aptos" w:eastAsia="Aptos" w:cs="Aptos"/>
          <w:b w:val="1"/>
          <w:bCs w:val="1"/>
          <w:i w:val="0"/>
          <w:iCs w:val="0"/>
          <w:caps w:val="0"/>
          <w:smallCaps w:val="0"/>
          <w:noProof w:val="0"/>
          <w:color w:val="000000" w:themeColor="text1" w:themeTint="FF" w:themeShade="FF"/>
          <w:sz w:val="24"/>
          <w:szCs w:val="24"/>
          <w:lang w:val="en-GB"/>
        </w:rPr>
      </w:pPr>
      <w:r w:rsidRPr="1D98EB58" w:rsidR="49A99C68">
        <w:rPr>
          <w:rFonts w:ascii="Aptos" w:hAnsi="Aptos" w:eastAsia="Aptos" w:cs="Aptos"/>
          <w:b w:val="1"/>
          <w:bCs w:val="1"/>
          <w:i w:val="0"/>
          <w:iCs w:val="0"/>
          <w:caps w:val="0"/>
          <w:smallCaps w:val="0"/>
          <w:noProof w:val="0"/>
          <w:color w:val="000000" w:themeColor="text1" w:themeTint="FF" w:themeShade="FF"/>
          <w:sz w:val="24"/>
          <w:szCs w:val="24"/>
          <w:lang w:val="en-GB"/>
        </w:rPr>
        <w:t>References:</w:t>
      </w:r>
    </w:p>
    <w:p w:rsidR="49A99C68" w:rsidP="1D98EB58" w:rsidRDefault="49A99C68" w14:paraId="0EF0178C" w14:textId="49B9461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ACLU (2024)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Mapping Attacks on LGBTQ Rights in U.S. State Legislatures.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97e340414414a19">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https://www.aclu.org</w:t>
        </w:r>
      </w:hyperlink>
    </w:p>
    <w:p w:rsidR="49A99C68" w:rsidP="1D98EB58" w:rsidRDefault="49A99C68" w14:paraId="022478DF" w14:textId="4B2B67E8">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Amnesty International (2021)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Poland: “LGBT-free zones” are a dangerous symbol of repression.</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5539d4457ac454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https://www.amnesty.org</w:t>
        </w:r>
      </w:hyperlink>
    </w:p>
    <w:p w:rsidR="49A99C68" w:rsidP="1D98EB58" w:rsidRDefault="49A99C68" w14:paraId="1AE16B3F" w14:textId="7BFCC49A">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Amnesty International (2024)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Uganda: Anti-Homosexuality Act fuels violence and fear.</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d067fb760834e07">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https://www.amnesty.org</w:t>
        </w:r>
      </w:hyperlink>
    </w:p>
    <w:p w:rsidR="49A99C68" w:rsidP="1D98EB58" w:rsidRDefault="49A99C68" w14:paraId="2909E7BB" w14:textId="6F5AA84C">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Amnesty International (2021)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Poland: “LGBT-Free Zones” are a Dangerous Step Backwards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5844d62e51f5497c">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https://www.amnesty.org</w:t>
        </w:r>
      </w:hyperlink>
    </w:p>
    <w:p w:rsidR="49A99C68" w:rsidP="1D98EB58" w:rsidRDefault="49A99C68" w14:paraId="011CE2C2" w14:textId="2CD6526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Balsam, K.F., Molina, Y., Beadnell, B., Simoni, J. &amp; Walters, K. (2011) ‘Measuring multiple minority stress: The LGBT People of Color Microaggressions Scale’,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Cultural Diversity and Ethnic Minority Psychology</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17(2), pp. 163–174. doi:10.1037/a0023244.</w:t>
      </w:r>
    </w:p>
    <w:p w:rsidR="49A99C68" w:rsidP="1D98EB58" w:rsidRDefault="49A99C68" w14:paraId="5C7545A9" w14:textId="30337A9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Branstrom, R., Hughes, T.L. &amp; Pachankis, J.E. (2024) ‘Global LGBTQ Mental Health’, in Hwahng, S.J. &amp; Kaufman, M.R. (eds.) Global LGBTQ Health: Research, Policy, Practice and Pathways.</w:t>
      </w:r>
    </w:p>
    <w:p w:rsidR="49A99C68" w:rsidP="1D98EB58" w:rsidRDefault="49A99C68" w14:paraId="514CF815" w14:textId="1203A3C4">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9153fe74a37b466c">
        <w:r w:rsidRPr="1D98EB58" w:rsidR="49A99C68">
          <w:rPr>
            <w:rStyle w:val="Hyperlink"/>
            <w:rFonts w:ascii="Aptos" w:hAnsi="Aptos" w:eastAsia="Aptos" w:cs="Aptos"/>
            <w:b w:val="0"/>
            <w:bCs w:val="0"/>
            <w:i w:val="0"/>
            <w:iCs w:val="0"/>
            <w:caps w:val="0"/>
            <w:smallCaps w:val="0"/>
            <w:noProof w:val="0"/>
            <w:sz w:val="24"/>
            <w:szCs w:val="24"/>
            <w:lang w:val="en-GB"/>
          </w:rPr>
          <w:t>file:///C:/Users/nandy/Downloads/978-3-031-36204-0_3.pdf</w:t>
        </w:r>
      </w:hyperlink>
    </w:p>
    <w:p w:rsidR="49A99C68" w:rsidP="1D98EB58" w:rsidRDefault="49A99C68" w14:paraId="22E1A0BC" w14:textId="747FF3EF">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Bridges, D., Lewis, C., Wulff, E., Litchfield, C. &amp; Bamberry, L. (eds.) (2024)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Gender, feminist and queer studies: Power, privilege and inequality in a time of neoliberal conservatism</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London: Routledge.</w:t>
      </w:r>
    </w:p>
    <w:p w:rsidR="49A99C68" w:rsidP="1D98EB58" w:rsidRDefault="49A99C68" w14:paraId="726650F6" w14:textId="1E96207F">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38a8f295e1fc4a4a">
        <w:r w:rsidRPr="1D98EB58" w:rsidR="49A99C68">
          <w:rPr>
            <w:rStyle w:val="Hyperlink"/>
            <w:rFonts w:ascii="Aptos" w:hAnsi="Aptos" w:eastAsia="Aptos" w:cs="Aptos"/>
            <w:b w:val="0"/>
            <w:bCs w:val="0"/>
            <w:i w:val="0"/>
            <w:iCs w:val="0"/>
            <w:caps w:val="0"/>
            <w:smallCaps w:val="0"/>
            <w:noProof w:val="0"/>
            <w:sz w:val="24"/>
            <w:szCs w:val="24"/>
            <w:lang w:val="en-GB"/>
          </w:rPr>
          <w:t>https://www.routledge.com/Gender-Feminist-and-Queer-Studies-Power-Privilege-and-Inequality-in-/Bamberry-Bridges-Lewis-Litchfield-Wulff/p</w:t>
        </w:r>
      </w:hyperlink>
    </w:p>
    <w:p w:rsidR="49A99C68" w:rsidP="1D98EB58" w:rsidRDefault="49A99C68" w14:paraId="242DE3C8" w14:textId="5357B61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Bernstein, M., Frintner, M., Gao, S., Gibbons, T., Green, N., Hildreth, D., ... &amp; Singer, R. (2024). Community– Academic Partnerships: Addressing Health Inequities Through Community-Engaged Service Learning. Health Promotion Practice, 25(1), 5-7. </w:t>
      </w:r>
    </w:p>
    <w:p w:rsidR="49A99C68" w:rsidP="1D98EB58" w:rsidRDefault="49A99C68" w14:paraId="05DD5B6B" w14:textId="624DE40D">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3e324adcd56e4f7a">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https://doi.org/10.1177/15248399221102913</w:t>
        </w:r>
      </w:hyperlink>
    </w:p>
    <w:p w:rsidR="49A99C68" w:rsidP="1D98EB58" w:rsidRDefault="49A99C68" w14:paraId="2E8CC393" w14:textId="53835AF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Budhwani, H., Hearld, K.R. &amp; Hasbun, J. (2021) ‘Transgender women, sex work, and stigma: Evidence from the Dominican Republic’,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Journal of the International AIDS Society</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24(S2), e25619.</w:t>
      </w:r>
    </w:p>
    <w:p w:rsidR="49A99C68" w:rsidP="1D98EB58" w:rsidRDefault="49A99C68" w14:paraId="695F39B8" w14:textId="17364337">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9e45b71e8b174cfd">
        <w:r w:rsidRPr="1D98EB58" w:rsidR="49A99C68">
          <w:rPr>
            <w:rStyle w:val="Hyperlink"/>
            <w:rFonts w:ascii="Aptos" w:hAnsi="Aptos" w:eastAsia="Aptos" w:cs="Aptos"/>
            <w:b w:val="0"/>
            <w:bCs w:val="0"/>
            <w:i w:val="0"/>
            <w:iCs w:val="0"/>
            <w:caps w:val="0"/>
            <w:smallCaps w:val="0"/>
            <w:noProof w:val="0"/>
            <w:sz w:val="24"/>
            <w:szCs w:val="24"/>
            <w:lang w:val="en-GB"/>
          </w:rPr>
          <w:t>https://pmc.ncbi.nlm.nih.gov/articles/PMC8817706/</w:t>
        </w:r>
      </w:hyperlink>
    </w:p>
    <w:p w:rsidR="49A99C68" w:rsidP="1D98EB58" w:rsidRDefault="49A99C68" w14:paraId="1CFB113D" w14:textId="4569A3D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Coker, T.R., Austin, S.B. &amp; Schuster, M.A. (2010) ‘The health and health care of lesbian, gay, and bisexual adolescents’,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Annual Review of Public Health</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31, pp. 457–477. </w:t>
      </w:r>
    </w:p>
    <w:p w:rsidR="49A99C68" w:rsidP="1D98EB58" w:rsidRDefault="49A99C68" w14:paraId="0BF9CF48" w14:textId="12854B54">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3446edd212cb4d1a">
        <w:r w:rsidRPr="1D98EB58" w:rsidR="49A99C68">
          <w:rPr>
            <w:rStyle w:val="Hyperlink"/>
            <w:rFonts w:ascii="Aptos" w:hAnsi="Aptos" w:eastAsia="Aptos" w:cs="Aptos"/>
            <w:b w:val="0"/>
            <w:bCs w:val="0"/>
            <w:i w:val="0"/>
            <w:iCs w:val="0"/>
            <w:caps w:val="0"/>
            <w:smallCaps w:val="0"/>
            <w:noProof w:val="0"/>
            <w:sz w:val="24"/>
            <w:szCs w:val="24"/>
            <w:lang w:val="en-GB"/>
          </w:rPr>
          <w:t>https://www.annualreviews.org/doi/pdf/10.1146/annurev.publhealth.012809.103636</w:t>
        </w:r>
      </w:hyperlink>
    </w:p>
    <w:p w:rsidR="49A99C68" w:rsidP="1D98EB58" w:rsidRDefault="49A99C68" w14:paraId="3F09D405" w14:textId="7E64B752">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Government of Canada (2022)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2SLGBTQI+ Action Plan.</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c9fe28bd902a4f43">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https://www.canada.ca</w:t>
        </w:r>
      </w:hyperlink>
    </w:p>
    <w:p w:rsidR="49A99C68" w:rsidP="1D98EB58" w:rsidRDefault="49A99C68" w14:paraId="56716A74" w14:textId="451EE03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Hatzenbuehler, M. L. (2011). The social environment and suicide attempts in lesbian, gay, and bisexual youth. Pediatrics, 127(5), 896–903. </w:t>
      </w:r>
      <w:hyperlink r:id="R0bd6dc63fe2c4f8c">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https://doi.org/10.1542/peds.2010-3020</w:t>
        </w:r>
      </w:hyperlink>
    </w:p>
    <w:p w:rsidR="49A99C68" w:rsidP="1D98EB58" w:rsidRDefault="49A99C68" w14:paraId="157CF433" w14:textId="5DFFC59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Human Rights Watch (2016)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Nigeria: Same-Sex Marriage Ban’s Wide Impact.</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081e27b24ad45a5">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https://www.hrw.org</w:t>
        </w:r>
      </w:hyperlink>
    </w:p>
    <w:p w:rsidR="49A99C68" w:rsidP="1D98EB58" w:rsidRDefault="49A99C68" w14:paraId="035BCF91" w14:textId="19A79818">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Human Rights Watch (2022)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India: Transgender Law Fails to Protect Rights.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457e3d3cfd21474f">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https://www.hrw.org</w:t>
        </w:r>
      </w:hyperlink>
    </w:p>
    <w:p w:rsidR="49A99C68" w:rsidP="1D98EB58" w:rsidRDefault="49A99C68" w14:paraId="2F16CD9B" w14:textId="0345912C">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Human Rights Watch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Uganda: Anti-Homosexuality Act Signed Into Law.</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87a74d98806944ee">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https://www.hrw.org</w:t>
        </w:r>
      </w:hyperlink>
    </w:p>
    <w:p w:rsidR="49A99C68" w:rsidP="1D98EB58" w:rsidRDefault="49A99C68" w14:paraId="323831A1" w14:textId="3D6A16F1">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ILGA World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State-Sponsored Homophobia Report.</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77ef36e1d04a402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https://www.ilga.org</w:t>
        </w:r>
      </w:hyperlink>
    </w:p>
    <w:p w:rsidR="49A99C68" w:rsidP="1D98EB58" w:rsidRDefault="49A99C68" w14:paraId="10B02C82" w14:textId="5962667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Kahl, B., et al. (2025) ‘Social exclusion and psychopathology in LGBTQ+ communities: a neuropsychosocial review’,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Frontiers in Sociology</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10, 1638766. Available at: </w:t>
      </w:r>
      <w:hyperlink r:id="Rea871388a5044da5">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https://pmc.ncbi.nlm.nih.gov/articles/PMC12330642/</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w:t>
      </w:r>
    </w:p>
    <w:p w:rsidR="49A99C68" w:rsidP="1D98EB58" w:rsidRDefault="49A99C68" w14:paraId="3A0657E4" w14:textId="5B50FC9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Maltempi, H., Yu, Y. J. &amp; Bruna, S. (2024) ‘LGBTQ+ Stigma and Health Effects: A Systematic Review of the Global Literature’,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Global Journal of Health Science.</w:t>
      </w:r>
    </w:p>
    <w:p w:rsidR="49A99C68" w:rsidP="1D98EB58" w:rsidRDefault="49A99C68" w14:paraId="3022422D" w14:textId="30CEC9E1">
      <w:pPr>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3a0a504deb624386">
        <w:r w:rsidRPr="1D98EB58" w:rsidR="49A99C68">
          <w:rPr>
            <w:rStyle w:val="Hyperlink"/>
            <w:rFonts w:ascii="Aptos" w:hAnsi="Aptos" w:eastAsia="Aptos" w:cs="Aptos"/>
            <w:b w:val="0"/>
            <w:bCs w:val="0"/>
            <w:i w:val="0"/>
            <w:iCs w:val="0"/>
            <w:caps w:val="0"/>
            <w:smallCaps w:val="0"/>
            <w:noProof w:val="0"/>
            <w:sz w:val="24"/>
            <w:szCs w:val="24"/>
            <w:lang w:val="en-GB"/>
          </w:rPr>
          <w:t>file:///C:/Users/nandy/Downloads/66399ae58e050.pdf</w:t>
        </w:r>
      </w:hyperlink>
    </w:p>
    <w:p w:rsidR="49A99C68" w:rsidP="1D98EB58" w:rsidRDefault="49A99C68" w14:paraId="0D2EAD27" w14:textId="7722F21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Marshall, B. D., Socias, M. E., Kerr, T., Zalazar, V., Sued, O., &amp; Aristegui, I. (2016). Prevalence and correlates of lifetime suicide attempts among transgender persons in Argentina. Journal of Homosexuality, 63(7), 955–967. </w:t>
      </w:r>
      <w:hyperlink r:id="R2742c13382c442c2">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https://doi.org/10.1080/00918369.2015.1117898</w:t>
        </w:r>
      </w:hyperlink>
    </w:p>
    <w:p w:rsidR="49A99C68" w:rsidP="1D98EB58" w:rsidRDefault="49A99C68" w14:paraId="485DD24C" w14:textId="7F42A42D">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Marquez, J., et al. (2023) ‘Gender and sexual identity-based inequalities in adolescent wellbeing: findings from the #BeeWell Study’,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BMC Public Health</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23(2211). Available at: </w:t>
      </w:r>
      <w:hyperlink r:id="R035010a2c1984602">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https://bmcpublichealth.biomedcentral.com/articles/10.1186/s12889-023-16992-y</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w:t>
      </w:r>
    </w:p>
    <w:p w:rsidR="1D98EB58" w:rsidP="1D98EB58" w:rsidRDefault="1D98EB58" w14:paraId="50E1F718" w14:textId="426A0ECC">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9A99C68" w:rsidP="1D98EB58" w:rsidRDefault="49A99C68" w14:paraId="233FE555" w14:textId="2EB682C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Marquez, J. et al. (2023) ‘Wellbeing disparities among LGBTQ+ adolescents’,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Journal of Adolescent Health</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w:t>
      </w:r>
    </w:p>
    <w:p w:rsidR="49A99C68" w:rsidP="1D98EB58" w:rsidRDefault="49A99C68" w14:paraId="7D6B5A6C" w14:textId="39DA80F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Massad, J. A. (2002). Re-orienting desire: The gay international and the Arab world. In Desiring Arabs (pp. 160–190). University of Chicago Press.</w:t>
      </w:r>
    </w:p>
    <w:p w:rsidR="49A99C68" w:rsidP="1D98EB58" w:rsidRDefault="49A99C68" w14:paraId="33715910" w14:textId="5BC257DB">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Academies of Sciences, Engineering, and Medicine (2021)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Understanding the Well-Being of LGBTQI+ Populations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Washington, DC: The National Academies Press. Available at: </w:t>
      </w:r>
      <w:hyperlink r:id="Ra9c106a1cbe34ed1">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https://www.ncbi.nlm.nih.gov/books/NBK566083/</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w:t>
      </w:r>
    </w:p>
    <w:p w:rsidR="49A99C68" w:rsidP="1D98EB58" w:rsidRDefault="49A99C68" w14:paraId="21A10FB4" w14:textId="268C2E89">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NHS England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Gender Identity Services Waiting-Time Statistics.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e7f9a2cf1eb429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https://www.england.nhs.uk</w:t>
        </w:r>
      </w:hyperlink>
    </w:p>
    <w:p w:rsidR="49A99C68" w:rsidP="1D98EB58" w:rsidRDefault="49A99C68" w14:paraId="321B9C8D" w14:textId="490EB11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National Academies of Sciences, Engineering, and Medicine (2021)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Understanding the Wellbeing of LGBTQ Populations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b4a7da1a0614419">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https://www.nationalacademies.org</w:t>
        </w:r>
      </w:hyperlink>
    </w:p>
    <w:p w:rsidR="49A99C68" w:rsidP="1D98EB58" w:rsidRDefault="49A99C68" w14:paraId="7BB42E71" w14:textId="1BA198F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Pain, P. (Ed.). (2022).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LGBTQ Digital Cultures: A Global Perspective</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Routledge.</w:t>
      </w:r>
    </w:p>
    <w:p w:rsidR="49A99C68" w:rsidP="1D98EB58" w:rsidRDefault="49A99C68" w14:paraId="538D39A5" w14:textId="587BAD5F">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7e0f84e67da34b27">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https://www.taylorfrancis.com/books/edit/10.4324/9781003196457/lgbtq-digital-cultures-paromita-pain</w:t>
        </w:r>
      </w:hyperlink>
    </w:p>
    <w:p w:rsidR="49A99C68" w:rsidP="1D98EB58" w:rsidRDefault="49A99C68" w14:paraId="6870BC30" w14:textId="0BAAAD9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Pachankis, J. E. (2018). The scientific pursuit of sexual and gender minority mental health treatments: Toward evidence-based affirmative practice. American Psychologist, 73(9), 1207–1219.</w:t>
      </w:r>
    </w:p>
    <w:p w:rsidR="49A99C68" w:rsidP="1D98EB58" w:rsidRDefault="49A99C68" w14:paraId="4557BBDB" w14:textId="15F3CD75">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bab3700d3add453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https://doi.org/10.1037/amp0000357</w:t>
        </w:r>
      </w:hyperlink>
    </w:p>
    <w:p w:rsidR="49A99C68" w:rsidP="1D98EB58" w:rsidRDefault="49A99C68" w14:paraId="5A09C9C9" w14:textId="3ED2F005">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Pollitt, A. M., Muraco, J. A., Grossman, A. H., &amp; Russell, S. T. (2017). Disclosure Stress, Social Support, and Depressive Symptoms Among Cisgender Bisexual Youth. Journal of marriage and the family, 79(5), 1278- 1294. </w:t>
      </w:r>
      <w:hyperlink r:id="R7a127209b80d40a0">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https://doi.org/10.1111/jomf.12418</w:t>
        </w:r>
      </w:hyperlink>
    </w:p>
    <w:p w:rsidR="49A99C68" w:rsidP="1D98EB58" w:rsidRDefault="49A99C68" w14:paraId="5CA130CF" w14:textId="2FE4B3A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Rajabzadeh, V., Burn, E., Sajun, S. Z., Suzuki, M., Bird, V. J., &amp; Priebe, S. (2021). Understanding global mental health: A conceptual review. BMJ Global Health, 6(3), e004631. </w:t>
      </w:r>
    </w:p>
    <w:p w:rsidR="49A99C68" w:rsidP="1D98EB58" w:rsidRDefault="49A99C68" w14:paraId="50448C5B" w14:textId="250AB172">
      <w:pPr>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31969db94f884d95">
        <w:r w:rsidRPr="1D98EB58" w:rsidR="49A99C68">
          <w:rPr>
            <w:rStyle w:val="Hyperlink"/>
            <w:rFonts w:ascii="Aptos" w:hAnsi="Aptos" w:eastAsia="Aptos" w:cs="Aptos"/>
            <w:b w:val="0"/>
            <w:bCs w:val="0"/>
            <w:i w:val="0"/>
            <w:iCs w:val="0"/>
            <w:caps w:val="0"/>
            <w:smallCaps w:val="0"/>
            <w:noProof w:val="0"/>
            <w:sz w:val="24"/>
            <w:szCs w:val="24"/>
            <w:lang w:val="en-GB"/>
          </w:rPr>
          <w:t>https://doi</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org/10.1136/bmjgh-2020-004631</w:t>
      </w:r>
    </w:p>
    <w:p w:rsidR="1D98EB58" w:rsidP="1D98EB58" w:rsidRDefault="1D98EB58" w14:paraId="3F64A904" w14:textId="7AEFF5E8">
      <w:pPr>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9A99C68" w:rsidP="1D98EB58" w:rsidRDefault="49A99C68" w14:paraId="3E4DD173" w14:textId="6D903C83">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Stahlman, S., Grosso, A., Ketende, S., Pitche, V., Kouanda, S., Ceesay, N., et  al. (2016). Suicidal ideation among MSM in three West African countries: Associations with stigma R. Bränström et al. 77 and social capital. International</w:t>
      </w:r>
    </w:p>
    <w:p w:rsidR="49A99C68" w:rsidP="1D98EB58" w:rsidRDefault="49A99C68" w14:paraId="46517EB8" w14:textId="170DBB2D">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Journal of Social Psychiatry, 62(6), 522–531. </w:t>
      </w:r>
    </w:p>
    <w:p w:rsidR="49A99C68" w:rsidP="1D98EB58" w:rsidRDefault="49A99C68" w14:paraId="5E1E2F36" w14:textId="6E1EFDD9">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a2f914fb9e534fb1">
        <w:r w:rsidRPr="1D98EB58" w:rsidR="49A99C68">
          <w:rPr>
            <w:rStyle w:val="Hyperlink"/>
            <w:rFonts w:ascii="Aptos" w:hAnsi="Aptos" w:eastAsia="Aptos" w:cs="Aptos"/>
            <w:b w:val="0"/>
            <w:bCs w:val="0"/>
            <w:i w:val="0"/>
            <w:iCs w:val="0"/>
            <w:caps w:val="0"/>
            <w:smallCaps w:val="0"/>
            <w:noProof w:val="0"/>
            <w:sz w:val="24"/>
            <w:szCs w:val="24"/>
            <w:lang w:val="en-GB"/>
          </w:rPr>
          <w:t>https://doi</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Org/10.1177/0020764016663969</w:t>
      </w:r>
    </w:p>
    <w:p w:rsidR="49A99C68" w:rsidP="1D98EB58" w:rsidRDefault="49A99C68" w14:paraId="104C62F5" w14:textId="5361FC27">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Sullivan, G. (2001). Variations on a common theme? Gay and lesbian identity and community in Asia. Journal of Homosexuality, 40(3–4), 253–269. </w:t>
      </w:r>
      <w:hyperlink r:id="Rbe2c3cd658fa459c">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https://doi.org/10.1300/J082v40n03_13</w:t>
        </w:r>
      </w:hyperlink>
    </w:p>
    <w:p w:rsidR="49A99C68" w:rsidP="1D98EB58" w:rsidRDefault="49A99C68" w14:paraId="7DDA91CF" w14:textId="32387181">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Saewyc, E. M., Li, G., Gower, A. L., Watson, R. J., Erickson, D., Corliss, H. L., &amp; Eisenberg, M. E. (2020). The link between LGBTQ-supportive communities, progressive political climate, and suicidality among sexual minority adolescents in Canada. Preventive medicine, 139, 106191. </w:t>
      </w:r>
      <w:hyperlink r:id="Rdc8bdc6115a54883">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https://doi.org/10.1016/j.ypmed.2020.106191</w:t>
        </w:r>
      </w:hyperlink>
    </w:p>
    <w:p w:rsidR="49A99C68" w:rsidP="1D98EB58" w:rsidRDefault="49A99C68" w14:paraId="16822F7E" w14:textId="7CAB2C3F">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Sevelius, J.M., Patouhas, E., Keatley, J.G. &amp; Johnson, M.O. (2014) ‘Barriers and facilitators to engagement and retention in care among transgender women living with human immunodeficiency virus’,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Annals of Behavioral Medicine</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47(1), pp. 5–16.</w:t>
      </w:r>
    </w:p>
    <w:p w:rsidR="49A99C68" w:rsidP="1D98EB58" w:rsidRDefault="49A99C68" w14:paraId="04760185" w14:textId="2F9CAF14">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6196d11dad414c90">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https://pmc.ncbi.nlm.nih.gov/articles/PMC3925767/</w:t>
        </w:r>
      </w:hyperlink>
    </w:p>
    <w:p w:rsidR="1D98EB58" w:rsidP="1D98EB58" w:rsidRDefault="1D98EB58" w14:paraId="14C53BDF" w14:textId="5FF6F42D">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9A99C68" w:rsidP="1D98EB58" w:rsidRDefault="49A99C68" w14:paraId="3669D16F" w14:textId="5D4AFA07">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Stonewall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No Safe Refuge: Experiences of LGBTQ+ Asylum Seekers in Detention.</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9b5e10bba7a64a67">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https://www.stonewall.org.uk</w:t>
        </w:r>
      </w:hyperlink>
    </w:p>
    <w:p w:rsidR="49A99C68" w:rsidP="1D98EB58" w:rsidRDefault="49A99C68" w14:paraId="6957D3F4" w14:textId="7FB388B1">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Stonewall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LGBTQ+ People and the Asylum System</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66d67ba4d7f24ee9">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https://www.stonewall.org.uk</w:t>
        </w:r>
      </w:hyperlink>
    </w:p>
    <w:p w:rsidR="1D98EB58" w:rsidP="1D98EB58" w:rsidRDefault="1D98EB58" w14:paraId="29561FE7" w14:textId="7C6AD4F6">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9A99C68" w:rsidP="1D98EB58" w:rsidRDefault="49A99C68" w14:paraId="3E6E4821" w14:textId="58FC57CF">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The Tahrir Institute for Middle East Policy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The cycle of LGBTQ+ socioeconomic inequality in the MENA region.</w:t>
      </w:r>
    </w:p>
    <w:p w:rsidR="49A99C68" w:rsidP="1D98EB58" w:rsidRDefault="49A99C68" w14:paraId="64BF962C" w14:textId="5E08CC14">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c4d7999c60f445c2">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https://timep.org/2023/06/21/the-cycle-of-lgbtq-socioeconomic-inequality-in-the-mena-region/</w:t>
        </w:r>
      </w:hyperlink>
    </w:p>
    <w:p w:rsidR="49A99C68" w:rsidP="1D98EB58" w:rsidRDefault="49A99C68" w14:paraId="5556AAFA" w14:textId="1AC58C68">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Takács, J., et al. (2015) ‘Acceptance of sexual minorities, discrimination, social capital and health and well-being: a cross-European study’,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BMC Public Health</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15, 548. Available at: </w:t>
      </w:r>
      <w:hyperlink r:id="Rfa00e56e181d4ada">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https://bmcpublichealth.biomedcentral.com/articles/10.1186/s12889-015-2148-9</w:t>
        </w:r>
      </w:hyperlink>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w:t>
      </w:r>
    </w:p>
    <w:p w:rsidR="49A99C68" w:rsidP="1D98EB58" w:rsidRDefault="49A99C68" w14:paraId="63AB970C" w14:textId="010E1DEA">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Transgender Europe (TGEU)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Trans Murder Monitoring Report.</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8f2fa279b5e4db9">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https://www.tgeu.org</w:t>
        </w:r>
      </w:hyperlink>
    </w:p>
    <w:p w:rsidR="49A99C68" w:rsidP="1D98EB58" w:rsidRDefault="49A99C68" w14:paraId="59BCC6A2" w14:textId="7DA9A09D">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Transgender Europe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Trans Murder Monitoring Report</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bbbb8a7fa944230">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https://transrespect.org</w:t>
        </w:r>
      </w:hyperlink>
    </w:p>
    <w:p w:rsidR="49A99C68" w:rsidP="1D98EB58" w:rsidRDefault="49A99C68" w14:paraId="50B829B7" w14:textId="6CF73EE6">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UK Home Office (2020)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Asylum Policy: Sexual Orientation and Gender Identity.</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d0dfbfdad0934a6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https://www.gov.uk</w:t>
        </w:r>
      </w:hyperlink>
    </w:p>
    <w:p w:rsidR="49A99C68" w:rsidP="1D98EB58" w:rsidRDefault="49A99C68" w14:paraId="3ECB7A32" w14:textId="6CC8446A">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UK Home Office (2023)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Hate Crime, England and Wales.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43394704c954bb5">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https://www.gov.uk</w:t>
        </w:r>
      </w:hyperlink>
    </w:p>
    <w:p w:rsidR="49A99C68" w:rsidP="1D98EB58" w:rsidRDefault="49A99C68" w14:paraId="1AB4FD99" w14:textId="3569579C">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UNDP (2020)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Human Development Report: The Next Frontier.</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3e9404388c749e6">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https://www.undp.org</w:t>
        </w:r>
      </w:hyperlink>
    </w:p>
    <w:p w:rsidR="49A99C68" w:rsidP="1D98EB58" w:rsidRDefault="49A99C68" w14:paraId="6716C6EF" w14:textId="19371707">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UK Home Office (2020)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Asylum Policy Instruction: Sexual Orientation and Gender Identity Claims</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49bd101ddf54274">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https://www.gov.uk</w:t>
        </w:r>
      </w:hyperlink>
    </w:p>
    <w:p w:rsidR="49A99C68" w:rsidP="1D98EB58" w:rsidRDefault="49A99C68" w14:paraId="2D386288" w14:textId="1EFAA7B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United Nations Development Programme (UNDP) (2019)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Human Development Report 2019: Beyond income, beyond averages, beyond today – Inequalities in human development in the 21st century.</w:t>
      </w: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 New York: UNDP</w:t>
      </w:r>
    </w:p>
    <w:p w:rsidR="49A99C68" w:rsidP="1D98EB58" w:rsidRDefault="49A99C68" w14:paraId="6B7E638C" w14:textId="51FBAE72">
      <w:pPr>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d8f830db134048d9">
        <w:r w:rsidRPr="1D98EB58" w:rsidR="49A99C68">
          <w:rPr>
            <w:rStyle w:val="Hyperlink"/>
            <w:rFonts w:ascii="Aptos" w:hAnsi="Aptos" w:eastAsia="Aptos" w:cs="Aptos"/>
            <w:b w:val="0"/>
            <w:bCs w:val="0"/>
            <w:i w:val="0"/>
            <w:iCs w:val="0"/>
            <w:caps w:val="0"/>
            <w:smallCaps w:val="0"/>
            <w:strike w:val="0"/>
            <w:dstrike w:val="0"/>
            <w:noProof w:val="0"/>
            <w:sz w:val="24"/>
            <w:szCs w:val="24"/>
            <w:lang w:val="en-GB"/>
          </w:rPr>
          <w:t>https://hdr.undp.org/system/files/documents/hdr2019.pdf</w:t>
        </w:r>
      </w:hyperlink>
    </w:p>
    <w:p w:rsidR="49A99C68" w:rsidP="1D98EB58" w:rsidRDefault="49A99C68" w14:paraId="0B6B994C" w14:textId="7673071C">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GB"/>
        </w:rPr>
      </w:pPr>
      <w:r w:rsidRPr="1D98EB58" w:rsidR="49A99C68">
        <w:rPr>
          <w:rFonts w:ascii="Aptos" w:hAnsi="Aptos" w:eastAsia="Aptos" w:cs="Aptos"/>
          <w:b w:val="0"/>
          <w:bCs w:val="0"/>
          <w:i w:val="0"/>
          <w:iCs w:val="0"/>
          <w:caps w:val="0"/>
          <w:smallCaps w:val="0"/>
          <w:noProof w:val="0"/>
          <w:color w:val="000000" w:themeColor="text1" w:themeTint="FF" w:themeShade="FF"/>
          <w:sz w:val="24"/>
          <w:szCs w:val="24"/>
          <w:lang w:val="en-GB"/>
        </w:rPr>
        <w:t xml:space="preserve">UNU-WIDER (2015) </w:t>
      </w:r>
      <w:r w:rsidRPr="1D98EB58" w:rsidR="49A99C68">
        <w:rPr>
          <w:rFonts w:ascii="Aptos" w:hAnsi="Aptos" w:eastAsia="Aptos" w:cs="Aptos"/>
          <w:b w:val="0"/>
          <w:bCs w:val="0"/>
          <w:i w:val="1"/>
          <w:iCs w:val="1"/>
          <w:caps w:val="0"/>
          <w:smallCaps w:val="0"/>
          <w:noProof w:val="0"/>
          <w:color w:val="000000" w:themeColor="text1" w:themeTint="FF" w:themeShade="FF"/>
          <w:sz w:val="24"/>
          <w:szCs w:val="24"/>
          <w:lang w:val="en-GB"/>
        </w:rPr>
        <w:t>What is inequality?</w:t>
      </w:r>
    </w:p>
    <w:p w:rsidR="49A99C68" w:rsidP="1D98EB58" w:rsidRDefault="49A99C68" w14:paraId="38C9B6A1" w14:textId="0542E8F6">
      <w:pPr>
        <w:ind w:left="720"/>
        <w:rPr>
          <w:rFonts w:ascii="Aptos" w:hAnsi="Aptos" w:eastAsia="Aptos" w:cs="Aptos"/>
          <w:b w:val="0"/>
          <w:bCs w:val="0"/>
          <w:i w:val="0"/>
          <w:iCs w:val="0"/>
          <w:caps w:val="0"/>
          <w:smallCaps w:val="0"/>
          <w:noProof w:val="0"/>
          <w:color w:val="000000" w:themeColor="text1" w:themeTint="FF" w:themeShade="FF"/>
          <w:sz w:val="24"/>
          <w:szCs w:val="24"/>
          <w:lang w:val="en-GB"/>
        </w:rPr>
      </w:pPr>
      <w:hyperlink r:id="Rfaef8c40502442a4">
        <w:r w:rsidRPr="1D98EB58" w:rsidR="49A99C68">
          <w:rPr>
            <w:rStyle w:val="Hyperlink"/>
            <w:rFonts w:ascii="Aptos" w:hAnsi="Aptos" w:eastAsia="Aptos" w:cs="Aptos"/>
            <w:b w:val="0"/>
            <w:bCs w:val="0"/>
            <w:i w:val="1"/>
            <w:iCs w:val="1"/>
            <w:caps w:val="0"/>
            <w:smallCaps w:val="0"/>
            <w:strike w:val="0"/>
            <w:dstrike w:val="0"/>
            <w:noProof w:val="0"/>
            <w:sz w:val="24"/>
            <w:szCs w:val="24"/>
            <w:lang w:val="en-GB"/>
          </w:rPr>
          <w:t>https://www.wider.unu.edu/article/what-inequality</w:t>
        </w:r>
      </w:hyperlink>
    </w:p>
    <w:p w:rsidR="1D98EB58" w:rsidP="1D98EB58" w:rsidRDefault="1D98EB58" w14:paraId="0F2A8CCE" w14:textId="4D2A9B5A">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219130DE" w14:textId="13A37B6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18241561" w14:textId="4E1537D6">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40D74B08" w14:textId="35718B03">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6A1B0879" w14:textId="12144D16">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1AFD5ADB" w14:textId="6F77E843">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D98EB58" w:rsidP="1D98EB58" w:rsidRDefault="1D98EB58" w14:paraId="6111EF82" w14:textId="0FF79C22">
      <w:pPr>
        <w:pStyle w:val="Normal"/>
        <w:spacing w:before="240" w:beforeAutospacing="off" w:after="240" w:afterAutospacing="off"/>
        <w:rPr>
          <w:rFonts w:ascii="Aptos" w:hAnsi="Aptos" w:eastAsia="Aptos" w:cs="Aptos"/>
          <w:b w:val="0"/>
          <w:bCs w:val="0"/>
          <w:noProof w:val="0"/>
          <w:sz w:val="24"/>
          <w:szCs w:val="24"/>
          <w:lang w:val="en-GB"/>
        </w:rPr>
      </w:pPr>
    </w:p>
    <w:p w:rsidR="57C69085" w:rsidP="32A1C1CC" w:rsidRDefault="57C69085" w14:paraId="3CE83753" w14:textId="329C5A45">
      <w:pPr>
        <w:spacing w:before="240" w:beforeAutospacing="off" w:after="240" w:afterAutospacing="off"/>
        <w:rPr>
          <w:rFonts w:ascii="Aptos" w:hAnsi="Aptos" w:eastAsia="Aptos" w:cs="Aptos"/>
          <w:b w:val="0"/>
          <w:bCs w:val="0"/>
          <w:noProof w:val="0"/>
          <w:sz w:val="24"/>
          <w:szCs w:val="24"/>
          <w:lang w:val="en-GB"/>
        </w:rPr>
      </w:pPr>
    </w:p>
    <w:p w:rsidR="57C69085" w:rsidP="57C69085" w:rsidRDefault="57C69085" w14:paraId="57710C08" w14:textId="5E1A5CCB">
      <w:pPr>
        <w:spacing w:before="240" w:beforeAutospacing="off" w:after="240" w:afterAutospacing="off"/>
        <w:rPr>
          <w:rFonts w:ascii="Aptos" w:hAnsi="Aptos" w:eastAsia="Aptos" w:cs="Aptos"/>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24c577c7757f4db6"/>
      <w:footerReference w:type="default" r:id="R78040e0abf0d46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73A756" w:rsidTr="7473A756" w14:paraId="21C26EA4">
      <w:trPr>
        <w:trHeight w:val="300"/>
      </w:trPr>
      <w:tc>
        <w:tcPr>
          <w:tcW w:w="3005" w:type="dxa"/>
          <w:tcMar/>
        </w:tcPr>
        <w:p w:rsidR="7473A756" w:rsidP="7473A756" w:rsidRDefault="7473A756" w14:paraId="2C7F7C81" w14:textId="3B86D86D">
          <w:pPr>
            <w:pStyle w:val="Header"/>
            <w:bidi w:val="0"/>
            <w:ind w:left="-115"/>
            <w:jc w:val="left"/>
          </w:pPr>
        </w:p>
      </w:tc>
      <w:tc>
        <w:tcPr>
          <w:tcW w:w="3005" w:type="dxa"/>
          <w:tcMar/>
        </w:tcPr>
        <w:p w:rsidR="7473A756" w:rsidP="7473A756" w:rsidRDefault="7473A756" w14:paraId="6180EC7B" w14:textId="35F1A3A0">
          <w:pPr>
            <w:pStyle w:val="Header"/>
            <w:bidi w:val="0"/>
            <w:jc w:val="center"/>
          </w:pPr>
          <w:r>
            <w:fldChar w:fldCharType="begin"/>
          </w:r>
          <w:r>
            <w:instrText xml:space="preserve">PAGE</w:instrText>
          </w:r>
          <w:r>
            <w:fldChar w:fldCharType="separate"/>
          </w:r>
          <w:r>
            <w:fldChar w:fldCharType="end"/>
          </w:r>
        </w:p>
      </w:tc>
      <w:tc>
        <w:tcPr>
          <w:tcW w:w="3005" w:type="dxa"/>
          <w:tcMar/>
        </w:tcPr>
        <w:p w:rsidR="7473A756" w:rsidP="7473A756" w:rsidRDefault="7473A756" w14:paraId="61382C45" w14:textId="4E092401">
          <w:pPr>
            <w:pStyle w:val="Header"/>
            <w:bidi w:val="0"/>
            <w:ind w:right="-115"/>
            <w:jc w:val="right"/>
          </w:pPr>
        </w:p>
      </w:tc>
    </w:tr>
  </w:tbl>
  <w:p w:rsidR="7473A756" w:rsidP="7473A756" w:rsidRDefault="7473A756" w14:paraId="20BB438A" w14:textId="77F673F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473A756" w:rsidTr="7473A756" w14:paraId="53529230">
      <w:trPr>
        <w:trHeight w:val="300"/>
      </w:trPr>
      <w:tc>
        <w:tcPr>
          <w:tcW w:w="3005" w:type="dxa"/>
          <w:tcMar/>
        </w:tcPr>
        <w:p w:rsidR="7473A756" w:rsidP="7473A756" w:rsidRDefault="7473A756" w14:paraId="08484434" w14:textId="70AE0457">
          <w:pPr>
            <w:pStyle w:val="Header"/>
            <w:bidi w:val="0"/>
            <w:ind w:left="-115"/>
            <w:jc w:val="left"/>
          </w:pPr>
        </w:p>
      </w:tc>
      <w:tc>
        <w:tcPr>
          <w:tcW w:w="3005" w:type="dxa"/>
          <w:tcMar/>
        </w:tcPr>
        <w:p w:rsidR="7473A756" w:rsidP="7473A756" w:rsidRDefault="7473A756" w14:paraId="677E5417" w14:textId="7060D216">
          <w:pPr>
            <w:pStyle w:val="Header"/>
            <w:bidi w:val="0"/>
            <w:jc w:val="center"/>
          </w:pPr>
        </w:p>
      </w:tc>
      <w:tc>
        <w:tcPr>
          <w:tcW w:w="3005" w:type="dxa"/>
          <w:tcMar/>
        </w:tcPr>
        <w:p w:rsidR="7473A756" w:rsidP="7473A756" w:rsidRDefault="7473A756" w14:paraId="24AF7F88" w14:textId="73200F85">
          <w:pPr>
            <w:pStyle w:val="Header"/>
            <w:bidi w:val="0"/>
            <w:ind w:right="-115"/>
            <w:jc w:val="right"/>
          </w:pPr>
          <w:r w:rsidR="7473A756">
            <w:rPr/>
            <w:t>Usha Nandhini Krishna Raj</w:t>
          </w:r>
        </w:p>
        <w:p w:rsidR="7473A756" w:rsidP="7473A756" w:rsidRDefault="7473A756" w14:paraId="314BD040" w14:textId="782A9D5B">
          <w:pPr>
            <w:pStyle w:val="Header"/>
            <w:bidi w:val="0"/>
            <w:ind w:right="-115"/>
            <w:jc w:val="right"/>
          </w:pPr>
          <w:r w:rsidR="7473A756">
            <w:rPr/>
            <w:t>Student no: 2022598</w:t>
          </w:r>
        </w:p>
        <w:p w:rsidR="7473A756" w:rsidP="7473A756" w:rsidRDefault="7473A756" w14:paraId="228B17E7" w14:textId="770CB565">
          <w:pPr>
            <w:pStyle w:val="Header"/>
            <w:bidi w:val="0"/>
            <w:ind w:right="-115"/>
            <w:jc w:val="right"/>
          </w:pPr>
          <w:r w:rsidR="7473A756">
            <w:rPr/>
            <w:t>Assignment 1</w:t>
          </w:r>
          <w:r w:rsidR="7473A756">
            <w:rPr/>
            <w:t xml:space="preserve"> – ECED7009</w:t>
          </w:r>
        </w:p>
        <w:p w:rsidR="7473A756" w:rsidP="7473A756" w:rsidRDefault="7473A756" w14:paraId="65FF2D62" w14:textId="4AEC9E78">
          <w:pPr>
            <w:pStyle w:val="Header"/>
            <w:bidi w:val="0"/>
            <w:ind w:right="-115"/>
            <w:jc w:val="right"/>
          </w:pPr>
          <w:r w:rsidR="7473A756">
            <w:rPr/>
            <w:t>Date: 06/01/2026</w:t>
          </w:r>
        </w:p>
        <w:p w:rsidR="7473A756" w:rsidP="7473A756" w:rsidRDefault="7473A756" w14:paraId="759CE5F2" w14:textId="3EA0EE80">
          <w:pPr>
            <w:pStyle w:val="Header"/>
            <w:bidi w:val="0"/>
            <w:ind w:right="-115"/>
            <w:jc w:val="right"/>
          </w:pPr>
        </w:p>
      </w:tc>
    </w:tr>
  </w:tbl>
  <w:p w:rsidR="7473A756" w:rsidP="7473A756" w:rsidRDefault="7473A756" w14:paraId="63E373DB" w14:textId="3E134C2D">
    <w:pPr>
      <w:pStyle w:val="Header"/>
      <w:bidi w:val="0"/>
    </w:pPr>
  </w:p>
</w:hdr>
</file>

<file path=word/numbering.xml><?xml version="1.0" encoding="utf-8"?>
<w:numbering xmlns:w="http://schemas.openxmlformats.org/wordprocessingml/2006/main">
  <w:abstractNum xmlns:w="http://schemas.openxmlformats.org/wordprocessingml/2006/main" w:abstractNumId="1">
    <w:nsid w:val="5f658a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D64DF9"/>
    <w:rsid w:val="028011C0"/>
    <w:rsid w:val="02D92A2F"/>
    <w:rsid w:val="0384A573"/>
    <w:rsid w:val="03A7E527"/>
    <w:rsid w:val="047CB46B"/>
    <w:rsid w:val="04980860"/>
    <w:rsid w:val="05224FC3"/>
    <w:rsid w:val="05ABBCE3"/>
    <w:rsid w:val="05B7D0A7"/>
    <w:rsid w:val="067F2CA9"/>
    <w:rsid w:val="07D7B63D"/>
    <w:rsid w:val="0807CB2D"/>
    <w:rsid w:val="0888AE46"/>
    <w:rsid w:val="0950262F"/>
    <w:rsid w:val="09575A95"/>
    <w:rsid w:val="09D52598"/>
    <w:rsid w:val="0D2C6096"/>
    <w:rsid w:val="0DF1AF6D"/>
    <w:rsid w:val="0E8A731F"/>
    <w:rsid w:val="0F21EB78"/>
    <w:rsid w:val="0F9232D7"/>
    <w:rsid w:val="0FE9D827"/>
    <w:rsid w:val="11354B94"/>
    <w:rsid w:val="1177A172"/>
    <w:rsid w:val="11C2DEC9"/>
    <w:rsid w:val="13AD0FB4"/>
    <w:rsid w:val="14662100"/>
    <w:rsid w:val="14B30513"/>
    <w:rsid w:val="16ED079F"/>
    <w:rsid w:val="17EE93A7"/>
    <w:rsid w:val="187F071B"/>
    <w:rsid w:val="195EEAB1"/>
    <w:rsid w:val="1A48FCAF"/>
    <w:rsid w:val="1A5AA5F4"/>
    <w:rsid w:val="1B085690"/>
    <w:rsid w:val="1D98EB58"/>
    <w:rsid w:val="1DAE2B44"/>
    <w:rsid w:val="1DFF7313"/>
    <w:rsid w:val="1FEAAFB4"/>
    <w:rsid w:val="212A2DC2"/>
    <w:rsid w:val="214DB3E0"/>
    <w:rsid w:val="217AA3C6"/>
    <w:rsid w:val="21F71343"/>
    <w:rsid w:val="2281890A"/>
    <w:rsid w:val="23A674D7"/>
    <w:rsid w:val="23DD2FDD"/>
    <w:rsid w:val="2431BC64"/>
    <w:rsid w:val="2471A3B9"/>
    <w:rsid w:val="251732CE"/>
    <w:rsid w:val="255CD272"/>
    <w:rsid w:val="25FFF3D5"/>
    <w:rsid w:val="26444FAC"/>
    <w:rsid w:val="26D8DA2B"/>
    <w:rsid w:val="271ABD3E"/>
    <w:rsid w:val="27BCAF8F"/>
    <w:rsid w:val="281C98B9"/>
    <w:rsid w:val="2907E3A0"/>
    <w:rsid w:val="2A311E97"/>
    <w:rsid w:val="2A9957F7"/>
    <w:rsid w:val="2BAE40FB"/>
    <w:rsid w:val="2C97B897"/>
    <w:rsid w:val="2CB70C3F"/>
    <w:rsid w:val="2CF23D33"/>
    <w:rsid w:val="2D2D6063"/>
    <w:rsid w:val="2D56F873"/>
    <w:rsid w:val="2E0D1220"/>
    <w:rsid w:val="2E94DBB5"/>
    <w:rsid w:val="2EC25282"/>
    <w:rsid w:val="2F2B6177"/>
    <w:rsid w:val="3189D66F"/>
    <w:rsid w:val="31C35FFF"/>
    <w:rsid w:val="31E25DF9"/>
    <w:rsid w:val="32068407"/>
    <w:rsid w:val="32810474"/>
    <w:rsid w:val="32A1C1CC"/>
    <w:rsid w:val="3307DFEA"/>
    <w:rsid w:val="336CDE0E"/>
    <w:rsid w:val="3472CFF7"/>
    <w:rsid w:val="34CBC7FB"/>
    <w:rsid w:val="36E880FC"/>
    <w:rsid w:val="37149847"/>
    <w:rsid w:val="37442F7F"/>
    <w:rsid w:val="3822DBD0"/>
    <w:rsid w:val="38AAEA17"/>
    <w:rsid w:val="3BBDE476"/>
    <w:rsid w:val="3D157700"/>
    <w:rsid w:val="3DB0B4C4"/>
    <w:rsid w:val="3DF23EB8"/>
    <w:rsid w:val="3FDA24F8"/>
    <w:rsid w:val="40B8CC1C"/>
    <w:rsid w:val="4249733D"/>
    <w:rsid w:val="4350A725"/>
    <w:rsid w:val="449AB595"/>
    <w:rsid w:val="44B68FB0"/>
    <w:rsid w:val="44ECB9C5"/>
    <w:rsid w:val="44F4FB69"/>
    <w:rsid w:val="45989233"/>
    <w:rsid w:val="46923643"/>
    <w:rsid w:val="46C0822F"/>
    <w:rsid w:val="46D64DF9"/>
    <w:rsid w:val="47B814D9"/>
    <w:rsid w:val="47DA728A"/>
    <w:rsid w:val="47DAF1CE"/>
    <w:rsid w:val="48BE7B3C"/>
    <w:rsid w:val="49A99C68"/>
    <w:rsid w:val="4AAFC73F"/>
    <w:rsid w:val="4B3A96CC"/>
    <w:rsid w:val="4BDB86D0"/>
    <w:rsid w:val="4C052EA9"/>
    <w:rsid w:val="4C730F87"/>
    <w:rsid w:val="4D4E53FB"/>
    <w:rsid w:val="4DBBAC2C"/>
    <w:rsid w:val="4FDC4E4D"/>
    <w:rsid w:val="5098A679"/>
    <w:rsid w:val="50A06A44"/>
    <w:rsid w:val="51F2DB54"/>
    <w:rsid w:val="521961D0"/>
    <w:rsid w:val="53A227D3"/>
    <w:rsid w:val="54FFF3BF"/>
    <w:rsid w:val="5517E370"/>
    <w:rsid w:val="56216A64"/>
    <w:rsid w:val="56678D85"/>
    <w:rsid w:val="57C69085"/>
    <w:rsid w:val="58A42528"/>
    <w:rsid w:val="590E925D"/>
    <w:rsid w:val="5B14564A"/>
    <w:rsid w:val="5B5A012D"/>
    <w:rsid w:val="5BCBB0B9"/>
    <w:rsid w:val="5C25B345"/>
    <w:rsid w:val="5C29B083"/>
    <w:rsid w:val="5C9582E2"/>
    <w:rsid w:val="5D9998BF"/>
    <w:rsid w:val="60BB73C0"/>
    <w:rsid w:val="613BA5C6"/>
    <w:rsid w:val="61DBAE36"/>
    <w:rsid w:val="61F7811E"/>
    <w:rsid w:val="62E3A328"/>
    <w:rsid w:val="6322D41F"/>
    <w:rsid w:val="63EBBC81"/>
    <w:rsid w:val="648CBD58"/>
    <w:rsid w:val="648DFAB1"/>
    <w:rsid w:val="659E0D3F"/>
    <w:rsid w:val="663D1DC5"/>
    <w:rsid w:val="66C2DFDE"/>
    <w:rsid w:val="68E51BBE"/>
    <w:rsid w:val="693AAC2B"/>
    <w:rsid w:val="6959B6F1"/>
    <w:rsid w:val="6A0F5177"/>
    <w:rsid w:val="6B07A893"/>
    <w:rsid w:val="6B542629"/>
    <w:rsid w:val="6B8A4F8B"/>
    <w:rsid w:val="6B9E625E"/>
    <w:rsid w:val="6BDEB789"/>
    <w:rsid w:val="6C429E7D"/>
    <w:rsid w:val="6C5A1C01"/>
    <w:rsid w:val="6CB24966"/>
    <w:rsid w:val="6CF782AD"/>
    <w:rsid w:val="6D107974"/>
    <w:rsid w:val="6D76C934"/>
    <w:rsid w:val="6DF3BD2B"/>
    <w:rsid w:val="6EB15069"/>
    <w:rsid w:val="6EB4131B"/>
    <w:rsid w:val="6F0C50B2"/>
    <w:rsid w:val="70C5855B"/>
    <w:rsid w:val="7174C131"/>
    <w:rsid w:val="72168F0B"/>
    <w:rsid w:val="72C18088"/>
    <w:rsid w:val="732A8945"/>
    <w:rsid w:val="73D048E3"/>
    <w:rsid w:val="7473A756"/>
    <w:rsid w:val="750F79C4"/>
    <w:rsid w:val="7568A4A4"/>
    <w:rsid w:val="7569B8CB"/>
    <w:rsid w:val="75A3178E"/>
    <w:rsid w:val="75DDF61C"/>
    <w:rsid w:val="7766DD23"/>
    <w:rsid w:val="796C1BE7"/>
    <w:rsid w:val="799A95DE"/>
    <w:rsid w:val="799F0465"/>
    <w:rsid w:val="79A6894F"/>
    <w:rsid w:val="7A99E4C0"/>
    <w:rsid w:val="7A9C95AF"/>
    <w:rsid w:val="7B8511D5"/>
    <w:rsid w:val="7D64902F"/>
    <w:rsid w:val="7D81D7B4"/>
    <w:rsid w:val="7EDA8B2E"/>
    <w:rsid w:val="7F31F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4CB86"/>
  <w15:chartTrackingRefBased/>
  <w15:docId w15:val="{BC5352A2-C146-4C4F-99B5-46418C2D66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5">
    <w:uiPriority w:val="9"/>
    <w:name w:val="heading 5"/>
    <w:basedOn w:val="Normal"/>
    <w:next w:val="Normal"/>
    <w:unhideWhenUsed/>
    <w:qFormat/>
    <w:rsid w:val="57C69085"/>
    <w:rPr>
      <w:rFonts w:eastAsia="" w:cs="" w:eastAsiaTheme="majorEastAsia" w:cstheme="majorBidi"/>
      <w:color w:val="0F4761" w:themeColor="accent1" w:themeTint="FF" w:themeShade="BF"/>
    </w:rPr>
    <w:pPr>
      <w:keepNext w:val="1"/>
      <w:keepLines w:val="1"/>
      <w:spacing w:before="80" w:after="40"/>
      <w:outlineLvl w:val="4"/>
    </w:pPr>
  </w:style>
  <w:style w:type="paragraph" w:styleId="ListParagraph">
    <w:uiPriority w:val="34"/>
    <w:name w:val="List Paragraph"/>
    <w:basedOn w:val="Normal"/>
    <w:qFormat/>
    <w:rsid w:val="1D98EB58"/>
    <w:pPr>
      <w:spacing/>
      <w:ind w:left="720"/>
      <w:contextualSpacing/>
    </w:pPr>
  </w:style>
  <w:style w:type="character" w:styleId="Hyperlink">
    <w:uiPriority w:val="99"/>
    <w:name w:val="Hyperlink"/>
    <w:basedOn w:val="DefaultParagraphFont"/>
    <w:unhideWhenUsed/>
    <w:rsid w:val="1D98EB58"/>
    <w:rPr>
      <w:color w:val="467886"/>
      <w:u w:val="single"/>
    </w:rPr>
  </w:style>
  <w:style w:type="paragraph" w:styleId="Header">
    <w:uiPriority w:val="99"/>
    <w:name w:val="header"/>
    <w:basedOn w:val="Normal"/>
    <w:unhideWhenUsed/>
    <w:rsid w:val="7473A756"/>
    <w:pPr>
      <w:tabs>
        <w:tab w:val="center" w:leader="none" w:pos="4680"/>
        <w:tab w:val="right" w:leader="none" w:pos="9360"/>
      </w:tabs>
      <w:spacing w:after="0" w:line="240" w:lineRule="auto"/>
    </w:pPr>
  </w:style>
  <w:style w:type="paragraph" w:styleId="Footer">
    <w:uiPriority w:val="99"/>
    <w:name w:val="footer"/>
    <w:basedOn w:val="Normal"/>
    <w:unhideWhenUsed/>
    <w:rsid w:val="7473A75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lu.org/" TargetMode="External" Id="R797e340414414a19" /><Relationship Type="http://schemas.openxmlformats.org/officeDocument/2006/relationships/hyperlink" Target="https://www.amnesty.org/" TargetMode="External" Id="Rd5539d4457ac4544" /><Relationship Type="http://schemas.openxmlformats.org/officeDocument/2006/relationships/hyperlink" Target="https://www.amnesty.org/" TargetMode="External" Id="Rbd067fb760834e07" /><Relationship Type="http://schemas.openxmlformats.org/officeDocument/2006/relationships/hyperlink" Target="https://www.amnesty.org/" TargetMode="External" Id="R5844d62e51f5497c" /><Relationship Type="http://schemas.openxmlformats.org/officeDocument/2006/relationships/hyperlink" Target="file:///C:/Users/nandy/Downloads/978-3-031-36204-0_3.pdf" TargetMode="External" Id="R9153fe74a37b466c" /><Relationship Type="http://schemas.openxmlformats.org/officeDocument/2006/relationships/hyperlink" Target="https://www.routledge.com/Gender-Feminist-and-Queer-Studies-Power-Privilege-and-Inequality-in-/Bamberry-Bridges-Lewis-Litchfield-Wulff/p" TargetMode="External" Id="R38a8f295e1fc4a4a" /><Relationship Type="http://schemas.openxmlformats.org/officeDocument/2006/relationships/hyperlink" Target="https://doi.org/10.1177/15248399221102913" TargetMode="External" Id="R3e324adcd56e4f7a" /><Relationship Type="http://schemas.openxmlformats.org/officeDocument/2006/relationships/hyperlink" Target="https://pmc.ncbi.nlm.nih.gov/articles/PMC8817706/" TargetMode="External" Id="R9e45b71e8b174cfd" /><Relationship Type="http://schemas.openxmlformats.org/officeDocument/2006/relationships/hyperlink" Target="https://www.annualreviews.org/doi/pdf/10.1146/annurev.publhealth.012809.103636" TargetMode="External" Id="R3446edd212cb4d1a" /><Relationship Type="http://schemas.openxmlformats.org/officeDocument/2006/relationships/hyperlink" Target="https://www.canada.ca/" TargetMode="External" Id="Rc9fe28bd902a4f43" /><Relationship Type="http://schemas.openxmlformats.org/officeDocument/2006/relationships/hyperlink" Target="https://doi.org/10.1542/peds.2010-3020" TargetMode="External" Id="R0bd6dc63fe2c4f8c" /><Relationship Type="http://schemas.openxmlformats.org/officeDocument/2006/relationships/hyperlink" Target="https://www.hrw.org/" TargetMode="External" Id="R4081e27b24ad45a5" /><Relationship Type="http://schemas.openxmlformats.org/officeDocument/2006/relationships/hyperlink" Target="https://www.hrw.org/" TargetMode="External" Id="R457e3d3cfd21474f" /><Relationship Type="http://schemas.openxmlformats.org/officeDocument/2006/relationships/hyperlink" Target="https://www.hrw.org/" TargetMode="External" Id="R87a74d98806944ee" /><Relationship Type="http://schemas.openxmlformats.org/officeDocument/2006/relationships/hyperlink" Target="https://www.ilga.org/" TargetMode="External" Id="R77ef36e1d04a4024" /><Relationship Type="http://schemas.openxmlformats.org/officeDocument/2006/relationships/hyperlink" Target="https://pmc.ncbi.nlm.nih.gov/articles/PMC12330642/?utm_source=chatgpt.com" TargetMode="External" Id="Rea871388a5044da5" /><Relationship Type="http://schemas.openxmlformats.org/officeDocument/2006/relationships/hyperlink" Target="file:///C:/Users/nandy/Downloads/66399ae58e050.pdf" TargetMode="External" Id="R3a0a504deb624386" /><Relationship Type="http://schemas.openxmlformats.org/officeDocument/2006/relationships/hyperlink" Target="https://doi.org/10.1080/00918369.2015.1117898" TargetMode="External" Id="R2742c13382c442c2" /><Relationship Type="http://schemas.openxmlformats.org/officeDocument/2006/relationships/hyperlink" Target="https://bmcpublichealth.biomedcentral.com/articles/10.1186/s12889-023-16992-y?utm_source=chatgpt.com" TargetMode="External" Id="R035010a2c1984602" /><Relationship Type="http://schemas.openxmlformats.org/officeDocument/2006/relationships/hyperlink" Target="https://www.ncbi.nlm.nih.gov/books/NBK566083/" TargetMode="External" Id="Ra9c106a1cbe34ed1" /><Relationship Type="http://schemas.openxmlformats.org/officeDocument/2006/relationships/hyperlink" Target="https://www.england.nhs.uk/" TargetMode="External" Id="R2e7f9a2cf1eb4294" /><Relationship Type="http://schemas.openxmlformats.org/officeDocument/2006/relationships/hyperlink" Target="https://www.nationalacademies.org/" TargetMode="External" Id="R1b4a7da1a0614419" /><Relationship Type="http://schemas.openxmlformats.org/officeDocument/2006/relationships/hyperlink" Target="https://www.taylorfrancis.com/books/edit/10.4324/9781003196457/lgbtq-digital-cultures-paromita-pain" TargetMode="External" Id="R7e0f84e67da34b27" /><Relationship Type="http://schemas.openxmlformats.org/officeDocument/2006/relationships/hyperlink" Target="https://doi.org/10.1037/amp0000357" TargetMode="External" Id="Rbab3700d3add4534" /><Relationship Type="http://schemas.openxmlformats.org/officeDocument/2006/relationships/hyperlink" Target="https://doi.org/10.1111/jomf.12418" TargetMode="External" Id="R7a127209b80d40a0" /><Relationship Type="http://schemas.openxmlformats.org/officeDocument/2006/relationships/hyperlink" Target="https://doi" TargetMode="External" Id="R31969db94f884d95" /><Relationship Type="http://schemas.openxmlformats.org/officeDocument/2006/relationships/hyperlink" Target="https://doi" TargetMode="External" Id="Ra2f914fb9e534fb1" /><Relationship Type="http://schemas.openxmlformats.org/officeDocument/2006/relationships/hyperlink" Target="https://doi.org/10.1300/J082v40n03_13" TargetMode="External" Id="Rbe2c3cd658fa459c" /><Relationship Type="http://schemas.openxmlformats.org/officeDocument/2006/relationships/hyperlink" Target="https://doi.org/10.1016/j.ypmed.2020.106191" TargetMode="External" Id="Rdc8bdc6115a54883" /><Relationship Type="http://schemas.openxmlformats.org/officeDocument/2006/relationships/hyperlink" Target="https://pmc.ncbi.nlm.nih.gov/articles/PMC3925767/" TargetMode="External" Id="R6196d11dad414c90" /><Relationship Type="http://schemas.openxmlformats.org/officeDocument/2006/relationships/hyperlink" Target="https://www.stonewall.org.uk/" TargetMode="External" Id="R9b5e10bba7a64a67" /><Relationship Type="http://schemas.openxmlformats.org/officeDocument/2006/relationships/hyperlink" Target="https://www.stonewall.org.uk/" TargetMode="External" Id="R66d67ba4d7f24ee9" /><Relationship Type="http://schemas.openxmlformats.org/officeDocument/2006/relationships/hyperlink" Target="https://timep.org/2023/06/21/the-cycle-of-lgbtq-socioeconomic-inequality-in-the-mena-region/" TargetMode="External" Id="Rc4d7999c60f445c2" /><Relationship Type="http://schemas.openxmlformats.org/officeDocument/2006/relationships/hyperlink" Target="https://bmcpublichealth.biomedcentral.com/articles/10.1186/s12889-015-2148-9" TargetMode="External" Id="Rfa00e56e181d4ada" /><Relationship Type="http://schemas.openxmlformats.org/officeDocument/2006/relationships/hyperlink" Target="https://www.tgeu.org/" TargetMode="External" Id="Re8f2fa279b5e4db9" /><Relationship Type="http://schemas.openxmlformats.org/officeDocument/2006/relationships/hyperlink" Target="https://transrespect.org/" TargetMode="External" Id="Rebbbb8a7fa944230" /><Relationship Type="http://schemas.openxmlformats.org/officeDocument/2006/relationships/hyperlink" Target="https://www.gov.uk/" TargetMode="External" Id="Rd0dfbfdad0934a64" /><Relationship Type="http://schemas.openxmlformats.org/officeDocument/2006/relationships/hyperlink" Target="https://www.gov.uk/" TargetMode="External" Id="R243394704c954bb5" /><Relationship Type="http://schemas.openxmlformats.org/officeDocument/2006/relationships/hyperlink" Target="https://www.undp.org/" TargetMode="External" Id="R13e9404388c749e6" /><Relationship Type="http://schemas.openxmlformats.org/officeDocument/2006/relationships/hyperlink" Target="https://www.gov.uk/" TargetMode="External" Id="Re49bd101ddf54274" /><Relationship Type="http://schemas.openxmlformats.org/officeDocument/2006/relationships/hyperlink" Target="https://hdr.undp.org/system/files/documents/hdr2019.pdf" TargetMode="External" Id="Rd8f830db134048d9" /><Relationship Type="http://schemas.openxmlformats.org/officeDocument/2006/relationships/hyperlink" Target="https://www.wider.unu.edu/article/what-inequality" TargetMode="External" Id="Rfaef8c40502442a4" /><Relationship Type="http://schemas.openxmlformats.org/officeDocument/2006/relationships/numbering" Target="/word/numbering.xml" Id="R1fd0f7da9de242e1" /><Relationship Type="http://schemas.openxmlformats.org/officeDocument/2006/relationships/header" Target="/word/header.xml" Id="R24c577c7757f4db6" /><Relationship Type="http://schemas.openxmlformats.org/officeDocument/2006/relationships/footer" Target="/word/footer.xml" Id="R78040e0abf0d46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Usha Krishna Raj (2022598)</dc:creator>
  <keywords/>
  <dc:description/>
  <lastModifiedBy>Usha Krishna Raj (2022598)</lastModifiedBy>
  <revision>10</revision>
  <dcterms:created xsi:type="dcterms:W3CDTF">2025-10-22T13:19:01.7546583Z</dcterms:created>
  <dcterms:modified xsi:type="dcterms:W3CDTF">2025-12-19T14:33:09.2257212Z</dcterms:modified>
</coreProperties>
</file>