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65D824" w14:textId="77777777" w:rsidR="0095247A" w:rsidRDefault="0095247A">
      <w:pPr>
        <w:spacing w:after="60"/>
      </w:pPr>
    </w:p>
    <w:p w14:paraId="0821B4E6" w14:textId="77777777" w:rsidR="0095247A" w:rsidRDefault="0095247A">
      <w:pPr>
        <w:spacing w:after="60"/>
      </w:pPr>
    </w:p>
    <w:p w14:paraId="10258A8A" w14:textId="77777777" w:rsidR="0095247A" w:rsidRDefault="0095247A">
      <w:pPr>
        <w:spacing w:after="60"/>
      </w:pPr>
    </w:p>
    <w:p w14:paraId="0B407F57" w14:textId="77777777" w:rsidR="0095247A" w:rsidRDefault="008D427E">
      <w:pPr>
        <w:spacing w:after="120"/>
        <w:jc w:val="center"/>
      </w:pPr>
      <w:r>
        <w:rPr>
          <w:b/>
          <w:bCs/>
          <w:sz w:val="28"/>
          <w:szCs w:val="28"/>
        </w:rPr>
        <w:t>University of Wales Trinity Saint David</w:t>
      </w:r>
    </w:p>
    <w:p w14:paraId="4461F0B7" w14:textId="77777777" w:rsidR="0095247A" w:rsidRDefault="008D427E">
      <w:pPr>
        <w:spacing w:after="280"/>
        <w:jc w:val="center"/>
      </w:pPr>
      <w:r>
        <w:rPr>
          <w:sz w:val="24"/>
          <w:szCs w:val="24"/>
        </w:rPr>
        <w:t>BSc (Hons) Health and Social Care</w:t>
      </w:r>
    </w:p>
    <w:p w14:paraId="7C5C7A96" w14:textId="77777777" w:rsidR="0095247A" w:rsidRDefault="008D427E">
      <w:pPr>
        <w:spacing w:after="140"/>
        <w:jc w:val="center"/>
      </w:pPr>
      <w:r>
        <w:rPr>
          <w:b/>
          <w:bCs/>
          <w:sz w:val="25"/>
          <w:szCs w:val="25"/>
        </w:rPr>
        <w:t>BMHP5014: Changemakers: Creativity and Value Creation</w:t>
      </w:r>
    </w:p>
    <w:p w14:paraId="02D7D218" w14:textId="77777777" w:rsidR="0095247A" w:rsidRDefault="008D427E">
      <w:pPr>
        <w:spacing w:after="140"/>
        <w:jc w:val="center"/>
      </w:pPr>
      <w:r>
        <w:rPr>
          <w:i/>
          <w:iCs/>
          <w:sz w:val="23"/>
          <w:szCs w:val="23"/>
        </w:rPr>
        <w:t>Component 2: Poster and Pitch</w:t>
      </w:r>
    </w:p>
    <w:p w14:paraId="2CA3911A" w14:textId="77777777" w:rsidR="0095247A" w:rsidRDefault="008D427E">
      <w:pPr>
        <w:spacing w:after="440"/>
        <w:jc w:val="center"/>
      </w:pPr>
      <w:r>
        <w:rPr>
          <w:b/>
          <w:bCs/>
        </w:rPr>
        <w:t>StrokeGuard: An AI-Powered Stroke Detection Wearable for Ethnic Minority Older Adults</w:t>
      </w:r>
    </w:p>
    <w:p w14:paraId="1A0256A3" w14:textId="77777777" w:rsidR="0095247A" w:rsidRDefault="0095247A">
      <w:pPr>
        <w:spacing w:after="60"/>
      </w:pPr>
    </w:p>
    <w:p w14:paraId="66C25A91" w14:textId="77777777" w:rsidR="0095247A" w:rsidRDefault="0095247A">
      <w:pPr>
        <w:spacing w:after="60"/>
      </w:pPr>
    </w:p>
    <w:p w14:paraId="49196516" w14:textId="6019BA79" w:rsidR="0095247A" w:rsidRDefault="008D427E" w:rsidP="00D61843">
      <w:pPr>
        <w:spacing w:after="100"/>
      </w:pPr>
      <w:r w:rsidRPr="57A73616">
        <w:rPr>
          <w:b/>
          <w:bCs/>
        </w:rPr>
        <w:t>Student Name:</w:t>
      </w:r>
      <w:r>
        <w:t xml:space="preserve"> </w:t>
      </w:r>
      <w:r w:rsidR="5E0EA778">
        <w:t>Evelyn Alexander</w:t>
      </w:r>
    </w:p>
    <w:p w14:paraId="6E47D2DC" w14:textId="0F165962" w:rsidR="0095247A" w:rsidRDefault="008D427E" w:rsidP="00D61843">
      <w:pPr>
        <w:spacing w:after="100"/>
      </w:pPr>
      <w:r w:rsidRPr="57A73616">
        <w:rPr>
          <w:b/>
          <w:bCs/>
        </w:rPr>
        <w:t>Student Number:</w:t>
      </w:r>
      <w:r>
        <w:t xml:space="preserve"> </w:t>
      </w:r>
      <w:r w:rsidR="31C163B8">
        <w:t>2417638</w:t>
      </w:r>
    </w:p>
    <w:p w14:paraId="547121E7" w14:textId="19AC249A" w:rsidR="0095247A" w:rsidRDefault="008D427E" w:rsidP="00D61843">
      <w:pPr>
        <w:spacing w:after="100"/>
      </w:pPr>
      <w:r w:rsidRPr="57A73616">
        <w:rPr>
          <w:b/>
          <w:bCs/>
        </w:rPr>
        <w:t>Lecturer's Name:</w:t>
      </w:r>
      <w:r>
        <w:t xml:space="preserve"> </w:t>
      </w:r>
      <w:r w:rsidR="1AC52604">
        <w:t>Laila Surani</w:t>
      </w:r>
    </w:p>
    <w:p w14:paraId="132E8EFC" w14:textId="77777777" w:rsidR="0095247A" w:rsidRDefault="008D427E" w:rsidP="00D61843">
      <w:pPr>
        <w:spacing w:after="100"/>
      </w:pPr>
      <w:r>
        <w:rPr>
          <w:b/>
          <w:bCs/>
        </w:rPr>
        <w:t>Module Code:</w:t>
      </w:r>
      <w:r>
        <w:t xml:space="preserve">  BMHP5014</w:t>
      </w:r>
    </w:p>
    <w:p w14:paraId="5C8438ED" w14:textId="14DED3F0" w:rsidR="0095247A" w:rsidRDefault="0095247A" w:rsidP="57A73616">
      <w:pPr>
        <w:spacing w:after="100"/>
        <w:rPr>
          <w:b/>
          <w:bCs/>
        </w:rPr>
      </w:pPr>
    </w:p>
    <w:p w14:paraId="1BF6717C" w14:textId="77777777" w:rsidR="00C27AFF" w:rsidRDefault="00C27AFF" w:rsidP="00D61843">
      <w:pPr>
        <w:spacing w:after="100"/>
      </w:pPr>
    </w:p>
    <w:p w14:paraId="53F94F39" w14:textId="77777777" w:rsidR="00C27AFF" w:rsidRDefault="00C27AFF" w:rsidP="00D61843">
      <w:pPr>
        <w:spacing w:after="100"/>
      </w:pPr>
    </w:p>
    <w:p w14:paraId="0FED8F39" w14:textId="77777777" w:rsidR="00C27AFF" w:rsidRDefault="00C27AFF" w:rsidP="00D61843">
      <w:pPr>
        <w:spacing w:after="100"/>
      </w:pPr>
    </w:p>
    <w:p w14:paraId="2CE6F775" w14:textId="77777777" w:rsidR="00C27AFF" w:rsidRDefault="00C27AFF" w:rsidP="00D61843">
      <w:pPr>
        <w:spacing w:after="100"/>
      </w:pPr>
    </w:p>
    <w:p w14:paraId="02CAB407" w14:textId="77777777" w:rsidR="00C27AFF" w:rsidRDefault="00C27AFF" w:rsidP="00D61843">
      <w:pPr>
        <w:spacing w:after="100"/>
      </w:pPr>
    </w:p>
    <w:p w14:paraId="1FAE4D70" w14:textId="77777777" w:rsidR="00C27AFF" w:rsidRDefault="00C27AFF" w:rsidP="00D61843">
      <w:pPr>
        <w:spacing w:after="100"/>
      </w:pPr>
    </w:p>
    <w:p w14:paraId="5A6295B5" w14:textId="77777777" w:rsidR="00C27AFF" w:rsidRDefault="00C27AFF" w:rsidP="00D61843">
      <w:pPr>
        <w:spacing w:after="100"/>
      </w:pPr>
    </w:p>
    <w:p w14:paraId="555FA45A" w14:textId="77777777" w:rsidR="00C27AFF" w:rsidRDefault="00C27AFF" w:rsidP="00D61843">
      <w:pPr>
        <w:spacing w:after="100"/>
      </w:pPr>
    </w:p>
    <w:p w14:paraId="5C7FDCFE" w14:textId="77777777" w:rsidR="00C27AFF" w:rsidRDefault="00C27AFF" w:rsidP="00D61843">
      <w:pPr>
        <w:spacing w:after="100"/>
      </w:pPr>
    </w:p>
    <w:p w14:paraId="36B415D8" w14:textId="77777777" w:rsidR="00C27AFF" w:rsidRDefault="00C27AFF" w:rsidP="00D61843">
      <w:pPr>
        <w:spacing w:after="100"/>
      </w:pPr>
    </w:p>
    <w:p w14:paraId="41348EF6" w14:textId="77777777" w:rsidR="00C27AFF" w:rsidRDefault="00C27AFF" w:rsidP="00D61843">
      <w:pPr>
        <w:spacing w:after="100"/>
      </w:pPr>
    </w:p>
    <w:p w14:paraId="4C179691" w14:textId="77777777" w:rsidR="00C27AFF" w:rsidRDefault="00C27AFF" w:rsidP="00D61843">
      <w:pPr>
        <w:spacing w:after="100"/>
      </w:pPr>
    </w:p>
    <w:p w14:paraId="2B979BDE" w14:textId="77777777" w:rsidR="00C27AFF" w:rsidRDefault="00C27AFF" w:rsidP="00D61843">
      <w:pPr>
        <w:spacing w:after="100"/>
      </w:pPr>
    </w:p>
    <w:p w14:paraId="1D2B8459" w14:textId="77777777" w:rsidR="00C27AFF" w:rsidRDefault="00C27AFF" w:rsidP="00D61843">
      <w:pPr>
        <w:spacing w:after="100"/>
      </w:pPr>
    </w:p>
    <w:p w14:paraId="554DB798" w14:textId="77777777" w:rsidR="00C27AFF" w:rsidRDefault="00C27AFF" w:rsidP="00D61843">
      <w:pPr>
        <w:spacing w:after="100"/>
      </w:pPr>
    </w:p>
    <w:p w14:paraId="24ACF59F" w14:textId="77777777" w:rsidR="00C27AFF" w:rsidRDefault="00C27AFF" w:rsidP="00D61843">
      <w:pPr>
        <w:spacing w:after="100"/>
      </w:pPr>
    </w:p>
    <w:p w14:paraId="2F6DABA8" w14:textId="77777777" w:rsidR="00C27AFF" w:rsidRDefault="00C27AFF" w:rsidP="00D61843">
      <w:pPr>
        <w:spacing w:after="100"/>
      </w:pPr>
    </w:p>
    <w:p w14:paraId="62431B77" w14:textId="77777777" w:rsidR="00C27AFF" w:rsidRDefault="00C27AFF" w:rsidP="00D61843">
      <w:pPr>
        <w:spacing w:after="100"/>
      </w:pPr>
    </w:p>
    <w:p w14:paraId="59E5492D" w14:textId="77777777" w:rsidR="00C27AFF" w:rsidRDefault="00C27AFF" w:rsidP="00D61843">
      <w:pPr>
        <w:spacing w:after="100"/>
      </w:pPr>
    </w:p>
    <w:p w14:paraId="2D6B4393" w14:textId="77777777" w:rsidR="00C27AFF" w:rsidRDefault="00C27AFF" w:rsidP="00D61843">
      <w:pPr>
        <w:spacing w:after="100"/>
      </w:pPr>
    </w:p>
    <w:p w14:paraId="7A40FAEB" w14:textId="77777777" w:rsidR="00C27AFF" w:rsidRDefault="00C27AFF" w:rsidP="00D61843">
      <w:pPr>
        <w:spacing w:after="100"/>
      </w:pPr>
    </w:p>
    <w:p w14:paraId="1CF47A58" w14:textId="77777777" w:rsidR="00C27AFF" w:rsidRDefault="00C27AFF" w:rsidP="00D61843">
      <w:pPr>
        <w:spacing w:after="100"/>
      </w:pPr>
    </w:p>
    <w:p w14:paraId="0E9E612A" w14:textId="77777777" w:rsidR="00C27AFF" w:rsidRDefault="00C27AFF" w:rsidP="00D61843">
      <w:pPr>
        <w:spacing w:after="100"/>
      </w:pPr>
    </w:p>
    <w:p w14:paraId="7A16B240" w14:textId="6B7DDB0A" w:rsidR="00C27AFF" w:rsidRDefault="00C27AFF" w:rsidP="00C27AFF">
      <w:pPr>
        <w:pStyle w:val="Heading1"/>
      </w:pPr>
      <w:bookmarkStart w:id="0" w:name="_Toc235767145"/>
      <w:r w:rsidRPr="00C27AFF">
        <w:t>Table of Contents</w:t>
      </w:r>
      <w:bookmarkEnd w:id="0"/>
    </w:p>
    <w:sdt>
      <w:sdtPr>
        <w:rPr>
          <w:rFonts w:ascii="Arial" w:eastAsia="Arial" w:hAnsi="Arial" w:cs="Arial"/>
          <w:color w:val="auto"/>
          <w:sz w:val="22"/>
          <w:szCs w:val="22"/>
        </w:rPr>
        <w:id w:val="1979104092"/>
        <w:docPartObj>
          <w:docPartGallery w:val="Table of Contents"/>
          <w:docPartUnique/>
        </w:docPartObj>
      </w:sdtPr>
      <w:sdtEndPr>
        <w:rPr>
          <w:b/>
          <w:bCs/>
          <w:noProof/>
        </w:rPr>
      </w:sdtEndPr>
      <w:sdtContent>
        <w:p w14:paraId="7D485EDC" w14:textId="1640F6C1" w:rsidR="00B916FB" w:rsidRDefault="00B916FB">
          <w:pPr>
            <w:pStyle w:val="TOCHeading"/>
          </w:pPr>
        </w:p>
        <w:p w14:paraId="6A758C22" w14:textId="2D9E1F83" w:rsidR="00B916FB" w:rsidRDefault="00B916FB">
          <w:pPr>
            <w:pStyle w:val="TOC1"/>
            <w:tabs>
              <w:tab w:val="right" w:leader="dot" w:pos="9496"/>
            </w:tabs>
            <w:rPr>
              <w:noProof/>
            </w:rPr>
          </w:pPr>
          <w:r>
            <w:fldChar w:fldCharType="begin"/>
          </w:r>
          <w:r>
            <w:instrText xml:space="preserve"> TOC \o "1-3" \h \z \u </w:instrText>
          </w:r>
          <w:r>
            <w:fldChar w:fldCharType="separate"/>
          </w:r>
          <w:hyperlink w:anchor="_Toc235767145" w:history="1">
            <w:r w:rsidRPr="002B5CA6">
              <w:rPr>
                <w:rStyle w:val="Hyperlink"/>
                <w:noProof/>
              </w:rPr>
              <w:t>Table of Contents</w:t>
            </w:r>
            <w:r>
              <w:rPr>
                <w:noProof/>
                <w:webHidden/>
              </w:rPr>
              <w:tab/>
            </w:r>
            <w:r>
              <w:rPr>
                <w:noProof/>
                <w:webHidden/>
              </w:rPr>
              <w:fldChar w:fldCharType="begin"/>
            </w:r>
            <w:r>
              <w:rPr>
                <w:noProof/>
                <w:webHidden/>
              </w:rPr>
              <w:instrText xml:space="preserve"> PAGEREF _Toc235767145 \h </w:instrText>
            </w:r>
            <w:r>
              <w:rPr>
                <w:noProof/>
                <w:webHidden/>
              </w:rPr>
            </w:r>
            <w:r>
              <w:rPr>
                <w:noProof/>
                <w:webHidden/>
              </w:rPr>
              <w:fldChar w:fldCharType="separate"/>
            </w:r>
            <w:r>
              <w:rPr>
                <w:noProof/>
                <w:webHidden/>
              </w:rPr>
              <w:t>ii</w:t>
            </w:r>
            <w:r>
              <w:rPr>
                <w:noProof/>
                <w:webHidden/>
              </w:rPr>
              <w:fldChar w:fldCharType="end"/>
            </w:r>
          </w:hyperlink>
        </w:p>
        <w:p w14:paraId="3A8DE651" w14:textId="77A58597" w:rsidR="00B916FB" w:rsidRDefault="00B916FB">
          <w:pPr>
            <w:pStyle w:val="TOC1"/>
            <w:tabs>
              <w:tab w:val="right" w:leader="dot" w:pos="9496"/>
            </w:tabs>
            <w:rPr>
              <w:noProof/>
            </w:rPr>
          </w:pPr>
          <w:hyperlink w:anchor="_Toc235767146" w:history="1">
            <w:r w:rsidRPr="002B5CA6">
              <w:rPr>
                <w:rStyle w:val="Hyperlink"/>
                <w:noProof/>
              </w:rPr>
              <w:t>List of Figure</w:t>
            </w:r>
            <w:r>
              <w:rPr>
                <w:noProof/>
                <w:webHidden/>
              </w:rPr>
              <w:tab/>
            </w:r>
            <w:r>
              <w:rPr>
                <w:noProof/>
                <w:webHidden/>
              </w:rPr>
              <w:fldChar w:fldCharType="begin"/>
            </w:r>
            <w:r>
              <w:rPr>
                <w:noProof/>
                <w:webHidden/>
              </w:rPr>
              <w:instrText xml:space="preserve"> PAGEREF _Toc235767146 \h </w:instrText>
            </w:r>
            <w:r>
              <w:rPr>
                <w:noProof/>
                <w:webHidden/>
              </w:rPr>
            </w:r>
            <w:r>
              <w:rPr>
                <w:noProof/>
                <w:webHidden/>
              </w:rPr>
              <w:fldChar w:fldCharType="separate"/>
            </w:r>
            <w:r>
              <w:rPr>
                <w:noProof/>
                <w:webHidden/>
              </w:rPr>
              <w:t>ii</w:t>
            </w:r>
            <w:r>
              <w:rPr>
                <w:noProof/>
                <w:webHidden/>
              </w:rPr>
              <w:fldChar w:fldCharType="end"/>
            </w:r>
          </w:hyperlink>
        </w:p>
        <w:p w14:paraId="70C995D4" w14:textId="1D89182B" w:rsidR="00B916FB" w:rsidRDefault="00B916FB">
          <w:pPr>
            <w:pStyle w:val="TOC1"/>
            <w:tabs>
              <w:tab w:val="right" w:leader="dot" w:pos="9496"/>
            </w:tabs>
            <w:rPr>
              <w:noProof/>
            </w:rPr>
          </w:pPr>
          <w:hyperlink w:anchor="_Toc235767147" w:history="1">
            <w:r w:rsidRPr="002B5CA6">
              <w:rPr>
                <w:rStyle w:val="Hyperlink"/>
                <w:noProof/>
              </w:rPr>
              <w:t>Part 1: Poster – StrokeGuard Wearable</w:t>
            </w:r>
            <w:r>
              <w:rPr>
                <w:noProof/>
                <w:webHidden/>
              </w:rPr>
              <w:tab/>
            </w:r>
            <w:r>
              <w:rPr>
                <w:noProof/>
                <w:webHidden/>
              </w:rPr>
              <w:fldChar w:fldCharType="begin"/>
            </w:r>
            <w:r>
              <w:rPr>
                <w:noProof/>
                <w:webHidden/>
              </w:rPr>
              <w:instrText xml:space="preserve"> PAGEREF _Toc235767147 \h </w:instrText>
            </w:r>
            <w:r>
              <w:rPr>
                <w:noProof/>
                <w:webHidden/>
              </w:rPr>
            </w:r>
            <w:r>
              <w:rPr>
                <w:noProof/>
                <w:webHidden/>
              </w:rPr>
              <w:fldChar w:fldCharType="separate"/>
            </w:r>
            <w:r>
              <w:rPr>
                <w:noProof/>
                <w:webHidden/>
              </w:rPr>
              <w:t>1</w:t>
            </w:r>
            <w:r>
              <w:rPr>
                <w:noProof/>
                <w:webHidden/>
              </w:rPr>
              <w:fldChar w:fldCharType="end"/>
            </w:r>
          </w:hyperlink>
        </w:p>
        <w:p w14:paraId="0085CF25" w14:textId="1934EA5E" w:rsidR="00B916FB" w:rsidRDefault="00B916FB">
          <w:pPr>
            <w:pStyle w:val="TOC1"/>
            <w:tabs>
              <w:tab w:val="right" w:leader="dot" w:pos="9496"/>
            </w:tabs>
            <w:rPr>
              <w:noProof/>
            </w:rPr>
          </w:pPr>
          <w:hyperlink w:anchor="_Toc235767148" w:history="1">
            <w:r w:rsidRPr="002B5CA6">
              <w:rPr>
                <w:rStyle w:val="Hyperlink"/>
                <w:noProof/>
              </w:rPr>
              <w:t>Part 2: Written Pitch – StrokeGuard Wearable</w:t>
            </w:r>
            <w:r>
              <w:rPr>
                <w:noProof/>
                <w:webHidden/>
              </w:rPr>
              <w:tab/>
            </w:r>
            <w:r>
              <w:rPr>
                <w:noProof/>
                <w:webHidden/>
              </w:rPr>
              <w:fldChar w:fldCharType="begin"/>
            </w:r>
            <w:r>
              <w:rPr>
                <w:noProof/>
                <w:webHidden/>
              </w:rPr>
              <w:instrText xml:space="preserve"> PAGEREF _Toc235767148 \h </w:instrText>
            </w:r>
            <w:r>
              <w:rPr>
                <w:noProof/>
                <w:webHidden/>
              </w:rPr>
            </w:r>
            <w:r>
              <w:rPr>
                <w:noProof/>
                <w:webHidden/>
              </w:rPr>
              <w:fldChar w:fldCharType="separate"/>
            </w:r>
            <w:r>
              <w:rPr>
                <w:noProof/>
                <w:webHidden/>
              </w:rPr>
              <w:t>2</w:t>
            </w:r>
            <w:r>
              <w:rPr>
                <w:noProof/>
                <w:webHidden/>
              </w:rPr>
              <w:fldChar w:fldCharType="end"/>
            </w:r>
          </w:hyperlink>
        </w:p>
        <w:p w14:paraId="28686BED" w14:textId="60315D37" w:rsidR="00B916FB" w:rsidRDefault="00B916FB">
          <w:pPr>
            <w:pStyle w:val="TOC2"/>
            <w:tabs>
              <w:tab w:val="right" w:leader="dot" w:pos="9496"/>
            </w:tabs>
            <w:rPr>
              <w:noProof/>
            </w:rPr>
          </w:pPr>
          <w:hyperlink w:anchor="_Toc235767149" w:history="1">
            <w:r w:rsidRPr="002B5CA6">
              <w:rPr>
                <w:rStyle w:val="Hyperlink"/>
                <w:noProof/>
              </w:rPr>
              <w:t>Introduction</w:t>
            </w:r>
            <w:r>
              <w:rPr>
                <w:noProof/>
                <w:webHidden/>
              </w:rPr>
              <w:tab/>
            </w:r>
            <w:r>
              <w:rPr>
                <w:noProof/>
                <w:webHidden/>
              </w:rPr>
              <w:fldChar w:fldCharType="begin"/>
            </w:r>
            <w:r>
              <w:rPr>
                <w:noProof/>
                <w:webHidden/>
              </w:rPr>
              <w:instrText xml:space="preserve"> PAGEREF _Toc235767149 \h </w:instrText>
            </w:r>
            <w:r>
              <w:rPr>
                <w:noProof/>
                <w:webHidden/>
              </w:rPr>
            </w:r>
            <w:r>
              <w:rPr>
                <w:noProof/>
                <w:webHidden/>
              </w:rPr>
              <w:fldChar w:fldCharType="separate"/>
            </w:r>
            <w:r>
              <w:rPr>
                <w:noProof/>
                <w:webHidden/>
              </w:rPr>
              <w:t>2</w:t>
            </w:r>
            <w:r>
              <w:rPr>
                <w:noProof/>
                <w:webHidden/>
              </w:rPr>
              <w:fldChar w:fldCharType="end"/>
            </w:r>
          </w:hyperlink>
        </w:p>
        <w:p w14:paraId="49012064" w14:textId="72BE1B03" w:rsidR="00B916FB" w:rsidRDefault="00B916FB">
          <w:pPr>
            <w:pStyle w:val="TOC2"/>
            <w:tabs>
              <w:tab w:val="right" w:leader="dot" w:pos="9496"/>
            </w:tabs>
            <w:rPr>
              <w:noProof/>
            </w:rPr>
          </w:pPr>
          <w:hyperlink w:anchor="_Toc235767150" w:history="1">
            <w:r w:rsidRPr="002B5CA6">
              <w:rPr>
                <w:rStyle w:val="Hyperlink"/>
                <w:noProof/>
              </w:rPr>
              <w:t>Background</w:t>
            </w:r>
            <w:r>
              <w:rPr>
                <w:noProof/>
                <w:webHidden/>
              </w:rPr>
              <w:tab/>
            </w:r>
            <w:r>
              <w:rPr>
                <w:noProof/>
                <w:webHidden/>
              </w:rPr>
              <w:fldChar w:fldCharType="begin"/>
            </w:r>
            <w:r>
              <w:rPr>
                <w:noProof/>
                <w:webHidden/>
              </w:rPr>
              <w:instrText xml:space="preserve"> PAGEREF _Toc235767150 \h </w:instrText>
            </w:r>
            <w:r>
              <w:rPr>
                <w:noProof/>
                <w:webHidden/>
              </w:rPr>
            </w:r>
            <w:r>
              <w:rPr>
                <w:noProof/>
                <w:webHidden/>
              </w:rPr>
              <w:fldChar w:fldCharType="separate"/>
            </w:r>
            <w:r>
              <w:rPr>
                <w:noProof/>
                <w:webHidden/>
              </w:rPr>
              <w:t>2</w:t>
            </w:r>
            <w:r>
              <w:rPr>
                <w:noProof/>
                <w:webHidden/>
              </w:rPr>
              <w:fldChar w:fldCharType="end"/>
            </w:r>
          </w:hyperlink>
        </w:p>
        <w:p w14:paraId="4B4471A2" w14:textId="0436694F" w:rsidR="00B916FB" w:rsidRDefault="00B916FB">
          <w:pPr>
            <w:pStyle w:val="TOC2"/>
            <w:tabs>
              <w:tab w:val="right" w:leader="dot" w:pos="9496"/>
            </w:tabs>
            <w:rPr>
              <w:noProof/>
            </w:rPr>
          </w:pPr>
          <w:hyperlink w:anchor="_Toc235767151" w:history="1">
            <w:r w:rsidRPr="002B5CA6">
              <w:rPr>
                <w:rStyle w:val="Hyperlink"/>
                <w:noProof/>
              </w:rPr>
              <w:t>Innovation Description</w:t>
            </w:r>
            <w:r>
              <w:rPr>
                <w:noProof/>
                <w:webHidden/>
              </w:rPr>
              <w:tab/>
            </w:r>
            <w:r>
              <w:rPr>
                <w:noProof/>
                <w:webHidden/>
              </w:rPr>
              <w:fldChar w:fldCharType="begin"/>
            </w:r>
            <w:r>
              <w:rPr>
                <w:noProof/>
                <w:webHidden/>
              </w:rPr>
              <w:instrText xml:space="preserve"> PAGEREF _Toc235767151 \h </w:instrText>
            </w:r>
            <w:r>
              <w:rPr>
                <w:noProof/>
                <w:webHidden/>
              </w:rPr>
            </w:r>
            <w:r>
              <w:rPr>
                <w:noProof/>
                <w:webHidden/>
              </w:rPr>
              <w:fldChar w:fldCharType="separate"/>
            </w:r>
            <w:r>
              <w:rPr>
                <w:noProof/>
                <w:webHidden/>
              </w:rPr>
              <w:t>2</w:t>
            </w:r>
            <w:r>
              <w:rPr>
                <w:noProof/>
                <w:webHidden/>
              </w:rPr>
              <w:fldChar w:fldCharType="end"/>
            </w:r>
          </w:hyperlink>
        </w:p>
        <w:p w14:paraId="1BC83928" w14:textId="6A804573" w:rsidR="00B916FB" w:rsidRDefault="00B916FB">
          <w:pPr>
            <w:pStyle w:val="TOC2"/>
            <w:tabs>
              <w:tab w:val="right" w:leader="dot" w:pos="9496"/>
            </w:tabs>
            <w:rPr>
              <w:noProof/>
            </w:rPr>
          </w:pPr>
          <w:hyperlink w:anchor="_Toc235767152" w:history="1">
            <w:r w:rsidRPr="002B5CA6">
              <w:rPr>
                <w:rStyle w:val="Hyperlink"/>
                <w:noProof/>
              </w:rPr>
              <w:t>Impact on Health and Social Care</w:t>
            </w:r>
            <w:r>
              <w:rPr>
                <w:noProof/>
                <w:webHidden/>
              </w:rPr>
              <w:tab/>
            </w:r>
            <w:r>
              <w:rPr>
                <w:noProof/>
                <w:webHidden/>
              </w:rPr>
              <w:fldChar w:fldCharType="begin"/>
            </w:r>
            <w:r>
              <w:rPr>
                <w:noProof/>
                <w:webHidden/>
              </w:rPr>
              <w:instrText xml:space="preserve"> PAGEREF _Toc235767152 \h </w:instrText>
            </w:r>
            <w:r>
              <w:rPr>
                <w:noProof/>
                <w:webHidden/>
              </w:rPr>
            </w:r>
            <w:r>
              <w:rPr>
                <w:noProof/>
                <w:webHidden/>
              </w:rPr>
              <w:fldChar w:fldCharType="separate"/>
            </w:r>
            <w:r>
              <w:rPr>
                <w:noProof/>
                <w:webHidden/>
              </w:rPr>
              <w:t>3</w:t>
            </w:r>
            <w:r>
              <w:rPr>
                <w:noProof/>
                <w:webHidden/>
              </w:rPr>
              <w:fldChar w:fldCharType="end"/>
            </w:r>
          </w:hyperlink>
        </w:p>
        <w:p w14:paraId="6B457D2F" w14:textId="3A69BAF7" w:rsidR="00B916FB" w:rsidRDefault="00B916FB">
          <w:pPr>
            <w:pStyle w:val="TOC2"/>
            <w:tabs>
              <w:tab w:val="right" w:leader="dot" w:pos="9496"/>
            </w:tabs>
            <w:rPr>
              <w:noProof/>
            </w:rPr>
          </w:pPr>
          <w:hyperlink w:anchor="_Toc235767153" w:history="1">
            <w:r w:rsidRPr="002B5CA6">
              <w:rPr>
                <w:rStyle w:val="Hyperlink"/>
                <w:noProof/>
              </w:rPr>
              <w:t>Public and Stakeholder Involvement</w:t>
            </w:r>
            <w:r>
              <w:rPr>
                <w:noProof/>
                <w:webHidden/>
              </w:rPr>
              <w:tab/>
            </w:r>
            <w:r>
              <w:rPr>
                <w:noProof/>
                <w:webHidden/>
              </w:rPr>
              <w:fldChar w:fldCharType="begin"/>
            </w:r>
            <w:r>
              <w:rPr>
                <w:noProof/>
                <w:webHidden/>
              </w:rPr>
              <w:instrText xml:space="preserve"> PAGEREF _Toc235767153 \h </w:instrText>
            </w:r>
            <w:r>
              <w:rPr>
                <w:noProof/>
                <w:webHidden/>
              </w:rPr>
            </w:r>
            <w:r>
              <w:rPr>
                <w:noProof/>
                <w:webHidden/>
              </w:rPr>
              <w:fldChar w:fldCharType="separate"/>
            </w:r>
            <w:r>
              <w:rPr>
                <w:noProof/>
                <w:webHidden/>
              </w:rPr>
              <w:t>3</w:t>
            </w:r>
            <w:r>
              <w:rPr>
                <w:noProof/>
                <w:webHidden/>
              </w:rPr>
              <w:fldChar w:fldCharType="end"/>
            </w:r>
          </w:hyperlink>
        </w:p>
        <w:p w14:paraId="63E0631E" w14:textId="14184914" w:rsidR="00B916FB" w:rsidRDefault="00B916FB">
          <w:pPr>
            <w:pStyle w:val="TOC2"/>
            <w:tabs>
              <w:tab w:val="right" w:leader="dot" w:pos="9496"/>
            </w:tabs>
            <w:rPr>
              <w:noProof/>
            </w:rPr>
          </w:pPr>
          <w:hyperlink w:anchor="_Toc235767154" w:history="1">
            <w:r w:rsidRPr="002B5CA6">
              <w:rPr>
                <w:rStyle w:val="Hyperlink"/>
                <w:noProof/>
              </w:rPr>
              <w:t>Policies, Services, and Professional Links</w:t>
            </w:r>
            <w:r>
              <w:rPr>
                <w:noProof/>
                <w:webHidden/>
              </w:rPr>
              <w:tab/>
            </w:r>
            <w:r>
              <w:rPr>
                <w:noProof/>
                <w:webHidden/>
              </w:rPr>
              <w:fldChar w:fldCharType="begin"/>
            </w:r>
            <w:r>
              <w:rPr>
                <w:noProof/>
                <w:webHidden/>
              </w:rPr>
              <w:instrText xml:space="preserve"> PAGEREF _Toc235767154 \h </w:instrText>
            </w:r>
            <w:r>
              <w:rPr>
                <w:noProof/>
                <w:webHidden/>
              </w:rPr>
            </w:r>
            <w:r>
              <w:rPr>
                <w:noProof/>
                <w:webHidden/>
              </w:rPr>
              <w:fldChar w:fldCharType="separate"/>
            </w:r>
            <w:r>
              <w:rPr>
                <w:noProof/>
                <w:webHidden/>
              </w:rPr>
              <w:t>4</w:t>
            </w:r>
            <w:r>
              <w:rPr>
                <w:noProof/>
                <w:webHidden/>
              </w:rPr>
              <w:fldChar w:fldCharType="end"/>
            </w:r>
          </w:hyperlink>
        </w:p>
        <w:p w14:paraId="3247573B" w14:textId="6EFD542D" w:rsidR="00B916FB" w:rsidRDefault="00B916FB">
          <w:pPr>
            <w:pStyle w:val="TOC2"/>
            <w:tabs>
              <w:tab w:val="right" w:leader="dot" w:pos="9496"/>
            </w:tabs>
            <w:rPr>
              <w:noProof/>
            </w:rPr>
          </w:pPr>
          <w:hyperlink w:anchor="_Toc235767155" w:history="1">
            <w:r w:rsidRPr="002B5CA6">
              <w:rPr>
                <w:rStyle w:val="Hyperlink"/>
                <w:noProof/>
              </w:rPr>
              <w:t>Conclusion</w:t>
            </w:r>
            <w:r>
              <w:rPr>
                <w:noProof/>
                <w:webHidden/>
              </w:rPr>
              <w:tab/>
            </w:r>
            <w:r>
              <w:rPr>
                <w:noProof/>
                <w:webHidden/>
              </w:rPr>
              <w:fldChar w:fldCharType="begin"/>
            </w:r>
            <w:r>
              <w:rPr>
                <w:noProof/>
                <w:webHidden/>
              </w:rPr>
              <w:instrText xml:space="preserve"> PAGEREF _Toc235767155 \h </w:instrText>
            </w:r>
            <w:r>
              <w:rPr>
                <w:noProof/>
                <w:webHidden/>
              </w:rPr>
            </w:r>
            <w:r>
              <w:rPr>
                <w:noProof/>
                <w:webHidden/>
              </w:rPr>
              <w:fldChar w:fldCharType="separate"/>
            </w:r>
            <w:r>
              <w:rPr>
                <w:noProof/>
                <w:webHidden/>
              </w:rPr>
              <w:t>4</w:t>
            </w:r>
            <w:r>
              <w:rPr>
                <w:noProof/>
                <w:webHidden/>
              </w:rPr>
              <w:fldChar w:fldCharType="end"/>
            </w:r>
          </w:hyperlink>
        </w:p>
        <w:p w14:paraId="5C6C10DC" w14:textId="0793434E" w:rsidR="00B916FB" w:rsidRDefault="00B916FB">
          <w:r>
            <w:rPr>
              <w:b/>
              <w:bCs/>
              <w:noProof/>
            </w:rPr>
            <w:fldChar w:fldCharType="end"/>
          </w:r>
        </w:p>
      </w:sdtContent>
    </w:sdt>
    <w:p w14:paraId="0513D3BC" w14:textId="77777777" w:rsidR="00B916FB" w:rsidRDefault="00B916FB" w:rsidP="00C27AFF">
      <w:pPr>
        <w:pStyle w:val="Heading1"/>
      </w:pPr>
    </w:p>
    <w:p w14:paraId="17A8BDC4" w14:textId="77777777" w:rsidR="00B916FB" w:rsidRDefault="00B916FB" w:rsidP="00C27AFF">
      <w:pPr>
        <w:pStyle w:val="Heading1"/>
      </w:pPr>
    </w:p>
    <w:p w14:paraId="64F81329" w14:textId="77777777" w:rsidR="00B916FB" w:rsidRPr="00C27AFF" w:rsidRDefault="00B916FB" w:rsidP="00C27AFF">
      <w:pPr>
        <w:pStyle w:val="Heading1"/>
      </w:pPr>
    </w:p>
    <w:p w14:paraId="5788BA6E" w14:textId="6C313795" w:rsidR="0095247A" w:rsidRPr="00B916FB" w:rsidRDefault="00B916FB" w:rsidP="00C27AFF">
      <w:pPr>
        <w:pStyle w:val="Heading1"/>
        <w:rPr>
          <w:sz w:val="24"/>
          <w:szCs w:val="24"/>
        </w:rPr>
      </w:pPr>
      <w:bookmarkStart w:id="1" w:name="_Toc235767146"/>
      <w:r w:rsidRPr="00B916FB">
        <w:rPr>
          <w:sz w:val="24"/>
          <w:szCs w:val="24"/>
        </w:rPr>
        <w:t>List of Figure</w:t>
      </w:r>
      <w:bookmarkEnd w:id="1"/>
    </w:p>
    <w:p w14:paraId="5E6D3FE2" w14:textId="4726C8B0" w:rsidR="00B916FB" w:rsidRDefault="00B916FB">
      <w:pPr>
        <w:pStyle w:val="TableofFigures"/>
        <w:tabs>
          <w:tab w:val="right" w:leader="dot" w:pos="9496"/>
        </w:tabs>
        <w:rPr>
          <w:noProof/>
        </w:rPr>
      </w:pPr>
      <w:r>
        <w:fldChar w:fldCharType="begin"/>
      </w:r>
      <w:r>
        <w:instrText xml:space="preserve"> TOC \h \z \c "Figure" </w:instrText>
      </w:r>
      <w:r>
        <w:fldChar w:fldCharType="separate"/>
      </w:r>
      <w:hyperlink w:anchor="_Toc235767157" w:history="1">
        <w:r w:rsidRPr="00743F1E">
          <w:rPr>
            <w:rStyle w:val="Hyperlink"/>
            <w:noProof/>
          </w:rPr>
          <w:t>Figure 1: StrokeGuard Wearable – Poster (designed by author, BMHP5014, 2026)</w:t>
        </w:r>
        <w:r>
          <w:rPr>
            <w:noProof/>
            <w:webHidden/>
          </w:rPr>
          <w:tab/>
        </w:r>
        <w:r>
          <w:rPr>
            <w:noProof/>
            <w:webHidden/>
          </w:rPr>
          <w:fldChar w:fldCharType="begin"/>
        </w:r>
        <w:r>
          <w:rPr>
            <w:noProof/>
            <w:webHidden/>
          </w:rPr>
          <w:instrText xml:space="preserve"> PAGEREF _Toc235767157 \h </w:instrText>
        </w:r>
        <w:r>
          <w:rPr>
            <w:noProof/>
            <w:webHidden/>
          </w:rPr>
        </w:r>
        <w:r>
          <w:rPr>
            <w:noProof/>
            <w:webHidden/>
          </w:rPr>
          <w:fldChar w:fldCharType="separate"/>
        </w:r>
        <w:r>
          <w:rPr>
            <w:noProof/>
            <w:webHidden/>
          </w:rPr>
          <w:t>1</w:t>
        </w:r>
        <w:r>
          <w:rPr>
            <w:noProof/>
            <w:webHidden/>
          </w:rPr>
          <w:fldChar w:fldCharType="end"/>
        </w:r>
      </w:hyperlink>
    </w:p>
    <w:p w14:paraId="7305AE0E" w14:textId="20389E3D" w:rsidR="00C27AFF" w:rsidRDefault="00B916FB" w:rsidP="00C27AFF">
      <w:pPr>
        <w:pStyle w:val="Heading1"/>
      </w:pPr>
      <w:r>
        <w:fldChar w:fldCharType="end"/>
      </w:r>
    </w:p>
    <w:p w14:paraId="7C86C60C" w14:textId="77777777" w:rsidR="00C27AFF" w:rsidRDefault="00C27AFF" w:rsidP="00C27AFF">
      <w:pPr>
        <w:pStyle w:val="Heading1"/>
      </w:pPr>
    </w:p>
    <w:p w14:paraId="1E5D3F95" w14:textId="77777777" w:rsidR="00C27AFF" w:rsidRDefault="00C27AFF" w:rsidP="00C27AFF">
      <w:pPr>
        <w:pStyle w:val="Heading1"/>
      </w:pPr>
    </w:p>
    <w:p w14:paraId="5A4AA659" w14:textId="77777777" w:rsidR="00C27AFF" w:rsidRDefault="00C27AFF" w:rsidP="00C27AFF">
      <w:pPr>
        <w:pStyle w:val="Heading1"/>
      </w:pPr>
    </w:p>
    <w:p w14:paraId="35A14476" w14:textId="77777777" w:rsidR="00C27AFF" w:rsidRDefault="00C27AFF" w:rsidP="00C27AFF">
      <w:pPr>
        <w:pStyle w:val="Heading1"/>
      </w:pPr>
    </w:p>
    <w:p w14:paraId="64E2B62E" w14:textId="77777777" w:rsidR="00C27AFF" w:rsidRDefault="00C27AFF" w:rsidP="00C27AFF">
      <w:pPr>
        <w:pStyle w:val="Heading1"/>
      </w:pPr>
    </w:p>
    <w:p w14:paraId="45785E7D" w14:textId="77777777" w:rsidR="00C27AFF" w:rsidRDefault="00C27AFF" w:rsidP="00C27AFF">
      <w:pPr>
        <w:pStyle w:val="Heading1"/>
      </w:pPr>
    </w:p>
    <w:p w14:paraId="3369B755" w14:textId="77777777" w:rsidR="00C27AFF" w:rsidRDefault="00C27AFF" w:rsidP="00C27AFF">
      <w:pPr>
        <w:pStyle w:val="Heading1"/>
      </w:pPr>
    </w:p>
    <w:p w14:paraId="325AD6F3" w14:textId="77777777" w:rsidR="00C27AFF" w:rsidRDefault="00C27AFF" w:rsidP="00C27AFF">
      <w:pPr>
        <w:pStyle w:val="Heading1"/>
      </w:pPr>
    </w:p>
    <w:p w14:paraId="0C7F2BAE" w14:textId="77777777" w:rsidR="00C27AFF" w:rsidRDefault="00C27AFF" w:rsidP="00C27AFF">
      <w:pPr>
        <w:pStyle w:val="Heading1"/>
      </w:pPr>
    </w:p>
    <w:p w14:paraId="0A50775F" w14:textId="77777777" w:rsidR="00B916FB" w:rsidRDefault="00B916FB" w:rsidP="00C27AFF">
      <w:pPr>
        <w:pStyle w:val="Heading1"/>
        <w:sectPr w:rsidR="00B916FB" w:rsidSect="00B916FB">
          <w:footerReference w:type="default" r:id="rId8"/>
          <w:footerReference w:type="first" r:id="rId9"/>
          <w:pgSz w:w="11906" w:h="16838"/>
          <w:pgMar w:top="1200" w:right="1200" w:bottom="1200" w:left="1200" w:header="708" w:footer="708" w:gutter="0"/>
          <w:pgNumType w:fmt="lowerRoman" w:start="1"/>
          <w:cols w:space="720"/>
          <w:titlePg/>
          <w:docGrid w:linePitch="360"/>
        </w:sectPr>
      </w:pPr>
    </w:p>
    <w:p w14:paraId="3365021A" w14:textId="77777777" w:rsidR="0095247A" w:rsidRPr="00C27AFF" w:rsidRDefault="008D427E" w:rsidP="00C27AFF">
      <w:pPr>
        <w:pStyle w:val="Heading1"/>
        <w:rPr>
          <w:sz w:val="24"/>
          <w:szCs w:val="24"/>
        </w:rPr>
      </w:pPr>
      <w:bookmarkStart w:id="2" w:name="_Toc235767147"/>
      <w:r w:rsidRPr="00C27AFF">
        <w:rPr>
          <w:sz w:val="24"/>
          <w:szCs w:val="24"/>
        </w:rPr>
        <w:t>Part 1: Poster – StrokeGuard Wearable</w:t>
      </w:r>
      <w:bookmarkEnd w:id="2"/>
    </w:p>
    <w:p w14:paraId="198FE60E" w14:textId="77777777" w:rsidR="00257671" w:rsidRDefault="00257671" w:rsidP="00257671">
      <w:pPr>
        <w:keepNext/>
        <w:spacing w:before="120" w:after="160"/>
        <w:jc w:val="center"/>
      </w:pPr>
      <w:r>
        <w:rPr>
          <w:noProof/>
        </w:rPr>
        <w:drawing>
          <wp:inline distT="0" distB="0" distL="0" distR="0" wp14:anchorId="725176E6" wp14:editId="70C25BBB">
            <wp:extent cx="6036310" cy="8536305"/>
            <wp:effectExtent l="0" t="0" r="2540" b="0"/>
            <wp:docPr id="6618019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01954" name="Picture 66180195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36310" cy="8536305"/>
                    </a:xfrm>
                    <a:prstGeom prst="rect">
                      <a:avLst/>
                    </a:prstGeom>
                  </pic:spPr>
                </pic:pic>
              </a:graphicData>
            </a:graphic>
          </wp:inline>
        </w:drawing>
      </w:r>
    </w:p>
    <w:p w14:paraId="450E67C0" w14:textId="72EC5D40" w:rsidR="0095247A" w:rsidRDefault="00257671" w:rsidP="00257671">
      <w:pPr>
        <w:pStyle w:val="Caption"/>
        <w:jc w:val="center"/>
      </w:pPr>
      <w:bookmarkStart w:id="3" w:name="_Toc235767157"/>
      <w:r>
        <w:t xml:space="preserve">Figure </w:t>
      </w:r>
      <w:r>
        <w:fldChar w:fldCharType="begin"/>
      </w:r>
      <w:r>
        <w:instrText xml:space="preserve"> SEQ Figure \* ARABIC </w:instrText>
      </w:r>
      <w:r>
        <w:fldChar w:fldCharType="separate"/>
      </w:r>
      <w:r>
        <w:rPr>
          <w:noProof/>
        </w:rPr>
        <w:t>1</w:t>
      </w:r>
      <w:r>
        <w:fldChar w:fldCharType="end"/>
      </w:r>
      <w:r>
        <w:t xml:space="preserve">: </w:t>
      </w:r>
      <w:r w:rsidRPr="00A06E40">
        <w:t xml:space="preserve">StrokeGuard Wearable – Poster (designed by </w:t>
      </w:r>
      <w:r>
        <w:t>author</w:t>
      </w:r>
      <w:r w:rsidRPr="00A06E40">
        <w:t>, BMHP5014, 2026)</w:t>
      </w:r>
      <w:bookmarkEnd w:id="3"/>
    </w:p>
    <w:p w14:paraId="5BD6E1C6" w14:textId="77777777" w:rsidR="0095247A" w:rsidRDefault="0095247A">
      <w:pPr>
        <w:pageBreakBefore/>
      </w:pPr>
    </w:p>
    <w:p w14:paraId="5DA05294" w14:textId="77777777" w:rsidR="0095247A" w:rsidRPr="00C27AFF" w:rsidRDefault="008D427E" w:rsidP="00C27AFF">
      <w:pPr>
        <w:pStyle w:val="Heading1"/>
        <w:rPr>
          <w:sz w:val="24"/>
          <w:szCs w:val="24"/>
        </w:rPr>
      </w:pPr>
      <w:bookmarkStart w:id="4" w:name="_Toc235767148"/>
      <w:r w:rsidRPr="00C27AFF">
        <w:rPr>
          <w:sz w:val="24"/>
          <w:szCs w:val="24"/>
        </w:rPr>
        <w:t>Part 2: Written Pitch – StrokeGuard Wearable</w:t>
      </w:r>
      <w:bookmarkEnd w:id="4"/>
    </w:p>
    <w:p w14:paraId="6A8CD5F3" w14:textId="77777777" w:rsidR="0095247A" w:rsidRPr="001F3D2D" w:rsidRDefault="008D427E">
      <w:pPr>
        <w:pStyle w:val="Heading2"/>
        <w:rPr>
          <w:color w:val="4472C4" w:themeColor="accent1"/>
        </w:rPr>
      </w:pPr>
      <w:bookmarkStart w:id="5" w:name="_Toc235767149"/>
      <w:r w:rsidRPr="001F3D2D">
        <w:rPr>
          <w:color w:val="4472C4" w:themeColor="accent1"/>
        </w:rPr>
        <w:t>Introduction</w:t>
      </w:r>
      <w:bookmarkEnd w:id="5"/>
    </w:p>
    <w:p w14:paraId="1EE4048F" w14:textId="26BA1DDA" w:rsidR="00793F16" w:rsidRDefault="00793F16" w:rsidP="00793F16">
      <w:pPr>
        <w:spacing w:line="360" w:lineRule="auto"/>
        <w:jc w:val="both"/>
        <w:rPr>
          <w:b/>
          <w:bCs/>
        </w:rPr>
      </w:pPr>
      <w:r w:rsidRPr="00793F16">
        <w:t>StrokeGuard is an AI-powered wearable wrist device that can identify early physiological warning signs of stroke and alert the user, nominated carer and emergency services in real-time in multiple languages. The innovation addresses a significant and largely unmet challenge in health and social care in the UK</w:t>
      </w:r>
      <w:r>
        <w:t>,</w:t>
      </w:r>
      <w:r w:rsidRPr="00793F16">
        <w:t xml:space="preserve"> the disproportionate risk of stroke among ethnic minority older people and the evidence of lower uptake of preventative health technology among ethnic minority older people (Fluck et al., 2018). Despite being the fourth leading cause of death in the UK, and the single biggest cause of adult disability, the time between symptom onset and hospital arrival</w:t>
      </w:r>
      <w:r>
        <w:t>,</w:t>
      </w:r>
      <w:r w:rsidRPr="00793F16">
        <w:t xml:space="preserve"> the window in which treatment is most effective</w:t>
      </w:r>
      <w:r>
        <w:t xml:space="preserve"> </w:t>
      </w:r>
      <w:r w:rsidRPr="00793F16">
        <w:t>remains unacceptably long for Black and South Asian populations (Stroke Association, 2023). StrokeGuard directly addresses this need by offering an accessible, culturally adapted and technologically advanced tool that ensures that ethnic minority older adults have the same opportunity to receive timely and effective stroke intervention as other populations.</w:t>
      </w:r>
    </w:p>
    <w:p w14:paraId="5ABD8C3B" w14:textId="16AA50A2" w:rsidR="0095247A" w:rsidRPr="00AE0C9C" w:rsidRDefault="008D427E">
      <w:pPr>
        <w:pStyle w:val="Heading2"/>
        <w:rPr>
          <w:color w:val="4472C4" w:themeColor="accent1"/>
        </w:rPr>
      </w:pPr>
      <w:bookmarkStart w:id="6" w:name="_Toc235767150"/>
      <w:r w:rsidRPr="00AE0C9C">
        <w:rPr>
          <w:color w:val="4472C4" w:themeColor="accent1"/>
        </w:rPr>
        <w:t>Background</w:t>
      </w:r>
      <w:bookmarkEnd w:id="6"/>
    </w:p>
    <w:p w14:paraId="663CD451" w14:textId="77777777" w:rsidR="00107895" w:rsidRDefault="00107895" w:rsidP="00107895">
      <w:pPr>
        <w:spacing w:line="360" w:lineRule="auto"/>
        <w:jc w:val="both"/>
        <w:rPr>
          <w:b/>
          <w:bCs/>
        </w:rPr>
      </w:pPr>
      <w:r w:rsidRPr="00107895">
        <w:t>Stroke is a significant public health problem, with more than 100,000 cases each year in the UK, and ongoing research investment is needed (World Stroke Organization, 2021).  NHS Long Term Plan (2019) aims to reduce 150,000 heart attacks, strokes and dementia cases over the next decade, but progress among ethnic minority communities has not been consistent. Studies indicate that Black individuals are twice as likely to suffer a stroke as White individuals, and South Asians are 25-50% more likely (Different Strokes, 2025). Adults in South Asia are at higher risk of haemorrhagic stroke due to uncontrolled blood pressure (Wang et al, 2022). However, Boynton et al. (2004) identified that language barriers, lack of trust in medical services and poor understanding of stroke warning signs all contribute to the fact that BAME communities are less likely to dial 999 for emergency services when symptoms of stroke occur. The FAST acronym (Face drooping, Arm weakness, Speech difficulty, Time to call) is widely used in NHS campaigns but not widely known by non-English speaking older adults. Communication barriers equate to the loss of around 1.9 million neurons every minute without treatment (Saver, 2006). The current wearable technologies available in the market are not suitable for this population as they assume digital literacy, English language skills and financial access which many ethnic minority older adults lack.</w:t>
      </w:r>
    </w:p>
    <w:p w14:paraId="4EF196A4" w14:textId="42A59B1F" w:rsidR="0095247A" w:rsidRDefault="008D427E">
      <w:pPr>
        <w:pStyle w:val="Heading2"/>
      </w:pPr>
      <w:bookmarkStart w:id="7" w:name="_Toc235767151"/>
      <w:r>
        <w:t>Innovation Description</w:t>
      </w:r>
      <w:bookmarkEnd w:id="7"/>
    </w:p>
    <w:p w14:paraId="4517AC8C" w14:textId="77777777" w:rsidR="00047C78" w:rsidRDefault="00047C78" w:rsidP="00047C78">
      <w:pPr>
        <w:spacing w:line="360" w:lineRule="auto"/>
        <w:jc w:val="both"/>
        <w:rPr>
          <w:b/>
          <w:bCs/>
        </w:rPr>
      </w:pPr>
      <w:r w:rsidRPr="00047C78">
        <w:t>StrokeGuard goes significantly beyond existing wearable health monitors. It features an AI sensor array that continuously tracks blood pressure variability, heart rhythm, and blood oxygen saturation, and machine learning algorithms trained with data that reflect the physiological profile of ethnic minorities. If the AI recognises a pattern that matches a stroke onset, the device alerts the user to the stroke with a vibration and an audio alert in the user's preferred language, notifies a pre-registered carer or family member by SMS and app, and automatically dials 999 with the user's location and medical summary sent digitally. It also has a near field communication chip which holds the user's key medical data, such as current medications, known conditions, allergy profile and GP details, which can be scanned when the paramedics arrive, saving the time it currently takes to communicate with patients who cannot speak English. The user interface is large format, in twelve languages (Urdu, Gujarati, Bengali, Somali, Punjabi and Arabic), and has audio confirmation of all interactions. The design follows the principles of prototyping proposed by Lauff, Kotys-Schwartz and Rentschler (2018) who suggest that good health technology prototypes should be built in an iterative process, with the user feedback incorporated at each step. The technology will be co-designed with BAME older adults in the community from month one, ensuring that the technology is based on lived experience, not assumptions.</w:t>
      </w:r>
    </w:p>
    <w:p w14:paraId="4A1BF957" w14:textId="7410D711" w:rsidR="0095247A" w:rsidRDefault="008D427E">
      <w:pPr>
        <w:pStyle w:val="Heading2"/>
      </w:pPr>
      <w:bookmarkStart w:id="8" w:name="_Toc235767152"/>
      <w:r>
        <w:t>Impact on Health and Social Care</w:t>
      </w:r>
      <w:bookmarkEnd w:id="8"/>
    </w:p>
    <w:p w14:paraId="5FE5C8BB" w14:textId="77777777" w:rsidR="00C96C50" w:rsidRDefault="00C96C50" w:rsidP="00C96C50">
      <w:pPr>
        <w:spacing w:line="360" w:lineRule="auto"/>
        <w:jc w:val="both"/>
        <w:rPr>
          <w:b/>
          <w:bCs/>
        </w:rPr>
      </w:pPr>
      <w:r w:rsidRPr="00C96C50">
        <w:t>StrokeGuard is targeted at adults aged sixty and older from ethnic minority groups in UK urban areas, particularly those with high BAME population density, such as London, Birmingham, Leicester and Bradford. The device directly improves access to emergency care by removing language and technological barriers that are delaying care. This group benefits from faster treatment because they have fewer disabilities after stroke, require less long-term care, and are more likely to live independently in their own homes. This is a major step towards health equity, as mandated by the Equality Act (2010) for public bodies to promote. For NHS systems, earlier intervention will save the cost of stroke rehabilitation and long-term residential care: in the UK, the average cost of stroke care is £45,409 per stroke survivor (Marin et al., 2025), which can be substantially reduced by earlier intervention. A monitored alert system gives families and unpaid carers peace of mind, alleviating the psychological burden of caring, which Carers UK (2022) describes as a major and unmet public health issue. The data from Stroke Association (2023) indicates that fewer BAME patients receive timely thrombolysis, the clot-dissolving treatment, than White British patients, and this is solely because of delayed arrival at hospital. StrokeGuard fills this gap by alerting the patient before they have had a chance to call for help.</w:t>
      </w:r>
    </w:p>
    <w:p w14:paraId="6A646F2D" w14:textId="02610ABE" w:rsidR="0095247A" w:rsidRPr="00A13281" w:rsidRDefault="008D427E">
      <w:pPr>
        <w:pStyle w:val="Heading2"/>
        <w:rPr>
          <w:color w:val="4472C4" w:themeColor="accent1"/>
        </w:rPr>
      </w:pPr>
      <w:bookmarkStart w:id="9" w:name="_Toc235767153"/>
      <w:r w:rsidRPr="00A13281">
        <w:rPr>
          <w:color w:val="4472C4" w:themeColor="accent1"/>
        </w:rPr>
        <w:t>Public and Stakeholder Involvement</w:t>
      </w:r>
      <w:bookmarkEnd w:id="9"/>
    </w:p>
    <w:p w14:paraId="3A1C6221" w14:textId="77777777" w:rsidR="00C96C50" w:rsidRDefault="00C96C50" w:rsidP="00C96C50">
      <w:pPr>
        <w:spacing w:line="360" w:lineRule="auto"/>
        <w:jc w:val="both"/>
        <w:rPr>
          <w:b/>
          <w:bCs/>
        </w:rPr>
      </w:pPr>
      <w:r w:rsidRPr="00C96C50">
        <w:t>StrokeGuard's development will embed co-production from the earliest stage. Community health workers from BAME voluntary organisations will be engaged as paid co-designers to ensure that cultural values, communication preferences and practical usability issues influence the design of the device before it reaches prototype stage. The public will be engaged through open testing events in GP surgeries, community centres, mosques, temples and cultural associations in pilot boroughs. Faith community leaders and trusted cultural intermediaries will be recruited as champions for the device, based on De Klerk's (2010) findings that trusted peer networks are the most effective means of health behaviour change in close-knit communities. A social media public awareness campaign will be carried out in multiple languages, along with community radio and WhatsApp group outreach to inform the public about StrokeGuard and how to access it in plain language validated by community members.</w:t>
      </w:r>
    </w:p>
    <w:p w14:paraId="5E058EC4" w14:textId="047FE90E" w:rsidR="0095247A" w:rsidRPr="00A13281" w:rsidRDefault="008D427E">
      <w:pPr>
        <w:pStyle w:val="Heading2"/>
        <w:rPr>
          <w:color w:val="4472C4" w:themeColor="accent1"/>
        </w:rPr>
      </w:pPr>
      <w:bookmarkStart w:id="10" w:name="_Toc235767154"/>
      <w:r w:rsidRPr="00A13281">
        <w:rPr>
          <w:color w:val="4472C4" w:themeColor="accent1"/>
        </w:rPr>
        <w:t>Policies, Services, and Professional Links</w:t>
      </w:r>
      <w:bookmarkEnd w:id="10"/>
    </w:p>
    <w:p w14:paraId="3476B42F" w14:textId="77777777" w:rsidR="00DF1B38" w:rsidRDefault="00DF1B38" w:rsidP="00DF1B38">
      <w:pPr>
        <w:spacing w:line="360" w:lineRule="auto"/>
        <w:jc w:val="both"/>
        <w:rPr>
          <w:b/>
          <w:bCs/>
        </w:rPr>
      </w:pPr>
      <w:r w:rsidRPr="00DF1B38">
        <w:t>StrokeGuard is legally and professionally structured. The device will have to be registered with Medicines and Healthcare products Regulatory Agency (UK Medical Device Regulations 2002) and will be subject to NICE digital health technology evidence standards before it is prescribed in the NHS. The data gathered by the device will be stored and processed in compliance with the GDPR and the Data Protection Act (2018) and explicit user consent will be gathered in the user's preferred language. This innovation is targeted at a group of people who are structurally disadvantaged in accessing health services, with both the Care Act (2014) and the Equality Act (2010) giving statutory basis to this targeting. Community nurses and social prescribing link workers will be the primary referral pathway, in addition to GPs, pharmacists and stroke specialist nurses. NHS England (2023) has introduced social prescribing as a fundamental part of primary care, making it an ideal referral mechanism for those identified as having a high risk of stroke as part of routine blood pressure checks.</w:t>
      </w:r>
    </w:p>
    <w:p w14:paraId="1E04B40A" w14:textId="057D56C7" w:rsidR="0095247A" w:rsidRPr="00A13281" w:rsidRDefault="008D427E">
      <w:pPr>
        <w:pStyle w:val="Heading2"/>
        <w:rPr>
          <w:color w:val="4472C4" w:themeColor="accent1"/>
        </w:rPr>
      </w:pPr>
      <w:bookmarkStart w:id="11" w:name="_Toc235767155"/>
      <w:r w:rsidRPr="00A13281">
        <w:rPr>
          <w:color w:val="4472C4" w:themeColor="accent1"/>
        </w:rPr>
        <w:t>Conclusion</w:t>
      </w:r>
      <w:bookmarkEnd w:id="11"/>
    </w:p>
    <w:p w14:paraId="33A80317" w14:textId="66941696" w:rsidR="006F67C7" w:rsidRDefault="00875227" w:rsidP="00875227">
      <w:pPr>
        <w:spacing w:line="360" w:lineRule="auto"/>
        <w:jc w:val="both"/>
      </w:pPr>
      <w:r w:rsidRPr="00875227">
        <w:t>StrokeGuard is a necessary, feasible, and urgently needed innovation. It is for a community that has been systematically left out of the scope of existing health technology, and it is done by embedding cultural and linguistic accessibility into the design of health technology. Each year, stroke detection technology is not available to ethnic minority older adults, preventable deaths and disabilities are happening. StrokeGuard is a clear, implementable, evidence-based solution that meets the priorities of the NHS Long Term Plan, the UK health equity legislation, and the principle of good health and social care for all, irrespective of background, language, or ethnicity.</w:t>
      </w:r>
    </w:p>
    <w:p w14:paraId="438377C3" w14:textId="77777777" w:rsidR="006F67C7" w:rsidRDefault="006F67C7" w:rsidP="008603B5">
      <w:pPr>
        <w:spacing w:line="360" w:lineRule="auto"/>
        <w:rPr>
          <w:b/>
          <w:bCs/>
          <w:color w:val="4472C4" w:themeColor="accent1"/>
        </w:rPr>
      </w:pPr>
    </w:p>
    <w:p w14:paraId="149EA1D2" w14:textId="77777777" w:rsidR="006F67C7" w:rsidRDefault="006F67C7" w:rsidP="008603B5">
      <w:pPr>
        <w:spacing w:line="360" w:lineRule="auto"/>
        <w:rPr>
          <w:b/>
          <w:bCs/>
          <w:color w:val="4472C4" w:themeColor="accent1"/>
        </w:rPr>
      </w:pPr>
    </w:p>
    <w:p w14:paraId="78E6ABFF" w14:textId="77777777" w:rsidR="006F67C7" w:rsidRDefault="006F67C7" w:rsidP="008603B5">
      <w:pPr>
        <w:spacing w:line="360" w:lineRule="auto"/>
        <w:rPr>
          <w:b/>
          <w:bCs/>
          <w:color w:val="4472C4" w:themeColor="accent1"/>
        </w:rPr>
      </w:pPr>
    </w:p>
    <w:p w14:paraId="63805DC9" w14:textId="77777777" w:rsidR="006F67C7" w:rsidRDefault="006F67C7" w:rsidP="008603B5">
      <w:pPr>
        <w:spacing w:line="360" w:lineRule="auto"/>
        <w:rPr>
          <w:b/>
          <w:bCs/>
          <w:color w:val="4472C4" w:themeColor="accent1"/>
        </w:rPr>
      </w:pPr>
    </w:p>
    <w:p w14:paraId="2686D2FF" w14:textId="77777777" w:rsidR="006F67C7" w:rsidRDefault="006F67C7" w:rsidP="008603B5">
      <w:pPr>
        <w:spacing w:line="360" w:lineRule="auto"/>
        <w:rPr>
          <w:b/>
          <w:bCs/>
          <w:color w:val="4472C4" w:themeColor="accent1"/>
        </w:rPr>
      </w:pPr>
    </w:p>
    <w:p w14:paraId="02EBE5CE" w14:textId="77777777" w:rsidR="006F67C7" w:rsidRDefault="006F67C7" w:rsidP="008603B5">
      <w:pPr>
        <w:spacing w:line="360" w:lineRule="auto"/>
        <w:rPr>
          <w:b/>
          <w:bCs/>
          <w:color w:val="4472C4" w:themeColor="accent1"/>
        </w:rPr>
      </w:pPr>
    </w:p>
    <w:p w14:paraId="432119A6" w14:textId="77777777" w:rsidR="009F5A9D" w:rsidRDefault="009F5A9D" w:rsidP="008603B5">
      <w:pPr>
        <w:spacing w:line="360" w:lineRule="auto"/>
        <w:rPr>
          <w:b/>
          <w:bCs/>
          <w:color w:val="4472C4" w:themeColor="accent1"/>
        </w:rPr>
      </w:pPr>
    </w:p>
    <w:p w14:paraId="3FE94559" w14:textId="77777777" w:rsidR="006F67C7" w:rsidRDefault="006F67C7" w:rsidP="008603B5">
      <w:pPr>
        <w:spacing w:line="360" w:lineRule="auto"/>
        <w:rPr>
          <w:b/>
          <w:bCs/>
          <w:color w:val="4472C4" w:themeColor="accent1"/>
        </w:rPr>
      </w:pPr>
    </w:p>
    <w:p w14:paraId="3955F512" w14:textId="77777777" w:rsidR="006F67C7" w:rsidRDefault="006F67C7" w:rsidP="008603B5">
      <w:pPr>
        <w:spacing w:line="360" w:lineRule="auto"/>
        <w:rPr>
          <w:b/>
          <w:bCs/>
          <w:color w:val="4472C4" w:themeColor="accent1"/>
        </w:rPr>
      </w:pPr>
    </w:p>
    <w:p w14:paraId="005B3CC8" w14:textId="77777777" w:rsidR="006F67C7" w:rsidRDefault="006F67C7" w:rsidP="008603B5">
      <w:pPr>
        <w:spacing w:line="360" w:lineRule="auto"/>
        <w:rPr>
          <w:b/>
          <w:bCs/>
          <w:color w:val="4472C4" w:themeColor="accent1"/>
        </w:rPr>
      </w:pPr>
    </w:p>
    <w:p w14:paraId="35A6C66C" w14:textId="77777777" w:rsidR="006F67C7" w:rsidRDefault="006F67C7" w:rsidP="008603B5">
      <w:pPr>
        <w:spacing w:line="360" w:lineRule="auto"/>
        <w:rPr>
          <w:b/>
          <w:bCs/>
          <w:color w:val="4472C4" w:themeColor="accent1"/>
        </w:rPr>
      </w:pPr>
    </w:p>
    <w:p w14:paraId="11D46D72" w14:textId="77777777" w:rsidR="00992D4C" w:rsidRDefault="00992D4C" w:rsidP="008603B5">
      <w:pPr>
        <w:spacing w:line="360" w:lineRule="auto"/>
        <w:rPr>
          <w:b/>
          <w:bCs/>
          <w:color w:val="4472C4" w:themeColor="accent1"/>
        </w:rPr>
      </w:pPr>
    </w:p>
    <w:p w14:paraId="07A2BD20" w14:textId="77777777" w:rsidR="00992D4C" w:rsidRDefault="00992D4C" w:rsidP="008603B5">
      <w:pPr>
        <w:spacing w:line="360" w:lineRule="auto"/>
        <w:rPr>
          <w:b/>
          <w:bCs/>
          <w:color w:val="4472C4" w:themeColor="accent1"/>
        </w:rPr>
      </w:pPr>
    </w:p>
    <w:p w14:paraId="3E28648A" w14:textId="77777777" w:rsidR="006F67C7" w:rsidRDefault="006F67C7" w:rsidP="008603B5">
      <w:pPr>
        <w:spacing w:line="360" w:lineRule="auto"/>
        <w:rPr>
          <w:b/>
          <w:bCs/>
          <w:color w:val="4472C4" w:themeColor="accent1"/>
        </w:rPr>
      </w:pPr>
    </w:p>
    <w:p w14:paraId="24FFFD41" w14:textId="5A16F7AC" w:rsidR="0095247A" w:rsidRDefault="008D427E" w:rsidP="008603B5">
      <w:pPr>
        <w:spacing w:line="360" w:lineRule="auto"/>
        <w:rPr>
          <w:b/>
          <w:bCs/>
        </w:rPr>
      </w:pPr>
      <w:r w:rsidRPr="00A13281">
        <w:rPr>
          <w:b/>
          <w:bCs/>
          <w:color w:val="4472C4" w:themeColor="accent1"/>
        </w:rPr>
        <w:t>Reference</w:t>
      </w:r>
      <w:r w:rsidRPr="008603B5">
        <w:rPr>
          <w:b/>
          <w:bCs/>
        </w:rPr>
        <w:t xml:space="preserve"> </w:t>
      </w:r>
    </w:p>
    <w:p w14:paraId="056F11D2"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Boynton, P.M., Wood, G.W., Greenhalgh, T. and Clinic, Q., 2004. Reaching beyond the white middle classes. Bmj, 328(7453), pp.1433-1436.</w:t>
      </w:r>
    </w:p>
    <w:p w14:paraId="110B5266"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Care Act 2014, c. 23. London: Available at: </w:t>
      </w:r>
      <w:hyperlink r:id="rId11" w:history="1">
        <w:r w:rsidRPr="008603B5">
          <w:rPr>
            <w:rFonts w:eastAsia="Calibri"/>
            <w:color w:val="0563C1"/>
            <w:kern w:val="2"/>
            <w:u w:val="single"/>
            <w:lang w:val="en-GB"/>
            <w14:ligatures w14:val="standardContextual"/>
          </w:rPr>
          <w:t>https://www.legislation.gov.uk/ukpga/2014/23/contents</w:t>
        </w:r>
      </w:hyperlink>
      <w:r w:rsidRPr="008603B5">
        <w:rPr>
          <w:rFonts w:eastAsia="Calibri"/>
          <w:kern w:val="2"/>
          <w:lang w:val="en-GB"/>
          <w14:ligatures w14:val="standardContextual"/>
        </w:rPr>
        <w:t xml:space="preserve"> (Accessed: 20 July 2026).</w:t>
      </w:r>
    </w:p>
    <w:p w14:paraId="7A64D3DD"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Carers UK. 2022. State of caring 2022: a snapshot of unpaid care in the UK. London: Carers UK.</w:t>
      </w:r>
    </w:p>
    <w:p w14:paraId="0920CA10"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Data Protection Act (2018). London: HMSO. Available at: </w:t>
      </w:r>
      <w:hyperlink r:id="rId12" w:history="1">
        <w:r w:rsidRPr="008603B5">
          <w:rPr>
            <w:rFonts w:eastAsia="Calibri"/>
            <w:color w:val="0563C1"/>
            <w:kern w:val="2"/>
            <w:u w:val="single"/>
            <w:lang w:val="en-GB"/>
            <w14:ligatures w14:val="standardContextual"/>
          </w:rPr>
          <w:t>https://www.legislation.gov.uk/ukpga/2018/12/contents</w:t>
        </w:r>
      </w:hyperlink>
      <w:r w:rsidRPr="008603B5">
        <w:rPr>
          <w:rFonts w:eastAsia="Calibri"/>
          <w:kern w:val="2"/>
          <w:lang w:val="en-GB"/>
          <w14:ligatures w14:val="standardContextual"/>
        </w:rPr>
        <w:t xml:space="preserve"> (Accessed: 11 July 2026).</w:t>
      </w:r>
    </w:p>
    <w:p w14:paraId="49F47631"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De Klerk, S., 2010. The importance of networking as a management skill. South African journal of business management, 41(1), pp.37-49. Available at: </w:t>
      </w:r>
      <w:hyperlink r:id="rId13" w:history="1">
        <w:r w:rsidRPr="008603B5">
          <w:rPr>
            <w:rFonts w:eastAsia="Calibri"/>
            <w:color w:val="0563C1"/>
            <w:kern w:val="2"/>
            <w:u w:val="single"/>
            <w:lang w:val="en-GB"/>
            <w14:ligatures w14:val="standardContextual"/>
          </w:rPr>
          <w:t>https://www.econstor.eu/bitstream/10419/218433/1/sajbm-v41i1-0512.pdf</w:t>
        </w:r>
      </w:hyperlink>
      <w:r w:rsidRPr="008603B5">
        <w:rPr>
          <w:rFonts w:eastAsia="Calibri"/>
          <w:kern w:val="2"/>
          <w:lang w:val="en-GB"/>
          <w14:ligatures w14:val="standardContextual"/>
        </w:rPr>
        <w:t xml:space="preserve"> (Accessed: 20 July 2026).</w:t>
      </w:r>
    </w:p>
    <w:p w14:paraId="42672059" w14:textId="77777777" w:rsidR="00992D4C" w:rsidRDefault="00992D4C" w:rsidP="00971D9A">
      <w:pPr>
        <w:spacing w:line="360" w:lineRule="auto"/>
        <w:jc w:val="both"/>
      </w:pPr>
      <w:r w:rsidRPr="00971D9A">
        <w:t xml:space="preserve">Different Strokes (2025) </w:t>
      </w:r>
      <w:r w:rsidRPr="00971D9A">
        <w:rPr>
          <w:i/>
          <w:iCs/>
        </w:rPr>
        <w:t>Understanding stroke in Black and South Asian communities: Why it matters and how we can help</w:t>
      </w:r>
      <w:r w:rsidRPr="00971D9A">
        <w:t xml:space="preserve">. Available at: </w:t>
      </w:r>
      <w:hyperlink r:id="rId14" w:tgtFrame="_blank" w:history="1">
        <w:r w:rsidRPr="00971D9A">
          <w:rPr>
            <w:color w:val="0000FF"/>
            <w:u w:val="single"/>
          </w:rPr>
          <w:t>https://differentstrokes.co.uk/blog/stroke-in-black-south-asian-people/</w:t>
        </w:r>
      </w:hyperlink>
      <w:r w:rsidRPr="00971D9A">
        <w:t xml:space="preserve"> (Accessed: 22 July 2026).</w:t>
      </w:r>
    </w:p>
    <w:p w14:paraId="0950DB6A"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Equality Act 2010. (2010) UK Public General Acts. London: The Stationery Office. Available at: </w:t>
      </w:r>
      <w:hyperlink r:id="rId15" w:history="1">
        <w:r w:rsidRPr="008603B5">
          <w:rPr>
            <w:rFonts w:eastAsia="Calibri"/>
            <w:color w:val="0563C1"/>
            <w:kern w:val="2"/>
            <w:u w:val="single"/>
            <w:lang w:val="en-GB"/>
            <w14:ligatures w14:val="standardContextual"/>
          </w:rPr>
          <w:t>https://www.legislation.gov.uk/ukpga/2010/15/contents</w:t>
        </w:r>
      </w:hyperlink>
      <w:r w:rsidRPr="008603B5">
        <w:rPr>
          <w:rFonts w:eastAsia="Calibri"/>
          <w:kern w:val="2"/>
          <w:lang w:val="en-GB"/>
          <w14:ligatures w14:val="standardContextual"/>
        </w:rPr>
        <w:t xml:space="preserve"> (Accessed: 20 July 2026).</w:t>
      </w:r>
    </w:p>
    <w:p w14:paraId="7DFE2641"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Fluck, D., Fry, C.H., Gulli, G., Affley, B., Robin, J., Kakar, P., Sharma, P. and Han, T.S., 2023. Adverse stroke outcomes amongst UK ethnic minorities: a multi-centre registry-based cohort study of acute stroke. Neurological Sciences, 44(6), pp.2071-2080. Available at: </w:t>
      </w:r>
      <w:hyperlink r:id="rId16" w:history="1">
        <w:r w:rsidRPr="008603B5">
          <w:rPr>
            <w:rFonts w:eastAsia="Calibri"/>
            <w:color w:val="0563C1"/>
            <w:kern w:val="2"/>
            <w:u w:val="single"/>
            <w:lang w:val="en-GB"/>
            <w14:ligatures w14:val="standardContextual"/>
          </w:rPr>
          <w:t>https://pmc.ncbi.nlm.nih.gov/articles/PMC9891657/pdf/10072_2023_Article_6640.pdf</w:t>
        </w:r>
      </w:hyperlink>
      <w:r w:rsidRPr="008603B5">
        <w:rPr>
          <w:rFonts w:eastAsia="Calibri"/>
          <w:kern w:val="2"/>
          <w:lang w:val="en-GB"/>
          <w14:ligatures w14:val="standardContextual"/>
        </w:rPr>
        <w:t xml:space="preserve"> (Accessed: 20</w:t>
      </w:r>
      <w:r w:rsidRPr="008603B5">
        <w:rPr>
          <w:rFonts w:eastAsia="Calibri"/>
          <w:kern w:val="2"/>
          <w:vertAlign w:val="superscript"/>
          <w:lang w:val="en-GB"/>
          <w14:ligatures w14:val="standardContextual"/>
        </w:rPr>
        <w:t>th</w:t>
      </w:r>
      <w:r w:rsidRPr="008603B5">
        <w:rPr>
          <w:rFonts w:eastAsia="Calibri"/>
          <w:kern w:val="2"/>
          <w:lang w:val="en-GB"/>
          <w14:ligatures w14:val="standardContextual"/>
        </w:rPr>
        <w:t xml:space="preserve"> July, 2026)</w:t>
      </w:r>
      <w:r w:rsidRPr="008603B5">
        <w:rPr>
          <w:rFonts w:eastAsia="Calibri"/>
          <w:kern w:val="2"/>
          <w:lang w:val="en-GB"/>
          <w14:ligatures w14:val="standardContextual"/>
        </w:rPr>
        <w:br/>
      </w:r>
      <w:r w:rsidRPr="008603B5">
        <w:rPr>
          <w:rFonts w:eastAsia="Calibri"/>
          <w:kern w:val="2"/>
          <w:lang w:val="en-GB"/>
          <w14:ligatures w14:val="standardContextual"/>
        </w:rPr>
        <w:br/>
        <w:t>Ahmed, A., 2024. Primary prevention of stroke in high stroke risk populations: examining impact of modifiable risk factors and risk stratification in Older Adults and South Asians using two longitudinal cohorts (Doctoral dissertation, UCL (University College London)).</w:t>
      </w:r>
    </w:p>
    <w:p w14:paraId="1A0E8706"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Lauff, C.A., Kotys-Schwartz, D. and Rentschler, M.E., 2018. What is a Prototype? What are the Roles of Prototypes in Companies?. Journal of Mechanical Design, 140(6), p.061102. Available at: </w:t>
      </w:r>
      <w:hyperlink r:id="rId17" w:history="1">
        <w:r w:rsidRPr="008603B5">
          <w:rPr>
            <w:rFonts w:eastAsia="Calibri"/>
            <w:color w:val="0563C1"/>
            <w:kern w:val="2"/>
            <w:u w:val="single"/>
            <w:lang w:val="en-GB"/>
            <w14:ligatures w14:val="standardContextual"/>
          </w:rPr>
          <w:t>https://www.researchgate.net/profile/Carlye-Lauff/publication/323198004_What_is_a_Prototype_What_are_the_Roles_of_Prototypes_in_Companies/links/5bd023bfa6fdcc204a0366c6/What-is-a-Prototype-What-are-the-Roles-of-Prototypes-in-Companies.pdf</w:t>
        </w:r>
      </w:hyperlink>
      <w:r w:rsidRPr="008603B5">
        <w:rPr>
          <w:rFonts w:eastAsia="Calibri"/>
          <w:kern w:val="2"/>
          <w:lang w:val="en-GB"/>
          <w14:ligatures w14:val="standardContextual"/>
        </w:rPr>
        <w:t xml:space="preserve"> (Accessed: 20th July, 2026)</w:t>
      </w:r>
    </w:p>
    <w:p w14:paraId="3A5EAAF3" w14:textId="77777777" w:rsidR="00992D4C" w:rsidRPr="008603B5" w:rsidRDefault="00992D4C" w:rsidP="009F5A9D">
      <w:pPr>
        <w:spacing w:line="360" w:lineRule="auto"/>
        <w:jc w:val="both"/>
      </w:pPr>
      <w:r>
        <w:t xml:space="preserve">Marin, D.B., O’Rourke, M., Chen, J., Patel, S., Ahmed, R., Thompson, L. and Green, P. (2025) ‘Artificial intelligence-supported personalised interventions for dementia care: a care-home implementation study’, medRxiv. Available at: </w:t>
      </w:r>
      <w:hyperlink r:id="rId18" w:history="1">
        <w:r w:rsidRPr="000934C7">
          <w:rPr>
            <w:rStyle w:val="Hyperlink"/>
          </w:rPr>
          <w:t>https://www.medrxiv.org/content/10.1101/2024.11.21.24317699v2</w:t>
        </w:r>
      </w:hyperlink>
      <w:r>
        <w:t xml:space="preserve"> (Accessed: 22 July 2026).</w:t>
      </w:r>
    </w:p>
    <w:p w14:paraId="5CD107D7"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National Institute for Health and Care Excellence (NICE) (n.d.) Artificial intelligence (AI) and digital regulations service. Available at: </w:t>
      </w:r>
      <w:hyperlink r:id="rId19" w:history="1">
        <w:r w:rsidRPr="008603B5">
          <w:rPr>
            <w:rFonts w:eastAsia="Calibri"/>
            <w:color w:val="0563C1"/>
            <w:kern w:val="2"/>
            <w:u w:val="single"/>
            <w:lang w:val="en-GB"/>
            <w14:ligatures w14:val="standardContextual"/>
          </w:rPr>
          <w:t>https://www.nice.org.uk/what-nice-does/digital-health/artificial-intelligence-ai-and-digital-regulations-service</w:t>
        </w:r>
      </w:hyperlink>
      <w:r w:rsidRPr="008603B5">
        <w:rPr>
          <w:rFonts w:eastAsia="Calibri"/>
          <w:kern w:val="2"/>
          <w:lang w:val="en-GB"/>
          <w14:ligatures w14:val="standardContextual"/>
        </w:rPr>
        <w:t xml:space="preserve"> (Accessed: 20 July 2026).</w:t>
      </w:r>
    </w:p>
    <w:p w14:paraId="5A269B98"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NHS England (2019) The NHS long term plan. London: NHS England. Available at:  </w:t>
      </w:r>
      <w:hyperlink r:id="rId20" w:history="1">
        <w:r w:rsidRPr="008603B5">
          <w:rPr>
            <w:rFonts w:eastAsia="Calibri"/>
            <w:color w:val="0563C1"/>
            <w:kern w:val="2"/>
            <w:u w:val="single"/>
            <w:lang w:val="en-GB"/>
            <w14:ligatures w14:val="standardContextual"/>
          </w:rPr>
          <w:t>https://webarchive.nationalarchives.gov.uk/ukgwa/20250506042016mp_/https://www.longtermplan.nhs.uk/wp-content/uploads/2019/08/nhs-long-term-plan-version-1.2.pdf</w:t>
        </w:r>
      </w:hyperlink>
      <w:r w:rsidRPr="008603B5">
        <w:rPr>
          <w:rFonts w:eastAsia="Calibri"/>
          <w:kern w:val="2"/>
          <w:lang w:val="en-GB"/>
          <w14:ligatures w14:val="standardContextual"/>
        </w:rPr>
        <w:t xml:space="preserve"> (Accessed: 20th July, 2026)</w:t>
      </w:r>
    </w:p>
    <w:p w14:paraId="162C03EB"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NHS England (2023) Social prescribing. Available at: </w:t>
      </w:r>
      <w:hyperlink r:id="rId21" w:history="1">
        <w:r w:rsidRPr="008603B5">
          <w:rPr>
            <w:rFonts w:eastAsia="Calibri"/>
            <w:color w:val="0563C1"/>
            <w:kern w:val="2"/>
            <w:u w:val="single"/>
            <w:lang w:val="en-GB"/>
            <w14:ligatures w14:val="standardContextual"/>
          </w:rPr>
          <w:t>https://www.england.nhs.uk/personalisedcare/social-prescribing</w:t>
        </w:r>
      </w:hyperlink>
      <w:r w:rsidRPr="008603B5">
        <w:rPr>
          <w:rFonts w:eastAsia="Calibri"/>
          <w:kern w:val="2"/>
          <w:lang w:val="en-GB"/>
          <w14:ligatures w14:val="standardContextual"/>
        </w:rPr>
        <w:t xml:space="preserve"> (Accessed: 1 July 2026).</w:t>
      </w:r>
    </w:p>
    <w:p w14:paraId="319EFEDA"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NICE (2022) Evidence standards framework for digital health technologies. London: National Institute for Health and Care Excellence. Available at: </w:t>
      </w:r>
      <w:hyperlink r:id="rId22" w:history="1">
        <w:r w:rsidRPr="008603B5">
          <w:rPr>
            <w:rFonts w:eastAsia="Calibri"/>
            <w:color w:val="0563C1"/>
            <w:kern w:val="2"/>
            <w:u w:val="single"/>
            <w:lang w:val="en-GB"/>
            <w14:ligatures w14:val="standardContextual"/>
          </w:rPr>
          <w:t>https://www.nice.org.uk/what-nice-does/digital-health/evidence-standards-framework-esf-for-digital-health-technologies</w:t>
        </w:r>
      </w:hyperlink>
      <w:r w:rsidRPr="008603B5">
        <w:rPr>
          <w:rFonts w:eastAsia="Calibri"/>
          <w:kern w:val="2"/>
          <w:lang w:val="en-GB"/>
          <w14:ligatures w14:val="standardContextual"/>
        </w:rPr>
        <w:t xml:space="preserve"> (Accessed: 11 July 2026).</w:t>
      </w:r>
    </w:p>
    <w:p w14:paraId="3BA3B8AD"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Saver, J.L., 2006. Time is brain—quantified. Stroke, 37(1), pp.263-266.</w:t>
      </w:r>
    </w:p>
    <w:p w14:paraId="12F0A9A1"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Stroke Association (2023) Stroke statistics. Available at:  </w:t>
      </w:r>
      <w:hyperlink r:id="rId23" w:history="1">
        <w:r w:rsidRPr="008603B5">
          <w:rPr>
            <w:rFonts w:eastAsia="Calibri"/>
            <w:color w:val="0563C1"/>
            <w:kern w:val="2"/>
            <w:u w:val="single"/>
            <w:lang w:val="en-GB"/>
            <w14:ligatures w14:val="standardContextual"/>
          </w:rPr>
          <w:t>https://www.stroke.org.uk/stroke/statistics</w:t>
        </w:r>
      </w:hyperlink>
      <w:r w:rsidRPr="008603B5">
        <w:rPr>
          <w:rFonts w:eastAsia="Calibri"/>
          <w:kern w:val="2"/>
          <w:lang w:val="en-GB"/>
          <w14:ligatures w14:val="standardContextual"/>
        </w:rPr>
        <w:t xml:space="preserve"> (Accessed: 20th July, 2026)</w:t>
      </w:r>
    </w:p>
    <w:p w14:paraId="35A844BB"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The Medical Devices Regulations (2002) SI 2002/618. London: The Stationery Office. Available at: legislation.gov.uk (Accessed: 20 July 2026).</w:t>
      </w:r>
    </w:p>
    <w:p w14:paraId="1361791A" w14:textId="77777777" w:rsidR="00992D4C" w:rsidRPr="008603B5"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UK GDPR. 2018. UK General Data Protection Regulation. Available at: </w:t>
      </w:r>
      <w:hyperlink r:id="rId24" w:history="1">
        <w:r w:rsidRPr="008603B5">
          <w:rPr>
            <w:rFonts w:eastAsia="Calibri"/>
            <w:color w:val="0563C1"/>
            <w:kern w:val="2"/>
            <w:u w:val="single"/>
            <w:lang w:val="en-GB"/>
            <w14:ligatures w14:val="standardContextual"/>
          </w:rPr>
          <w:t>https://www.legislation.gov.uk/eur/2016/679</w:t>
        </w:r>
      </w:hyperlink>
      <w:r w:rsidRPr="008603B5">
        <w:rPr>
          <w:rFonts w:eastAsia="Calibri"/>
          <w:kern w:val="2"/>
          <w:lang w:val="en-GB"/>
          <w14:ligatures w14:val="standardContextual"/>
        </w:rPr>
        <w:t xml:space="preserve"> (Accessed: 1 July 2026).</w:t>
      </w:r>
    </w:p>
    <w:p w14:paraId="1D6F92A5" w14:textId="77777777" w:rsidR="00992D4C" w:rsidRDefault="00992D4C" w:rsidP="008603B5">
      <w:pPr>
        <w:spacing w:after="160" w:line="360" w:lineRule="auto"/>
        <w:jc w:val="both"/>
        <w:rPr>
          <w:rFonts w:eastAsia="Calibri"/>
          <w:kern w:val="2"/>
          <w:lang w:val="en-GB"/>
          <w14:ligatures w14:val="standardContextual"/>
        </w:rPr>
      </w:pPr>
      <w:r w:rsidRPr="008603B5">
        <w:rPr>
          <w:rFonts w:eastAsia="Calibri"/>
          <w:kern w:val="2"/>
          <w:lang w:val="en-GB"/>
          <w14:ligatures w14:val="standardContextual"/>
        </w:rPr>
        <w:t xml:space="preserve">Wang, X., Carcel, C., Woodward, M. and Schutte, A.E., 2022. Blood pressure and stroke: a review of sex-and ethnic/racial-specific attributes to the epidemiology, pathophysiology, and management of raised blood pressure. Stroke, 53(4), pp.1114-1133. Available at: </w:t>
      </w:r>
      <w:hyperlink r:id="rId25" w:history="1">
        <w:r w:rsidRPr="008603B5">
          <w:rPr>
            <w:rFonts w:eastAsia="Calibri"/>
            <w:color w:val="0563C1"/>
            <w:kern w:val="2"/>
            <w:u w:val="single"/>
            <w:lang w:val="en-GB"/>
            <w14:ligatures w14:val="standardContextual"/>
          </w:rPr>
          <w:t>https://www.ahajournals.org/doi/pdf/10.1161/STROKEAHA.121.035852</w:t>
        </w:r>
      </w:hyperlink>
      <w:r w:rsidRPr="008603B5">
        <w:rPr>
          <w:rFonts w:eastAsia="Calibri"/>
          <w:kern w:val="2"/>
          <w:lang w:val="en-GB"/>
          <w14:ligatures w14:val="standardContextual"/>
        </w:rPr>
        <w:t xml:space="preserve"> (Accessed: 20th July, 2026)</w:t>
      </w:r>
    </w:p>
    <w:p w14:paraId="5C598042" w14:textId="77777777" w:rsidR="00992D4C" w:rsidRPr="008603B5" w:rsidRDefault="00992D4C" w:rsidP="008603B5">
      <w:pPr>
        <w:spacing w:after="160" w:line="360" w:lineRule="auto"/>
        <w:jc w:val="both"/>
        <w:rPr>
          <w:rFonts w:eastAsia="Calibri"/>
          <w:kern w:val="2"/>
          <w:lang w:val="en-GB"/>
          <w14:ligatures w14:val="standardContextual"/>
        </w:rPr>
      </w:pPr>
      <w:r w:rsidRPr="00E94468">
        <w:t xml:space="preserve">World Stroke Organization (2021) </w:t>
      </w:r>
      <w:r w:rsidRPr="00E94468">
        <w:rPr>
          <w:i/>
          <w:iCs/>
        </w:rPr>
        <w:t>Stroke survivors in the United Kingdom shape stroke research to rebuild lives</w:t>
      </w:r>
      <w:r w:rsidRPr="00E94468">
        <w:t xml:space="preserve">. Available at: </w:t>
      </w:r>
      <w:hyperlink r:id="rId26" w:tgtFrame="_new" w:history="1">
        <w:r w:rsidRPr="00E94468">
          <w:rPr>
            <w:color w:val="0000FF"/>
            <w:u w:val="single"/>
          </w:rPr>
          <w:t>https://www.world-stroke.org/news-and-blog/blogs/stroke-survivors-in-the-united-kingdom-shape-stroke-research-to-rebuild-lives</w:t>
        </w:r>
      </w:hyperlink>
      <w:r w:rsidRPr="00E94468">
        <w:t xml:space="preserve"> (Accessed: 22 July 2026).</w:t>
      </w:r>
    </w:p>
    <w:sectPr w:rsidR="00992D4C" w:rsidRPr="008603B5" w:rsidSect="00B916FB">
      <w:pgSz w:w="11906" w:h="16838"/>
      <w:pgMar w:top="1200" w:right="1200" w:bottom="1200" w:left="1200" w:header="708" w:footer="708"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5117A" w14:textId="77777777" w:rsidR="00C133BF" w:rsidRDefault="00C133BF" w:rsidP="00B916FB">
      <w:r>
        <w:separator/>
      </w:r>
    </w:p>
  </w:endnote>
  <w:endnote w:type="continuationSeparator" w:id="0">
    <w:p w14:paraId="615905D0" w14:textId="77777777" w:rsidR="00C133BF" w:rsidRDefault="00C133BF" w:rsidP="00B91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2447566"/>
      <w:docPartObj>
        <w:docPartGallery w:val="Page Numbers (Bottom of Page)"/>
        <w:docPartUnique/>
      </w:docPartObj>
    </w:sdtPr>
    <w:sdtEndPr>
      <w:rPr>
        <w:noProof/>
      </w:rPr>
    </w:sdtEndPr>
    <w:sdtContent>
      <w:p w14:paraId="2DB7A0CB" w14:textId="626BC1B4" w:rsidR="00B916FB" w:rsidRDefault="00B916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33BF61" w14:textId="77777777" w:rsidR="00B916FB" w:rsidRDefault="00B916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1837149"/>
      <w:docPartObj>
        <w:docPartGallery w:val="Page Numbers (Bottom of Page)"/>
        <w:docPartUnique/>
      </w:docPartObj>
    </w:sdtPr>
    <w:sdtEndPr>
      <w:rPr>
        <w:noProof/>
      </w:rPr>
    </w:sdtEndPr>
    <w:sdtContent>
      <w:p w14:paraId="6C325FAF" w14:textId="13EDE3D3" w:rsidR="00B916FB" w:rsidRDefault="00B916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41038F" w14:textId="77777777" w:rsidR="00B916FB" w:rsidRDefault="00B91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5F3AD" w14:textId="77777777" w:rsidR="00C133BF" w:rsidRDefault="00C133BF" w:rsidP="00B916FB">
      <w:r>
        <w:separator/>
      </w:r>
    </w:p>
  </w:footnote>
  <w:footnote w:type="continuationSeparator" w:id="0">
    <w:p w14:paraId="6C4460D6" w14:textId="77777777" w:rsidR="00C133BF" w:rsidRDefault="00C133BF" w:rsidP="00B916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06A6D"/>
    <w:multiLevelType w:val="hybridMultilevel"/>
    <w:tmpl w:val="282C7FCC"/>
    <w:lvl w:ilvl="0" w:tplc="309C20AE">
      <w:start w:val="1"/>
      <w:numFmt w:val="bullet"/>
      <w:lvlText w:val="●"/>
      <w:lvlJc w:val="left"/>
      <w:pPr>
        <w:ind w:left="720" w:hanging="360"/>
      </w:pPr>
    </w:lvl>
    <w:lvl w:ilvl="1" w:tplc="10B8BB88">
      <w:start w:val="1"/>
      <w:numFmt w:val="bullet"/>
      <w:lvlText w:val="○"/>
      <w:lvlJc w:val="left"/>
      <w:pPr>
        <w:ind w:left="1440" w:hanging="360"/>
      </w:pPr>
    </w:lvl>
    <w:lvl w:ilvl="2" w:tplc="DFD470FA">
      <w:start w:val="1"/>
      <w:numFmt w:val="bullet"/>
      <w:lvlText w:val="■"/>
      <w:lvlJc w:val="left"/>
      <w:pPr>
        <w:ind w:left="2160" w:hanging="360"/>
      </w:pPr>
    </w:lvl>
    <w:lvl w:ilvl="3" w:tplc="94809462">
      <w:start w:val="1"/>
      <w:numFmt w:val="bullet"/>
      <w:lvlText w:val="●"/>
      <w:lvlJc w:val="left"/>
      <w:pPr>
        <w:ind w:left="2880" w:hanging="360"/>
      </w:pPr>
    </w:lvl>
    <w:lvl w:ilvl="4" w:tplc="F328DBD6">
      <w:start w:val="1"/>
      <w:numFmt w:val="bullet"/>
      <w:lvlText w:val="○"/>
      <w:lvlJc w:val="left"/>
      <w:pPr>
        <w:ind w:left="3600" w:hanging="360"/>
      </w:pPr>
    </w:lvl>
    <w:lvl w:ilvl="5" w:tplc="1B2CED34">
      <w:start w:val="1"/>
      <w:numFmt w:val="bullet"/>
      <w:lvlText w:val="■"/>
      <w:lvlJc w:val="left"/>
      <w:pPr>
        <w:ind w:left="4320" w:hanging="360"/>
      </w:pPr>
    </w:lvl>
    <w:lvl w:ilvl="6" w:tplc="7A5460E0">
      <w:start w:val="1"/>
      <w:numFmt w:val="bullet"/>
      <w:lvlText w:val="●"/>
      <w:lvlJc w:val="left"/>
      <w:pPr>
        <w:ind w:left="5040" w:hanging="360"/>
      </w:pPr>
    </w:lvl>
    <w:lvl w:ilvl="7" w:tplc="F4285CB4">
      <w:start w:val="1"/>
      <w:numFmt w:val="bullet"/>
      <w:lvlText w:val="●"/>
      <w:lvlJc w:val="left"/>
      <w:pPr>
        <w:ind w:left="5760" w:hanging="360"/>
      </w:pPr>
    </w:lvl>
    <w:lvl w:ilvl="8" w:tplc="CB448C6A">
      <w:start w:val="1"/>
      <w:numFmt w:val="bullet"/>
      <w:lvlText w:val="●"/>
      <w:lvlJc w:val="left"/>
      <w:pPr>
        <w:ind w:left="6480" w:hanging="360"/>
      </w:pPr>
    </w:lvl>
  </w:abstractNum>
  <w:num w:numId="1" w16cid:durableId="97367558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47A"/>
    <w:rsid w:val="00006014"/>
    <w:rsid w:val="00022657"/>
    <w:rsid w:val="00047C78"/>
    <w:rsid w:val="000F48C6"/>
    <w:rsid w:val="00107895"/>
    <w:rsid w:val="00187AF6"/>
    <w:rsid w:val="00194FE1"/>
    <w:rsid w:val="001A6454"/>
    <w:rsid w:val="001D0B4F"/>
    <w:rsid w:val="001E79A6"/>
    <w:rsid w:val="001F3D2D"/>
    <w:rsid w:val="00200807"/>
    <w:rsid w:val="00257671"/>
    <w:rsid w:val="00276E87"/>
    <w:rsid w:val="002817AC"/>
    <w:rsid w:val="002E6498"/>
    <w:rsid w:val="00301390"/>
    <w:rsid w:val="00355F95"/>
    <w:rsid w:val="00382D91"/>
    <w:rsid w:val="003F3C05"/>
    <w:rsid w:val="00402E35"/>
    <w:rsid w:val="0048079F"/>
    <w:rsid w:val="00493352"/>
    <w:rsid w:val="004E1CB8"/>
    <w:rsid w:val="005A1501"/>
    <w:rsid w:val="005A22B3"/>
    <w:rsid w:val="00615C8D"/>
    <w:rsid w:val="00637D84"/>
    <w:rsid w:val="006733D2"/>
    <w:rsid w:val="006B6D45"/>
    <w:rsid w:val="006D07FD"/>
    <w:rsid w:val="006E203B"/>
    <w:rsid w:val="006F67C7"/>
    <w:rsid w:val="00777F6E"/>
    <w:rsid w:val="00793F16"/>
    <w:rsid w:val="007C5763"/>
    <w:rsid w:val="00811E04"/>
    <w:rsid w:val="008603B5"/>
    <w:rsid w:val="008624FD"/>
    <w:rsid w:val="00875227"/>
    <w:rsid w:val="0088375D"/>
    <w:rsid w:val="00894974"/>
    <w:rsid w:val="008B57E3"/>
    <w:rsid w:val="008D427E"/>
    <w:rsid w:val="008E7063"/>
    <w:rsid w:val="009518A0"/>
    <w:rsid w:val="00951F7E"/>
    <w:rsid w:val="0095247A"/>
    <w:rsid w:val="009649E1"/>
    <w:rsid w:val="00971D9A"/>
    <w:rsid w:val="00992D4C"/>
    <w:rsid w:val="009947B1"/>
    <w:rsid w:val="009A198B"/>
    <w:rsid w:val="009F5A9D"/>
    <w:rsid w:val="00A13281"/>
    <w:rsid w:val="00A56A3D"/>
    <w:rsid w:val="00A749F6"/>
    <w:rsid w:val="00A81D00"/>
    <w:rsid w:val="00A87178"/>
    <w:rsid w:val="00AE0C9C"/>
    <w:rsid w:val="00B916FB"/>
    <w:rsid w:val="00BA22AB"/>
    <w:rsid w:val="00BB07DD"/>
    <w:rsid w:val="00BC7643"/>
    <w:rsid w:val="00BE0034"/>
    <w:rsid w:val="00C133BF"/>
    <w:rsid w:val="00C27AFF"/>
    <w:rsid w:val="00C96B0F"/>
    <w:rsid w:val="00C96C50"/>
    <w:rsid w:val="00CB0522"/>
    <w:rsid w:val="00CB6BAC"/>
    <w:rsid w:val="00D21075"/>
    <w:rsid w:val="00D263B8"/>
    <w:rsid w:val="00D5615D"/>
    <w:rsid w:val="00D61843"/>
    <w:rsid w:val="00D638D4"/>
    <w:rsid w:val="00D65ADA"/>
    <w:rsid w:val="00DE30D8"/>
    <w:rsid w:val="00DF1B38"/>
    <w:rsid w:val="00E054CB"/>
    <w:rsid w:val="00E54320"/>
    <w:rsid w:val="00E601E1"/>
    <w:rsid w:val="00E720CA"/>
    <w:rsid w:val="00E94468"/>
    <w:rsid w:val="00EA70BD"/>
    <w:rsid w:val="00EB4F47"/>
    <w:rsid w:val="00F02653"/>
    <w:rsid w:val="00F92A92"/>
    <w:rsid w:val="1AC52604"/>
    <w:rsid w:val="31C163B8"/>
    <w:rsid w:val="57A73616"/>
    <w:rsid w:val="5E0EA778"/>
    <w:rsid w:val="5EDD9C2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44CAF"/>
  <w15:docId w15:val="{47293212-134D-4144-A922-6BFD44803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40"/>
      <w:outlineLvl w:val="0"/>
    </w:pPr>
    <w:rPr>
      <w:b/>
      <w:bCs/>
      <w:color w:val="1F3A5F"/>
      <w:sz w:val="26"/>
      <w:szCs w:val="26"/>
    </w:rPr>
  </w:style>
  <w:style w:type="paragraph" w:styleId="Heading2">
    <w:name w:val="heading 2"/>
    <w:uiPriority w:val="9"/>
    <w:unhideWhenUsed/>
    <w:qFormat/>
    <w:pPr>
      <w:spacing w:before="220" w:after="100"/>
      <w:outlineLvl w:val="1"/>
    </w:pPr>
    <w:rPr>
      <w:b/>
      <w:bCs/>
      <w:color w:val="1A7A6E"/>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88375D"/>
    <w:rPr>
      <w:color w:val="605E5C"/>
      <w:shd w:val="clear" w:color="auto" w:fill="E1DFDD"/>
    </w:rPr>
  </w:style>
  <w:style w:type="character" w:styleId="FollowedHyperlink">
    <w:name w:val="FollowedHyperlink"/>
    <w:basedOn w:val="DefaultParagraphFont"/>
    <w:uiPriority w:val="99"/>
    <w:semiHidden/>
    <w:unhideWhenUsed/>
    <w:rsid w:val="00E601E1"/>
    <w:rPr>
      <w:color w:val="954F72" w:themeColor="followedHyperlink"/>
      <w:u w:val="single"/>
    </w:rPr>
  </w:style>
  <w:style w:type="paragraph" w:styleId="Caption">
    <w:name w:val="caption"/>
    <w:basedOn w:val="Normal"/>
    <w:next w:val="Normal"/>
    <w:uiPriority w:val="35"/>
    <w:unhideWhenUsed/>
    <w:qFormat/>
    <w:rsid w:val="00257671"/>
    <w:pPr>
      <w:spacing w:after="200"/>
    </w:pPr>
    <w:rPr>
      <w:i/>
      <w:iCs/>
      <w:color w:val="44546A" w:themeColor="text2"/>
      <w:sz w:val="18"/>
      <w:szCs w:val="18"/>
    </w:rPr>
  </w:style>
  <w:style w:type="paragraph" w:styleId="Header">
    <w:name w:val="header"/>
    <w:basedOn w:val="Normal"/>
    <w:link w:val="HeaderChar"/>
    <w:uiPriority w:val="99"/>
    <w:unhideWhenUsed/>
    <w:rsid w:val="00B916FB"/>
    <w:pPr>
      <w:tabs>
        <w:tab w:val="center" w:pos="4680"/>
        <w:tab w:val="right" w:pos="9360"/>
      </w:tabs>
    </w:pPr>
  </w:style>
  <w:style w:type="character" w:customStyle="1" w:styleId="HeaderChar">
    <w:name w:val="Header Char"/>
    <w:basedOn w:val="DefaultParagraphFont"/>
    <w:link w:val="Header"/>
    <w:uiPriority w:val="99"/>
    <w:rsid w:val="00B916FB"/>
  </w:style>
  <w:style w:type="paragraph" w:styleId="Footer">
    <w:name w:val="footer"/>
    <w:basedOn w:val="Normal"/>
    <w:link w:val="FooterChar"/>
    <w:uiPriority w:val="99"/>
    <w:unhideWhenUsed/>
    <w:rsid w:val="00B916FB"/>
    <w:pPr>
      <w:tabs>
        <w:tab w:val="center" w:pos="4680"/>
        <w:tab w:val="right" w:pos="9360"/>
      </w:tabs>
    </w:pPr>
  </w:style>
  <w:style w:type="character" w:customStyle="1" w:styleId="FooterChar">
    <w:name w:val="Footer Char"/>
    <w:basedOn w:val="DefaultParagraphFont"/>
    <w:link w:val="Footer"/>
    <w:uiPriority w:val="99"/>
    <w:rsid w:val="00B916FB"/>
  </w:style>
  <w:style w:type="paragraph" w:styleId="TOCHeading">
    <w:name w:val="TOC Heading"/>
    <w:basedOn w:val="Heading1"/>
    <w:next w:val="Normal"/>
    <w:uiPriority w:val="39"/>
    <w:unhideWhenUsed/>
    <w:qFormat/>
    <w:rsid w:val="00B916FB"/>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916FB"/>
    <w:pPr>
      <w:spacing w:after="100"/>
    </w:pPr>
  </w:style>
  <w:style w:type="paragraph" w:styleId="TOC2">
    <w:name w:val="toc 2"/>
    <w:basedOn w:val="Normal"/>
    <w:next w:val="Normal"/>
    <w:autoRedefine/>
    <w:uiPriority w:val="39"/>
    <w:unhideWhenUsed/>
    <w:rsid w:val="00B916FB"/>
    <w:pPr>
      <w:spacing w:after="100"/>
      <w:ind w:left="220"/>
    </w:pPr>
  </w:style>
  <w:style w:type="paragraph" w:styleId="TableofFigures">
    <w:name w:val="table of figures"/>
    <w:basedOn w:val="Normal"/>
    <w:next w:val="Normal"/>
    <w:uiPriority w:val="99"/>
    <w:unhideWhenUsed/>
    <w:rsid w:val="00B91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constor.eu/bitstream/10419/218433/1/sajbm-v41i1-0512.pdf" TargetMode="External"/><Relationship Id="rId18" Type="http://schemas.openxmlformats.org/officeDocument/2006/relationships/hyperlink" Target="https://www.medrxiv.org/content/10.1101/2024.11.21.24317699v2" TargetMode="External"/><Relationship Id="rId26" Type="http://schemas.openxmlformats.org/officeDocument/2006/relationships/hyperlink" Target="https://www.world-stroke.org/news-and-blog/blogs/stroke-survivors-in-the-united-kingdom-shape-stroke-research-to-rebuild-lives" TargetMode="External"/><Relationship Id="rId3" Type="http://schemas.openxmlformats.org/officeDocument/2006/relationships/styles" Target="styles.xml"/><Relationship Id="rId21" Type="http://schemas.openxmlformats.org/officeDocument/2006/relationships/hyperlink" Target="https://www.england.nhs.uk/personalisedcare/social-prescribing" TargetMode="External"/><Relationship Id="rId7" Type="http://schemas.openxmlformats.org/officeDocument/2006/relationships/endnotes" Target="endnotes.xml"/><Relationship Id="rId12" Type="http://schemas.openxmlformats.org/officeDocument/2006/relationships/hyperlink" Target="https://www.legislation.gov.uk/ukpga/2018/12/contents" TargetMode="External"/><Relationship Id="rId17" Type="http://schemas.openxmlformats.org/officeDocument/2006/relationships/hyperlink" Target="https://www.researchgate.net/profile/Carlye-Lauff/publication/323198004_What_is_a_Prototype_What_are_the_Roles_of_Prototypes_in_Companies/links/5bd023bfa6fdcc204a0366c6/What-is-a-Prototype-What-are-the-Roles-of-Prototypes-in-Companies.pdf" TargetMode="External"/><Relationship Id="rId25" Type="http://schemas.openxmlformats.org/officeDocument/2006/relationships/hyperlink" Target="https://www.ahajournals.org/doi/pdf/10.1161/STROKEAHA.121.035852" TargetMode="External"/><Relationship Id="rId2" Type="http://schemas.openxmlformats.org/officeDocument/2006/relationships/numbering" Target="numbering.xml"/><Relationship Id="rId16" Type="http://schemas.openxmlformats.org/officeDocument/2006/relationships/hyperlink" Target="https://pmc.ncbi.nlm.nih.gov/articles/PMC9891657/pdf/10072_2023_Article_6640.pdf" TargetMode="External"/><Relationship Id="rId20" Type="http://schemas.openxmlformats.org/officeDocument/2006/relationships/hyperlink" Target="https://webarchive.nationalarchives.gov.uk/ukgwa/20250506042016mp_/https://www.longtermplan.nhs.uk/wp-content/uploads/2019/08/nhs-long-term-plan-version-1.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24" Type="http://schemas.openxmlformats.org/officeDocument/2006/relationships/hyperlink" Target="https://www.legislation.gov.uk/eur/2016/679" TargetMode="Externa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www.stroke.org.uk/stroke/statistics"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nice.org.uk/what-nice-does/digital-health/artificial-intelligence-ai-and-digital-regulations-service"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differentstrokes.co.uk/blog/stroke-in-black-south-asian-people/?utm_source=chatgpt.com" TargetMode="External"/><Relationship Id="rId22" Type="http://schemas.openxmlformats.org/officeDocument/2006/relationships/hyperlink" Target="https://www.nice.org.uk/what-nice-does/digital-health/evidence-standards-framework-esf-for-digital-health-technologi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CB50D8-457E-48A6-908F-A93FE5FDB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2472</Words>
  <Characters>14094</Characters>
  <Application>Microsoft Office Word</Application>
  <DocSecurity>4</DocSecurity>
  <Lines>117</Lines>
  <Paragraphs>33</Paragraphs>
  <ScaleCrop>false</ScaleCrop>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Evelyn Alexander (2417638)</cp:lastModifiedBy>
  <cp:revision>4</cp:revision>
  <dcterms:created xsi:type="dcterms:W3CDTF">2026-08-13T08:54:00Z</dcterms:created>
  <dcterms:modified xsi:type="dcterms:W3CDTF">2026-08-13T08:59:00Z</dcterms:modified>
</cp:coreProperties>
</file>