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883059" w:rsidRDefault="00883059">
      <w:pPr>
        <w:spacing w:line="360" w:lineRule="auto"/>
        <w:jc w:val="center"/>
        <w:rPr>
          <w:b/>
          <w:sz w:val="32"/>
          <w:szCs w:val="32"/>
        </w:rPr>
      </w:pPr>
    </w:p>
    <w:p w14:paraId="00000002" w14:textId="77777777" w:rsidR="00883059" w:rsidRDefault="00883059">
      <w:pPr>
        <w:spacing w:line="360" w:lineRule="auto"/>
        <w:jc w:val="center"/>
        <w:rPr>
          <w:b/>
          <w:sz w:val="32"/>
          <w:szCs w:val="32"/>
        </w:rPr>
      </w:pPr>
    </w:p>
    <w:p w14:paraId="00000003" w14:textId="1DC25057" w:rsidR="00883059" w:rsidRDefault="00611A72">
      <w:pPr>
        <w:spacing w:line="360" w:lineRule="auto"/>
        <w:jc w:val="center"/>
        <w:rPr>
          <w:b/>
          <w:sz w:val="32"/>
          <w:szCs w:val="32"/>
        </w:rPr>
      </w:pPr>
      <w:r>
        <w:fldChar w:fldCharType="begin"/>
      </w:r>
      <w:r>
        <w:instrText xml:space="preserve"> INCLUDEPICTURE "https://encrypted-tbn0.gstatic.com/images?q=tbn:ANd9GcQrEgTFeN64ySJnKQJda8-t9eAsREGobN41GQ&amp;s" \* MERGEFORMATINET </w:instrText>
      </w:r>
      <w:r>
        <w:fldChar w:fldCharType="separate"/>
      </w:r>
      <w:r>
        <w:rPr>
          <w:noProof/>
        </w:rPr>
        <w:drawing>
          <wp:inline distT="0" distB="0" distL="0" distR="0" wp14:anchorId="0A435A84" wp14:editId="526E7D34">
            <wp:extent cx="3144982" cy="1255867"/>
            <wp:effectExtent l="0" t="0" r="5080" b="1905"/>
            <wp:docPr id="1007341708" name="Picture 1" descr="PREVENT Duty Polic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VENT Duty Polic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88975" cy="1273435"/>
                    </a:xfrm>
                    <a:prstGeom prst="rect">
                      <a:avLst/>
                    </a:prstGeom>
                    <a:noFill/>
                    <a:ln>
                      <a:noFill/>
                    </a:ln>
                  </pic:spPr>
                </pic:pic>
              </a:graphicData>
            </a:graphic>
          </wp:inline>
        </w:drawing>
      </w:r>
      <w:r>
        <w:fldChar w:fldCharType="end"/>
      </w:r>
    </w:p>
    <w:p w14:paraId="00000007" w14:textId="77777777" w:rsidR="00883059" w:rsidRDefault="00883059" w:rsidP="00611A72">
      <w:pPr>
        <w:spacing w:line="360" w:lineRule="auto"/>
        <w:rPr>
          <w:b/>
          <w:sz w:val="32"/>
          <w:szCs w:val="32"/>
        </w:rPr>
      </w:pPr>
    </w:p>
    <w:p w14:paraId="00000008" w14:textId="77777777" w:rsidR="00883059" w:rsidRDefault="00883059">
      <w:pPr>
        <w:spacing w:line="360" w:lineRule="auto"/>
        <w:jc w:val="center"/>
        <w:rPr>
          <w:b/>
          <w:sz w:val="32"/>
          <w:szCs w:val="32"/>
        </w:rPr>
      </w:pPr>
    </w:p>
    <w:p w14:paraId="00000009" w14:textId="77777777" w:rsidR="00883059" w:rsidRDefault="00883059">
      <w:pPr>
        <w:spacing w:line="360" w:lineRule="auto"/>
        <w:jc w:val="center"/>
        <w:rPr>
          <w:b/>
          <w:sz w:val="32"/>
          <w:szCs w:val="32"/>
        </w:rPr>
      </w:pPr>
    </w:p>
    <w:p w14:paraId="0000000A" w14:textId="77777777" w:rsidR="00883059" w:rsidRDefault="00055CF4">
      <w:pPr>
        <w:spacing w:line="360" w:lineRule="auto"/>
        <w:jc w:val="center"/>
        <w:rPr>
          <w:b/>
          <w:sz w:val="32"/>
          <w:szCs w:val="32"/>
        </w:rPr>
      </w:pPr>
      <w:r>
        <w:rPr>
          <w:b/>
          <w:sz w:val="32"/>
          <w:szCs w:val="32"/>
        </w:rPr>
        <w:t>PROGRAMME: BA (HONS) LEADERSHIP AND MANAGEMENT SKILLS FOR THE WORKPLACE</w:t>
      </w:r>
    </w:p>
    <w:p w14:paraId="0000000B" w14:textId="77777777" w:rsidR="00883059" w:rsidRDefault="00055CF4">
      <w:pPr>
        <w:spacing w:line="360" w:lineRule="auto"/>
        <w:jc w:val="center"/>
        <w:rPr>
          <w:b/>
          <w:sz w:val="32"/>
          <w:szCs w:val="32"/>
        </w:rPr>
      </w:pPr>
      <w:r>
        <w:rPr>
          <w:b/>
          <w:sz w:val="32"/>
          <w:szCs w:val="32"/>
        </w:rPr>
        <w:t>MODULE: DEVELOPING AND MANAGING INDIVIDUALS AND TEAMS</w:t>
      </w:r>
    </w:p>
    <w:p w14:paraId="0000000C" w14:textId="77777777" w:rsidR="00883059" w:rsidRDefault="00055CF4">
      <w:pPr>
        <w:spacing w:line="360" w:lineRule="auto"/>
        <w:jc w:val="center"/>
        <w:rPr>
          <w:b/>
          <w:sz w:val="32"/>
          <w:szCs w:val="32"/>
        </w:rPr>
      </w:pPr>
      <w:r>
        <w:rPr>
          <w:b/>
          <w:sz w:val="32"/>
          <w:szCs w:val="32"/>
        </w:rPr>
        <w:t>MODULE CODE: LCLM5002</w:t>
      </w:r>
    </w:p>
    <w:p w14:paraId="0000000D" w14:textId="77777777" w:rsidR="00883059" w:rsidRDefault="00883059">
      <w:pPr>
        <w:spacing w:line="360" w:lineRule="auto"/>
        <w:jc w:val="center"/>
        <w:rPr>
          <w:b/>
          <w:sz w:val="28"/>
          <w:szCs w:val="28"/>
        </w:rPr>
      </w:pPr>
    </w:p>
    <w:p w14:paraId="0000000E" w14:textId="45AA37E9" w:rsidR="00883059" w:rsidRDefault="00055CF4">
      <w:pPr>
        <w:spacing w:line="360" w:lineRule="auto"/>
        <w:jc w:val="center"/>
        <w:rPr>
          <w:b/>
          <w:sz w:val="28"/>
          <w:szCs w:val="28"/>
        </w:rPr>
      </w:pPr>
      <w:r>
        <w:rPr>
          <w:b/>
          <w:sz w:val="28"/>
          <w:szCs w:val="28"/>
        </w:rPr>
        <w:t>Student Name</w:t>
      </w:r>
      <w:r w:rsidR="00611A72">
        <w:rPr>
          <w:b/>
          <w:sz w:val="28"/>
          <w:szCs w:val="28"/>
        </w:rPr>
        <w:t xml:space="preserve">: </w:t>
      </w:r>
      <w:r w:rsidR="00611A72" w:rsidRPr="00611A72">
        <w:rPr>
          <w:b/>
          <w:sz w:val="28"/>
          <w:szCs w:val="28"/>
        </w:rPr>
        <w:t>Marian Enescu</w:t>
      </w:r>
    </w:p>
    <w:p w14:paraId="1F15FE25" w14:textId="382C6A0C" w:rsidR="00611A72" w:rsidRPr="00611A72" w:rsidRDefault="00611A72" w:rsidP="00611A72">
      <w:pPr>
        <w:pStyle w:val="Heading1"/>
        <w:shd w:val="clear" w:color="auto" w:fill="FFFFFF"/>
        <w:spacing w:before="0" w:after="0" w:line="360" w:lineRule="atLeast"/>
        <w:textAlignment w:val="center"/>
        <w:rPr>
          <w:rFonts w:ascii="Verdana" w:hAnsi="Verdana"/>
          <w:color w:val="292F37"/>
          <w:szCs w:val="28"/>
        </w:rPr>
      </w:pPr>
      <w:r>
        <w:rPr>
          <w:szCs w:val="28"/>
        </w:rPr>
        <w:t xml:space="preserve">                                   </w:t>
      </w:r>
      <w:r w:rsidR="00055CF4" w:rsidRPr="00611A72">
        <w:rPr>
          <w:szCs w:val="28"/>
        </w:rPr>
        <w:t>Student ID:</w:t>
      </w:r>
      <w:r w:rsidRPr="00611A72">
        <w:rPr>
          <w:rFonts w:ascii="Verdana" w:hAnsi="Verdana"/>
          <w:color w:val="292F37"/>
          <w:szCs w:val="28"/>
        </w:rPr>
        <w:t xml:space="preserve"> </w:t>
      </w:r>
      <w:r w:rsidRPr="00611A72">
        <w:rPr>
          <w:color w:val="292F37"/>
          <w:szCs w:val="28"/>
        </w:rPr>
        <w:t>2331652</w:t>
      </w:r>
    </w:p>
    <w:p w14:paraId="0000000F" w14:textId="29C392DB" w:rsidR="00883059" w:rsidRDefault="00055CF4">
      <w:pPr>
        <w:spacing w:line="360" w:lineRule="auto"/>
        <w:jc w:val="center"/>
        <w:rPr>
          <w:b/>
          <w:sz w:val="28"/>
          <w:szCs w:val="28"/>
        </w:rPr>
      </w:pPr>
      <w:r>
        <w:br w:type="page"/>
      </w:r>
    </w:p>
    <w:p w14:paraId="00000010" w14:textId="77777777" w:rsidR="00883059" w:rsidRDefault="00055CF4">
      <w:pPr>
        <w:spacing w:line="360" w:lineRule="auto"/>
        <w:jc w:val="center"/>
        <w:rPr>
          <w:b/>
          <w:sz w:val="28"/>
          <w:szCs w:val="28"/>
        </w:rPr>
      </w:pPr>
      <w:r>
        <w:rPr>
          <w:b/>
          <w:sz w:val="28"/>
          <w:szCs w:val="28"/>
        </w:rPr>
        <w:t>Abstract</w:t>
      </w:r>
    </w:p>
    <w:p w14:paraId="00000011" w14:textId="77777777" w:rsidR="00883059" w:rsidRDefault="00055CF4">
      <w:pPr>
        <w:spacing w:line="360" w:lineRule="auto"/>
        <w:jc w:val="both"/>
      </w:pPr>
      <w:r>
        <w:t>This report outlines the implications for the BT Group of disruption, digital technology, and agile working practices, from a critical perspective of human resource management (HRM) in a contemporary environment. Section 1 identifies the causes of disruption, including investing in cloud computing, artificial intelligence, collaboration tools, and hybrid work. Section 2 describes HRM practices such as frameworks for change management, reskilling programs, evidence-based HRM, and wellbeing that have the potential to mitigate and manage organisational disruption, but analyses their effectiveness and limitations. Section 3 provides a critical analysis of the role of managers in embedding human resource management HRM practices, calling for timely and effective leadership, consistency, and trust in management. The outcome of the analysis concludes that whilst HR practices have developed frameworks for responses to the disruption, their success will depend on managerial capability, inclusivity, and continual assessment. The recommendations emphasise reskilling, wellbeing, leadership capacity for hybrid working, and practical monitoring to integrate technological transformation into workforce sustainability.</w:t>
      </w:r>
    </w:p>
    <w:p w14:paraId="00000012" w14:textId="77777777" w:rsidR="00883059" w:rsidRDefault="00883059">
      <w:pPr>
        <w:spacing w:line="360" w:lineRule="auto"/>
        <w:jc w:val="both"/>
      </w:pPr>
    </w:p>
    <w:p w14:paraId="00000013" w14:textId="77777777" w:rsidR="00883059" w:rsidRDefault="00055CF4">
      <w:pPr>
        <w:spacing w:line="360" w:lineRule="auto"/>
        <w:jc w:val="both"/>
        <w:rPr>
          <w:b/>
          <w:sz w:val="28"/>
          <w:szCs w:val="28"/>
        </w:rPr>
      </w:pPr>
      <w:r>
        <w:br w:type="page"/>
      </w:r>
    </w:p>
    <w:sdt>
      <w:sdtPr>
        <w:rPr>
          <w:rFonts w:ascii="Arial" w:eastAsia="Arial" w:hAnsi="Arial" w:cs="Arial"/>
          <w:b w:val="0"/>
          <w:bCs w:val="0"/>
          <w:color w:val="auto"/>
          <w:sz w:val="36"/>
          <w:szCs w:val="22"/>
          <w:lang w:val="en" w:eastAsia="en-GB"/>
        </w:rPr>
        <w:id w:val="1206296948"/>
        <w:docPartObj>
          <w:docPartGallery w:val="Table of Contents"/>
          <w:docPartUnique/>
        </w:docPartObj>
      </w:sdtPr>
      <w:sdtEndPr>
        <w:rPr>
          <w:noProof/>
          <w:sz w:val="22"/>
        </w:rPr>
      </w:sdtEndPr>
      <w:sdtContent>
        <w:p w14:paraId="642030D6" w14:textId="692CE185" w:rsidR="00791A29" w:rsidRPr="00791A29" w:rsidRDefault="00791A29" w:rsidP="00791A29">
          <w:pPr>
            <w:pStyle w:val="TOCHeading"/>
            <w:spacing w:line="360" w:lineRule="auto"/>
            <w:jc w:val="center"/>
            <w:rPr>
              <w:rFonts w:ascii="Arial" w:hAnsi="Arial" w:cs="Arial"/>
              <w:color w:val="000000" w:themeColor="text1"/>
              <w:szCs w:val="22"/>
            </w:rPr>
          </w:pPr>
          <w:r w:rsidRPr="00791A29">
            <w:rPr>
              <w:rFonts w:ascii="Arial" w:hAnsi="Arial" w:cs="Arial"/>
              <w:color w:val="000000" w:themeColor="text1"/>
              <w:szCs w:val="22"/>
            </w:rPr>
            <w:t>Table of Contents</w:t>
          </w:r>
        </w:p>
        <w:p w14:paraId="1844F5EB" w14:textId="77777777" w:rsidR="00791A29" w:rsidRPr="00791A29" w:rsidRDefault="00791A29" w:rsidP="00791A29">
          <w:pPr>
            <w:pStyle w:val="TOC1"/>
            <w:tabs>
              <w:tab w:val="right" w:leader="dot" w:pos="9350"/>
            </w:tabs>
            <w:spacing w:line="360" w:lineRule="auto"/>
            <w:jc w:val="center"/>
            <w:rPr>
              <w:noProof/>
              <w:color w:val="000000" w:themeColor="text1"/>
            </w:rPr>
          </w:pPr>
          <w:r w:rsidRPr="00791A29">
            <w:rPr>
              <w:color w:val="000000" w:themeColor="text1"/>
            </w:rPr>
            <w:fldChar w:fldCharType="begin"/>
          </w:r>
          <w:r w:rsidRPr="00791A29">
            <w:rPr>
              <w:color w:val="000000" w:themeColor="text1"/>
            </w:rPr>
            <w:instrText xml:space="preserve"> TOC \o "1-3" \h \z \u </w:instrText>
          </w:r>
          <w:r w:rsidRPr="00791A29">
            <w:rPr>
              <w:color w:val="000000" w:themeColor="text1"/>
            </w:rPr>
            <w:fldChar w:fldCharType="separate"/>
          </w:r>
          <w:hyperlink w:anchor="_Toc210420277" w:history="1">
            <w:r w:rsidRPr="00791A29">
              <w:rPr>
                <w:rStyle w:val="Hyperlink"/>
                <w:noProof/>
                <w:color w:val="000000" w:themeColor="text1"/>
              </w:rPr>
              <w:t>1.0 Introduction</w:t>
            </w:r>
            <w:r w:rsidRPr="00791A29">
              <w:rPr>
                <w:noProof/>
                <w:webHidden/>
                <w:color w:val="000000" w:themeColor="text1"/>
              </w:rPr>
              <w:tab/>
            </w:r>
            <w:r w:rsidRPr="00791A29">
              <w:rPr>
                <w:noProof/>
                <w:webHidden/>
                <w:color w:val="000000" w:themeColor="text1"/>
              </w:rPr>
              <w:fldChar w:fldCharType="begin"/>
            </w:r>
            <w:r w:rsidRPr="00791A29">
              <w:rPr>
                <w:noProof/>
                <w:webHidden/>
                <w:color w:val="000000" w:themeColor="text1"/>
              </w:rPr>
              <w:instrText xml:space="preserve"> PAGEREF _Toc210420277 \h </w:instrText>
            </w:r>
            <w:r w:rsidRPr="00791A29">
              <w:rPr>
                <w:noProof/>
                <w:webHidden/>
                <w:color w:val="000000" w:themeColor="text1"/>
              </w:rPr>
            </w:r>
            <w:r w:rsidRPr="00791A29">
              <w:rPr>
                <w:noProof/>
                <w:webHidden/>
                <w:color w:val="000000" w:themeColor="text1"/>
              </w:rPr>
              <w:fldChar w:fldCharType="separate"/>
            </w:r>
            <w:r>
              <w:rPr>
                <w:noProof/>
                <w:webHidden/>
                <w:color w:val="000000" w:themeColor="text1"/>
              </w:rPr>
              <w:t>4</w:t>
            </w:r>
            <w:r w:rsidRPr="00791A29">
              <w:rPr>
                <w:noProof/>
                <w:webHidden/>
                <w:color w:val="000000" w:themeColor="text1"/>
              </w:rPr>
              <w:fldChar w:fldCharType="end"/>
            </w:r>
          </w:hyperlink>
        </w:p>
        <w:p w14:paraId="289B05D9" w14:textId="77777777" w:rsidR="00791A29" w:rsidRPr="00791A29" w:rsidRDefault="00791A29" w:rsidP="00791A29">
          <w:pPr>
            <w:pStyle w:val="TOC1"/>
            <w:tabs>
              <w:tab w:val="right" w:leader="dot" w:pos="9350"/>
            </w:tabs>
            <w:spacing w:line="360" w:lineRule="auto"/>
            <w:jc w:val="center"/>
            <w:rPr>
              <w:noProof/>
              <w:color w:val="000000" w:themeColor="text1"/>
            </w:rPr>
          </w:pPr>
          <w:hyperlink w:anchor="_Toc210420278" w:history="1">
            <w:r w:rsidRPr="00791A29">
              <w:rPr>
                <w:rStyle w:val="Hyperlink"/>
                <w:noProof/>
                <w:color w:val="000000" w:themeColor="text1"/>
              </w:rPr>
              <w:t>2.0 Explanation of specific factors related to business transformation, digital technology trends, and flexible working arrangements within the organisation</w:t>
            </w:r>
            <w:r w:rsidRPr="00791A29">
              <w:rPr>
                <w:noProof/>
                <w:webHidden/>
                <w:color w:val="000000" w:themeColor="text1"/>
              </w:rPr>
              <w:tab/>
            </w:r>
            <w:r w:rsidRPr="00791A29">
              <w:rPr>
                <w:noProof/>
                <w:webHidden/>
                <w:color w:val="000000" w:themeColor="text1"/>
              </w:rPr>
              <w:fldChar w:fldCharType="begin"/>
            </w:r>
            <w:r w:rsidRPr="00791A29">
              <w:rPr>
                <w:noProof/>
                <w:webHidden/>
                <w:color w:val="000000" w:themeColor="text1"/>
              </w:rPr>
              <w:instrText xml:space="preserve"> PAGEREF _Toc210420278 \h </w:instrText>
            </w:r>
            <w:r w:rsidRPr="00791A29">
              <w:rPr>
                <w:noProof/>
                <w:webHidden/>
                <w:color w:val="000000" w:themeColor="text1"/>
              </w:rPr>
            </w:r>
            <w:r w:rsidRPr="00791A29">
              <w:rPr>
                <w:noProof/>
                <w:webHidden/>
                <w:color w:val="000000" w:themeColor="text1"/>
              </w:rPr>
              <w:fldChar w:fldCharType="separate"/>
            </w:r>
            <w:r>
              <w:rPr>
                <w:noProof/>
                <w:webHidden/>
                <w:color w:val="000000" w:themeColor="text1"/>
              </w:rPr>
              <w:t>4</w:t>
            </w:r>
            <w:r w:rsidRPr="00791A29">
              <w:rPr>
                <w:noProof/>
                <w:webHidden/>
                <w:color w:val="000000" w:themeColor="text1"/>
              </w:rPr>
              <w:fldChar w:fldCharType="end"/>
            </w:r>
          </w:hyperlink>
        </w:p>
        <w:p w14:paraId="5E3C28A0" w14:textId="77777777" w:rsidR="00791A29" w:rsidRPr="00791A29" w:rsidRDefault="00791A29" w:rsidP="00791A29">
          <w:pPr>
            <w:pStyle w:val="TOC1"/>
            <w:tabs>
              <w:tab w:val="right" w:leader="dot" w:pos="9350"/>
            </w:tabs>
            <w:spacing w:line="360" w:lineRule="auto"/>
            <w:jc w:val="center"/>
            <w:rPr>
              <w:noProof/>
              <w:color w:val="000000" w:themeColor="text1"/>
            </w:rPr>
          </w:pPr>
          <w:hyperlink w:anchor="_Toc210420279" w:history="1">
            <w:r w:rsidRPr="00791A29">
              <w:rPr>
                <w:rStyle w:val="Hyperlink"/>
                <w:noProof/>
                <w:color w:val="000000" w:themeColor="text1"/>
              </w:rPr>
              <w:t>3.0 Evaluation of different contemporary HR practices to address each aforementioned factor</w:t>
            </w:r>
            <w:r w:rsidRPr="00791A29">
              <w:rPr>
                <w:noProof/>
                <w:webHidden/>
                <w:color w:val="000000" w:themeColor="text1"/>
              </w:rPr>
              <w:tab/>
            </w:r>
            <w:r w:rsidRPr="00791A29">
              <w:rPr>
                <w:noProof/>
                <w:webHidden/>
                <w:color w:val="000000" w:themeColor="text1"/>
              </w:rPr>
              <w:fldChar w:fldCharType="begin"/>
            </w:r>
            <w:r w:rsidRPr="00791A29">
              <w:rPr>
                <w:noProof/>
                <w:webHidden/>
                <w:color w:val="000000" w:themeColor="text1"/>
              </w:rPr>
              <w:instrText xml:space="preserve"> PAGEREF _Toc210420279 \h </w:instrText>
            </w:r>
            <w:r w:rsidRPr="00791A29">
              <w:rPr>
                <w:noProof/>
                <w:webHidden/>
                <w:color w:val="000000" w:themeColor="text1"/>
              </w:rPr>
            </w:r>
            <w:r w:rsidRPr="00791A29">
              <w:rPr>
                <w:noProof/>
                <w:webHidden/>
                <w:color w:val="000000" w:themeColor="text1"/>
              </w:rPr>
              <w:fldChar w:fldCharType="separate"/>
            </w:r>
            <w:r>
              <w:rPr>
                <w:noProof/>
                <w:webHidden/>
                <w:color w:val="000000" w:themeColor="text1"/>
              </w:rPr>
              <w:t>6</w:t>
            </w:r>
            <w:r w:rsidRPr="00791A29">
              <w:rPr>
                <w:noProof/>
                <w:webHidden/>
                <w:color w:val="000000" w:themeColor="text1"/>
              </w:rPr>
              <w:fldChar w:fldCharType="end"/>
            </w:r>
          </w:hyperlink>
        </w:p>
        <w:p w14:paraId="44EF7750" w14:textId="77777777" w:rsidR="00791A29" w:rsidRPr="00791A29" w:rsidRDefault="00791A29" w:rsidP="00791A29">
          <w:pPr>
            <w:pStyle w:val="TOC1"/>
            <w:tabs>
              <w:tab w:val="right" w:leader="dot" w:pos="9350"/>
            </w:tabs>
            <w:spacing w:line="360" w:lineRule="auto"/>
            <w:jc w:val="center"/>
            <w:rPr>
              <w:noProof/>
              <w:color w:val="000000" w:themeColor="text1"/>
            </w:rPr>
          </w:pPr>
          <w:hyperlink w:anchor="_Toc210420280" w:history="1">
            <w:r w:rsidRPr="00791A29">
              <w:rPr>
                <w:rStyle w:val="Hyperlink"/>
                <w:noProof/>
                <w:color w:val="000000" w:themeColor="text1"/>
              </w:rPr>
              <w:t>4.0 Critical evaluation of how departmental managers can ensure these contemporary practices are being implemented as a matter of urgency</w:t>
            </w:r>
            <w:r w:rsidRPr="00791A29">
              <w:rPr>
                <w:noProof/>
                <w:webHidden/>
                <w:color w:val="000000" w:themeColor="text1"/>
              </w:rPr>
              <w:tab/>
            </w:r>
            <w:r w:rsidRPr="00791A29">
              <w:rPr>
                <w:noProof/>
                <w:webHidden/>
                <w:color w:val="000000" w:themeColor="text1"/>
              </w:rPr>
              <w:fldChar w:fldCharType="begin"/>
            </w:r>
            <w:r w:rsidRPr="00791A29">
              <w:rPr>
                <w:noProof/>
                <w:webHidden/>
                <w:color w:val="000000" w:themeColor="text1"/>
              </w:rPr>
              <w:instrText xml:space="preserve"> PAGEREF _Toc210420280 \h </w:instrText>
            </w:r>
            <w:r w:rsidRPr="00791A29">
              <w:rPr>
                <w:noProof/>
                <w:webHidden/>
                <w:color w:val="000000" w:themeColor="text1"/>
              </w:rPr>
            </w:r>
            <w:r w:rsidRPr="00791A29">
              <w:rPr>
                <w:noProof/>
                <w:webHidden/>
                <w:color w:val="000000" w:themeColor="text1"/>
              </w:rPr>
              <w:fldChar w:fldCharType="separate"/>
            </w:r>
            <w:r>
              <w:rPr>
                <w:noProof/>
                <w:webHidden/>
                <w:color w:val="000000" w:themeColor="text1"/>
              </w:rPr>
              <w:t>8</w:t>
            </w:r>
            <w:r w:rsidRPr="00791A29">
              <w:rPr>
                <w:noProof/>
                <w:webHidden/>
                <w:color w:val="000000" w:themeColor="text1"/>
              </w:rPr>
              <w:fldChar w:fldCharType="end"/>
            </w:r>
          </w:hyperlink>
        </w:p>
        <w:p w14:paraId="31C11533" w14:textId="77777777" w:rsidR="00791A29" w:rsidRPr="00791A29" w:rsidRDefault="00791A29" w:rsidP="00791A29">
          <w:pPr>
            <w:pStyle w:val="TOC1"/>
            <w:tabs>
              <w:tab w:val="right" w:leader="dot" w:pos="9350"/>
            </w:tabs>
            <w:spacing w:line="360" w:lineRule="auto"/>
            <w:jc w:val="center"/>
            <w:rPr>
              <w:noProof/>
              <w:color w:val="000000" w:themeColor="text1"/>
            </w:rPr>
          </w:pPr>
          <w:hyperlink w:anchor="_Toc210420281" w:history="1">
            <w:r w:rsidRPr="00791A29">
              <w:rPr>
                <w:rStyle w:val="Hyperlink"/>
                <w:noProof/>
                <w:color w:val="000000" w:themeColor="text1"/>
              </w:rPr>
              <w:t>5.0 Recommendations</w:t>
            </w:r>
            <w:r w:rsidRPr="00791A29">
              <w:rPr>
                <w:noProof/>
                <w:webHidden/>
                <w:color w:val="000000" w:themeColor="text1"/>
              </w:rPr>
              <w:tab/>
            </w:r>
            <w:r w:rsidRPr="00791A29">
              <w:rPr>
                <w:noProof/>
                <w:webHidden/>
                <w:color w:val="000000" w:themeColor="text1"/>
              </w:rPr>
              <w:fldChar w:fldCharType="begin"/>
            </w:r>
            <w:r w:rsidRPr="00791A29">
              <w:rPr>
                <w:noProof/>
                <w:webHidden/>
                <w:color w:val="000000" w:themeColor="text1"/>
              </w:rPr>
              <w:instrText xml:space="preserve"> PAGEREF _Toc210420281 \h </w:instrText>
            </w:r>
            <w:r w:rsidRPr="00791A29">
              <w:rPr>
                <w:noProof/>
                <w:webHidden/>
                <w:color w:val="000000" w:themeColor="text1"/>
              </w:rPr>
            </w:r>
            <w:r w:rsidRPr="00791A29">
              <w:rPr>
                <w:noProof/>
                <w:webHidden/>
                <w:color w:val="000000" w:themeColor="text1"/>
              </w:rPr>
              <w:fldChar w:fldCharType="separate"/>
            </w:r>
            <w:r>
              <w:rPr>
                <w:noProof/>
                <w:webHidden/>
                <w:color w:val="000000" w:themeColor="text1"/>
              </w:rPr>
              <w:t>9</w:t>
            </w:r>
            <w:r w:rsidRPr="00791A29">
              <w:rPr>
                <w:noProof/>
                <w:webHidden/>
                <w:color w:val="000000" w:themeColor="text1"/>
              </w:rPr>
              <w:fldChar w:fldCharType="end"/>
            </w:r>
          </w:hyperlink>
        </w:p>
        <w:p w14:paraId="575716E6" w14:textId="77777777" w:rsidR="00791A29" w:rsidRPr="00791A29" w:rsidRDefault="00791A29" w:rsidP="00791A29">
          <w:pPr>
            <w:pStyle w:val="TOC1"/>
            <w:tabs>
              <w:tab w:val="right" w:leader="dot" w:pos="9350"/>
            </w:tabs>
            <w:spacing w:line="360" w:lineRule="auto"/>
            <w:jc w:val="center"/>
            <w:rPr>
              <w:noProof/>
              <w:color w:val="000000" w:themeColor="text1"/>
            </w:rPr>
          </w:pPr>
          <w:hyperlink w:anchor="_Toc210420282" w:history="1">
            <w:r w:rsidRPr="00791A29">
              <w:rPr>
                <w:rStyle w:val="Hyperlink"/>
                <w:noProof/>
                <w:color w:val="000000" w:themeColor="text1"/>
              </w:rPr>
              <w:t>6.0 Conclusion</w:t>
            </w:r>
            <w:r w:rsidRPr="00791A29">
              <w:rPr>
                <w:noProof/>
                <w:webHidden/>
                <w:color w:val="000000" w:themeColor="text1"/>
              </w:rPr>
              <w:tab/>
            </w:r>
            <w:r w:rsidRPr="00791A29">
              <w:rPr>
                <w:noProof/>
                <w:webHidden/>
                <w:color w:val="000000" w:themeColor="text1"/>
              </w:rPr>
              <w:fldChar w:fldCharType="begin"/>
            </w:r>
            <w:r w:rsidRPr="00791A29">
              <w:rPr>
                <w:noProof/>
                <w:webHidden/>
                <w:color w:val="000000" w:themeColor="text1"/>
              </w:rPr>
              <w:instrText xml:space="preserve"> PAGEREF _Toc210420282 \h </w:instrText>
            </w:r>
            <w:r w:rsidRPr="00791A29">
              <w:rPr>
                <w:noProof/>
                <w:webHidden/>
                <w:color w:val="000000" w:themeColor="text1"/>
              </w:rPr>
            </w:r>
            <w:r w:rsidRPr="00791A29">
              <w:rPr>
                <w:noProof/>
                <w:webHidden/>
                <w:color w:val="000000" w:themeColor="text1"/>
              </w:rPr>
              <w:fldChar w:fldCharType="separate"/>
            </w:r>
            <w:r>
              <w:rPr>
                <w:noProof/>
                <w:webHidden/>
                <w:color w:val="000000" w:themeColor="text1"/>
              </w:rPr>
              <w:t>9</w:t>
            </w:r>
            <w:r w:rsidRPr="00791A29">
              <w:rPr>
                <w:noProof/>
                <w:webHidden/>
                <w:color w:val="000000" w:themeColor="text1"/>
              </w:rPr>
              <w:fldChar w:fldCharType="end"/>
            </w:r>
          </w:hyperlink>
        </w:p>
        <w:p w14:paraId="4316596F" w14:textId="77777777" w:rsidR="00791A29" w:rsidRPr="00791A29" w:rsidRDefault="00791A29" w:rsidP="00791A29">
          <w:pPr>
            <w:pStyle w:val="TOC1"/>
            <w:tabs>
              <w:tab w:val="right" w:leader="dot" w:pos="9350"/>
            </w:tabs>
            <w:spacing w:line="360" w:lineRule="auto"/>
            <w:jc w:val="center"/>
            <w:rPr>
              <w:noProof/>
              <w:color w:val="000000" w:themeColor="text1"/>
            </w:rPr>
          </w:pPr>
          <w:hyperlink w:anchor="_Toc210420283" w:history="1">
            <w:r w:rsidRPr="00791A29">
              <w:rPr>
                <w:rStyle w:val="Hyperlink"/>
                <w:noProof/>
                <w:color w:val="000000" w:themeColor="text1"/>
              </w:rPr>
              <w:t>References</w:t>
            </w:r>
            <w:r w:rsidRPr="00791A29">
              <w:rPr>
                <w:noProof/>
                <w:webHidden/>
                <w:color w:val="000000" w:themeColor="text1"/>
              </w:rPr>
              <w:tab/>
            </w:r>
            <w:r w:rsidRPr="00791A29">
              <w:rPr>
                <w:noProof/>
                <w:webHidden/>
                <w:color w:val="000000" w:themeColor="text1"/>
              </w:rPr>
              <w:fldChar w:fldCharType="begin"/>
            </w:r>
            <w:r w:rsidRPr="00791A29">
              <w:rPr>
                <w:noProof/>
                <w:webHidden/>
                <w:color w:val="000000" w:themeColor="text1"/>
              </w:rPr>
              <w:instrText xml:space="preserve"> PAGEREF _Toc210420283 \h </w:instrText>
            </w:r>
            <w:r w:rsidRPr="00791A29">
              <w:rPr>
                <w:noProof/>
                <w:webHidden/>
                <w:color w:val="000000" w:themeColor="text1"/>
              </w:rPr>
            </w:r>
            <w:r w:rsidRPr="00791A29">
              <w:rPr>
                <w:noProof/>
                <w:webHidden/>
                <w:color w:val="000000" w:themeColor="text1"/>
              </w:rPr>
              <w:fldChar w:fldCharType="separate"/>
            </w:r>
            <w:r>
              <w:rPr>
                <w:noProof/>
                <w:webHidden/>
                <w:color w:val="000000" w:themeColor="text1"/>
              </w:rPr>
              <w:t>10</w:t>
            </w:r>
            <w:r w:rsidRPr="00791A29">
              <w:rPr>
                <w:noProof/>
                <w:webHidden/>
                <w:color w:val="000000" w:themeColor="text1"/>
              </w:rPr>
              <w:fldChar w:fldCharType="end"/>
            </w:r>
          </w:hyperlink>
        </w:p>
        <w:p w14:paraId="05441D1D" w14:textId="28344269" w:rsidR="00791A29" w:rsidRPr="00791A29" w:rsidRDefault="00791A29" w:rsidP="00791A29">
          <w:pPr>
            <w:spacing w:line="360" w:lineRule="auto"/>
            <w:jc w:val="center"/>
          </w:pPr>
          <w:r w:rsidRPr="00791A29">
            <w:rPr>
              <w:b/>
              <w:bCs/>
              <w:noProof/>
              <w:color w:val="000000" w:themeColor="text1"/>
            </w:rPr>
            <w:fldChar w:fldCharType="end"/>
          </w:r>
        </w:p>
      </w:sdtContent>
    </w:sdt>
    <w:p w14:paraId="211D8CEC" w14:textId="77777777" w:rsidR="00791A29" w:rsidRDefault="00791A29">
      <w:pPr>
        <w:spacing w:line="360" w:lineRule="auto"/>
        <w:jc w:val="both"/>
        <w:rPr>
          <w:b/>
          <w:sz w:val="28"/>
          <w:szCs w:val="28"/>
        </w:rPr>
      </w:pPr>
    </w:p>
    <w:p w14:paraId="05B3F3BC" w14:textId="77777777" w:rsidR="00791A29" w:rsidRDefault="00791A29">
      <w:pPr>
        <w:spacing w:line="360" w:lineRule="auto"/>
        <w:jc w:val="both"/>
        <w:rPr>
          <w:b/>
          <w:sz w:val="28"/>
          <w:szCs w:val="28"/>
        </w:rPr>
      </w:pPr>
    </w:p>
    <w:p w14:paraId="639A1709" w14:textId="77777777" w:rsidR="00791A29" w:rsidRDefault="00791A29">
      <w:pPr>
        <w:spacing w:line="360" w:lineRule="auto"/>
        <w:jc w:val="both"/>
        <w:rPr>
          <w:b/>
          <w:sz w:val="28"/>
          <w:szCs w:val="28"/>
        </w:rPr>
      </w:pPr>
    </w:p>
    <w:p w14:paraId="2972A6C3" w14:textId="77777777" w:rsidR="00791A29" w:rsidRDefault="00791A29">
      <w:pPr>
        <w:spacing w:line="360" w:lineRule="auto"/>
        <w:jc w:val="both"/>
        <w:rPr>
          <w:b/>
          <w:sz w:val="28"/>
          <w:szCs w:val="28"/>
        </w:rPr>
      </w:pPr>
    </w:p>
    <w:p w14:paraId="2E744F4C" w14:textId="77777777" w:rsidR="00791A29" w:rsidRDefault="00791A29">
      <w:pPr>
        <w:spacing w:line="360" w:lineRule="auto"/>
        <w:jc w:val="both"/>
        <w:rPr>
          <w:b/>
          <w:sz w:val="28"/>
          <w:szCs w:val="28"/>
        </w:rPr>
      </w:pPr>
    </w:p>
    <w:p w14:paraId="3F12E2E3" w14:textId="77777777" w:rsidR="00791A29" w:rsidRDefault="00791A29">
      <w:pPr>
        <w:spacing w:line="360" w:lineRule="auto"/>
        <w:jc w:val="both"/>
        <w:rPr>
          <w:b/>
          <w:sz w:val="28"/>
          <w:szCs w:val="28"/>
        </w:rPr>
      </w:pPr>
    </w:p>
    <w:p w14:paraId="5296F4DB" w14:textId="77777777" w:rsidR="00791A29" w:rsidRDefault="00791A29">
      <w:pPr>
        <w:spacing w:line="360" w:lineRule="auto"/>
        <w:jc w:val="both"/>
        <w:rPr>
          <w:b/>
          <w:sz w:val="28"/>
          <w:szCs w:val="28"/>
        </w:rPr>
      </w:pPr>
    </w:p>
    <w:p w14:paraId="043C5FF6" w14:textId="77777777" w:rsidR="00791A29" w:rsidRDefault="00791A29">
      <w:pPr>
        <w:spacing w:line="360" w:lineRule="auto"/>
        <w:jc w:val="both"/>
        <w:rPr>
          <w:b/>
          <w:sz w:val="28"/>
          <w:szCs w:val="28"/>
        </w:rPr>
      </w:pPr>
    </w:p>
    <w:p w14:paraId="1B3A1126" w14:textId="77777777" w:rsidR="00791A29" w:rsidRDefault="00791A29">
      <w:pPr>
        <w:spacing w:line="360" w:lineRule="auto"/>
        <w:jc w:val="both"/>
        <w:rPr>
          <w:b/>
          <w:sz w:val="28"/>
          <w:szCs w:val="28"/>
        </w:rPr>
      </w:pPr>
    </w:p>
    <w:p w14:paraId="1DB09BCC" w14:textId="77777777" w:rsidR="00791A29" w:rsidRDefault="00791A29">
      <w:pPr>
        <w:spacing w:line="360" w:lineRule="auto"/>
        <w:jc w:val="both"/>
        <w:rPr>
          <w:b/>
          <w:sz w:val="28"/>
          <w:szCs w:val="28"/>
        </w:rPr>
      </w:pPr>
    </w:p>
    <w:p w14:paraId="1B55B568" w14:textId="77777777" w:rsidR="00791A29" w:rsidRDefault="00791A29">
      <w:pPr>
        <w:spacing w:line="360" w:lineRule="auto"/>
        <w:jc w:val="both"/>
        <w:rPr>
          <w:b/>
          <w:sz w:val="28"/>
          <w:szCs w:val="28"/>
        </w:rPr>
      </w:pPr>
    </w:p>
    <w:p w14:paraId="421D1785" w14:textId="77777777" w:rsidR="00791A29" w:rsidRDefault="00791A29">
      <w:pPr>
        <w:spacing w:line="360" w:lineRule="auto"/>
        <w:jc w:val="both"/>
        <w:rPr>
          <w:b/>
          <w:sz w:val="28"/>
          <w:szCs w:val="28"/>
        </w:rPr>
      </w:pPr>
    </w:p>
    <w:p w14:paraId="711C20C1" w14:textId="77777777" w:rsidR="00791A29" w:rsidRDefault="00791A29">
      <w:pPr>
        <w:spacing w:line="360" w:lineRule="auto"/>
        <w:jc w:val="both"/>
        <w:rPr>
          <w:b/>
          <w:sz w:val="28"/>
          <w:szCs w:val="28"/>
        </w:rPr>
      </w:pPr>
    </w:p>
    <w:p w14:paraId="5F218B57" w14:textId="77777777" w:rsidR="00791A29" w:rsidRDefault="00791A29">
      <w:pPr>
        <w:spacing w:line="360" w:lineRule="auto"/>
        <w:jc w:val="both"/>
        <w:rPr>
          <w:b/>
          <w:sz w:val="28"/>
          <w:szCs w:val="28"/>
        </w:rPr>
      </w:pPr>
    </w:p>
    <w:p w14:paraId="24EB72C8" w14:textId="77777777" w:rsidR="00791A29" w:rsidRDefault="00791A29">
      <w:pPr>
        <w:spacing w:line="360" w:lineRule="auto"/>
        <w:jc w:val="both"/>
        <w:rPr>
          <w:b/>
          <w:sz w:val="28"/>
          <w:szCs w:val="28"/>
        </w:rPr>
      </w:pPr>
    </w:p>
    <w:p w14:paraId="00000014" w14:textId="77777777" w:rsidR="00883059" w:rsidRDefault="00055CF4" w:rsidP="00791A29">
      <w:pPr>
        <w:pStyle w:val="Heading1"/>
      </w:pPr>
      <w:bookmarkStart w:id="0" w:name="_Toc210420277"/>
      <w:r>
        <w:t>1.0 Introduction</w:t>
      </w:r>
      <w:bookmarkEnd w:id="0"/>
      <w:r>
        <w:t xml:space="preserve"> </w:t>
      </w:r>
    </w:p>
    <w:p w14:paraId="00000015" w14:textId="5E3A693D" w:rsidR="00883059" w:rsidRDefault="00055CF4">
      <w:pPr>
        <w:spacing w:line="360" w:lineRule="auto"/>
        <w:jc w:val="both"/>
      </w:pPr>
      <w:r>
        <w:t xml:space="preserve">As a member of the HR department representing BT Group ‘British Telecommunications’ (which is a British multinational telecommunications organisation) operating out of London, the recruit </w:t>
      </w:r>
      <w:r w:rsidRPr="0065219B">
        <w:rPr>
          <w:color w:val="000000" w:themeColor="text1"/>
        </w:rPr>
        <w:t xml:space="preserve">identified a plethora of employee grievances which reared their head during the initial month of employment. </w:t>
      </w:r>
      <w:r w:rsidR="0065219B" w:rsidRPr="0065219B">
        <w:rPr>
          <w:color w:val="000000" w:themeColor="text1"/>
        </w:rPr>
        <w:t>This could be attributed to digital transformation, which was linked to flexible working arrangements, seeking to redefine operational practices, experience and expectations of employees. The report will seek to address the above considerations, particularly by exploring particular contemporary HR practices and considering the involvement of departmental managers during states of urgency regarding shaping the above challenges. Based on this discussion, some recommendations will also be posed.</w:t>
      </w:r>
    </w:p>
    <w:p w14:paraId="00000016" w14:textId="77777777" w:rsidR="00883059" w:rsidRDefault="00055CF4" w:rsidP="00791A29">
      <w:pPr>
        <w:pStyle w:val="Heading1"/>
      </w:pPr>
      <w:bookmarkStart w:id="1" w:name="_Toc210420278"/>
      <w:r>
        <w:t>2.0 Explanation of specific factors related to business transformation, digital technology trends, and flexible working arrangements within the organisation</w:t>
      </w:r>
      <w:bookmarkEnd w:id="1"/>
      <w:r>
        <w:t xml:space="preserve"> </w:t>
      </w:r>
    </w:p>
    <w:p w14:paraId="00000017" w14:textId="77777777" w:rsidR="00883059" w:rsidRDefault="00055CF4">
      <w:pPr>
        <w:spacing w:line="360" w:lineRule="auto"/>
        <w:jc w:val="both"/>
        <w:rPr>
          <w:b/>
          <w:u w:val="single"/>
        </w:rPr>
      </w:pPr>
      <w:r>
        <w:rPr>
          <w:b/>
          <w:u w:val="single"/>
        </w:rPr>
        <w:t>In terms of business transformation, considering the BT Group</w:t>
      </w:r>
    </w:p>
    <w:p w14:paraId="00000018" w14:textId="53A5A7EE" w:rsidR="00883059" w:rsidRPr="0065219B" w:rsidRDefault="00055CF4">
      <w:pPr>
        <w:spacing w:line="360" w:lineRule="auto"/>
        <w:jc w:val="both"/>
        <w:rPr>
          <w:color w:val="000000" w:themeColor="text1"/>
        </w:rPr>
      </w:pPr>
      <w:r w:rsidRPr="0065219B">
        <w:rPr>
          <w:color w:val="000000" w:themeColor="text1"/>
        </w:rPr>
        <w:t>According to O'Brien et al. (2025), digital transformation propels human resource practices through developments in workforce strategy through automation processes, big data technology and cloud computing technologies that enable the organisation to rethink their operational and people-management practices (Beer, 2022).</w:t>
      </w:r>
    </w:p>
    <w:p w14:paraId="00000019" w14:textId="77777777" w:rsidR="00883059" w:rsidRDefault="00055CF4">
      <w:pPr>
        <w:spacing w:line="360" w:lineRule="auto"/>
        <w:jc w:val="both"/>
      </w:pPr>
      <w:r>
        <w:t xml:space="preserve">The BT group (British Telecommunications) transformation typically involves modernising its legacy systems, while looking to incorporate agile workplace practices, which align with customer expectations for channelling faster and reliable digital services (O'Brien et al., 2025). For instance, BT Group recently invested £600 million in their legacy IT systems, aside from extending its partnerships with Google Cloud and AWS to link its internal applications with hyperscaler’s cloud programs (Beer, 2022).  This, in turn, places pressure on the employees, allowing them to adapt to new roles, technologies, and other performance expectations. Therefore, these can contribute to employee grievances if not managed properly. </w:t>
      </w:r>
    </w:p>
    <w:p w14:paraId="0000001A" w14:textId="77777777" w:rsidR="00883059" w:rsidRDefault="00055CF4">
      <w:pPr>
        <w:spacing w:line="360" w:lineRule="auto"/>
        <w:jc w:val="both"/>
        <w:rPr>
          <w:b/>
          <w:u w:val="single"/>
        </w:rPr>
      </w:pPr>
      <w:r>
        <w:rPr>
          <w:b/>
          <w:u w:val="single"/>
        </w:rPr>
        <w:t>In terms of digital technology trends, considering the BT Group</w:t>
      </w:r>
    </w:p>
    <w:p w14:paraId="0000001C" w14:textId="6031F201" w:rsidR="00883059" w:rsidRDefault="00055CF4">
      <w:pPr>
        <w:spacing w:line="360" w:lineRule="auto"/>
        <w:jc w:val="both"/>
      </w:pPr>
      <w:r>
        <w:rPr>
          <w:b/>
        </w:rPr>
        <w:t xml:space="preserve">Artificial intelligence and automation: </w:t>
      </w:r>
      <w:r>
        <w:t>AI programs are increasingly used by businesses like the BT Group to serve their customers, especially by bringing about predictive maintenance and network optimisation, among others (Sakib et al., 2025). For instance, performing such a role for the company is ‘Dynatrace', which also integrates automation, bringing swifter issue detection and replacing the innovation directed by 16 former monitoring systems. The approach itself has promised to save around £28 million for the company (Mot</w:t>
      </w:r>
      <w:r w:rsidR="00791A29">
        <w:t>ion Drives and Controls, 2025).</w:t>
      </w:r>
    </w:p>
    <w:p w14:paraId="0000001D" w14:textId="771DF750" w:rsidR="00883059" w:rsidRDefault="00055CF4">
      <w:pPr>
        <w:spacing w:line="360" w:lineRule="auto"/>
        <w:jc w:val="both"/>
      </w:pPr>
      <w:r>
        <w:rPr>
          <w:b/>
        </w:rPr>
        <w:t xml:space="preserve">Cloud computing and data analytics: </w:t>
      </w:r>
      <w:r>
        <w:t xml:space="preserve">Cloud-based commitment allows the BT group to manage vast amounts of customer and operational-related data. Whereas, alternative advanced analytics features within the program give insights to the enterprise about customer behaviour, along with operational efficiency (MacRae, 2023). For instance, BT Group’s digital unit depends largely on Kyndryl by drawing hyperscaler cloud capabilities using the partner ecosystem, while reducing mainframe-related operating costs and energy consumption by 70% (MacRae, 2023).   Still, it demands new technological competencies from the employees as well. Meanwhile, </w:t>
      </w:r>
    </w:p>
    <w:p w14:paraId="0000001E" w14:textId="77777777" w:rsidR="00883059" w:rsidRDefault="00055CF4">
      <w:pPr>
        <w:spacing w:line="360" w:lineRule="auto"/>
        <w:jc w:val="both"/>
      </w:pPr>
      <w:r>
        <w:rPr>
          <w:b/>
        </w:rPr>
        <w:t xml:space="preserve">Remote collaborating tools: </w:t>
      </w:r>
      <w:r>
        <w:t xml:space="preserve">BT group further adapted platforms like Microsoft Teams, Zoom, and other similar tools to bring about a transformed communication management (Microsoft Source, 2024). For instance, BT Group and Microsoft both agreed to enhance their easy-to-use collaboration tool types, enhancing real-time collaboration among customers (Microsoft Source, 2024). Meanwhile, while these tools influence connectivity, they tend to stymie work-life boundaries, giving rise to cases of stress and grievances when not addressed using clear policies (Crooney et al., 2025). </w:t>
      </w:r>
    </w:p>
    <w:p w14:paraId="0000001F" w14:textId="77777777" w:rsidR="00883059" w:rsidRDefault="00055CF4">
      <w:pPr>
        <w:spacing w:line="360" w:lineRule="auto"/>
        <w:jc w:val="both"/>
        <w:rPr>
          <w:b/>
          <w:u w:val="single"/>
        </w:rPr>
      </w:pPr>
      <w:r>
        <w:rPr>
          <w:b/>
          <w:u w:val="single"/>
        </w:rPr>
        <w:t>Flexible working arrangements in the case of the BT Group</w:t>
      </w:r>
    </w:p>
    <w:p w14:paraId="00000020" w14:textId="77777777" w:rsidR="00883059" w:rsidRDefault="00055CF4">
      <w:pPr>
        <w:spacing w:line="360" w:lineRule="auto"/>
        <w:jc w:val="both"/>
      </w:pPr>
      <w:r>
        <w:t>While flexible working arrangements have become a defining feature of organisations like the BT group since the pandemic, the organisation's (BT group's) adaptation of both hybrid and remote models usually reflects broader trends across the UK labour market (Milhem et al., 2024). Flexible working also offers overall autonomy by reducing commuting-related stress, but poses other challenges as distinguished below.</w:t>
      </w:r>
    </w:p>
    <w:p w14:paraId="00000021" w14:textId="77777777" w:rsidR="00883059" w:rsidRDefault="00055CF4">
      <w:pPr>
        <w:spacing w:line="360" w:lineRule="auto"/>
        <w:jc w:val="both"/>
      </w:pPr>
      <w:r>
        <w:t xml:space="preserve">Firstly, remote work creates a feeling of isolation and reduced team cohesion. () shares how digital HR strategies fail to address employee wellbeing and their inclusion towards sustaining engagement among workers (Milhem et al., 2024). </w:t>
      </w:r>
    </w:p>
    <w:p w14:paraId="00000022" w14:textId="77777777" w:rsidR="00883059" w:rsidRDefault="00055CF4">
      <w:pPr>
        <w:spacing w:line="360" w:lineRule="auto"/>
        <w:jc w:val="both"/>
      </w:pPr>
      <w:r>
        <w:t xml:space="preserve">Secondly, traditionally based supervision methods can be less effective in remote contexts. Thus, managers might be required to perform outcome-based performance measures for bringing about trust-based leadership styles (Crooney et al., 2025). This increases the need for cultural change and overall leadership development. </w:t>
      </w:r>
    </w:p>
    <w:p w14:paraId="00000023" w14:textId="77777777" w:rsidR="00883059" w:rsidRDefault="00055CF4">
      <w:pPr>
        <w:spacing w:line="360" w:lineRule="auto"/>
        <w:jc w:val="both"/>
      </w:pPr>
      <w:r>
        <w:t>Thirdly, work-life balance-related pressures might also bring in stress, as employees get disconnected due to arising grievances from their workload and thereby fail to maintain their overall well-being (Crooney et al., 2025).</w:t>
      </w:r>
    </w:p>
    <w:p w14:paraId="00000024" w14:textId="2A659882" w:rsidR="00883059" w:rsidRDefault="00055CF4" w:rsidP="00791A29">
      <w:pPr>
        <w:pStyle w:val="Heading1"/>
      </w:pPr>
      <w:bookmarkStart w:id="2" w:name="_Toc210420279"/>
      <w:r>
        <w:t xml:space="preserve">3.0 Evaluation of different contemporary HR practices to address </w:t>
      </w:r>
      <w:r w:rsidR="00F00B7C">
        <w:t>each aforementioned factor</w:t>
      </w:r>
      <w:bookmarkEnd w:id="2"/>
    </w:p>
    <w:p w14:paraId="00000025" w14:textId="77777777" w:rsidR="00883059" w:rsidRDefault="00055CF4">
      <w:pPr>
        <w:spacing w:line="360" w:lineRule="auto"/>
        <w:jc w:val="both"/>
        <w:rPr>
          <w:sz w:val="24"/>
          <w:szCs w:val="24"/>
        </w:rPr>
      </w:pPr>
      <w:r>
        <w:rPr>
          <w:b/>
          <w:sz w:val="24"/>
          <w:szCs w:val="24"/>
        </w:rPr>
        <w:t>Business Transformation</w:t>
      </w:r>
    </w:p>
    <w:p w14:paraId="00000026" w14:textId="77777777" w:rsidR="00883059" w:rsidRDefault="00055CF4">
      <w:pPr>
        <w:spacing w:line="360" w:lineRule="auto"/>
        <w:jc w:val="both"/>
      </w:pPr>
      <w:r>
        <w:t>One of the main challenges in transformation comes from employees' resistance to change, perhaps more so when old systems are replaced by online platforms. Al-Haddad and Kotnour (2015) claim that well-structured change management methodologies, such as Kotter's or ADKAR, improve the success of organisational change by creating urgency, motivating employees, and cementing advances. BT's move to a cloud infrastructure sees the application of this type of methodology as crucial; without gaining the agreement of employees, investments in online infrastructure could see them disengaging rather than increasing productivity.</w:t>
      </w:r>
    </w:p>
    <w:p w14:paraId="00000029" w14:textId="77777777" w:rsidR="00883059" w:rsidRDefault="00055CF4">
      <w:pPr>
        <w:spacing w:line="360" w:lineRule="auto"/>
        <w:jc w:val="both"/>
      </w:pPr>
      <w:r>
        <w:t>Employee participation is another vital HR mechanism. Beer (2022) observes that voice for employees decreases grievances by incorporating the workforce into decision-making. In BT, consultation forums and channels for comment can create ownership of change. Again, however, as Dundon et al. (2014) claim, voice mechanisms only work where management exhibits responsiveness. Token consultation may stoke yet more discontent. So, HR must not just gather comments but visibly respond to them so as to maintain credibility.</w:t>
      </w:r>
    </w:p>
    <w:p w14:paraId="0000002A" w14:textId="77777777" w:rsidR="00883059" w:rsidRDefault="00055CF4">
      <w:pPr>
        <w:spacing w:line="360" w:lineRule="auto"/>
        <w:jc w:val="both"/>
      </w:pPr>
      <w:r>
        <w:rPr>
          <w:b/>
        </w:rPr>
        <w:t>Digital Technology Trends</w:t>
      </w:r>
    </w:p>
    <w:p w14:paraId="0000002B" w14:textId="415DE897" w:rsidR="00883059" w:rsidRDefault="00055CF4">
      <w:pPr>
        <w:spacing w:line="360" w:lineRule="auto"/>
        <w:jc w:val="both"/>
      </w:pPr>
      <w:r>
        <w:t>Virtual HRM platforms also hold the promise of enhancing recruitment and workforce planning using predictive analytics (Bondarouk &amp; Brewster, 2016). In BT's situation, the tools could identify future skills shortages; their success depends on open communication. If employees perceive AI-powered HR systems as monitoring tools, they might resist their introduction (Sakib et al., 2025). Herein lies the responsibility of HR to implement protections emphasising data security and algorithmic decision-making fairness so as to maintain trust. Data-informed HR practices are extremely valuable. Using sophisticated analytics, BT can personalise staff development and predict attrition (Marler &amp; Boudreau, 2017). Here, however, lies the issue at hand: too much reliance on quantitative data may ignore important qualitative considerations, such as the well-being of employees, as well as cultural alignment. Shahiduzzaman (2025) asserts digital HR maturity requires both metric- and human-centric methodologies. What BT therefore should do is complement data intelligence with face-to-face interactions between employees and managers.</w:t>
      </w:r>
    </w:p>
    <w:p w14:paraId="0000002C" w14:textId="77777777" w:rsidR="00883059" w:rsidRDefault="00055CF4">
      <w:pPr>
        <w:spacing w:line="360" w:lineRule="auto"/>
        <w:jc w:val="both"/>
      </w:pPr>
      <w:r>
        <w:t>Collaborative software like Microsoft Teams and Zoom requires the application of e-HRM practices for onboarding, training, and well-being assistance. Milhem et al. (2024) suggest that connectivity for remote workforces is facilitated by e-HRM but also has the potential for erasing the informal interactions where teams strengthen their bonds. In BT's scenario, it is important that the online HR strategies allow for informal collaborations so as not to isolate the employees.</w:t>
      </w:r>
    </w:p>
    <w:p w14:paraId="0000002D" w14:textId="77777777" w:rsidR="00883059" w:rsidRDefault="00055CF4">
      <w:pPr>
        <w:spacing w:line="360" w:lineRule="auto"/>
        <w:jc w:val="both"/>
      </w:pPr>
      <w:r>
        <w:t>Automation also invokes fears about job displacement. Redesign of the job is thus needed so as to match the job with the activities that value creativity as well as problem-solving (Susskind &amp; Susskind, 2015). HR should provide clear communication when shifting activities so as not to raise suspicion of redundancy. Lack of openness will see the transformation activities misconstrued as downsizing instead of innovation.</w:t>
      </w:r>
    </w:p>
    <w:p w14:paraId="0000002E" w14:textId="77777777" w:rsidR="00883059" w:rsidRDefault="00055CF4">
      <w:pPr>
        <w:spacing w:line="360" w:lineRule="auto"/>
        <w:jc w:val="both"/>
      </w:pPr>
      <w:r>
        <w:rPr>
          <w:b/>
        </w:rPr>
        <w:t>Flexible Working Arrangements</w:t>
      </w:r>
    </w:p>
    <w:p w14:paraId="14FAE748" w14:textId="7C11E412" w:rsidR="0065219B" w:rsidRPr="0065219B" w:rsidRDefault="00055CF4" w:rsidP="0065219B">
      <w:pPr>
        <w:spacing w:line="360" w:lineRule="auto"/>
        <w:jc w:val="both"/>
        <w:rPr>
          <w:color w:val="000000" w:themeColor="text1"/>
        </w:rPr>
      </w:pPr>
      <w:r w:rsidRPr="0065219B">
        <w:rPr>
          <w:color w:val="000000" w:themeColor="text1"/>
        </w:rPr>
        <w:t>Flexible work arrangements reflect macro labour market trends; however, HR practices must be able to cushion associated risks. To ensure all parties are aware of the responsibilities that come with the use of the workplace hybrid, and how the digital tools are to be used, and what the desired outcomes are, policy application would be beneficial (Crooney et al., 2025). However, policies in and of themselves will not result in consistency; their success relies on the opportunity for regular application by managers. Inconsistent use of flexible work arrangements has been identified as resulting in perceptions of unfair treatment, and eventually disengagement (Kelliher &amp; Anderson, 2010).</w:t>
      </w:r>
    </w:p>
    <w:p w14:paraId="00000030" w14:textId="0F4C9514" w:rsidR="00883059" w:rsidRDefault="00055CF4" w:rsidP="0065219B">
      <w:pPr>
        <w:spacing w:line="360" w:lineRule="auto"/>
        <w:jc w:val="both"/>
      </w:pPr>
      <w:r w:rsidRPr="0065219B">
        <w:rPr>
          <w:color w:val="000000" w:themeColor="text1"/>
        </w:rPr>
        <w:t>Even performance management systems should be reconsidered. Down-the-hall supervision is not a good fit for remote situations. Appraisal based on outcomes and deliverables presents one alternative (Schiemann, 2014)</w:t>
      </w:r>
      <w:r w:rsidR="000D7083" w:rsidRPr="0065219B">
        <w:rPr>
          <w:color w:val="000000" w:themeColor="text1"/>
        </w:rPr>
        <w:t>. But outcome-based procedures may perpetuate short-term performance at the potential cost of long</w:t>
      </w:r>
      <w:r w:rsidR="000D7083">
        <w:t>-term growth. So the HR department must blend quantitative outcomes with qualitative measures so remote employees continue to see career development and learning opportunities on the horizon.</w:t>
      </w:r>
    </w:p>
    <w:p w14:paraId="00000031" w14:textId="18E545C8" w:rsidR="00883059" w:rsidRDefault="00055CF4">
      <w:pPr>
        <w:spacing w:line="360" w:lineRule="auto"/>
        <w:jc w:val="both"/>
      </w:pPr>
      <w:r>
        <w:t>Ultimately, inclusive leadership is essential for tackling the disparities that exist between remote and on-site employees. Crooney et al. (2025) highlight that managers must evolve towards trust-based leadership styles, moving away from traditional control-oriented supervision. Yet, fostering inclusivity demands a conscious commitment. In the absence of training focused on empathy, cultural awareness, and digital leadership, managers may unintentionally favour those who possess greater physical visibility in the office (Kossek et al., 2014).</w:t>
      </w:r>
    </w:p>
    <w:p w14:paraId="00000032" w14:textId="0FD92821" w:rsidR="00883059" w:rsidRDefault="00055CF4" w:rsidP="00791A29">
      <w:pPr>
        <w:pStyle w:val="Heading1"/>
      </w:pPr>
      <w:bookmarkStart w:id="3" w:name="_Toc210420280"/>
      <w:r>
        <w:t>4.0 Critical evaluation of how departmental managers can ensure these contemporary practices are being implemen</w:t>
      </w:r>
      <w:r w:rsidR="00F00B7C">
        <w:t>ted as a matter of urgency</w:t>
      </w:r>
      <w:bookmarkEnd w:id="3"/>
    </w:p>
    <w:p w14:paraId="00000033" w14:textId="77777777" w:rsidR="00883059" w:rsidRDefault="00055CF4">
      <w:pPr>
        <w:spacing w:line="360" w:lineRule="auto"/>
        <w:jc w:val="both"/>
      </w:pPr>
      <w:r>
        <w:t>The application of contemporary HR practices within the BT Group not only depends on the formulation of policies but also on how departmental managers act. Although company HR strategies provide the foundation for change, it is the managers who determine whether the practices run smoothly in the daily activities. Writing highlights the point that managers act as the main "translation agents," explaining company strategies to the ground-level employees (Purcell &amp; Hutchinson, 2007). Their ability to translate HR practices is therefore crucial in ensuring the imperatives of change are achieved.</w:t>
      </w:r>
    </w:p>
    <w:p w14:paraId="00000036" w14:textId="77777777" w:rsidR="00883059" w:rsidRDefault="00055CF4">
      <w:pPr>
        <w:spacing w:line="360" w:lineRule="auto"/>
        <w:jc w:val="both"/>
        <w:rPr>
          <w:b/>
        </w:rPr>
      </w:pPr>
      <w:r>
        <w:rPr>
          <w:b/>
        </w:rPr>
        <w:t>Upskilling and Workforce Realignment</w:t>
      </w:r>
    </w:p>
    <w:p w14:paraId="00000037" w14:textId="77777777" w:rsidR="00883059" w:rsidRPr="00E668B5" w:rsidRDefault="00055CF4">
      <w:pPr>
        <w:spacing w:line="360" w:lineRule="auto"/>
        <w:jc w:val="both"/>
        <w:rPr>
          <w:color w:val="000000" w:themeColor="text1"/>
        </w:rPr>
      </w:pPr>
      <w:r>
        <w:t xml:space="preserve">Another vital duty of managers is to oversee reskilling and upskilling programs. Shahiduzzaman (2025) emphasises that achieving digital maturity necessitates a continuous investment in employee competencies. Managers, being in the best position, can pinpoint skill gaps within their departments and customise training programs accordingly. However, Ng and Feldman (2021) warn that not all employees adjust at the same pace, with older </w:t>
      </w:r>
      <w:r w:rsidRPr="00E668B5">
        <w:rPr>
          <w:color w:val="000000" w:themeColor="text1"/>
        </w:rPr>
        <w:t>workers frequently encountering greater obstacles in digital reskilling. This scenario creates a potential tension for managers: while transformation demands speed, effective skill development requires patience and support. The challenge for BT’s managers is to navigate these competing pressures, ensuring inclusivity while adhering to urgent deadlines for technological adaptation.</w:t>
      </w:r>
    </w:p>
    <w:p w14:paraId="00000038" w14:textId="77777777" w:rsidR="00883059" w:rsidRPr="00E668B5" w:rsidRDefault="00055CF4">
      <w:pPr>
        <w:spacing w:line="360" w:lineRule="auto"/>
        <w:jc w:val="both"/>
        <w:rPr>
          <w:b/>
          <w:color w:val="000000" w:themeColor="text1"/>
        </w:rPr>
      </w:pPr>
      <w:r w:rsidRPr="00E668B5">
        <w:rPr>
          <w:b/>
          <w:color w:val="000000" w:themeColor="text1"/>
        </w:rPr>
        <w:t>Flexibility at work</w:t>
      </w:r>
    </w:p>
    <w:p w14:paraId="00000039" w14:textId="3D344A95" w:rsidR="00883059" w:rsidRPr="00E668B5" w:rsidRDefault="00055CF4">
      <w:pPr>
        <w:spacing w:line="360" w:lineRule="auto"/>
        <w:jc w:val="both"/>
        <w:rPr>
          <w:color w:val="000000" w:themeColor="text1"/>
        </w:rPr>
      </w:pPr>
      <w:r w:rsidRPr="00E668B5">
        <w:rPr>
          <w:color w:val="000000" w:themeColor="text1"/>
        </w:rPr>
        <w:t xml:space="preserve">Flexible work arrangements place additional burdens on managerial functions. Crooney et al. (2025) argue that outcome-based performance measurement requires an overhaul for managers, who then need to transition from controlling inputs to measuring outcomes—an organisational culture change for supervisors who value old-style monitoring. In addition, managers bear the responsibility for ensuring that working policies in hybrids apply consistently throughout teams, as inconsistency may lead to perceptions of unfairness (Kelliher &amp; Anderson, 2010). Also, safeguarding employee well-being becomes significantly more complex in remote environments where stress signs or disengagement might not be directly noticed. </w:t>
      </w:r>
    </w:p>
    <w:p w14:paraId="0000003A" w14:textId="77777777" w:rsidR="00883059" w:rsidRPr="00E668B5" w:rsidRDefault="00055CF4">
      <w:pPr>
        <w:spacing w:line="360" w:lineRule="auto"/>
        <w:jc w:val="both"/>
        <w:rPr>
          <w:b/>
          <w:color w:val="000000" w:themeColor="text1"/>
        </w:rPr>
      </w:pPr>
      <w:r w:rsidRPr="00E668B5">
        <w:rPr>
          <w:b/>
          <w:color w:val="000000" w:themeColor="text1"/>
        </w:rPr>
        <w:t>Integration of HR Practices within Everyday Operations</w:t>
      </w:r>
    </w:p>
    <w:p w14:paraId="0000003B" w14:textId="53E2B4D2" w:rsidR="00883059" w:rsidRPr="00E668B5" w:rsidRDefault="00055CF4">
      <w:pPr>
        <w:spacing w:line="360" w:lineRule="auto"/>
        <w:jc w:val="both"/>
        <w:rPr>
          <w:color w:val="000000" w:themeColor="text1"/>
        </w:rPr>
      </w:pPr>
      <w:r w:rsidRPr="00E668B5">
        <w:rPr>
          <w:color w:val="000000" w:themeColor="text1"/>
        </w:rPr>
        <w:t xml:space="preserve">One of the biggest challenges for managers is not falling into the trap of creating a "compliance culture." </w:t>
      </w:r>
      <w:r w:rsidR="0065219B" w:rsidRPr="00E668B5">
        <w:rPr>
          <w:color w:val="000000" w:themeColor="text1"/>
        </w:rPr>
        <w:t>Purcell and Kinnie (2007) explain that HR practices could potentially be established at the organisational level, yet do not tend to permeate to the operational level</w:t>
      </w:r>
      <w:r w:rsidR="00E668B5" w:rsidRPr="00E668B5">
        <w:rPr>
          <w:color w:val="000000" w:themeColor="text1"/>
        </w:rPr>
        <w:t>.</w:t>
      </w:r>
    </w:p>
    <w:p w14:paraId="0000003C" w14:textId="0E8218D0" w:rsidR="00883059" w:rsidRPr="00791A29" w:rsidRDefault="00055CF4" w:rsidP="00791A29">
      <w:pPr>
        <w:pStyle w:val="Heading1"/>
      </w:pPr>
      <w:bookmarkStart w:id="4" w:name="_Toc210420281"/>
      <w:r w:rsidRPr="00E668B5">
        <w:t>5.0 Recommendations</w:t>
      </w:r>
      <w:bookmarkEnd w:id="4"/>
    </w:p>
    <w:p w14:paraId="08CF89D8" w14:textId="05D76BF6" w:rsidR="00E668B5" w:rsidRPr="00E668B5" w:rsidRDefault="00055CF4" w:rsidP="0065219B">
      <w:pPr>
        <w:spacing w:line="360" w:lineRule="auto"/>
        <w:jc w:val="both"/>
        <w:rPr>
          <w:color w:val="000000" w:themeColor="text1"/>
        </w:rPr>
      </w:pPr>
      <w:r w:rsidRPr="00E668B5">
        <w:rPr>
          <w:color w:val="000000" w:themeColor="text1"/>
        </w:rPr>
        <w:t>Beer (2022) argues that communication alone is not sufficient when it lacks openness or ignores the fear of employees. In this way, departmental managers need to encourage two-way communication where employees can raise their fears and obtain meaningful replies, as opposed to using the top-down style of communication.</w:t>
      </w:r>
    </w:p>
    <w:p w14:paraId="3455626F" w14:textId="4AADFA4A" w:rsidR="00E668B5" w:rsidRPr="00E668B5" w:rsidRDefault="00055CF4" w:rsidP="0065219B">
      <w:pPr>
        <w:spacing w:line="360" w:lineRule="auto"/>
        <w:jc w:val="both"/>
        <w:rPr>
          <w:color w:val="000000" w:themeColor="text1"/>
        </w:rPr>
      </w:pPr>
      <w:r w:rsidRPr="00E668B5">
        <w:rPr>
          <w:color w:val="000000" w:themeColor="text1"/>
        </w:rPr>
        <w:t>Milhem et al. (2024) indicate that electronic HR strategies consistently underperform on the issue of wellbeing, so that managers must take the lead by conducting periodic check-ins, wellbeing surveys, and counselling requests in order to keep employees engaged. Nevertheless, responsibilities significantly increase the workloads of managers, so that BT might not supply sufficient resources for them to meet those requirements.</w:t>
      </w:r>
    </w:p>
    <w:p w14:paraId="5430F668" w14:textId="7569C9A5" w:rsidR="00E668B5" w:rsidRPr="00E668B5" w:rsidRDefault="00055CF4" w:rsidP="0065219B">
      <w:pPr>
        <w:spacing w:line="360" w:lineRule="auto"/>
        <w:jc w:val="both"/>
        <w:rPr>
          <w:color w:val="000000" w:themeColor="text1"/>
        </w:rPr>
      </w:pPr>
      <w:r w:rsidRPr="00E668B5">
        <w:rPr>
          <w:color w:val="000000" w:themeColor="text1"/>
        </w:rPr>
        <w:t>Managers also play a central role in championing change initiatives. Kotter (1996) emphasises the point that the substance of leadership communication determines the point at which employees embrace transformation.</w:t>
      </w:r>
    </w:p>
    <w:p w14:paraId="00000040" w14:textId="70AD6274" w:rsidR="00883059" w:rsidRPr="00E668B5" w:rsidRDefault="00055CF4" w:rsidP="00791A29">
      <w:pPr>
        <w:pStyle w:val="Heading1"/>
      </w:pPr>
      <w:bookmarkStart w:id="5" w:name="_Toc210420282"/>
      <w:r w:rsidRPr="00E668B5">
        <w:t>6.0 Conclusion</w:t>
      </w:r>
      <w:bookmarkEnd w:id="5"/>
    </w:p>
    <w:p w14:paraId="4AB0C7A4" w14:textId="3C346F44" w:rsidR="0065219B" w:rsidRPr="00E668B5" w:rsidRDefault="00055CF4">
      <w:pPr>
        <w:spacing w:line="360" w:lineRule="auto"/>
        <w:jc w:val="both"/>
        <w:rPr>
          <w:color w:val="000000" w:themeColor="text1"/>
        </w:rPr>
      </w:pPr>
      <w:r w:rsidRPr="00E668B5">
        <w:rPr>
          <w:color w:val="000000" w:themeColor="text1"/>
        </w:rPr>
        <w:t>For BT, the risk is that the working from home policies for hybrids, the reskilling architectures for those in roles, and the well-being initiatives may well</w:t>
      </w:r>
      <w:r>
        <w:rPr>
          <w:color w:val="000000" w:themeColor="text1"/>
        </w:rPr>
        <w:t xml:space="preserve"> be outlined in documentation.</w:t>
      </w:r>
      <w:r w:rsidR="00791A29">
        <w:rPr>
          <w:color w:val="000000" w:themeColor="text1"/>
        </w:rPr>
        <w:t xml:space="preserve"> BT Group has to keep change management practices in mind while undertaking any project that will be challenging, as this will help to cover all the bases and avoid being exposed to avoidable circumstances in adversity.</w:t>
      </w:r>
    </w:p>
    <w:p w14:paraId="00000041" w14:textId="7AE7AFCC" w:rsidR="00883059" w:rsidRDefault="00055CF4">
      <w:pPr>
        <w:spacing w:line="360" w:lineRule="auto"/>
        <w:jc w:val="both"/>
        <w:rPr>
          <w:b/>
        </w:rPr>
      </w:pPr>
      <w:r>
        <w:br w:type="page"/>
      </w:r>
    </w:p>
    <w:p w14:paraId="00000042" w14:textId="77777777" w:rsidR="00883059" w:rsidRDefault="00055CF4" w:rsidP="00791A29">
      <w:pPr>
        <w:pStyle w:val="Heading1"/>
      </w:pPr>
      <w:bookmarkStart w:id="6" w:name="_Toc210420283"/>
      <w:r>
        <w:t>References</w:t>
      </w:r>
      <w:bookmarkEnd w:id="6"/>
      <w:r>
        <w:t xml:space="preserve"> </w:t>
      </w:r>
    </w:p>
    <w:p w14:paraId="6FADB151" w14:textId="77777777" w:rsidR="00791A29" w:rsidRDefault="00791A29" w:rsidP="00791A29">
      <w:pPr>
        <w:spacing w:after="240" w:line="360" w:lineRule="auto"/>
        <w:jc w:val="both"/>
      </w:pPr>
      <w:r>
        <w:t xml:space="preserve">Al-Haddad, S. and Kotnour, T., 2015. </w:t>
      </w:r>
      <w:r>
        <w:rPr>
          <w:i/>
        </w:rPr>
        <w:t>Integrating the organisational change literature: a model for successful change</w:t>
      </w:r>
      <w:r>
        <w:t>. Journal of Organisational Change Management, 28(2), pp.234–262.</w:t>
      </w:r>
    </w:p>
    <w:p w14:paraId="75786469" w14:textId="77777777" w:rsidR="00791A29" w:rsidRDefault="00791A29" w:rsidP="00791A29">
      <w:pPr>
        <w:spacing w:after="240" w:line="360" w:lineRule="auto"/>
        <w:jc w:val="both"/>
      </w:pPr>
      <w:r>
        <w:t xml:space="preserve">Beer, E. (2022). </w:t>
      </w:r>
      <w:r>
        <w:rPr>
          <w:i/>
        </w:rPr>
        <w:t>BT digital transformation efforts continue amid £600m legacy IT spend</w:t>
      </w:r>
      <w:r>
        <w:t>. [online] The Stack. Available at: https://www.thestack.technology/bt-digital-transformation/ [Accessed 25 Sep. 2025].</w:t>
      </w:r>
    </w:p>
    <w:p w14:paraId="26B1173E" w14:textId="77777777" w:rsidR="00791A29" w:rsidRDefault="00791A29" w:rsidP="00791A29">
      <w:pPr>
        <w:spacing w:before="240" w:after="240" w:line="360" w:lineRule="auto"/>
        <w:jc w:val="both"/>
      </w:pPr>
      <w:r>
        <w:t xml:space="preserve">Bondarouk, T. and Brewster, C., 2016. </w:t>
      </w:r>
      <w:r>
        <w:rPr>
          <w:i/>
        </w:rPr>
        <w:t>Conceptualising the future of HRM and technology research</w:t>
      </w:r>
      <w:r>
        <w:t>. The International Journal of Human Resource Management, 27(21), pp.2652–2671.</w:t>
      </w:r>
    </w:p>
    <w:p w14:paraId="72D56C2E" w14:textId="77777777" w:rsidR="00791A29" w:rsidRDefault="00791A29" w:rsidP="00791A29">
      <w:pPr>
        <w:spacing w:before="240" w:after="240" w:line="360" w:lineRule="auto"/>
        <w:jc w:val="both"/>
      </w:pPr>
      <w:r>
        <w:t xml:space="preserve">Cameron, E. and Green, M., 2020. </w:t>
      </w:r>
      <w:r>
        <w:rPr>
          <w:i/>
        </w:rPr>
        <w:t>Making Sense of Change Management: A Complete Guide to the Models, Tools and Techniques of Organisational Change</w:t>
      </w:r>
      <w:r>
        <w:t>. 5th ed. London: Kogan Page.</w:t>
      </w:r>
    </w:p>
    <w:p w14:paraId="00A40592" w14:textId="77777777" w:rsidR="00791A29" w:rsidRDefault="00791A29" w:rsidP="00791A29">
      <w:pPr>
        <w:spacing w:after="240" w:line="360" w:lineRule="auto"/>
        <w:jc w:val="both"/>
      </w:pPr>
      <w:r>
        <w:t xml:space="preserve">Crooney, L., Tootell, B. and Scott, J. (2025). Employee Experiences and Productivity in Flexible Work Arrangements: A Job Demands–Resources Model Analysis from New Zealand. </w:t>
      </w:r>
      <w:r>
        <w:rPr>
          <w:i/>
        </w:rPr>
        <w:t>Businesses</w:t>
      </w:r>
      <w:r>
        <w:t>, [online] 5(3), p.41. Doi: https://doi.org/10.3390/businesses5030041.</w:t>
      </w:r>
    </w:p>
    <w:p w14:paraId="2F7651E3" w14:textId="77777777" w:rsidR="00791A29" w:rsidRDefault="00791A29" w:rsidP="00791A29">
      <w:pPr>
        <w:spacing w:before="240" w:after="240" w:line="360" w:lineRule="auto"/>
        <w:jc w:val="both"/>
      </w:pPr>
      <w:r>
        <w:t xml:space="preserve">Dundon, T., Wilkinson, A., Marchington, M. and Ackers, P., 2014. </w:t>
      </w:r>
      <w:r>
        <w:rPr>
          <w:i/>
        </w:rPr>
        <w:t>The meanings and purpose of employee voice</w:t>
      </w:r>
      <w:r>
        <w:t>. The International Journal of Human Resource Management, 25(3), pp.262–272.</w:t>
      </w:r>
    </w:p>
    <w:p w14:paraId="69302C82" w14:textId="77777777" w:rsidR="00791A29" w:rsidRDefault="00791A29" w:rsidP="00791A29">
      <w:pPr>
        <w:spacing w:before="240" w:after="240" w:line="360" w:lineRule="auto"/>
        <w:jc w:val="both"/>
      </w:pPr>
      <w:r>
        <w:t xml:space="preserve">Kelliher, C. and Anderson, D., 2010. </w:t>
      </w:r>
      <w:r>
        <w:rPr>
          <w:i/>
        </w:rPr>
        <w:t>Doing more with less? Flexible working practices and the intensification of work</w:t>
      </w:r>
      <w:r>
        <w:t>. Human Relations, 63(1), pp.83–106.</w:t>
      </w:r>
    </w:p>
    <w:p w14:paraId="782861A9" w14:textId="77777777" w:rsidR="00791A29" w:rsidRDefault="00791A29" w:rsidP="00791A29">
      <w:pPr>
        <w:spacing w:before="240" w:after="240" w:line="360" w:lineRule="auto"/>
        <w:jc w:val="both"/>
      </w:pPr>
      <w:r>
        <w:t xml:space="preserve">Kossek, E.E., Thompson, R.J. and Lautsch, B.A., 2014. </w:t>
      </w:r>
      <w:r>
        <w:rPr>
          <w:i/>
        </w:rPr>
        <w:t>Balanced workplace flexibility: Avoiding the traps</w:t>
      </w:r>
      <w:r>
        <w:t>. California Management Review, 56(2), pp.5–25.</w:t>
      </w:r>
    </w:p>
    <w:p w14:paraId="40377E3D" w14:textId="77777777" w:rsidR="00791A29" w:rsidRDefault="00791A29" w:rsidP="00791A29">
      <w:pPr>
        <w:spacing w:after="240" w:line="360" w:lineRule="auto"/>
        <w:jc w:val="both"/>
      </w:pPr>
      <w:r>
        <w:t xml:space="preserve">MacRae, D. (2023). </w:t>
      </w:r>
      <w:r>
        <w:rPr>
          <w:i/>
        </w:rPr>
        <w:t>BT Group moves from mainframes to the cloud with Kyndryl</w:t>
      </w:r>
      <w:r>
        <w:t>. [online] Cloud Computing News. Available at: https://www.cloudcomputing-news.net/news/bt-group-moves-from-mainframes-to-the-cloud-with-kyndryl/ [Accessed 25 Sep. 2025].</w:t>
      </w:r>
    </w:p>
    <w:p w14:paraId="2BF2CEF1" w14:textId="77777777" w:rsidR="00791A29" w:rsidRDefault="00791A29" w:rsidP="00791A29">
      <w:pPr>
        <w:spacing w:before="240" w:after="240" w:line="360" w:lineRule="auto"/>
        <w:jc w:val="both"/>
      </w:pPr>
      <w:r>
        <w:t xml:space="preserve">Marler, J.H. and Boudreau, J.W., 2017. </w:t>
      </w:r>
      <w:r>
        <w:rPr>
          <w:i/>
        </w:rPr>
        <w:t>An evidence-based review of HR Analytics</w:t>
      </w:r>
      <w:r>
        <w:t>. The International Journal of Human Resource Management, 28(1), pp.3–26.</w:t>
      </w:r>
    </w:p>
    <w:p w14:paraId="1CF9B2CB" w14:textId="77777777" w:rsidR="00791A29" w:rsidRDefault="00791A29" w:rsidP="00791A29">
      <w:pPr>
        <w:spacing w:after="240" w:line="360" w:lineRule="auto"/>
        <w:jc w:val="both"/>
      </w:pPr>
      <w:r>
        <w:t xml:space="preserve">Microsoft Source (2024). </w:t>
      </w:r>
      <w:r>
        <w:rPr>
          <w:i/>
        </w:rPr>
        <w:t>BT and Microsoft Partner to Deliver Real-Time Communication and Collaboration Solution - Source</w:t>
      </w:r>
      <w:r>
        <w:t>. [online] Source. Available at: https://news.microsoft.com/source/2004/07/12/bt-and-microsoft-partner-to-deliver-real-time-communication-and-collaboration-solution/ [Accessed 25 Sep. 2025].</w:t>
      </w:r>
    </w:p>
    <w:p w14:paraId="324CD4E9" w14:textId="77777777" w:rsidR="00791A29" w:rsidRDefault="00791A29" w:rsidP="00791A29">
      <w:pPr>
        <w:spacing w:after="240" w:line="360" w:lineRule="auto"/>
        <w:jc w:val="both"/>
      </w:pPr>
      <w:r>
        <w:t xml:space="preserve">Milhem, M., Ateeq, A., Al Astal, A. and Almeer, S. (2024). Digital Transformation in HRM: Navigating the Future of Human Resource Management. </w:t>
      </w:r>
      <w:r>
        <w:rPr>
          <w:i/>
        </w:rPr>
        <w:t>Studies in Systems, Decision and Control</w:t>
      </w:r>
      <w:r>
        <w:t>, 522, pp.23–33. doi:https://doi.org/10.1007/978-3-031-71318-7_3.</w:t>
      </w:r>
    </w:p>
    <w:p w14:paraId="4890CD34" w14:textId="77777777" w:rsidR="00791A29" w:rsidRDefault="00791A29" w:rsidP="00791A29">
      <w:pPr>
        <w:spacing w:after="240" w:line="360" w:lineRule="auto"/>
        <w:jc w:val="both"/>
      </w:pPr>
      <w:r>
        <w:t xml:space="preserve">Motion Drives and Controls (2025). </w:t>
      </w:r>
      <w:r>
        <w:rPr>
          <w:i/>
        </w:rPr>
        <w:t>Artificial Intelligence to run all BT network ops by 2025</w:t>
      </w:r>
      <w:r>
        <w:t>. [online] Motion Drives and Controls. Available at: https://www.motiondrivesandcontrols.co.uk/blog/artificial-intelligence-to-run-all-bt-network-ops-by-2025 [Accessed 25 Sep. 2025].</w:t>
      </w:r>
    </w:p>
    <w:p w14:paraId="761D2691" w14:textId="77777777" w:rsidR="00791A29" w:rsidRDefault="00791A29" w:rsidP="00791A29">
      <w:pPr>
        <w:spacing w:before="240" w:after="240" w:line="360" w:lineRule="auto"/>
        <w:jc w:val="both"/>
      </w:pPr>
      <w:r>
        <w:t xml:space="preserve">Ng, T.W.H. and Feldman, D.C., 2021. </w:t>
      </w:r>
      <w:r>
        <w:rPr>
          <w:i/>
        </w:rPr>
        <w:t>Employee age and digital transformation resistance: A meta-analytic study</w:t>
      </w:r>
      <w:r>
        <w:t>. Journal of Applied Psychology, 106(4), pp.540–559.</w:t>
      </w:r>
    </w:p>
    <w:p w14:paraId="575D9158" w14:textId="77777777" w:rsidR="00791A29" w:rsidRDefault="00791A29" w:rsidP="00791A29">
      <w:pPr>
        <w:spacing w:after="240" w:line="360" w:lineRule="auto"/>
        <w:jc w:val="both"/>
      </w:pPr>
      <w:r>
        <w:t xml:space="preserve">O’Brien, C., Li, Z., Adotey, P.B. and Yohuno, G. (2025). Mapping a decade of digital transformation in HRM: trends, implications, and future research directions. </w:t>
      </w:r>
      <w:r>
        <w:rPr>
          <w:i/>
        </w:rPr>
        <w:t>Current Psychology</w:t>
      </w:r>
      <w:r>
        <w:t>, 44, pp.13234–13253. Doi: https://doi.org/10.1007/s12144-025-08064-8.</w:t>
      </w:r>
    </w:p>
    <w:p w14:paraId="3B9DC2CC" w14:textId="77777777" w:rsidR="00791A29" w:rsidRDefault="00791A29" w:rsidP="00791A29">
      <w:pPr>
        <w:spacing w:before="240" w:after="240" w:line="360" w:lineRule="auto"/>
        <w:jc w:val="both"/>
      </w:pPr>
      <w:r>
        <w:t xml:space="preserve">Purcell, J. and Hutchinson, S., 2007. </w:t>
      </w:r>
      <w:r>
        <w:rPr>
          <w:i/>
        </w:rPr>
        <w:t>Front-line managers as agents in the HRM-performance causal chain: Theory, analysis and evidence</w:t>
      </w:r>
      <w:r>
        <w:t>. Human Resource Management Journal, 17(1), pp.3–20.</w:t>
      </w:r>
    </w:p>
    <w:p w14:paraId="2E46E02E" w14:textId="77777777" w:rsidR="00791A29" w:rsidRDefault="00791A29" w:rsidP="00791A29">
      <w:pPr>
        <w:spacing w:before="240" w:after="240" w:line="360" w:lineRule="auto"/>
        <w:jc w:val="both"/>
      </w:pPr>
      <w:r>
        <w:t xml:space="preserve">Purcell, J. and Kinnie, N., 2007. </w:t>
      </w:r>
      <w:r>
        <w:rPr>
          <w:i/>
        </w:rPr>
        <w:t>HRM and business performance</w:t>
      </w:r>
      <w:r>
        <w:t xml:space="preserve">. In: P. Boxall, J. Purcell and P. Wright, eds. </w:t>
      </w:r>
      <w:r>
        <w:rPr>
          <w:i/>
        </w:rPr>
        <w:t>The Oxford Handbook of Human Resource Management</w:t>
      </w:r>
      <w:r>
        <w:t>. Oxford: Oxford University Press, pp.533–551.</w:t>
      </w:r>
    </w:p>
    <w:p w14:paraId="701316E8" w14:textId="77777777" w:rsidR="00791A29" w:rsidRDefault="00791A29" w:rsidP="00791A29">
      <w:pPr>
        <w:spacing w:after="240" w:line="360" w:lineRule="auto"/>
        <w:jc w:val="both"/>
      </w:pPr>
      <w:r>
        <w:t xml:space="preserve">Sakib, Md.N., Ullah, M.S. and Rahman, M.M. (2025). Mapping the evolution of digital human resource management: a systematic review and bibliometric analysis. </w:t>
      </w:r>
      <w:r>
        <w:rPr>
          <w:i/>
        </w:rPr>
        <w:t>Future Business Journal</w:t>
      </w:r>
      <w:r>
        <w:t>, 11(1). Doi: https://doi.org/10.1186/s43093-025-00577-9.</w:t>
      </w:r>
    </w:p>
    <w:p w14:paraId="2762A616" w14:textId="77777777" w:rsidR="00791A29" w:rsidRDefault="00791A29" w:rsidP="00791A29">
      <w:pPr>
        <w:spacing w:before="240" w:after="240" w:line="360" w:lineRule="auto"/>
        <w:jc w:val="both"/>
      </w:pPr>
      <w:r>
        <w:t xml:space="preserve">Schiemann, W.A., 2014. </w:t>
      </w:r>
      <w:r>
        <w:rPr>
          <w:i/>
        </w:rPr>
        <w:t>From talent management to talent optimisation</w:t>
      </w:r>
      <w:r>
        <w:t>. Journal of World Business, 49(2), pp.281–288.</w:t>
      </w:r>
    </w:p>
    <w:p w14:paraId="0E8A71BD" w14:textId="77777777" w:rsidR="00791A29" w:rsidRDefault="00791A29" w:rsidP="00791A29">
      <w:pPr>
        <w:spacing w:after="240" w:line="360" w:lineRule="auto"/>
        <w:jc w:val="both"/>
      </w:pPr>
      <w:r>
        <w:t xml:space="preserve">Shahiduzzaman, M. (2025). Digital Maturity in Transforming Human Resource Management in the Post-COVID Era: A Thematic Analysis. </w:t>
      </w:r>
      <w:r>
        <w:rPr>
          <w:i/>
        </w:rPr>
        <w:t>Administrative Sciences</w:t>
      </w:r>
      <w:r>
        <w:t>, [online] 15(2), pp.1–51. Doi: https://doi.org/10.3390/admsci15020051.</w:t>
      </w:r>
    </w:p>
    <w:p w14:paraId="703A07AB" w14:textId="77777777" w:rsidR="00791A29" w:rsidRPr="00F00B7C" w:rsidRDefault="00791A29" w:rsidP="00791A29">
      <w:pPr>
        <w:spacing w:before="240" w:after="240" w:line="360" w:lineRule="auto"/>
        <w:jc w:val="both"/>
      </w:pPr>
      <w:r>
        <w:t xml:space="preserve">Susskind, R. and Susskind, D., 2015. </w:t>
      </w:r>
      <w:r>
        <w:rPr>
          <w:i/>
        </w:rPr>
        <w:t>The Future of the Professions: How Technology Will Transform the Work of Human Experts</w:t>
      </w:r>
      <w:r>
        <w:t>. Oxford: Oxford University Press.</w:t>
      </w:r>
    </w:p>
    <w:sectPr w:rsidR="00791A29" w:rsidRPr="00F00B7C" w:rsidSect="00791A29">
      <w:footerReference w:type="default" r:id="rId8"/>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F75863" w14:textId="77777777" w:rsidR="006838B5" w:rsidRDefault="006838B5">
      <w:pPr>
        <w:spacing w:line="240" w:lineRule="auto"/>
      </w:pPr>
      <w:r>
        <w:separator/>
      </w:r>
    </w:p>
  </w:endnote>
  <w:endnote w:type="continuationSeparator" w:id="0">
    <w:p w14:paraId="67B1DCF2" w14:textId="77777777" w:rsidR="006838B5" w:rsidRDefault="006838B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1416055"/>
      <w:docPartObj>
        <w:docPartGallery w:val="Page Numbers (Bottom of Page)"/>
        <w:docPartUnique/>
      </w:docPartObj>
    </w:sdtPr>
    <w:sdtEndPr>
      <w:rPr>
        <w:noProof/>
      </w:rPr>
    </w:sdtEndPr>
    <w:sdtContent>
      <w:p w14:paraId="6E83729F" w14:textId="4E0395BD" w:rsidR="00F00B7C" w:rsidRDefault="00055CF4">
        <w:pPr>
          <w:pStyle w:val="Footer"/>
          <w:jc w:val="right"/>
        </w:pPr>
        <w:r>
          <w:fldChar w:fldCharType="begin"/>
        </w:r>
        <w:r>
          <w:instrText xml:space="preserve"> PAGE   \* MERGEFORMAT </w:instrText>
        </w:r>
        <w:r>
          <w:fldChar w:fldCharType="separate"/>
        </w:r>
        <w:r w:rsidR="00791A29">
          <w:rPr>
            <w:noProof/>
          </w:rPr>
          <w:t>2</w:t>
        </w:r>
        <w:r>
          <w:rPr>
            <w:noProof/>
          </w:rPr>
          <w:fldChar w:fldCharType="end"/>
        </w:r>
      </w:p>
    </w:sdtContent>
  </w:sdt>
  <w:p w14:paraId="638BE3AE" w14:textId="77777777" w:rsidR="00F00B7C" w:rsidRDefault="00F00B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32F649" w14:textId="77777777" w:rsidR="006838B5" w:rsidRDefault="006838B5">
      <w:pPr>
        <w:spacing w:line="240" w:lineRule="auto"/>
      </w:pPr>
      <w:r>
        <w:separator/>
      </w:r>
    </w:p>
  </w:footnote>
  <w:footnote w:type="continuationSeparator" w:id="0">
    <w:p w14:paraId="2DDDFFCE" w14:textId="77777777" w:rsidR="006838B5" w:rsidRDefault="006838B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3059"/>
    <w:rsid w:val="00055CF4"/>
    <w:rsid w:val="000D7083"/>
    <w:rsid w:val="00190E8B"/>
    <w:rsid w:val="002F17A0"/>
    <w:rsid w:val="00300358"/>
    <w:rsid w:val="00611A72"/>
    <w:rsid w:val="0065219B"/>
    <w:rsid w:val="006838B5"/>
    <w:rsid w:val="006A2483"/>
    <w:rsid w:val="00791A29"/>
    <w:rsid w:val="00883059"/>
    <w:rsid w:val="00A706B8"/>
    <w:rsid w:val="00CC3A7D"/>
    <w:rsid w:val="00E668B5"/>
    <w:rsid w:val="00EB62A2"/>
    <w:rsid w:val="00F00B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37003E"/>
  <w15:docId w15:val="{327C37CE-80B7-3642-A194-4E931019E3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791A29"/>
    <w:pPr>
      <w:keepNext/>
      <w:keepLines/>
      <w:spacing w:before="400" w:after="120" w:line="360" w:lineRule="auto"/>
      <w:jc w:val="both"/>
      <w:outlineLvl w:val="0"/>
    </w:pPr>
    <w:rPr>
      <w:b/>
      <w:sz w:val="28"/>
      <w:szCs w:val="40"/>
    </w:rPr>
  </w:style>
  <w:style w:type="paragraph" w:styleId="Heading2">
    <w:name w:val="heading 2"/>
    <w:basedOn w:val="Normal"/>
    <w:next w:val="Normal"/>
    <w:rsid w:val="00791A29"/>
    <w:pPr>
      <w:keepNext/>
      <w:keepLines/>
      <w:spacing w:before="360" w:after="120" w:line="360" w:lineRule="auto"/>
      <w:jc w:val="both"/>
      <w:outlineLvl w:val="1"/>
    </w:pPr>
    <w:rPr>
      <w:b/>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F00B7C"/>
    <w:pPr>
      <w:tabs>
        <w:tab w:val="center" w:pos="4513"/>
        <w:tab w:val="right" w:pos="9026"/>
      </w:tabs>
      <w:spacing w:line="240" w:lineRule="auto"/>
    </w:pPr>
  </w:style>
  <w:style w:type="character" w:customStyle="1" w:styleId="HeaderChar">
    <w:name w:val="Header Char"/>
    <w:basedOn w:val="DefaultParagraphFont"/>
    <w:link w:val="Header"/>
    <w:uiPriority w:val="99"/>
    <w:rsid w:val="00F00B7C"/>
  </w:style>
  <w:style w:type="paragraph" w:styleId="Footer">
    <w:name w:val="footer"/>
    <w:basedOn w:val="Normal"/>
    <w:link w:val="FooterChar"/>
    <w:uiPriority w:val="99"/>
    <w:unhideWhenUsed/>
    <w:rsid w:val="00F00B7C"/>
    <w:pPr>
      <w:tabs>
        <w:tab w:val="center" w:pos="4513"/>
        <w:tab w:val="right" w:pos="9026"/>
      </w:tabs>
      <w:spacing w:line="240" w:lineRule="auto"/>
    </w:pPr>
  </w:style>
  <w:style w:type="character" w:customStyle="1" w:styleId="FooterChar">
    <w:name w:val="Footer Char"/>
    <w:basedOn w:val="DefaultParagraphFont"/>
    <w:link w:val="Footer"/>
    <w:uiPriority w:val="99"/>
    <w:rsid w:val="00F00B7C"/>
  </w:style>
  <w:style w:type="paragraph" w:styleId="TOCHeading">
    <w:name w:val="TOC Heading"/>
    <w:basedOn w:val="Heading1"/>
    <w:next w:val="Normal"/>
    <w:uiPriority w:val="39"/>
    <w:semiHidden/>
    <w:unhideWhenUsed/>
    <w:qFormat/>
    <w:rsid w:val="00791A29"/>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eastAsia="ja-JP"/>
    </w:rPr>
  </w:style>
  <w:style w:type="paragraph" w:styleId="TOC1">
    <w:name w:val="toc 1"/>
    <w:basedOn w:val="Normal"/>
    <w:next w:val="Normal"/>
    <w:autoRedefine/>
    <w:uiPriority w:val="39"/>
    <w:unhideWhenUsed/>
    <w:rsid w:val="00791A29"/>
    <w:pPr>
      <w:spacing w:after="100"/>
    </w:pPr>
  </w:style>
  <w:style w:type="character" w:styleId="Hyperlink">
    <w:name w:val="Hyperlink"/>
    <w:basedOn w:val="DefaultParagraphFont"/>
    <w:uiPriority w:val="99"/>
    <w:unhideWhenUsed/>
    <w:rsid w:val="00791A29"/>
    <w:rPr>
      <w:color w:val="0000FF" w:themeColor="hyperlink"/>
      <w:u w:val="single"/>
    </w:rPr>
  </w:style>
  <w:style w:type="paragraph" w:styleId="BalloonText">
    <w:name w:val="Balloon Text"/>
    <w:basedOn w:val="Normal"/>
    <w:link w:val="BalloonTextChar"/>
    <w:uiPriority w:val="99"/>
    <w:semiHidden/>
    <w:unhideWhenUsed/>
    <w:rsid w:val="00791A2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91A29"/>
    <w:rPr>
      <w:rFonts w:ascii="Tahoma" w:hAnsi="Tahoma" w:cs="Tahoma"/>
      <w:sz w:val="16"/>
      <w:szCs w:val="16"/>
    </w:rPr>
  </w:style>
  <w:style w:type="character" w:customStyle="1" w:styleId="desktopheader-moduleaddress--2gxqe">
    <w:name w:val="desktopheader-module__address--2gxqe"/>
    <w:basedOn w:val="DefaultParagraphFont"/>
    <w:rsid w:val="00611A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jpe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7B5526F-76F5-4EBC-9DC0-070D8631615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3164</Words>
  <Characters>18035</Characters>
  <Application>Microsoft Office Word</Application>
  <DocSecurity>0</DocSecurity>
  <Lines>150</Lines>
  <Paragraphs>42</Paragraphs>
  <ScaleCrop>false</ScaleCrop>
  <Company/>
  <LinksUpToDate>false</LinksUpToDate>
  <CharactersWithSpaces>21157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Marian Enescu</cp:lastModifiedBy>
  <cp:revision>2</cp:revision>
  <dcterms:created xsi:type="dcterms:W3CDTF">2025-11-09T14:52:00Z</dcterms:created>
  <dcterms:modified xsi:type="dcterms:W3CDTF">2025-11-09T14:52:00Z</dcterms:modified>
</cp:coreProperties>
</file>