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61634" w14:textId="2F4660B8" w:rsidR="00493993" w:rsidRDefault="00115C53" w:rsidP="00493993">
      <w:pPr>
        <w:jc w:val="center"/>
        <w:rPr>
          <w:rStyle w:val="Strong"/>
        </w:rPr>
      </w:pPr>
      <w:r w:rsidRPr="00115C53">
        <w:rPr>
          <w:rStyle w:val="Strong"/>
          <w:noProof/>
        </w:rPr>
        <w:drawing>
          <wp:inline distT="0" distB="0" distL="0" distR="0" wp14:anchorId="39F9457E" wp14:editId="2AEBB3AA">
            <wp:extent cx="3475021" cy="14936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5021" cy="1493649"/>
                    </a:xfrm>
                    <a:prstGeom prst="rect">
                      <a:avLst/>
                    </a:prstGeom>
                  </pic:spPr>
                </pic:pic>
              </a:graphicData>
            </a:graphic>
          </wp:inline>
        </w:drawing>
      </w:r>
    </w:p>
    <w:p w14:paraId="2CC95ECD" w14:textId="77777777" w:rsidR="00493993" w:rsidRDefault="00493993" w:rsidP="00493993">
      <w:pPr>
        <w:jc w:val="center"/>
        <w:rPr>
          <w:rStyle w:val="Strong"/>
        </w:rPr>
      </w:pPr>
    </w:p>
    <w:p w14:paraId="37837A8B" w14:textId="77777777" w:rsidR="00493993" w:rsidRDefault="00493993" w:rsidP="00493993">
      <w:pPr>
        <w:jc w:val="center"/>
        <w:rPr>
          <w:rStyle w:val="Strong"/>
        </w:rPr>
      </w:pPr>
    </w:p>
    <w:p w14:paraId="55BFE3F8" w14:textId="34FBB60A" w:rsidR="00493993" w:rsidRDefault="00493993" w:rsidP="00493993">
      <w:pPr>
        <w:jc w:val="center"/>
      </w:pPr>
      <w:r>
        <w:rPr>
          <w:rStyle w:val="Strong"/>
        </w:rPr>
        <w:t>Module Title:</w:t>
      </w:r>
      <w:r>
        <w:t xml:space="preserve"> Contemporary Themes in the Hotel and Hospitality Sector</w:t>
      </w:r>
    </w:p>
    <w:p w14:paraId="3D99880C" w14:textId="425CAD37" w:rsidR="00493993" w:rsidRDefault="00493993" w:rsidP="00493993">
      <w:pPr>
        <w:jc w:val="center"/>
      </w:pPr>
      <w:r>
        <w:rPr>
          <w:rStyle w:val="Strong"/>
        </w:rPr>
        <w:t>Module Code:</w:t>
      </w:r>
      <w:r>
        <w:t xml:space="preserve"> BMIH6001</w:t>
      </w:r>
    </w:p>
    <w:p w14:paraId="4604FDDD" w14:textId="62DAD905" w:rsidR="00493993" w:rsidRDefault="00493993" w:rsidP="00493993">
      <w:pPr>
        <w:jc w:val="center"/>
      </w:pPr>
      <w:proofErr w:type="spellStart"/>
      <w:r>
        <w:rPr>
          <w:rStyle w:val="Strong"/>
        </w:rPr>
        <w:t>Programme</w:t>
      </w:r>
      <w:proofErr w:type="spellEnd"/>
      <w:r>
        <w:rPr>
          <w:rStyle w:val="Strong"/>
        </w:rPr>
        <w:t>:</w:t>
      </w:r>
      <w:r>
        <w:t xml:space="preserve"> BA (Hons) Hospitality &amp; Hotel Management</w:t>
      </w:r>
    </w:p>
    <w:p w14:paraId="706B0E64" w14:textId="0DA6AA43" w:rsidR="00493993" w:rsidRDefault="00493993" w:rsidP="00493993">
      <w:pPr>
        <w:jc w:val="center"/>
      </w:pPr>
      <w:r>
        <w:rPr>
          <w:rStyle w:val="Strong"/>
          <w:b w:val="0"/>
          <w:bCs w:val="0"/>
        </w:rPr>
        <w:t>Assignment Title:</w:t>
      </w:r>
      <w:r>
        <w:t xml:space="preserve"> </w:t>
      </w:r>
      <w:r>
        <w:rPr>
          <w:rStyle w:val="Strong"/>
        </w:rPr>
        <w:t>Reducing Breakfast Buffet Food Waste in Midscale Hotels:</w:t>
      </w:r>
      <w:r>
        <w:rPr>
          <w:b/>
          <w:bCs/>
        </w:rPr>
        <w:br/>
      </w:r>
      <w:r>
        <w:rPr>
          <w:rStyle w:val="Strong"/>
        </w:rPr>
        <w:t>Balancing Sustainability Targets and Guest Satisfaction</w:t>
      </w:r>
    </w:p>
    <w:p w14:paraId="590C94B0" w14:textId="2F042AF0" w:rsidR="00493993" w:rsidRDefault="00493993" w:rsidP="00493993">
      <w:pPr>
        <w:jc w:val="center"/>
      </w:pPr>
      <w:r>
        <w:rPr>
          <w:rStyle w:val="Strong"/>
        </w:rPr>
        <w:t>Assessment:</w:t>
      </w:r>
      <w:r>
        <w:t xml:space="preserve"> Assignment One – Conference Research Paper</w:t>
      </w:r>
    </w:p>
    <w:p w14:paraId="21CA4EA5" w14:textId="7C176070" w:rsidR="00493993" w:rsidRDefault="00493993" w:rsidP="00493993">
      <w:pPr>
        <w:jc w:val="center"/>
      </w:pPr>
      <w:r>
        <w:rPr>
          <w:rStyle w:val="Strong"/>
        </w:rPr>
        <w:t>Student Name:</w:t>
      </w:r>
      <w:r w:rsidR="006678DE">
        <w:rPr>
          <w:rStyle w:val="Strong"/>
        </w:rPr>
        <w:t xml:space="preserve"> Marina Boeva</w:t>
      </w:r>
      <w:r>
        <w:br/>
      </w:r>
      <w:r>
        <w:rPr>
          <w:rStyle w:val="Strong"/>
        </w:rPr>
        <w:t>Student ID:</w:t>
      </w:r>
      <w:r w:rsidR="006678DE">
        <w:rPr>
          <w:rStyle w:val="Strong"/>
        </w:rPr>
        <w:t xml:space="preserve"> 2246384</w:t>
      </w:r>
      <w:r>
        <w:br/>
      </w:r>
      <w:r>
        <w:rPr>
          <w:rStyle w:val="Strong"/>
        </w:rPr>
        <w:t>Module Leader:</w:t>
      </w:r>
      <w:r>
        <w:t xml:space="preserve"> Dr Ernest Balutie </w:t>
      </w:r>
      <w:proofErr w:type="spellStart"/>
      <w:r>
        <w:t>Wavei</w:t>
      </w:r>
      <w:proofErr w:type="spellEnd"/>
      <w:r w:rsidR="006678DE">
        <w:t xml:space="preserve"> , Natalie Brailsford</w:t>
      </w:r>
    </w:p>
    <w:p w14:paraId="72E8D6B3" w14:textId="6937D9D2" w:rsidR="00493993" w:rsidRDefault="00493993">
      <w:pPr>
        <w:spacing w:before="0" w:after="160" w:line="259" w:lineRule="auto"/>
        <w:jc w:val="left"/>
        <w:rPr>
          <w:rFonts w:eastAsiaTheme="majorEastAsia" w:cstheme="majorBidi"/>
          <w:b/>
          <w:color w:val="000000" w:themeColor="text1"/>
          <w:szCs w:val="32"/>
        </w:rPr>
      </w:pPr>
    </w:p>
    <w:p w14:paraId="24CFA566" w14:textId="77777777" w:rsidR="00493993" w:rsidRDefault="00493993">
      <w:pPr>
        <w:spacing w:before="0" w:after="160" w:line="259" w:lineRule="auto"/>
        <w:jc w:val="left"/>
        <w:rPr>
          <w:rFonts w:eastAsiaTheme="majorEastAsia" w:cstheme="majorBidi"/>
          <w:b/>
          <w:color w:val="000000" w:themeColor="text1"/>
          <w:szCs w:val="32"/>
        </w:rPr>
      </w:pPr>
      <w:r>
        <w:br w:type="page"/>
      </w:r>
    </w:p>
    <w:p w14:paraId="13D23CCA" w14:textId="77777777" w:rsidR="00493993" w:rsidRDefault="00493993" w:rsidP="00493993">
      <w:pPr>
        <w:pStyle w:val="Heading1"/>
        <w:numPr>
          <w:ilvl w:val="0"/>
          <w:numId w:val="0"/>
        </w:numPr>
        <w:ind w:left="432"/>
      </w:pPr>
      <w:r>
        <w:lastRenderedPageBreak/>
        <w:t>Abstract</w:t>
      </w:r>
    </w:p>
    <w:p w14:paraId="23C1C138" w14:textId="3A0AA226" w:rsidR="00493993" w:rsidRDefault="00493993" w:rsidP="00493993">
      <w:r w:rsidRPr="00493993">
        <w:t xml:space="preserve">One of the major sustainability challenges and a cost challenge to the hotel industry and more specifically to the midscale segment of the hotel industry is food waste generated by the breakfast buffets activities. The conference study research paper is based on the leading reasons of the waste of breakfast buffet food, which involves overproduction, consumer </w:t>
      </w:r>
      <w:proofErr w:type="spellStart"/>
      <w:r w:rsidRPr="00493993">
        <w:t>behaviour</w:t>
      </w:r>
      <w:proofErr w:type="spellEnd"/>
      <w:r w:rsidRPr="00493993">
        <w:t xml:space="preserve"> of the guest, and buffet designs. The paper adopts a PESTEL framework of the secondary research and the current literature </w:t>
      </w:r>
      <w:proofErr w:type="gramStart"/>
      <w:r w:rsidRPr="00493993">
        <w:t>in order to</w:t>
      </w:r>
      <w:proofErr w:type="gramEnd"/>
      <w:r w:rsidRPr="00493993">
        <w:t xml:space="preserve"> understand the forces that influenced the industry and how one can respond to them. The findings indicate that reduction of food waste is possible by a combination of improved forecasting, waste-measuring technologies, and appropriately designed interventions with </w:t>
      </w:r>
      <w:proofErr w:type="spellStart"/>
      <w:r w:rsidRPr="00493993">
        <w:t>behavioural</w:t>
      </w:r>
      <w:proofErr w:type="spellEnd"/>
      <w:r w:rsidRPr="00493993">
        <w:t xml:space="preserve"> modifications without compromising the satisfaction of the guests. What has emerged in the paper is the fact that there should be a balance between the sustainability objectives and the quality of service </w:t>
      </w:r>
      <w:proofErr w:type="gramStart"/>
      <w:r w:rsidRPr="00493993">
        <w:t>in order to</w:t>
      </w:r>
      <w:proofErr w:type="gramEnd"/>
      <w:r w:rsidRPr="00493993">
        <w:t xml:space="preserve"> achieve quality and sustainable outputs.</w:t>
      </w:r>
      <w:r w:rsidR="000E10C9">
        <w:t xml:space="preserve"> </w:t>
      </w:r>
      <w:r w:rsidR="00BB3201" w:rsidRPr="000D6FEB">
        <w:rPr>
          <w:highlight w:val="yellow"/>
        </w:rPr>
        <w:t xml:space="preserve">It is recommended that hotels should invest in low-cost forecasting enhancements and progressive wastage-observation exercises in the short-run but incorporate the concept of staff education and guest-based </w:t>
      </w:r>
      <w:proofErr w:type="spellStart"/>
      <w:r w:rsidR="00BB3201" w:rsidRPr="000D6FEB">
        <w:rPr>
          <w:highlight w:val="yellow"/>
        </w:rPr>
        <w:t>behavioural</w:t>
      </w:r>
      <w:proofErr w:type="spellEnd"/>
      <w:r w:rsidR="00BB3201" w:rsidRPr="000D6FEB">
        <w:rPr>
          <w:highlight w:val="yellow"/>
        </w:rPr>
        <w:t xml:space="preserve"> cues as prolonged measures to enable sustainable buffet business.</w:t>
      </w:r>
    </w:p>
    <w:p w14:paraId="69861ABE" w14:textId="77777777" w:rsidR="00493993" w:rsidRDefault="00493993" w:rsidP="00493993">
      <w:pPr>
        <w:rPr>
          <w:i/>
          <w:iCs/>
        </w:rPr>
      </w:pPr>
      <w:r>
        <w:rPr>
          <w:rStyle w:val="Strong"/>
        </w:rPr>
        <w:t>Keywords:</w:t>
      </w:r>
      <w:r>
        <w:t xml:space="preserve"> </w:t>
      </w:r>
      <w:r w:rsidRPr="00493993">
        <w:rPr>
          <w:i/>
          <w:iCs/>
        </w:rPr>
        <w:t>Breakfast buffet food waste, Midscale hotels, Sustainability, Guest satisfaction, Food waste reduction, Hospitality management</w:t>
      </w:r>
    </w:p>
    <w:p w14:paraId="25CEE361" w14:textId="4D08F147" w:rsidR="00D50116" w:rsidRDefault="00D50116" w:rsidP="00493993">
      <w:pPr>
        <w:pStyle w:val="Heading1"/>
      </w:pPr>
      <w:r>
        <w:t>Introduction</w:t>
      </w:r>
    </w:p>
    <w:p w14:paraId="196885FA" w14:textId="33A0D556" w:rsidR="00D50116" w:rsidRPr="00946B4B" w:rsidRDefault="00493993">
      <w:r w:rsidRPr="00493993">
        <w:t>The problem of food waste has emerged as an important current issue in the hospitality field because of the increased operation costs, environmental issues, and growing pressure associated with sustainability and ESG goals</w:t>
      </w:r>
      <w:r w:rsidR="00D0278A">
        <w:t xml:space="preserve"> </w:t>
      </w:r>
      <w:r w:rsidR="00D0278A" w:rsidRPr="00D0278A">
        <w:t>(Camilleri, 2025)</w:t>
      </w:r>
      <w:r w:rsidRPr="00493993">
        <w:t xml:space="preserve">. The operations of breakfast buffet are widely </w:t>
      </w:r>
      <w:proofErr w:type="spellStart"/>
      <w:r w:rsidRPr="00493993">
        <w:t>recognised</w:t>
      </w:r>
      <w:proofErr w:type="spellEnd"/>
      <w:r w:rsidRPr="00493993">
        <w:t xml:space="preserve"> as the large source of food waste in hotels, in large part due to overproduction, unpr</w:t>
      </w:r>
      <w:r w:rsidRPr="00946B4B">
        <w:t xml:space="preserve">edictable demand, and over-serving of guests. These questions are especially pertinent to the context of a midscale hotel as they are run on close financial margins and strive to both provide high value-money and provide the </w:t>
      </w:r>
      <w:proofErr w:type="spellStart"/>
      <w:r w:rsidRPr="00946B4B">
        <w:t>standardised</w:t>
      </w:r>
      <w:proofErr w:type="spellEnd"/>
      <w:r w:rsidRPr="00946B4B">
        <w:t xml:space="preserve"> brand experience. The breakfast buffet is a significant element of the guest satisfaction in this part since the perceptions of the choice, abundance and quality are interrelated with the hotel </w:t>
      </w:r>
      <w:proofErr w:type="gramStart"/>
      <w:r w:rsidRPr="00946B4B">
        <w:t>experience as a whole</w:t>
      </w:r>
      <w:proofErr w:type="gramEnd"/>
      <w:r w:rsidR="00D0278A" w:rsidRPr="00946B4B">
        <w:t xml:space="preserve"> (Leite-Pereira et al., 2019)</w:t>
      </w:r>
      <w:r w:rsidRPr="00946B4B">
        <w:t>. In turn, the reduction of waste may be a hard goal to achieve because of the threat of creating bad impressions or lower satisfaction among guests.</w:t>
      </w:r>
      <w:r w:rsidR="00857A17" w:rsidRPr="00946B4B">
        <w:t xml:space="preserve"> In the hospitality industry, food waste accounts for approximately 8% of total operational costs, with breakfast buffets contributing </w:t>
      </w:r>
      <w:r w:rsidR="00857A17" w:rsidRPr="00946B4B">
        <w:lastRenderedPageBreak/>
        <w:t xml:space="preserve">significantly to this figure. Studies show that food waste in hotels can reach up to 15% of the total food expenditures, with midscale hotels facing unique challenges due to their cost-sensitive operations. </w:t>
      </w:r>
      <w:r w:rsidRPr="00946B4B">
        <w:t xml:space="preserve">This paper thus specifically concentrates on food waste that arises </w:t>
      </w:r>
      <w:proofErr w:type="gramStart"/>
      <w:r w:rsidRPr="00946B4B">
        <w:t>as a result of</w:t>
      </w:r>
      <w:proofErr w:type="gramEnd"/>
      <w:r w:rsidRPr="00946B4B">
        <w:t xml:space="preserve"> plate waste by post-consumers and food waste </w:t>
      </w:r>
      <w:proofErr w:type="gramStart"/>
      <w:r w:rsidRPr="00946B4B">
        <w:t>as a result of</w:t>
      </w:r>
      <w:proofErr w:type="gramEnd"/>
      <w:r w:rsidRPr="00946B4B">
        <w:t xml:space="preserve"> over-production in breakfast buffet services in midscale hotels and how sustainability goals could be met without compromising the satisfaction and perceived value by the guests.</w:t>
      </w:r>
    </w:p>
    <w:p w14:paraId="20B52283" w14:textId="77777777" w:rsidR="00D50116" w:rsidRPr="00946B4B" w:rsidRDefault="00D50116" w:rsidP="00D50116">
      <w:pPr>
        <w:pStyle w:val="Heading1"/>
        <w:rPr>
          <w:sz w:val="36"/>
        </w:rPr>
      </w:pPr>
      <w:r w:rsidRPr="00946B4B">
        <w:t>Literature Review</w:t>
      </w:r>
    </w:p>
    <w:p w14:paraId="5FF9ADA4" w14:textId="25FD0CD3" w:rsidR="00D50116" w:rsidRPr="00946B4B" w:rsidRDefault="00D50116" w:rsidP="00D50116">
      <w:pPr>
        <w:pStyle w:val="Heading2"/>
      </w:pPr>
      <w:r w:rsidRPr="00946B4B">
        <w:t>Structural Drivers of Overproduction in Breakfast Buffet Operations</w:t>
      </w:r>
    </w:p>
    <w:p w14:paraId="2A9C7A3C" w14:textId="77CE266D" w:rsidR="00D50116" w:rsidRDefault="00493993" w:rsidP="00946B4B">
      <w:r w:rsidRPr="00946B4B">
        <w:t xml:space="preserve">Systematic overproduction is reported as one of the basic causes of food waste in hotel breakfast buffets by the previous studies. The studies investigating the buffet-based models of food services indicate that excess food is intentionally prepared at the hotel settings </w:t>
      </w:r>
      <w:proofErr w:type="gramStart"/>
      <w:r w:rsidRPr="00946B4B">
        <w:t>in order to</w:t>
      </w:r>
      <w:proofErr w:type="gramEnd"/>
      <w:r w:rsidRPr="00946B4B">
        <w:t xml:space="preserve"> preserve the aesthetic look of the abundance, which is directly linked to the perceptions of quality and value used by the guests</w:t>
      </w:r>
      <w:r w:rsidR="00D0278A" w:rsidRPr="00946B4B">
        <w:t xml:space="preserve"> (Wong et al., 2023)</w:t>
      </w:r>
      <w:r w:rsidRPr="00946B4B">
        <w:t>. Research on decision-making of hotel managers shows that the fear of negative comments or complaints or the reputation damage, make managers choose conservative strategies of production, especially at the late part of the breakfast service</w:t>
      </w:r>
      <w:r w:rsidR="00D0278A" w:rsidRPr="00946B4B">
        <w:t xml:space="preserve"> (</w:t>
      </w:r>
      <w:proofErr w:type="spellStart"/>
      <w:r w:rsidR="00D0278A" w:rsidRPr="00946B4B">
        <w:t>Gössling</w:t>
      </w:r>
      <w:proofErr w:type="spellEnd"/>
      <w:r w:rsidR="00D0278A" w:rsidRPr="00946B4B">
        <w:t xml:space="preserve"> et al., 2018)</w:t>
      </w:r>
      <w:r w:rsidRPr="00946B4B">
        <w:t>.</w:t>
      </w:r>
      <w:r w:rsidRPr="00493993">
        <w:t xml:space="preserve"> </w:t>
      </w:r>
      <w:r w:rsidR="00946B4B">
        <w:t>Rigid</w:t>
      </w:r>
      <w:r w:rsidR="00946B4B" w:rsidRPr="00946B4B">
        <w:t xml:space="preserve"> procurement contracts, standardized portion planning, and inaccurate demand forecasting further reinforce this cycle of overproduction. The hotels usually use historical occupancy records instead of actual guest consumption rate in preparation volumes which causes safety margins to be included. Consequently, structural and managerial practices are mutually perpetuating the generation of surplus.</w:t>
      </w:r>
    </w:p>
    <w:p w14:paraId="4A93B24C" w14:textId="5CD01685" w:rsidR="00D50116" w:rsidRDefault="00D50116" w:rsidP="00D50116">
      <w:pPr>
        <w:pStyle w:val="Heading2"/>
      </w:pPr>
      <w:r>
        <w:t>Demand Uncertainty and Forecasting Limitations</w:t>
      </w:r>
    </w:p>
    <w:p w14:paraId="3E2DD3FD" w14:textId="5B58E520" w:rsidR="00D50116" w:rsidRDefault="00824DB2" w:rsidP="00D50116">
      <w:proofErr w:type="spellStart"/>
      <w:r w:rsidRPr="00824DB2">
        <w:t>Ampountolas</w:t>
      </w:r>
      <w:proofErr w:type="spellEnd"/>
      <w:r w:rsidRPr="00824DB2">
        <w:t xml:space="preserve"> and Legg</w:t>
      </w:r>
      <w:r>
        <w:t xml:space="preserve"> (</w:t>
      </w:r>
      <w:r w:rsidRPr="00824DB2">
        <w:t>2024)</w:t>
      </w:r>
      <w:r>
        <w:t xml:space="preserve">, </w:t>
      </w:r>
      <w:r w:rsidR="00493993" w:rsidRPr="00493993">
        <w:t>indicate</w:t>
      </w:r>
      <w:r>
        <w:t>d</w:t>
      </w:r>
      <w:r w:rsidR="00493993" w:rsidRPr="00493993">
        <w:t xml:space="preserve"> that forecasting the attendance of breakfast is challenging because of the volatility that is associated with seasonality and </w:t>
      </w:r>
      <w:proofErr w:type="gramStart"/>
      <w:r w:rsidR="00493993" w:rsidRPr="00493993">
        <w:t>week-end</w:t>
      </w:r>
      <w:proofErr w:type="gramEnd"/>
      <w:r w:rsidR="00493993" w:rsidRPr="00493993">
        <w:t xml:space="preserve">/weekday-weekend effects, group reservations, and shifts in travel </w:t>
      </w:r>
      <w:proofErr w:type="spellStart"/>
      <w:r w:rsidR="00493993" w:rsidRPr="00493993">
        <w:t>behaviour</w:t>
      </w:r>
      <w:proofErr w:type="spellEnd"/>
      <w:r w:rsidR="00493993" w:rsidRPr="00493993">
        <w:t xml:space="preserve"> of the guests. </w:t>
      </w:r>
      <w:r w:rsidR="00D0278A">
        <w:t xml:space="preserve">According to Yoo and Yang (2021), </w:t>
      </w:r>
      <w:r w:rsidR="00493993" w:rsidRPr="00493993">
        <w:t>most of the production decisions are made based on the past averages, as opposed to dynamic forecasting tools, and that result in continuous discrepancies between supply and actual demand. These results indicate that problems with forecasting are a systemic problem, especially in middle-scale hotels, where more sophisticated data analysis tools and real-time surveillance systems can be scarce.</w:t>
      </w:r>
    </w:p>
    <w:p w14:paraId="754C1690" w14:textId="7F2A57A4" w:rsidR="00D50116" w:rsidRDefault="00D50116" w:rsidP="00D50116">
      <w:pPr>
        <w:pStyle w:val="Heading2"/>
      </w:pPr>
      <w:r>
        <w:lastRenderedPageBreak/>
        <w:t xml:space="preserve">Buffet Design and Guest Consumption </w:t>
      </w:r>
      <w:proofErr w:type="spellStart"/>
      <w:r>
        <w:t>Behaviour</w:t>
      </w:r>
      <w:proofErr w:type="spellEnd"/>
    </w:p>
    <w:p w14:paraId="0C0EA395" w14:textId="3A81D236" w:rsidR="00D50116" w:rsidRDefault="00824DB2" w:rsidP="00D50116">
      <w:proofErr w:type="spellStart"/>
      <w:r w:rsidRPr="00824DB2">
        <w:t>Rianmora</w:t>
      </w:r>
      <w:proofErr w:type="spellEnd"/>
      <w:r>
        <w:t xml:space="preserve"> et al. (</w:t>
      </w:r>
      <w:r w:rsidRPr="00824DB2">
        <w:t>2024)</w:t>
      </w:r>
      <w:r>
        <w:t xml:space="preserve"> </w:t>
      </w:r>
      <w:r w:rsidR="00493993" w:rsidRPr="00493993">
        <w:t>demonstrate</w:t>
      </w:r>
      <w:r>
        <w:t>d</w:t>
      </w:r>
      <w:r w:rsidR="00493993" w:rsidRPr="00493993">
        <w:t xml:space="preserve"> that physical design factors (e.g., huge plates, large serving utensils, high menu diversity, and big display racks) stimulate the guests to overeat and taste a variety of products. According to </w:t>
      </w:r>
      <w:r>
        <w:t>Zhu and Liu (2025)</w:t>
      </w:r>
      <w:r w:rsidR="00493993" w:rsidRPr="00493993">
        <w:t xml:space="preserve">, buffet settings encourage the more is better consumption attitude especially when the consumer feels like he or she is being charged with food. </w:t>
      </w:r>
      <w:r>
        <w:t xml:space="preserve">Lau et al. (2023) </w:t>
      </w:r>
      <w:r w:rsidR="00493993" w:rsidRPr="00493993">
        <w:t>indicate</w:t>
      </w:r>
      <w:r>
        <w:t>d</w:t>
      </w:r>
      <w:r w:rsidR="00493993" w:rsidRPr="00493993">
        <w:t xml:space="preserve"> that novelty-seeking </w:t>
      </w:r>
      <w:proofErr w:type="spellStart"/>
      <w:r w:rsidR="00493993" w:rsidRPr="00493993">
        <w:t>behaviour</w:t>
      </w:r>
      <w:proofErr w:type="spellEnd"/>
      <w:r w:rsidR="00493993" w:rsidRPr="00493993">
        <w:t xml:space="preserve"> and fear of missing out make guests choose food items that they do not end up consuming. </w:t>
      </w:r>
    </w:p>
    <w:p w14:paraId="46BDAE0C" w14:textId="28A64D84" w:rsidR="00D50116" w:rsidRDefault="00D50116" w:rsidP="00D50116">
      <w:pPr>
        <w:pStyle w:val="Heading2"/>
      </w:pPr>
      <w:r>
        <w:t>Effectiveness and Risks of Waste-Reduction Interventions</w:t>
      </w:r>
    </w:p>
    <w:p w14:paraId="24521497" w14:textId="01C9145F" w:rsidR="00D50116" w:rsidRDefault="00493993" w:rsidP="00D50116">
      <w:r w:rsidRPr="00493993">
        <w:t xml:space="preserve">Interventions that would </w:t>
      </w:r>
      <w:proofErr w:type="spellStart"/>
      <w:r w:rsidRPr="00493993">
        <w:t>minimise</w:t>
      </w:r>
      <w:proofErr w:type="spellEnd"/>
      <w:r w:rsidRPr="00493993">
        <w:t xml:space="preserve"> food waste in breakfast buffets have been fully reviewed in the existing literature, with the focus on the implications of the same on guest satisfaction. </w:t>
      </w:r>
      <w:r w:rsidR="00824DB2">
        <w:t xml:space="preserve">Further, this study </w:t>
      </w:r>
      <w:r w:rsidRPr="00493993">
        <w:t>explores the strategies of portion-control, like smaller plates and serving utensils, all report a considerable decrease in waste on the plate</w:t>
      </w:r>
      <w:r w:rsidR="00824DB2" w:rsidRPr="00824DB2">
        <w:t xml:space="preserve"> (</w:t>
      </w:r>
      <w:proofErr w:type="spellStart"/>
      <w:r w:rsidR="00824DB2" w:rsidRPr="00824DB2">
        <w:t>Cozzio</w:t>
      </w:r>
      <w:proofErr w:type="spellEnd"/>
      <w:r w:rsidR="00824DB2">
        <w:t xml:space="preserve"> et al.</w:t>
      </w:r>
      <w:r w:rsidR="00824DB2" w:rsidRPr="00824DB2">
        <w:t>, 2021)</w:t>
      </w:r>
      <w:r w:rsidRPr="00493993">
        <w:t xml:space="preserve">. </w:t>
      </w:r>
      <w:r w:rsidR="00824DB2">
        <w:t xml:space="preserve">Barker </w:t>
      </w:r>
      <w:r w:rsidR="00824DB2">
        <w:rPr>
          <w:i/>
          <w:iCs/>
        </w:rPr>
        <w:t>et al.</w:t>
      </w:r>
      <w:r w:rsidR="00824DB2">
        <w:t xml:space="preserve"> (2021) demonstrated </w:t>
      </w:r>
      <w:r w:rsidRPr="00493993">
        <w:t xml:space="preserve">that these types of interventions might have a detrimental impact on perceived value in case guests view them as limiting or </w:t>
      </w:r>
      <w:proofErr w:type="gramStart"/>
      <w:r w:rsidRPr="00493993">
        <w:t>price-related</w:t>
      </w:r>
      <w:proofErr w:type="gramEnd"/>
      <w:r w:rsidRPr="00493993">
        <w:t xml:space="preserve">. </w:t>
      </w:r>
      <w:r w:rsidR="00824DB2">
        <w:t>This study also</w:t>
      </w:r>
      <w:r w:rsidRPr="00493993">
        <w:t xml:space="preserve"> investigated the effects of </w:t>
      </w:r>
      <w:proofErr w:type="spellStart"/>
      <w:r w:rsidRPr="00493993">
        <w:t>behavioural</w:t>
      </w:r>
      <w:proofErr w:type="spellEnd"/>
      <w:r w:rsidRPr="00493993">
        <w:t xml:space="preserve"> nudges, such as informational signs and normative messages, show mixed results; some studies show slight reduction in wastes, but there is also evidence that </w:t>
      </w:r>
      <w:proofErr w:type="spellStart"/>
      <w:r w:rsidRPr="00493993">
        <w:t>moralising</w:t>
      </w:r>
      <w:proofErr w:type="spellEnd"/>
      <w:r w:rsidRPr="00493993">
        <w:t xml:space="preserve"> or messages about guilt may make guests resist and displease. </w:t>
      </w:r>
    </w:p>
    <w:p w14:paraId="4259FB7C" w14:textId="29D5D4F2" w:rsidR="00D50116" w:rsidRDefault="00D50116" w:rsidP="00D50116">
      <w:pPr>
        <w:pStyle w:val="Heading1"/>
      </w:pPr>
      <w:r>
        <w:t>Methodology</w:t>
      </w:r>
    </w:p>
    <w:p w14:paraId="031DEC04" w14:textId="0A5A5F20" w:rsidR="00493993" w:rsidRDefault="00493993" w:rsidP="00493993">
      <w:r>
        <w:t xml:space="preserve">This research project </w:t>
      </w:r>
      <w:r w:rsidR="00857A17">
        <w:t>employed</w:t>
      </w:r>
      <w:r>
        <w:t xml:space="preserve"> a qualitative secondary research design based on the available literature in the field of academia and the food industry to investigate food waste in breakfast buffet business in midscale hotels. The systematic search strategy was applied to locate the sources of interest in the academic databases such as Google scholar, Scopus, and journals </w:t>
      </w:r>
      <w:proofErr w:type="spellStart"/>
      <w:r>
        <w:t>specialising</w:t>
      </w:r>
      <w:proofErr w:type="spellEnd"/>
      <w:r>
        <w:t xml:space="preserve"> in the hospitality industry</w:t>
      </w:r>
      <w:r w:rsidR="00857A17">
        <w:t xml:space="preserve"> such as: </w:t>
      </w:r>
      <w:r w:rsidR="00857A17" w:rsidRPr="00857A17">
        <w:rPr>
          <w:i/>
          <w:highlight w:val="yellow"/>
        </w:rPr>
        <w:t>International Journal of Hospitality Management, International Journal of Contemporary Hospitality Management</w:t>
      </w:r>
      <w:r w:rsidR="00857A17" w:rsidRPr="00857A17">
        <w:rPr>
          <w:highlight w:val="yellow"/>
        </w:rPr>
        <w:t xml:space="preserve">, </w:t>
      </w:r>
      <w:r w:rsidR="00857A17" w:rsidRPr="00857A17">
        <w:rPr>
          <w:rStyle w:val="Emphasis"/>
          <w:highlight w:val="yellow"/>
        </w:rPr>
        <w:t>Journal of Hospitality and Tourism Insights</w:t>
      </w:r>
      <w:r w:rsidR="00857A17">
        <w:t xml:space="preserve"> </w:t>
      </w:r>
      <w:r w:rsidR="00857A17" w:rsidRPr="00824DB2">
        <w:t>(</w:t>
      </w:r>
      <w:proofErr w:type="spellStart"/>
      <w:r w:rsidR="00824DB2" w:rsidRPr="00824DB2">
        <w:t>Kravariti</w:t>
      </w:r>
      <w:proofErr w:type="spellEnd"/>
      <w:r w:rsidR="00824DB2" w:rsidRPr="00824DB2">
        <w:t xml:space="preserve"> et al., 2022)</w:t>
      </w:r>
      <w:r>
        <w:t xml:space="preserve">. The appropriate search terms were the combination of the following: </w:t>
      </w:r>
      <w:proofErr w:type="spellStart"/>
      <w:r>
        <w:t>hoteles</w:t>
      </w:r>
      <w:proofErr w:type="spellEnd"/>
      <w:r>
        <w:t xml:space="preserve"> breakfast buffet food waste, plate waste, buffet design, </w:t>
      </w:r>
      <w:proofErr w:type="spellStart"/>
      <w:r>
        <w:t>behavioural</w:t>
      </w:r>
      <w:proofErr w:type="spellEnd"/>
      <w:r>
        <w:t xml:space="preserve"> nudges, midscale hotels, and guest satisfaction. </w:t>
      </w:r>
    </w:p>
    <w:p w14:paraId="4810D5CC" w14:textId="3EC10ECA" w:rsidR="00D50116" w:rsidRDefault="00493993" w:rsidP="00493993">
      <w:r>
        <w:t xml:space="preserve">Inclusion criteria </w:t>
      </w:r>
      <w:r w:rsidR="00857A17">
        <w:t>was</w:t>
      </w:r>
      <w:r>
        <w:t xml:space="preserve"> used to make sure that </w:t>
      </w:r>
      <w:r w:rsidR="00857A17">
        <w:t>in this study</w:t>
      </w:r>
      <w:r>
        <w:t xml:space="preserve"> peer-reviewed journal articles, authoritative industry reports, and academic books, which were published in the last </w:t>
      </w:r>
      <w:r w:rsidR="00824DB2">
        <w:t>5</w:t>
      </w:r>
      <w:r>
        <w:t xml:space="preserve"> years (20</w:t>
      </w:r>
      <w:r w:rsidR="00824DB2">
        <w:t>21</w:t>
      </w:r>
      <w:r>
        <w:t>-</w:t>
      </w:r>
      <w:r>
        <w:lastRenderedPageBreak/>
        <w:t>202</w:t>
      </w:r>
      <w:r w:rsidR="00115C53">
        <w:t>5</w:t>
      </w:r>
      <w:r>
        <w:t xml:space="preserve">) </w:t>
      </w:r>
      <w:r w:rsidR="00857A17">
        <w:t xml:space="preserve">were selected </w:t>
      </w:r>
      <w:r>
        <w:t xml:space="preserve">alone as it ensured relevance and academic </w:t>
      </w:r>
      <w:proofErr w:type="spellStart"/>
      <w:r>
        <w:t>rigour</w:t>
      </w:r>
      <w:proofErr w:type="spellEnd"/>
      <w:r>
        <w:t>, as well as to a limited extent, earlier seminal studies that provided the theoretical foundation on the issue</w:t>
      </w:r>
      <w:r w:rsidR="00115C53" w:rsidRPr="00115C53">
        <w:t xml:space="preserve"> (Sonar et al., 2025)</w:t>
      </w:r>
      <w:r>
        <w:t xml:space="preserve">. The studies needed to consider the contexts of hotel or buffet-style food service and discuss either the production of waste or the </w:t>
      </w:r>
      <w:proofErr w:type="spellStart"/>
      <w:r>
        <w:t>behaviour</w:t>
      </w:r>
      <w:proofErr w:type="spellEnd"/>
      <w:r>
        <w:t xml:space="preserve"> of the guests or the needs of waste-reduction interventions. Reviewing and synthetic of the selected literature were done critically </w:t>
      </w:r>
      <w:proofErr w:type="gramStart"/>
      <w:r>
        <w:t>in order to</w:t>
      </w:r>
      <w:proofErr w:type="gramEnd"/>
      <w:r>
        <w:t xml:space="preserve"> figure out common patterns, relationships, as well as areas of consensus or disagreement in current studies. </w:t>
      </w:r>
      <w:r w:rsidR="00115C53">
        <w:t xml:space="preserve"> </w:t>
      </w:r>
      <w:r>
        <w:t xml:space="preserve">A sequential section was then used to examine the effects of determined food waste drivers and interventions on sustainability performance and guest satisfaction using an analytical framework. The systematic and theory-based analysis of the modern issue is made possible through this </w:t>
      </w:r>
      <w:proofErr w:type="spellStart"/>
      <w:r>
        <w:t>systematised</w:t>
      </w:r>
      <w:proofErr w:type="spellEnd"/>
      <w:r>
        <w:t xml:space="preserve"> method that is also adequate within the limits and the scope of the study.</w:t>
      </w:r>
    </w:p>
    <w:p w14:paraId="3D6AD822" w14:textId="77777777" w:rsidR="00D50116" w:rsidRDefault="00D50116" w:rsidP="00D50116">
      <w:pPr>
        <w:pStyle w:val="Heading1"/>
        <w:rPr>
          <w:sz w:val="36"/>
        </w:rPr>
      </w:pPr>
      <w:r>
        <w:t>Theme Impact Analysis: PESTEL Framework</w:t>
      </w:r>
    </w:p>
    <w:p w14:paraId="46F256EF" w14:textId="5D598D50" w:rsidR="00D50116" w:rsidRDefault="00D50116" w:rsidP="00D50116">
      <w:pPr>
        <w:pStyle w:val="Heading2"/>
      </w:pPr>
      <w:r>
        <w:t>Political Factors</w:t>
      </w:r>
    </w:p>
    <w:p w14:paraId="3E7601AF" w14:textId="4234A71E" w:rsidR="00D50116" w:rsidRDefault="00493993" w:rsidP="00D50116">
      <w:r w:rsidRPr="00493993">
        <w:t>Politically and through regulation, pressure to reduce food waste has increased at an industry level all over the world as governments work to align the operations of the hospitality sector with the wider sustainability and net-zero initiatives</w:t>
      </w:r>
      <w:r w:rsidR="00115C53">
        <w:t xml:space="preserve"> </w:t>
      </w:r>
      <w:r w:rsidR="00115C53" w:rsidRPr="00115C53">
        <w:t>(</w:t>
      </w:r>
      <w:proofErr w:type="spellStart"/>
      <w:r w:rsidR="00115C53" w:rsidRPr="00115C53">
        <w:t>Despoudi</w:t>
      </w:r>
      <w:proofErr w:type="spellEnd"/>
      <w:r w:rsidR="00115C53" w:rsidRPr="00115C53">
        <w:t xml:space="preserve"> et al., 2021)</w:t>
      </w:r>
      <w:r w:rsidRPr="00493993">
        <w:t xml:space="preserve">. The food waste regulation, taxation on the landfill, and a compulsory sustainability reporting requirement have been instituted or intensified in many countries especially among the large hospitality operators. The disclosure models of ESG are forcing hotels to measure and disclose the amount of food waste volumes shifting waste management to a governance matter. These pressures affect procurement, portioning, and disposal </w:t>
      </w:r>
      <w:proofErr w:type="spellStart"/>
      <w:r w:rsidRPr="00493993">
        <w:t>practises</w:t>
      </w:r>
      <w:proofErr w:type="spellEnd"/>
      <w:r w:rsidRPr="00493993">
        <w:t xml:space="preserve"> in food and beverage operations in the hotel industry. When it is transferred to breakfast buffet services on the mid-scale hotels, the regulatory expectations increase the necessity to control overproduction and post-consumer waste without the compromise of service quality. </w:t>
      </w:r>
    </w:p>
    <w:p w14:paraId="7D6ECC71" w14:textId="77777777" w:rsidR="00D50116" w:rsidRDefault="00D50116" w:rsidP="00D50116">
      <w:pPr>
        <w:pStyle w:val="Heading2"/>
      </w:pPr>
      <w:r>
        <w:t>Economic Factors</w:t>
      </w:r>
    </w:p>
    <w:p w14:paraId="2EE03488" w14:textId="0183EDE2" w:rsidR="00D50116" w:rsidRDefault="00493993" w:rsidP="00D50116">
      <w:r w:rsidRPr="00493993">
        <w:t xml:space="preserve">Economic challenges are one of the primary factors that influence food waste </w:t>
      </w:r>
      <w:proofErr w:type="spellStart"/>
      <w:r w:rsidRPr="00493993">
        <w:t>practises</w:t>
      </w:r>
      <w:proofErr w:type="spellEnd"/>
      <w:r w:rsidRPr="00493993">
        <w:t xml:space="preserve"> in any hospitality sector. The escalation of food prices, the volatility of supply chain and continuous inflation have greatly augmented the operation cost of food and </w:t>
      </w:r>
      <w:proofErr w:type="gramStart"/>
      <w:r w:rsidRPr="00493993">
        <w:t>beverages</w:t>
      </w:r>
      <w:proofErr w:type="gramEnd"/>
      <w:r w:rsidRPr="00493993">
        <w:t xml:space="preserve"> and industry estimates indicate that food waste can consume between 5% and 15% of the total food expenditures in hotels. The lack of </w:t>
      </w:r>
      <w:proofErr w:type="spellStart"/>
      <w:r w:rsidRPr="00493993">
        <w:t>labour</w:t>
      </w:r>
      <w:proofErr w:type="spellEnd"/>
      <w:r w:rsidRPr="00493993">
        <w:t xml:space="preserve"> and wage inflation only contribute to financial pressure, especially with </w:t>
      </w:r>
      <w:r w:rsidRPr="00493993">
        <w:lastRenderedPageBreak/>
        <w:t>midscale hotels whose operations have low margins and price models based on cost sensitivity</w:t>
      </w:r>
      <w:r w:rsidR="00115C53" w:rsidRPr="00115C53">
        <w:t xml:space="preserve"> (Mun and Woo, 2021)</w:t>
      </w:r>
      <w:r w:rsidRPr="00493993">
        <w:t xml:space="preserve">. Industry-wise, breakfast buffets are both considered costly processes and essential sources of value to the customers. When it comes to midscale hotels, it follows that waste cut </w:t>
      </w:r>
      <w:proofErr w:type="spellStart"/>
      <w:r w:rsidRPr="00493993">
        <w:t>programmes</w:t>
      </w:r>
      <w:proofErr w:type="spellEnd"/>
      <w:r w:rsidRPr="00493993">
        <w:t xml:space="preserve"> should be able to provide a quantifiable cost-benefit without compromising on the perceived value. Production changes can be provided through interventions like AI-based waste tracking systems which have been demonstrated in literature cases in the industry and have been found to cut down food waste by 3050 percent. Nonetheless, the initial high capital cost of investment and the need to be trained can provide a hindrance to the relatively smaller or smaller and independently operated midscale properties. Economic pressures, therefore, compel hotel operators to trade off the investment of waste reduction technologies with short term financial performance and guest satisfaction indices.</w:t>
      </w:r>
    </w:p>
    <w:p w14:paraId="641E81F1" w14:textId="77777777" w:rsidR="00D50116" w:rsidRDefault="00D50116" w:rsidP="00D50116">
      <w:pPr>
        <w:pStyle w:val="Heading2"/>
      </w:pPr>
      <w:r>
        <w:t>Social Factors</w:t>
      </w:r>
    </w:p>
    <w:p w14:paraId="05492636" w14:textId="2AAAD885" w:rsidR="00D50116" w:rsidRDefault="00493993" w:rsidP="00D50116">
      <w:r w:rsidRPr="00493993">
        <w:t>The social militia and the consumption pattern are strong factors that impact on the production of food waste in the hospitality sector. The culture of buffet has penetrated through the hotel breakfast service where the abundance, variety, and free access have become the perception of the quality and value to the guests</w:t>
      </w:r>
      <w:r w:rsidR="00115C53" w:rsidRPr="00115C53">
        <w:t xml:space="preserve"> (Appel</w:t>
      </w:r>
      <w:r w:rsidR="00115C53">
        <w:t xml:space="preserve"> et al.</w:t>
      </w:r>
      <w:r w:rsidR="00115C53" w:rsidRPr="00115C53">
        <w:t>, 2025)</w:t>
      </w:r>
      <w:r w:rsidRPr="00493993">
        <w:t xml:space="preserve">. Such </w:t>
      </w:r>
      <w:proofErr w:type="spellStart"/>
      <w:r w:rsidRPr="00493993">
        <w:t>behaviour</w:t>
      </w:r>
      <w:proofErr w:type="spellEnd"/>
      <w:r w:rsidRPr="00493993">
        <w:t xml:space="preserve"> leads to a lot of plate waste after consumption. Any perceived loss of option or amount served can impact negatively on satisfaction and brand loyalty in midscale hotels where clientele is particularly </w:t>
      </w:r>
      <w:proofErr w:type="gramStart"/>
      <w:r w:rsidRPr="00493993">
        <w:t>price-conscious</w:t>
      </w:r>
      <w:proofErr w:type="gramEnd"/>
      <w:r w:rsidRPr="00493993">
        <w:t xml:space="preserve">. The intervention effectiveness is further complicated by social diversity of the visiting people as business </w:t>
      </w:r>
      <w:proofErr w:type="spellStart"/>
      <w:r w:rsidRPr="00493993">
        <w:t>traveller</w:t>
      </w:r>
      <w:proofErr w:type="spellEnd"/>
      <w:r w:rsidRPr="00493993">
        <w:t xml:space="preserve">, families and leisure guests react differently to waste-reduction initiatives. There have been encouraging findings in terms of modifying </w:t>
      </w:r>
      <w:proofErr w:type="spellStart"/>
      <w:r w:rsidRPr="00493993">
        <w:t>behaviour</w:t>
      </w:r>
      <w:proofErr w:type="spellEnd"/>
      <w:r w:rsidRPr="00493993">
        <w:t xml:space="preserve"> of guests without resistance especially when using gamification and positive engagement tactics. Nonetheless, the literature indicates that the interventions that are socially motivated should be precisely </w:t>
      </w:r>
      <w:proofErr w:type="spellStart"/>
      <w:r w:rsidRPr="00493993">
        <w:t>customised</w:t>
      </w:r>
      <w:proofErr w:type="spellEnd"/>
      <w:r w:rsidRPr="00493993">
        <w:t xml:space="preserve">, since the </w:t>
      </w:r>
      <w:proofErr w:type="spellStart"/>
      <w:r w:rsidRPr="00493993">
        <w:t>standardised</w:t>
      </w:r>
      <w:proofErr w:type="spellEnd"/>
      <w:r w:rsidRPr="00493993">
        <w:t xml:space="preserve"> solutions can negatively impact some of the guest segments and spoil the experience of the guests.</w:t>
      </w:r>
    </w:p>
    <w:p w14:paraId="25ADB93A" w14:textId="77777777" w:rsidR="00D50116" w:rsidRDefault="00D50116" w:rsidP="00D50116">
      <w:pPr>
        <w:pStyle w:val="Heading2"/>
      </w:pPr>
      <w:r>
        <w:t>Technological Factors</w:t>
      </w:r>
    </w:p>
    <w:p w14:paraId="06827ED2" w14:textId="1137034C" w:rsidR="00D50116" w:rsidRDefault="00493993" w:rsidP="00D50116">
      <w:r w:rsidRPr="00493993">
        <w:t xml:space="preserve">The impact of technological development on solving food waste issues in the hospitality sector has become even more significant. Digital tracking, smart scales, and AI-based analytics can help hotels to accurately measure waste and identify high-waste products, as well as </w:t>
      </w:r>
      <w:proofErr w:type="spellStart"/>
      <w:r w:rsidRPr="00493993">
        <w:t>optimise</w:t>
      </w:r>
      <w:proofErr w:type="spellEnd"/>
      <w:r w:rsidRPr="00493993">
        <w:t xml:space="preserve"> production planning</w:t>
      </w:r>
      <w:r w:rsidR="00115C53" w:rsidRPr="00115C53">
        <w:t xml:space="preserve"> (</w:t>
      </w:r>
      <w:proofErr w:type="spellStart"/>
      <w:r w:rsidR="00115C53" w:rsidRPr="00115C53">
        <w:t>Lakhouit</w:t>
      </w:r>
      <w:proofErr w:type="spellEnd"/>
      <w:r w:rsidR="00115C53" w:rsidRPr="00115C53">
        <w:t>, 2025)</w:t>
      </w:r>
      <w:r w:rsidRPr="00493993">
        <w:t xml:space="preserve">. The implementation of such technologies across the </w:t>
      </w:r>
      <w:r w:rsidRPr="00493993">
        <w:lastRenderedPageBreak/>
        <w:t>industry has been linked with major food waste reduction and accuracy in forecasting. In the case of breakfast buffet in midscale hotels, technology can provide an opportunity to match production volume with the real demand more, which will help avoid overproduction without changing the apparent abundance of buffets. However, there are still technological obstacles such as financial investments, employee training and resistance to change. Although big chain hotels might enjoy economies of scale, an independent midscale hotel might find it hard to accept paying the price of a high-tech system. Subsequently, technological interventions are best applied when they are combined with operational modifications, including smaller batch cooking and menu engineering, and rarely as a form of independent intervention</w:t>
      </w:r>
      <w:r w:rsidR="00115C53">
        <w:t xml:space="preserve"> </w:t>
      </w:r>
      <w:r w:rsidR="00115C53" w:rsidRPr="00115C53">
        <w:t>(Pereira et al., 2022)</w:t>
      </w:r>
      <w:r w:rsidRPr="00493993">
        <w:t>.</w:t>
      </w:r>
    </w:p>
    <w:p w14:paraId="01801613" w14:textId="77777777" w:rsidR="00D50116" w:rsidRDefault="00D50116" w:rsidP="00D50116">
      <w:pPr>
        <w:pStyle w:val="Heading2"/>
      </w:pPr>
      <w:r>
        <w:t>Environmental Factors</w:t>
      </w:r>
    </w:p>
    <w:p w14:paraId="7E99D7CB" w14:textId="3035F5F9" w:rsidR="00D50116" w:rsidRDefault="00493993" w:rsidP="00D50116">
      <w:r w:rsidRPr="00493993">
        <w:t xml:space="preserve">Green environments have become a stable priority to the hospitality sector, and food waste </w:t>
      </w:r>
      <w:proofErr w:type="gramStart"/>
      <w:r w:rsidRPr="00493993">
        <w:t>is considered to be</w:t>
      </w:r>
      <w:proofErr w:type="gramEnd"/>
      <w:r w:rsidRPr="00493993">
        <w:t xml:space="preserve"> one of the biggest sources of carbon emission, water usage, and landfills</w:t>
      </w:r>
      <w:r w:rsidR="000A456C">
        <w:t xml:space="preserve"> </w:t>
      </w:r>
      <w:r w:rsidR="00115C53" w:rsidRPr="00115C53">
        <w:t>(Vázquez-Rowe et al., 2021)</w:t>
      </w:r>
      <w:r w:rsidRPr="00493993">
        <w:t xml:space="preserve">. In the hotel industry, an apparent and quantifiable environmental effect is the waste management of breakfast buffets. Environmental pressures are responsible of mounting pressure on the brand positioning, consumer choice, and corporate responsibility strategies. Environmental </w:t>
      </w:r>
      <w:proofErr w:type="spellStart"/>
      <w:r w:rsidRPr="00493993">
        <w:t>programmes</w:t>
      </w:r>
      <w:proofErr w:type="spellEnd"/>
      <w:r w:rsidRPr="00493993">
        <w:t xml:space="preserve"> in the midscale hotels </w:t>
      </w:r>
      <w:proofErr w:type="gramStart"/>
      <w:r w:rsidRPr="00493993">
        <w:t>have to</w:t>
      </w:r>
      <w:proofErr w:type="gramEnd"/>
      <w:r w:rsidRPr="00493993">
        <w:t xml:space="preserve"> be authentic yet cost-effective. Environmental targets can be directly contributed by waste minimization at breakfast buffets, which will decrease carbon footprints and decrease dependence on landfills. Nonetheless, the environmental benefits should be made in a careful way so that the guests do not feel diminished quality of services. According to the literature, the ideal condition of effective environmental messaging occurs when it is coherent with the positive guest engagement as opposed to moral compulsion.</w:t>
      </w:r>
    </w:p>
    <w:p w14:paraId="64B63FBA" w14:textId="77777777" w:rsidR="00D50116" w:rsidRDefault="00D50116" w:rsidP="00D50116">
      <w:pPr>
        <w:pStyle w:val="Heading2"/>
      </w:pPr>
      <w:r>
        <w:t>Legal Factors</w:t>
      </w:r>
    </w:p>
    <w:p w14:paraId="1C8DB43A" w14:textId="46BBA2AB" w:rsidR="00D50116" w:rsidRDefault="00493993" w:rsidP="00D50116">
      <w:r w:rsidRPr="00493993">
        <w:t xml:space="preserve">Legal issues also overlap with political forces but have different business operational difficulties. Waste management is an important decision that is affected by food safety regulation, hygiene, and liability issues in hotels. The redistribution of prepared food is strictly controlled in many jurisdictions, which restricts the viability of donation </w:t>
      </w:r>
      <w:proofErr w:type="spellStart"/>
      <w:r w:rsidRPr="00493993">
        <w:t>programmes</w:t>
      </w:r>
      <w:proofErr w:type="spellEnd"/>
      <w:r w:rsidRPr="00493993">
        <w:t xml:space="preserve"> of surplus buffet food material</w:t>
      </w:r>
      <w:r w:rsidR="00115C53" w:rsidRPr="00115C53">
        <w:t xml:space="preserve"> (Lohnes, 2021)</w:t>
      </w:r>
      <w:r w:rsidRPr="00493993">
        <w:t xml:space="preserve">. Also, meeting the waste segregation and disposal requirements are cost and administrative overheads. In the case of midscale hotels, the legal risk aversion results in conservative waste management </w:t>
      </w:r>
      <w:proofErr w:type="spellStart"/>
      <w:r w:rsidRPr="00493993">
        <w:t>behaviour</w:t>
      </w:r>
      <w:proofErr w:type="spellEnd"/>
      <w:r w:rsidRPr="00493993">
        <w:t xml:space="preserve"> that supports the use of disposal instead of </w:t>
      </w:r>
      <w:r w:rsidRPr="00493993">
        <w:lastRenderedPageBreak/>
        <w:t>redistribution. These legal limitations also underscore the seriousness of control at the stage of production and service design during the operations of the breakfast buffet.</w:t>
      </w:r>
    </w:p>
    <w:p w14:paraId="7466CEB5" w14:textId="337BF4FB" w:rsidR="00D50116" w:rsidRDefault="00D50116" w:rsidP="00D50116">
      <w:pPr>
        <w:pStyle w:val="Heading1"/>
      </w:pPr>
      <w:r>
        <w:t>Conclusion</w:t>
      </w:r>
    </w:p>
    <w:p w14:paraId="6C992087" w14:textId="7A126B83" w:rsidR="00D50116" w:rsidRDefault="00115C53" w:rsidP="00946B4B">
      <w:r>
        <w:t>In conclusion, t</w:t>
      </w:r>
      <w:r w:rsidR="00493993" w:rsidRPr="00493993">
        <w:t xml:space="preserve">he waste in breakfast buffet food in mid-scale hotels is stimulated by a mix of structural over-production, restrictions on demand projection, buffet design options as well as consumption </w:t>
      </w:r>
      <w:proofErr w:type="spellStart"/>
      <w:r w:rsidR="00493993" w:rsidRPr="00493993">
        <w:t>behaviour</w:t>
      </w:r>
      <w:proofErr w:type="spellEnd"/>
      <w:r w:rsidR="00493993" w:rsidRPr="00493993">
        <w:t xml:space="preserve"> of the guests influenced by value-for-money perceptions. The literature has shown that a mixed strategy, whereby forecasting is enhanced, waste measurement technologies are implemented, portion-control strategies, and </w:t>
      </w:r>
      <w:proofErr w:type="spellStart"/>
      <w:r w:rsidR="00493993" w:rsidRPr="00493993">
        <w:t>behavioural</w:t>
      </w:r>
      <w:proofErr w:type="spellEnd"/>
      <w:r w:rsidR="00493993" w:rsidRPr="00493993">
        <w:t xml:space="preserve"> interventions are well planned are the most effective strategies of reducing waste. Nevertheless, the literature is clear that waste minimization projects should be undertaken taking into consideration the perceptions of the guests because breakfast continues to feature in the value proposition of a midscale hotel. The right balance between sustainability goals and guest satisfaction is hence required so that no harm is done to the total guest experience, at the cost of environmental and economic gains.</w:t>
      </w:r>
      <w:r w:rsidR="00946B4B">
        <w:t xml:space="preserve"> </w:t>
      </w:r>
      <w:r w:rsidR="00946B4B" w:rsidRPr="00946B4B">
        <w:t xml:space="preserve">The long-term efficacy of </w:t>
      </w:r>
      <w:proofErr w:type="spellStart"/>
      <w:r w:rsidR="00946B4B" w:rsidRPr="00946B4B">
        <w:t>behavioural</w:t>
      </w:r>
      <w:proofErr w:type="spellEnd"/>
      <w:r w:rsidR="00946B4B" w:rsidRPr="00946B4B">
        <w:t xml:space="preserve"> nudges, digital monitoring technologies, and the design of the buffets in hotel categories and cultural environments should also be considered in future studies to promote the adoption of sustainable </w:t>
      </w:r>
      <w:proofErr w:type="spellStart"/>
      <w:r w:rsidR="00946B4B" w:rsidRPr="00946B4B">
        <w:t>behaviour</w:t>
      </w:r>
      <w:proofErr w:type="spellEnd"/>
      <w:r w:rsidR="00946B4B" w:rsidRPr="00946B4B">
        <w:t xml:space="preserve"> psychology. A higher level of partnership between sustainability specialists, hotel managers, and staff is also necessary to instill waste reduction into the normal culture of operations. </w:t>
      </w:r>
      <w:proofErr w:type="gramStart"/>
      <w:r w:rsidR="00946B4B" w:rsidRPr="00946B4B">
        <w:t>The end result</w:t>
      </w:r>
      <w:proofErr w:type="gramEnd"/>
      <w:r w:rsidR="00946B4B" w:rsidRPr="00946B4B">
        <w:t xml:space="preserve"> of lowering the waste of breakfast buffet cannot be dissolved in purely cost-saving steps, but rather in the strategizing of responsible hospitality and sustainable value build-up.</w:t>
      </w:r>
    </w:p>
    <w:p w14:paraId="409CBF27" w14:textId="77777777" w:rsidR="00D50116" w:rsidRDefault="00D50116" w:rsidP="00D50116">
      <w:pPr>
        <w:pStyle w:val="Heading1"/>
      </w:pPr>
      <w:r>
        <w:t>Recommendations</w:t>
      </w:r>
    </w:p>
    <w:p w14:paraId="75D39589" w14:textId="10D3E9F9" w:rsidR="00493993" w:rsidRDefault="00493993" w:rsidP="00493993">
      <w:pPr>
        <w:pStyle w:val="ListParagraph"/>
        <w:numPr>
          <w:ilvl w:val="0"/>
          <w:numId w:val="11"/>
        </w:numPr>
      </w:pPr>
      <w:r>
        <w:t xml:space="preserve">Low-cost and actionable steps to mitigate waste in breakfast buffet should be </w:t>
      </w:r>
      <w:proofErr w:type="spellStart"/>
      <w:r>
        <w:t>emphasised</w:t>
      </w:r>
      <w:proofErr w:type="spellEnd"/>
      <w:r>
        <w:t xml:space="preserve"> by midscale hotels. Monitoring the waste hotspots by item and time frame- using the manual record or simple spreadsheet can easily spot the high-waste foods and the loss periods</w:t>
      </w:r>
      <w:r w:rsidR="00115C53" w:rsidRPr="00115C53">
        <w:t xml:space="preserve"> (Xu</w:t>
      </w:r>
      <w:r w:rsidR="00115C53">
        <w:t xml:space="preserve"> et al.</w:t>
      </w:r>
      <w:r w:rsidR="00115C53" w:rsidRPr="00115C53">
        <w:t>, 2025)</w:t>
      </w:r>
      <w:r>
        <w:t xml:space="preserve">. Frequent replenishment created in small batches assists in creating less production whilst preserving the perceptions of freshness and plenty. </w:t>
      </w:r>
    </w:p>
    <w:p w14:paraId="511C95F0" w14:textId="46937110" w:rsidR="00493993" w:rsidRDefault="00493993" w:rsidP="00493993">
      <w:pPr>
        <w:pStyle w:val="ListParagraph"/>
        <w:numPr>
          <w:ilvl w:val="0"/>
          <w:numId w:val="11"/>
        </w:numPr>
      </w:pPr>
      <w:r>
        <w:t xml:space="preserve">In the </w:t>
      </w:r>
      <w:proofErr w:type="gramStart"/>
      <w:r>
        <w:t>medium-run</w:t>
      </w:r>
      <w:proofErr w:type="gramEnd"/>
      <w:r>
        <w:t xml:space="preserve">, the hotels are suggested to enhance demand forecasting </w:t>
      </w:r>
      <w:proofErr w:type="spellStart"/>
      <w:r>
        <w:t>practises</w:t>
      </w:r>
      <w:proofErr w:type="spellEnd"/>
      <w:r>
        <w:t xml:space="preserve"> by connecting the breakfast production planning to the occupancy rates, booking trends, and trends by the days of the week</w:t>
      </w:r>
      <w:r w:rsidR="00115C53" w:rsidRPr="00115C53">
        <w:t xml:space="preserve"> (Kumar and Ekka, 2025)</w:t>
      </w:r>
      <w:r>
        <w:t xml:space="preserve">. Better forecasting allows preparing with more accuracy and eliminates overuse of safety margins. Menu engineering would be </w:t>
      </w:r>
      <w:r>
        <w:lastRenderedPageBreak/>
        <w:t xml:space="preserve">used to eat low consumption high waste products, which can either be eliminated, recreated or rotated as specials every now and then as opposed to being on the menu </w:t>
      </w:r>
      <w:proofErr w:type="gramStart"/>
      <w:r>
        <w:t>on a daily basis</w:t>
      </w:r>
      <w:proofErr w:type="gramEnd"/>
      <w:r>
        <w:t xml:space="preserve">. </w:t>
      </w:r>
    </w:p>
    <w:p w14:paraId="50B10B0D" w14:textId="5789D80C" w:rsidR="00493993" w:rsidRDefault="00493993" w:rsidP="00493993">
      <w:pPr>
        <w:pStyle w:val="ListParagraph"/>
        <w:numPr>
          <w:ilvl w:val="0"/>
          <w:numId w:val="11"/>
        </w:numPr>
      </w:pPr>
      <w:r>
        <w:t>The training of the staff is critical so that the waste reduction strategies would be implemented in a consistent and sensitive manner. Food and beverage departments are to be educated on the information about the drivers of waste, portion management, the necessity to ensure the guest satisfaction. Accountability through performance incentives based on waste reduction KPIs can be promoted, however, these should be well-constructed to prevent the unforeseen outcomes of under-serving and poor service delivery</w:t>
      </w:r>
      <w:r w:rsidR="00115C53" w:rsidRPr="00115C53">
        <w:t xml:space="preserve"> (Steen</w:t>
      </w:r>
      <w:r w:rsidR="00115C53">
        <w:t xml:space="preserve"> et al.</w:t>
      </w:r>
      <w:r w:rsidR="00115C53" w:rsidRPr="00115C53">
        <w:t>, 2024)</w:t>
      </w:r>
      <w:r>
        <w:t>. The focus on teamwork, operational awareness and guest-</w:t>
      </w:r>
      <w:proofErr w:type="spellStart"/>
      <w:r>
        <w:t>centred</w:t>
      </w:r>
      <w:proofErr w:type="spellEnd"/>
      <w:r>
        <w:t xml:space="preserve"> service is a priority that makes the sustainability objectives compatible with the standards of hospitality.</w:t>
      </w:r>
    </w:p>
    <w:p w14:paraId="5DC8B2A3" w14:textId="77777777" w:rsidR="00493993" w:rsidRDefault="00493993">
      <w:pPr>
        <w:spacing w:before="0" w:after="160" w:line="259" w:lineRule="auto"/>
        <w:jc w:val="left"/>
      </w:pPr>
      <w:r>
        <w:br w:type="page"/>
      </w:r>
    </w:p>
    <w:p w14:paraId="6EE81782" w14:textId="1FFC3464" w:rsidR="00493993" w:rsidRPr="00946B4B" w:rsidRDefault="00493993" w:rsidP="00493993">
      <w:pPr>
        <w:pStyle w:val="Heading1"/>
      </w:pPr>
      <w:r w:rsidRPr="00946B4B">
        <w:lastRenderedPageBreak/>
        <w:t>References</w:t>
      </w:r>
    </w:p>
    <w:p w14:paraId="6903CFCD"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t>Ampountolas</w:t>
      </w:r>
      <w:proofErr w:type="spellEnd"/>
      <w:r w:rsidRPr="00946B4B">
        <w:rPr>
          <w:rFonts w:eastAsia="Times New Roman" w:cs="Times New Roman"/>
          <w:szCs w:val="24"/>
        </w:rPr>
        <w:t xml:space="preserve">, A. and Legg, M. (2024) ‘Predicting daily hotel occupancy: a practical application for independent hotels’, </w:t>
      </w:r>
      <w:r w:rsidRPr="00946B4B">
        <w:rPr>
          <w:rFonts w:eastAsia="Times New Roman" w:cs="Times New Roman"/>
          <w:i/>
          <w:iCs/>
          <w:szCs w:val="24"/>
        </w:rPr>
        <w:t>Journal of Revenue and Pricing Management</w:t>
      </w:r>
      <w:r w:rsidRPr="00946B4B">
        <w:rPr>
          <w:rFonts w:eastAsia="Times New Roman" w:cs="Times New Roman"/>
          <w:szCs w:val="24"/>
        </w:rPr>
        <w:t>, 23(3), pp. 197–205. Available at: https://doi.org/10.1057/s41272-023-00445-7.</w:t>
      </w:r>
    </w:p>
    <w:p w14:paraId="5247E26C"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Appel, G., Ayalon, O. and Collins-Kreiner, N. (2025) ‘From a full buffet to a full bin - hotel managers’ perspectives on food waste at breakfast buffets’, </w:t>
      </w:r>
      <w:r w:rsidRPr="00946B4B">
        <w:rPr>
          <w:rFonts w:eastAsia="Times New Roman" w:cs="Times New Roman"/>
          <w:i/>
          <w:iCs/>
          <w:szCs w:val="24"/>
        </w:rPr>
        <w:t>International Journal of Hospitality Management</w:t>
      </w:r>
      <w:r w:rsidRPr="00946B4B">
        <w:rPr>
          <w:rFonts w:eastAsia="Times New Roman" w:cs="Times New Roman"/>
          <w:szCs w:val="24"/>
        </w:rPr>
        <w:t>, 130, p. 104276. Available at: https://doi.org/10.1016/j.ijhm.2025.104276.</w:t>
      </w:r>
    </w:p>
    <w:p w14:paraId="2AC61D75"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Barker, H., Shaw, P.J., Richards, B., Clegg, Z. and Smith, D. (2021) ‘What nudge techniques work for food waste </w:t>
      </w:r>
      <w:proofErr w:type="spellStart"/>
      <w:r w:rsidRPr="00946B4B">
        <w:rPr>
          <w:rFonts w:eastAsia="Times New Roman" w:cs="Times New Roman"/>
          <w:szCs w:val="24"/>
        </w:rPr>
        <w:t>behaviour</w:t>
      </w:r>
      <w:proofErr w:type="spellEnd"/>
      <w:r w:rsidRPr="00946B4B">
        <w:rPr>
          <w:rFonts w:eastAsia="Times New Roman" w:cs="Times New Roman"/>
          <w:szCs w:val="24"/>
        </w:rPr>
        <w:t xml:space="preserve"> change at the consumer level? A systematic review’, </w:t>
      </w:r>
      <w:r w:rsidRPr="00946B4B">
        <w:rPr>
          <w:rFonts w:eastAsia="Times New Roman" w:cs="Times New Roman"/>
          <w:i/>
          <w:iCs/>
          <w:szCs w:val="24"/>
        </w:rPr>
        <w:t>Sustainability</w:t>
      </w:r>
      <w:r w:rsidRPr="00946B4B">
        <w:rPr>
          <w:rFonts w:eastAsia="Times New Roman" w:cs="Times New Roman"/>
          <w:szCs w:val="24"/>
        </w:rPr>
        <w:t>, 13(19), p. 11099. Available at: https://doi.org/10.3390/su131911099.</w:t>
      </w:r>
    </w:p>
    <w:p w14:paraId="0D64CB47"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t>Bogicevic</w:t>
      </w:r>
      <w:proofErr w:type="spellEnd"/>
      <w:r w:rsidRPr="00946B4B">
        <w:rPr>
          <w:rFonts w:eastAsia="Times New Roman" w:cs="Times New Roman"/>
          <w:szCs w:val="24"/>
        </w:rPr>
        <w:t>, V. and Choi, H. (2021) ‘Designing service environments’, in P. Szende, A.N. Dalton, and M. (</w:t>
      </w:r>
      <w:proofErr w:type="spellStart"/>
      <w:r w:rsidRPr="00946B4B">
        <w:rPr>
          <w:rFonts w:eastAsia="Times New Roman" w:cs="Times New Roman"/>
          <w:szCs w:val="24"/>
        </w:rPr>
        <w:t>Myongjee</w:t>
      </w:r>
      <w:proofErr w:type="spellEnd"/>
      <w:r w:rsidRPr="00946B4B">
        <w:rPr>
          <w:rFonts w:eastAsia="Times New Roman" w:cs="Times New Roman"/>
          <w:szCs w:val="24"/>
        </w:rPr>
        <w:t xml:space="preserve">) Yoo (eds) </w:t>
      </w:r>
      <w:r w:rsidRPr="00946B4B">
        <w:rPr>
          <w:rFonts w:eastAsia="Times New Roman" w:cs="Times New Roman"/>
          <w:i/>
          <w:iCs/>
          <w:szCs w:val="24"/>
        </w:rPr>
        <w:t>Operations Management in the Hospitality Industry</w:t>
      </w:r>
      <w:r w:rsidRPr="00946B4B">
        <w:rPr>
          <w:rFonts w:eastAsia="Times New Roman" w:cs="Times New Roman"/>
          <w:szCs w:val="24"/>
        </w:rPr>
        <w:t>. Emerald Publishing Limited, pp. 45–70. Available at: https://doi.org/10.1108/978-1-83867-541-720211003.</w:t>
      </w:r>
    </w:p>
    <w:p w14:paraId="6ED717FD"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Camilleri, M.A. (2025) ‘Sustainability accounting and disclosures of responsible restaurant practices in environmental, social and governance (</w:t>
      </w:r>
      <w:proofErr w:type="spellStart"/>
      <w:r w:rsidRPr="00946B4B">
        <w:rPr>
          <w:rFonts w:eastAsia="Times New Roman" w:cs="Times New Roman"/>
          <w:szCs w:val="24"/>
        </w:rPr>
        <w:t>Esg</w:t>
      </w:r>
      <w:proofErr w:type="spellEnd"/>
      <w:r w:rsidRPr="00946B4B">
        <w:rPr>
          <w:rFonts w:eastAsia="Times New Roman" w:cs="Times New Roman"/>
          <w:szCs w:val="24"/>
        </w:rPr>
        <w:t xml:space="preserve">) reports’, </w:t>
      </w:r>
      <w:r w:rsidRPr="00946B4B">
        <w:rPr>
          <w:rFonts w:eastAsia="Times New Roman" w:cs="Times New Roman"/>
          <w:i/>
          <w:iCs/>
          <w:szCs w:val="24"/>
        </w:rPr>
        <w:t>International Journal of Hospitality Management</w:t>
      </w:r>
      <w:r w:rsidRPr="00946B4B">
        <w:rPr>
          <w:rFonts w:eastAsia="Times New Roman" w:cs="Times New Roman"/>
          <w:szCs w:val="24"/>
        </w:rPr>
        <w:t>, 126, p. 104051. Available at: https://doi.org/10.1016/j.ijhm.2024.104051.</w:t>
      </w:r>
    </w:p>
    <w:p w14:paraId="4CC043C3"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Cozzio, C., Tokarchuk, O. and Maurer, O. (2021) ‘</w:t>
      </w:r>
      <w:proofErr w:type="spellStart"/>
      <w:r w:rsidRPr="00946B4B">
        <w:rPr>
          <w:rFonts w:eastAsia="Times New Roman" w:cs="Times New Roman"/>
          <w:szCs w:val="24"/>
        </w:rPr>
        <w:t>Minimising</w:t>
      </w:r>
      <w:proofErr w:type="spellEnd"/>
      <w:r w:rsidRPr="00946B4B">
        <w:rPr>
          <w:rFonts w:eastAsia="Times New Roman" w:cs="Times New Roman"/>
          <w:szCs w:val="24"/>
        </w:rPr>
        <w:t xml:space="preserve"> plate waste at hotel breakfast buffets: an experimental approach through persuasive messages’, </w:t>
      </w:r>
      <w:r w:rsidRPr="00946B4B">
        <w:rPr>
          <w:rFonts w:eastAsia="Times New Roman" w:cs="Times New Roman"/>
          <w:i/>
          <w:iCs/>
          <w:szCs w:val="24"/>
        </w:rPr>
        <w:t>British Food Journal</w:t>
      </w:r>
      <w:r w:rsidRPr="00946B4B">
        <w:rPr>
          <w:rFonts w:eastAsia="Times New Roman" w:cs="Times New Roman"/>
          <w:szCs w:val="24"/>
        </w:rPr>
        <w:t>, 123(9), pp. 3208–3227. Available at: https://doi.org/10.1108/BFJ-02-2021-0114.</w:t>
      </w:r>
    </w:p>
    <w:p w14:paraId="06F47D9D"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t>Despoudi</w:t>
      </w:r>
      <w:proofErr w:type="spellEnd"/>
      <w:r w:rsidRPr="00946B4B">
        <w:rPr>
          <w:rFonts w:eastAsia="Times New Roman" w:cs="Times New Roman"/>
          <w:szCs w:val="24"/>
        </w:rPr>
        <w:t xml:space="preserve">, S., </w:t>
      </w:r>
      <w:proofErr w:type="spellStart"/>
      <w:r w:rsidRPr="00946B4B">
        <w:rPr>
          <w:rFonts w:eastAsia="Times New Roman" w:cs="Times New Roman"/>
          <w:szCs w:val="24"/>
        </w:rPr>
        <w:t>Bucatariu</w:t>
      </w:r>
      <w:proofErr w:type="spellEnd"/>
      <w:r w:rsidRPr="00946B4B">
        <w:rPr>
          <w:rFonts w:eastAsia="Times New Roman" w:cs="Times New Roman"/>
          <w:szCs w:val="24"/>
        </w:rPr>
        <w:t xml:space="preserve">, C., </w:t>
      </w:r>
      <w:proofErr w:type="spellStart"/>
      <w:r w:rsidRPr="00946B4B">
        <w:rPr>
          <w:rFonts w:eastAsia="Times New Roman" w:cs="Times New Roman"/>
          <w:szCs w:val="24"/>
        </w:rPr>
        <w:t>Otles</w:t>
      </w:r>
      <w:proofErr w:type="spellEnd"/>
      <w:r w:rsidRPr="00946B4B">
        <w:rPr>
          <w:rFonts w:eastAsia="Times New Roman" w:cs="Times New Roman"/>
          <w:szCs w:val="24"/>
        </w:rPr>
        <w:t xml:space="preserve">, S., Kartal, C., </w:t>
      </w:r>
      <w:proofErr w:type="spellStart"/>
      <w:r w:rsidRPr="00946B4B">
        <w:rPr>
          <w:rFonts w:eastAsia="Times New Roman" w:cs="Times New Roman"/>
          <w:szCs w:val="24"/>
        </w:rPr>
        <w:t>Otles</w:t>
      </w:r>
      <w:proofErr w:type="spellEnd"/>
      <w:r w:rsidRPr="00946B4B">
        <w:rPr>
          <w:rFonts w:eastAsia="Times New Roman" w:cs="Times New Roman"/>
          <w:szCs w:val="24"/>
        </w:rPr>
        <w:t xml:space="preserve">, S., </w:t>
      </w:r>
      <w:proofErr w:type="spellStart"/>
      <w:r w:rsidRPr="00946B4B">
        <w:rPr>
          <w:rFonts w:eastAsia="Times New Roman" w:cs="Times New Roman"/>
          <w:szCs w:val="24"/>
        </w:rPr>
        <w:t>Despoudi</w:t>
      </w:r>
      <w:proofErr w:type="spellEnd"/>
      <w:r w:rsidRPr="00946B4B">
        <w:rPr>
          <w:rFonts w:eastAsia="Times New Roman" w:cs="Times New Roman"/>
          <w:szCs w:val="24"/>
        </w:rPr>
        <w:t xml:space="preserve">, S., </w:t>
      </w:r>
      <w:proofErr w:type="spellStart"/>
      <w:r w:rsidRPr="00946B4B">
        <w:rPr>
          <w:rFonts w:eastAsia="Times New Roman" w:cs="Times New Roman"/>
          <w:szCs w:val="24"/>
        </w:rPr>
        <w:t>Bucatariu</w:t>
      </w:r>
      <w:proofErr w:type="spellEnd"/>
      <w:r w:rsidRPr="00946B4B">
        <w:rPr>
          <w:rFonts w:eastAsia="Times New Roman" w:cs="Times New Roman"/>
          <w:szCs w:val="24"/>
        </w:rPr>
        <w:t xml:space="preserve">, C. and Kartal, C. (2021) ‘Food waste management, valorization, and sustainability in the food industry’, in </w:t>
      </w:r>
      <w:r w:rsidRPr="00946B4B">
        <w:rPr>
          <w:rFonts w:eastAsia="Times New Roman" w:cs="Times New Roman"/>
          <w:i/>
          <w:iCs/>
          <w:szCs w:val="24"/>
        </w:rPr>
        <w:t>Food Waste Recovery</w:t>
      </w:r>
      <w:r w:rsidRPr="00946B4B">
        <w:rPr>
          <w:rFonts w:eastAsia="Times New Roman" w:cs="Times New Roman"/>
          <w:szCs w:val="24"/>
        </w:rPr>
        <w:t>. Elsevier, pp. 3–19. Available at: https://doi.org/10.1016/B978-0-12-820563-1.00008-1.</w:t>
      </w:r>
    </w:p>
    <w:p w14:paraId="6C83A77B"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t>Gössling</w:t>
      </w:r>
      <w:proofErr w:type="spellEnd"/>
      <w:r w:rsidRPr="00946B4B">
        <w:rPr>
          <w:rFonts w:eastAsia="Times New Roman" w:cs="Times New Roman"/>
          <w:szCs w:val="24"/>
        </w:rPr>
        <w:t xml:space="preserve">, S., Hall, C.M. and Andersson, A.-C. (2018) ‘The manager’s dilemma: a conceptualization of online review manipulation strategies’, </w:t>
      </w:r>
      <w:r w:rsidRPr="00946B4B">
        <w:rPr>
          <w:rFonts w:eastAsia="Times New Roman" w:cs="Times New Roman"/>
          <w:i/>
          <w:iCs/>
          <w:szCs w:val="24"/>
        </w:rPr>
        <w:t>Current Issues in Tourism</w:t>
      </w:r>
      <w:r w:rsidRPr="00946B4B">
        <w:rPr>
          <w:rFonts w:eastAsia="Times New Roman" w:cs="Times New Roman"/>
          <w:szCs w:val="24"/>
        </w:rPr>
        <w:t>, 21(5), pp. 484–503. Available at: https://doi.org/10.1080/13683500.2015.1127337.</w:t>
      </w:r>
    </w:p>
    <w:p w14:paraId="11BD0369"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lastRenderedPageBreak/>
        <w:t>Kravariti</w:t>
      </w:r>
      <w:proofErr w:type="spellEnd"/>
      <w:r w:rsidRPr="00946B4B">
        <w:rPr>
          <w:rFonts w:eastAsia="Times New Roman" w:cs="Times New Roman"/>
          <w:szCs w:val="24"/>
        </w:rPr>
        <w:t xml:space="preserve">, F., </w:t>
      </w:r>
      <w:proofErr w:type="spellStart"/>
      <w:r w:rsidRPr="00946B4B">
        <w:rPr>
          <w:rFonts w:eastAsia="Times New Roman" w:cs="Times New Roman"/>
          <w:szCs w:val="24"/>
        </w:rPr>
        <w:t>Voutsina</w:t>
      </w:r>
      <w:proofErr w:type="spellEnd"/>
      <w:r w:rsidRPr="00946B4B">
        <w:rPr>
          <w:rFonts w:eastAsia="Times New Roman" w:cs="Times New Roman"/>
          <w:szCs w:val="24"/>
        </w:rPr>
        <w:t xml:space="preserve">, K., </w:t>
      </w:r>
      <w:proofErr w:type="spellStart"/>
      <w:r w:rsidRPr="00946B4B">
        <w:rPr>
          <w:rFonts w:eastAsia="Times New Roman" w:cs="Times New Roman"/>
          <w:szCs w:val="24"/>
        </w:rPr>
        <w:t>Tasoulis</w:t>
      </w:r>
      <w:proofErr w:type="spellEnd"/>
      <w:r w:rsidRPr="00946B4B">
        <w:rPr>
          <w:rFonts w:eastAsia="Times New Roman" w:cs="Times New Roman"/>
          <w:szCs w:val="24"/>
        </w:rPr>
        <w:t xml:space="preserve">, K., Dibia, C. and Johnston, K. (2022) ‘Talent management in hospitality and tourism: a systematic literature review and research agenda’, </w:t>
      </w:r>
      <w:r w:rsidRPr="00946B4B">
        <w:rPr>
          <w:rFonts w:eastAsia="Times New Roman" w:cs="Times New Roman"/>
          <w:i/>
          <w:iCs/>
          <w:szCs w:val="24"/>
        </w:rPr>
        <w:t>International Journal of Contemporary Hospitality Management</w:t>
      </w:r>
      <w:r w:rsidRPr="00946B4B">
        <w:rPr>
          <w:rFonts w:eastAsia="Times New Roman" w:cs="Times New Roman"/>
          <w:szCs w:val="24"/>
        </w:rPr>
        <w:t>, 34(1), pp. 321–360. Available at: https://doi.org/10.1108/IJCHM-03-2021-0365.</w:t>
      </w:r>
    </w:p>
    <w:p w14:paraId="1B389203"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Kumar, P. and Ekka, P. (2025) ‘Demand forecasting for ensuring safety and boosting operational efficiency in hotel hospitality using </w:t>
      </w:r>
      <w:proofErr w:type="spellStart"/>
      <w:r w:rsidRPr="00946B4B">
        <w:rPr>
          <w:rFonts w:eastAsia="Times New Roman" w:cs="Times New Roman"/>
          <w:szCs w:val="24"/>
        </w:rPr>
        <w:t>arima</w:t>
      </w:r>
      <w:proofErr w:type="spellEnd"/>
      <w:r w:rsidRPr="00946B4B">
        <w:rPr>
          <w:rFonts w:eastAsia="Times New Roman" w:cs="Times New Roman"/>
          <w:szCs w:val="24"/>
        </w:rPr>
        <w:t xml:space="preserve"> model’, </w:t>
      </w:r>
      <w:r w:rsidRPr="00946B4B">
        <w:rPr>
          <w:rFonts w:eastAsia="Times New Roman" w:cs="Times New Roman"/>
          <w:i/>
          <w:iCs/>
          <w:szCs w:val="24"/>
        </w:rPr>
        <w:t>Journal of Hospitality &amp; Tourism Education</w:t>
      </w:r>
      <w:r w:rsidRPr="00946B4B">
        <w:rPr>
          <w:rFonts w:eastAsia="Times New Roman" w:cs="Times New Roman"/>
          <w:szCs w:val="24"/>
        </w:rPr>
        <w:t>, pp. 1–15. Available at: https://doi.org/10.1080/10963758.2024.2436584.</w:t>
      </w:r>
    </w:p>
    <w:p w14:paraId="64463FC6"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t>Lakhouit</w:t>
      </w:r>
      <w:proofErr w:type="spellEnd"/>
      <w:r w:rsidRPr="00946B4B">
        <w:rPr>
          <w:rFonts w:eastAsia="Times New Roman" w:cs="Times New Roman"/>
          <w:szCs w:val="24"/>
        </w:rPr>
        <w:t xml:space="preserve">, A. (2025) ‘Revolutionizing urban solid waste management with AI and IoT: A review of smart solutions for waste collection, sorting, and recycling’, </w:t>
      </w:r>
      <w:r w:rsidRPr="00946B4B">
        <w:rPr>
          <w:rFonts w:eastAsia="Times New Roman" w:cs="Times New Roman"/>
          <w:i/>
          <w:iCs/>
          <w:szCs w:val="24"/>
        </w:rPr>
        <w:t>Results in Engineering</w:t>
      </w:r>
      <w:r w:rsidRPr="00946B4B">
        <w:rPr>
          <w:rFonts w:eastAsia="Times New Roman" w:cs="Times New Roman"/>
          <w:szCs w:val="24"/>
        </w:rPr>
        <w:t>, 25, p. 104018. Available at: https://doi.org/10.1016/j.rineng.2025.104018.</w:t>
      </w:r>
    </w:p>
    <w:p w14:paraId="76098217"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Lau, K.C., Lee, S. and </w:t>
      </w:r>
      <w:proofErr w:type="spellStart"/>
      <w:r w:rsidRPr="00946B4B">
        <w:rPr>
          <w:rFonts w:eastAsia="Times New Roman" w:cs="Times New Roman"/>
          <w:szCs w:val="24"/>
        </w:rPr>
        <w:t>Phau</w:t>
      </w:r>
      <w:proofErr w:type="spellEnd"/>
      <w:r w:rsidRPr="00946B4B">
        <w:rPr>
          <w:rFonts w:eastAsia="Times New Roman" w:cs="Times New Roman"/>
          <w:szCs w:val="24"/>
        </w:rPr>
        <w:t xml:space="preserve">, I. (2023) ‘Motivations, attitudes and intentions towards luxury dining in airplane themed restaurants: moderating roles of desire to fly, desire for luxury and FOMO’, </w:t>
      </w:r>
      <w:r w:rsidRPr="00946B4B">
        <w:rPr>
          <w:rFonts w:eastAsia="Times New Roman" w:cs="Times New Roman"/>
          <w:i/>
          <w:iCs/>
          <w:szCs w:val="24"/>
        </w:rPr>
        <w:t>Journal of Hospitality and Tourism Insights</w:t>
      </w:r>
      <w:r w:rsidRPr="00946B4B">
        <w:rPr>
          <w:rFonts w:eastAsia="Times New Roman" w:cs="Times New Roman"/>
          <w:szCs w:val="24"/>
        </w:rPr>
        <w:t>, 6(5), pp. 1967–1989. Available at: https://doi.org/10.1108/JHTI-05-2022-0161.</w:t>
      </w:r>
    </w:p>
    <w:p w14:paraId="65D0B386"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Leite-Pereira, F., Brandao, F. and Costa, R. (2019) ‘Role of breakfast in hotel selection: systematic review’, </w:t>
      </w:r>
      <w:r w:rsidRPr="00946B4B">
        <w:rPr>
          <w:rFonts w:eastAsia="Times New Roman" w:cs="Times New Roman"/>
          <w:i/>
          <w:iCs/>
          <w:szCs w:val="24"/>
        </w:rPr>
        <w:t>International Journal of Culture, Tourism and Hospitality Research</w:t>
      </w:r>
      <w:r w:rsidRPr="00946B4B">
        <w:rPr>
          <w:rFonts w:eastAsia="Times New Roman" w:cs="Times New Roman"/>
          <w:szCs w:val="24"/>
        </w:rPr>
        <w:t>, 13(2), pp. 204–217. Available at: https://doi.org/10.1108/IJCTHR-03-2019-0048.</w:t>
      </w:r>
    </w:p>
    <w:p w14:paraId="12840F99"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Lohnes, J.D. (2021) ‘Regulating surplus: charity and the legal geographies of food waste enclosure’, </w:t>
      </w:r>
      <w:r w:rsidRPr="00946B4B">
        <w:rPr>
          <w:rFonts w:eastAsia="Times New Roman" w:cs="Times New Roman"/>
          <w:i/>
          <w:iCs/>
          <w:szCs w:val="24"/>
        </w:rPr>
        <w:t>Agriculture and Human Values</w:t>
      </w:r>
      <w:r w:rsidRPr="00946B4B">
        <w:rPr>
          <w:rFonts w:eastAsia="Times New Roman" w:cs="Times New Roman"/>
          <w:szCs w:val="24"/>
        </w:rPr>
        <w:t>, 38(2), pp. 351–363. Available at: https://doi.org/10.1007/s10460-020-10150-5.</w:t>
      </w:r>
    </w:p>
    <w:p w14:paraId="6F5713FB"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Mun, S.G. and Woo, L. (2021) ‘The effects of the minimum wage on the operating performance of hotels in the U.S.’, </w:t>
      </w:r>
      <w:r w:rsidRPr="00946B4B">
        <w:rPr>
          <w:rFonts w:eastAsia="Times New Roman" w:cs="Times New Roman"/>
          <w:i/>
          <w:iCs/>
          <w:szCs w:val="24"/>
        </w:rPr>
        <w:t>Tourism Management</w:t>
      </w:r>
      <w:r w:rsidRPr="00946B4B">
        <w:rPr>
          <w:rFonts w:eastAsia="Times New Roman" w:cs="Times New Roman"/>
          <w:szCs w:val="24"/>
        </w:rPr>
        <w:t>, 82, p. 104205. Available at: https://doi.org/10.1016/j.tourman.2020.104205.</w:t>
      </w:r>
    </w:p>
    <w:p w14:paraId="7AA6753F"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Pereira, D., </w:t>
      </w:r>
      <w:proofErr w:type="spellStart"/>
      <w:r w:rsidRPr="00946B4B">
        <w:rPr>
          <w:rFonts w:eastAsia="Times New Roman" w:cs="Times New Roman"/>
          <w:szCs w:val="24"/>
        </w:rPr>
        <w:t>Bozzato</w:t>
      </w:r>
      <w:proofErr w:type="spellEnd"/>
      <w:r w:rsidRPr="00946B4B">
        <w:rPr>
          <w:rFonts w:eastAsia="Times New Roman" w:cs="Times New Roman"/>
          <w:szCs w:val="24"/>
        </w:rPr>
        <w:t xml:space="preserve">, A., Dario, P. and </w:t>
      </w:r>
      <w:proofErr w:type="spellStart"/>
      <w:r w:rsidRPr="00946B4B">
        <w:rPr>
          <w:rFonts w:eastAsia="Times New Roman" w:cs="Times New Roman"/>
          <w:szCs w:val="24"/>
        </w:rPr>
        <w:t>Ciuti</w:t>
      </w:r>
      <w:proofErr w:type="spellEnd"/>
      <w:r w:rsidRPr="00946B4B">
        <w:rPr>
          <w:rFonts w:eastAsia="Times New Roman" w:cs="Times New Roman"/>
          <w:szCs w:val="24"/>
        </w:rPr>
        <w:t xml:space="preserve">, G. (2022) ‘Towards foodservice robotics: a taxonomy of actions of foodservice workers and a critical review of supportive technology’, </w:t>
      </w:r>
      <w:r w:rsidRPr="00946B4B">
        <w:rPr>
          <w:rFonts w:eastAsia="Times New Roman" w:cs="Times New Roman"/>
          <w:i/>
          <w:iCs/>
          <w:szCs w:val="24"/>
        </w:rPr>
        <w:t>IEEE Transactions on Automation Science and Engineering</w:t>
      </w:r>
      <w:r w:rsidRPr="00946B4B">
        <w:rPr>
          <w:rFonts w:eastAsia="Times New Roman" w:cs="Times New Roman"/>
          <w:szCs w:val="24"/>
        </w:rPr>
        <w:t>, 19(3), pp. 1820–1858. Available at: https://doi.org/10.1109/TASE.2021.3129077.</w:t>
      </w:r>
    </w:p>
    <w:p w14:paraId="5EECF5D5" w14:textId="77777777" w:rsidR="00115C53" w:rsidRPr="00946B4B" w:rsidRDefault="00115C53" w:rsidP="00115C53">
      <w:pPr>
        <w:spacing w:before="0"/>
        <w:ind w:left="720" w:hanging="720"/>
        <w:rPr>
          <w:rFonts w:eastAsia="Times New Roman" w:cs="Times New Roman"/>
          <w:szCs w:val="24"/>
        </w:rPr>
      </w:pPr>
      <w:proofErr w:type="spellStart"/>
      <w:r w:rsidRPr="00946B4B">
        <w:rPr>
          <w:rFonts w:eastAsia="Times New Roman" w:cs="Times New Roman"/>
          <w:szCs w:val="24"/>
        </w:rPr>
        <w:t>Rianmora</w:t>
      </w:r>
      <w:proofErr w:type="spellEnd"/>
      <w:r w:rsidRPr="00946B4B">
        <w:rPr>
          <w:rFonts w:eastAsia="Times New Roman" w:cs="Times New Roman"/>
          <w:szCs w:val="24"/>
        </w:rPr>
        <w:t xml:space="preserve">, S., </w:t>
      </w:r>
      <w:proofErr w:type="spellStart"/>
      <w:r w:rsidRPr="00946B4B">
        <w:rPr>
          <w:rFonts w:eastAsia="Times New Roman" w:cs="Times New Roman"/>
          <w:szCs w:val="24"/>
        </w:rPr>
        <w:t>Sukjitsakunchai</w:t>
      </w:r>
      <w:proofErr w:type="spellEnd"/>
      <w:r w:rsidRPr="00946B4B">
        <w:rPr>
          <w:rFonts w:eastAsia="Times New Roman" w:cs="Times New Roman"/>
          <w:szCs w:val="24"/>
        </w:rPr>
        <w:t xml:space="preserve">, L. and </w:t>
      </w:r>
      <w:proofErr w:type="spellStart"/>
      <w:r w:rsidRPr="00946B4B">
        <w:rPr>
          <w:rFonts w:eastAsia="Times New Roman" w:cs="Times New Roman"/>
          <w:szCs w:val="24"/>
        </w:rPr>
        <w:t>Tachawatanawisal</w:t>
      </w:r>
      <w:proofErr w:type="spellEnd"/>
      <w:r w:rsidRPr="00946B4B">
        <w:rPr>
          <w:rFonts w:eastAsia="Times New Roman" w:cs="Times New Roman"/>
          <w:szCs w:val="24"/>
        </w:rPr>
        <w:t xml:space="preserve">, T. (2024) ‘Designing and developing a platform called “rest at restaurant” to support the basic needs of senior adults’, </w:t>
      </w:r>
      <w:r w:rsidRPr="00946B4B">
        <w:rPr>
          <w:rFonts w:eastAsia="Times New Roman" w:cs="Times New Roman"/>
          <w:i/>
          <w:iCs/>
          <w:szCs w:val="24"/>
        </w:rPr>
        <w:t xml:space="preserve">Cogent </w:t>
      </w:r>
      <w:r w:rsidRPr="00946B4B">
        <w:rPr>
          <w:rFonts w:eastAsia="Times New Roman" w:cs="Times New Roman"/>
          <w:i/>
          <w:iCs/>
          <w:szCs w:val="24"/>
        </w:rPr>
        <w:lastRenderedPageBreak/>
        <w:t>Business &amp; Management</w:t>
      </w:r>
      <w:r w:rsidRPr="00946B4B">
        <w:rPr>
          <w:rFonts w:eastAsia="Times New Roman" w:cs="Times New Roman"/>
          <w:szCs w:val="24"/>
        </w:rPr>
        <w:t>, 11(1), p. 2301798. Available at: https://doi.org/10.1080/23311975.2024.2301798.</w:t>
      </w:r>
    </w:p>
    <w:p w14:paraId="439FE7A3"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Sonar, S.S., </w:t>
      </w:r>
      <w:proofErr w:type="spellStart"/>
      <w:r w:rsidRPr="00946B4B">
        <w:rPr>
          <w:rFonts w:eastAsia="Times New Roman" w:cs="Times New Roman"/>
          <w:szCs w:val="24"/>
        </w:rPr>
        <w:t>Raderschadt</w:t>
      </w:r>
      <w:proofErr w:type="spellEnd"/>
      <w:r w:rsidRPr="00946B4B">
        <w:rPr>
          <w:rFonts w:eastAsia="Times New Roman" w:cs="Times New Roman"/>
          <w:szCs w:val="24"/>
        </w:rPr>
        <w:t xml:space="preserve">, E., Gupta, S., Courtney, S. and Patel, R. (2025) ‘Analysis of the relationship between the inclusion of industry authors and the impact and perception of peer-reviewed scientific publications’, </w:t>
      </w:r>
      <w:r w:rsidRPr="00946B4B">
        <w:rPr>
          <w:rFonts w:eastAsia="Times New Roman" w:cs="Times New Roman"/>
          <w:i/>
          <w:iCs/>
          <w:szCs w:val="24"/>
        </w:rPr>
        <w:t>Current Medical Research and Opinion</w:t>
      </w:r>
      <w:r w:rsidRPr="00946B4B">
        <w:rPr>
          <w:rFonts w:eastAsia="Times New Roman" w:cs="Times New Roman"/>
          <w:szCs w:val="24"/>
        </w:rPr>
        <w:t>, 41(6), pp. 1065–1074. Available at: https://doi.org/10.1080/03007995.2025.2527673.</w:t>
      </w:r>
    </w:p>
    <w:p w14:paraId="68862A56"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Steen, R., Haug, O.J. and Patriarca, R. (2024) ‘Business continuity and resilience management: A conceptual framework’, </w:t>
      </w:r>
      <w:r w:rsidRPr="00946B4B">
        <w:rPr>
          <w:rFonts w:eastAsia="Times New Roman" w:cs="Times New Roman"/>
          <w:i/>
          <w:iCs/>
          <w:szCs w:val="24"/>
        </w:rPr>
        <w:t>Journal of Contingencies and Crisis Management</w:t>
      </w:r>
      <w:r w:rsidRPr="00946B4B">
        <w:rPr>
          <w:rFonts w:eastAsia="Times New Roman" w:cs="Times New Roman"/>
          <w:szCs w:val="24"/>
        </w:rPr>
        <w:t>, 32(1), p. e12501. Available at: https://doi.org/10.1111/1468-5973.12501.</w:t>
      </w:r>
    </w:p>
    <w:p w14:paraId="7E130213"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Vázquez-Rowe, I., Ziegler-Rodriguez, K., Margallo, M., </w:t>
      </w:r>
      <w:proofErr w:type="spellStart"/>
      <w:r w:rsidRPr="00946B4B">
        <w:rPr>
          <w:rFonts w:eastAsia="Times New Roman" w:cs="Times New Roman"/>
          <w:szCs w:val="24"/>
        </w:rPr>
        <w:t>Kahhat</w:t>
      </w:r>
      <w:proofErr w:type="spellEnd"/>
      <w:r w:rsidRPr="00946B4B">
        <w:rPr>
          <w:rFonts w:eastAsia="Times New Roman" w:cs="Times New Roman"/>
          <w:szCs w:val="24"/>
        </w:rPr>
        <w:t xml:space="preserve">, R. and Aldaco, R. (2021) ‘Climate action and food security: Strategies to reduce GHG emissions from food loss and waste in emerging economies’, </w:t>
      </w:r>
      <w:r w:rsidRPr="00946B4B">
        <w:rPr>
          <w:rFonts w:eastAsia="Times New Roman" w:cs="Times New Roman"/>
          <w:i/>
          <w:iCs/>
          <w:szCs w:val="24"/>
        </w:rPr>
        <w:t>Resources, Conservation and Recycling</w:t>
      </w:r>
      <w:r w:rsidRPr="00946B4B">
        <w:rPr>
          <w:rFonts w:eastAsia="Times New Roman" w:cs="Times New Roman"/>
          <w:szCs w:val="24"/>
        </w:rPr>
        <w:t>, 170, p. 105562. Available at: https://doi.org/10.1016/j.resconrec.2021.105562.</w:t>
      </w:r>
    </w:p>
    <w:p w14:paraId="3A439521"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Wong, I.A., Wan, Y.K.P. and Sun, D. (2023) ‘Understanding hospitality service aesthetics through the lens of aesthetic theory’, </w:t>
      </w:r>
      <w:r w:rsidRPr="00946B4B">
        <w:rPr>
          <w:rFonts w:eastAsia="Times New Roman" w:cs="Times New Roman"/>
          <w:i/>
          <w:iCs/>
          <w:szCs w:val="24"/>
        </w:rPr>
        <w:t>Journal of Hospitality Marketing &amp; Management</w:t>
      </w:r>
      <w:r w:rsidRPr="00946B4B">
        <w:rPr>
          <w:rFonts w:eastAsia="Times New Roman" w:cs="Times New Roman"/>
          <w:szCs w:val="24"/>
        </w:rPr>
        <w:t>, 32(3), pp. 410–444. Available at: https://doi.org/10.1080/19368623.2023.2180469.</w:t>
      </w:r>
    </w:p>
    <w:p w14:paraId="4DBCE123"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 xml:space="preserve">Xu, S., </w:t>
      </w:r>
      <w:proofErr w:type="spellStart"/>
      <w:r w:rsidRPr="00946B4B">
        <w:rPr>
          <w:rFonts w:eastAsia="Times New Roman" w:cs="Times New Roman"/>
          <w:szCs w:val="24"/>
        </w:rPr>
        <w:t>Shirowzhan</w:t>
      </w:r>
      <w:proofErr w:type="spellEnd"/>
      <w:r w:rsidRPr="00946B4B">
        <w:rPr>
          <w:rFonts w:eastAsia="Times New Roman" w:cs="Times New Roman"/>
          <w:szCs w:val="24"/>
        </w:rPr>
        <w:t xml:space="preserve">, S. and </w:t>
      </w:r>
      <w:proofErr w:type="spellStart"/>
      <w:r w:rsidRPr="00946B4B">
        <w:rPr>
          <w:rFonts w:eastAsia="Times New Roman" w:cs="Times New Roman"/>
          <w:szCs w:val="24"/>
        </w:rPr>
        <w:t>Sepasgozar</w:t>
      </w:r>
      <w:proofErr w:type="spellEnd"/>
      <w:r w:rsidRPr="00946B4B">
        <w:rPr>
          <w:rFonts w:eastAsia="Times New Roman" w:cs="Times New Roman"/>
          <w:szCs w:val="24"/>
        </w:rPr>
        <w:t xml:space="preserve">, S. (2025) ‘Spatiotemporal analysis and GIS-based dashboard development for urban household waste’, </w:t>
      </w:r>
      <w:r w:rsidRPr="00946B4B">
        <w:rPr>
          <w:rFonts w:eastAsia="Times New Roman" w:cs="Times New Roman"/>
          <w:i/>
          <w:iCs/>
          <w:szCs w:val="24"/>
        </w:rPr>
        <w:t>Smart and Sustainable Built Environment</w:t>
      </w:r>
      <w:r w:rsidRPr="00946B4B">
        <w:rPr>
          <w:rFonts w:eastAsia="Times New Roman" w:cs="Times New Roman"/>
          <w:szCs w:val="24"/>
        </w:rPr>
        <w:t xml:space="preserve"> [Preprint]. Available at: https://doi.org/10.1108/SASBE-08-2023-0229.</w:t>
      </w:r>
    </w:p>
    <w:p w14:paraId="6215E6DC" w14:textId="77777777" w:rsidR="00115C53" w:rsidRPr="00946B4B" w:rsidRDefault="00115C53" w:rsidP="00115C53">
      <w:pPr>
        <w:spacing w:before="0"/>
        <w:ind w:left="720" w:hanging="720"/>
        <w:rPr>
          <w:rFonts w:eastAsia="Times New Roman" w:cs="Times New Roman"/>
          <w:szCs w:val="24"/>
        </w:rPr>
      </w:pPr>
      <w:r w:rsidRPr="00946B4B">
        <w:rPr>
          <w:rFonts w:eastAsia="Times New Roman" w:cs="Times New Roman"/>
          <w:szCs w:val="24"/>
        </w:rPr>
        <w:t>Yoo, M. (</w:t>
      </w:r>
      <w:proofErr w:type="spellStart"/>
      <w:r w:rsidRPr="00946B4B">
        <w:rPr>
          <w:rFonts w:eastAsia="Times New Roman" w:cs="Times New Roman"/>
          <w:szCs w:val="24"/>
        </w:rPr>
        <w:t>Myongjee</w:t>
      </w:r>
      <w:proofErr w:type="spellEnd"/>
      <w:r w:rsidRPr="00946B4B">
        <w:rPr>
          <w:rFonts w:eastAsia="Times New Roman" w:cs="Times New Roman"/>
          <w:szCs w:val="24"/>
        </w:rPr>
        <w:t>) and Yang, S. (2021) ‘Forecasting demand’, in P. Szende, A.N. Dalton, and M. (</w:t>
      </w:r>
      <w:proofErr w:type="spellStart"/>
      <w:r w:rsidRPr="00946B4B">
        <w:rPr>
          <w:rFonts w:eastAsia="Times New Roman" w:cs="Times New Roman"/>
          <w:szCs w:val="24"/>
        </w:rPr>
        <w:t>Myongjee</w:t>
      </w:r>
      <w:proofErr w:type="spellEnd"/>
      <w:r w:rsidRPr="00946B4B">
        <w:rPr>
          <w:rFonts w:eastAsia="Times New Roman" w:cs="Times New Roman"/>
          <w:szCs w:val="24"/>
        </w:rPr>
        <w:t xml:space="preserve">) Yoo (eds) </w:t>
      </w:r>
      <w:r w:rsidRPr="00946B4B">
        <w:rPr>
          <w:rFonts w:eastAsia="Times New Roman" w:cs="Times New Roman"/>
          <w:i/>
          <w:iCs/>
          <w:szCs w:val="24"/>
        </w:rPr>
        <w:t>Operations Management in the Hospitality Industry</w:t>
      </w:r>
      <w:r w:rsidRPr="00946B4B">
        <w:rPr>
          <w:rFonts w:eastAsia="Times New Roman" w:cs="Times New Roman"/>
          <w:szCs w:val="24"/>
        </w:rPr>
        <w:t>. Emerald Publishing Limited, pp. 71–94. Available at: https://doi.org/10.1108/978-1-83867-541-720211004.</w:t>
      </w:r>
    </w:p>
    <w:p w14:paraId="7D467C61" w14:textId="77777777" w:rsidR="00115C53" w:rsidRPr="00115C53" w:rsidRDefault="00115C53" w:rsidP="00115C53">
      <w:pPr>
        <w:spacing w:before="0" w:after="0"/>
        <w:ind w:left="720" w:hanging="720"/>
        <w:rPr>
          <w:rFonts w:eastAsia="Times New Roman" w:cs="Times New Roman"/>
          <w:szCs w:val="24"/>
        </w:rPr>
      </w:pPr>
      <w:r w:rsidRPr="00946B4B">
        <w:rPr>
          <w:rFonts w:eastAsia="Times New Roman" w:cs="Times New Roman"/>
          <w:szCs w:val="24"/>
        </w:rPr>
        <w:t xml:space="preserve">Zhu, Q. (Jacqueline) and Liu, P. (2025) ‘Exploring factors influencing consumer behavior towards food waste reduction in buffet style restaurants’, </w:t>
      </w:r>
      <w:r w:rsidRPr="00946B4B">
        <w:rPr>
          <w:rFonts w:eastAsia="Times New Roman" w:cs="Times New Roman"/>
          <w:i/>
          <w:iCs/>
          <w:szCs w:val="24"/>
        </w:rPr>
        <w:t>British Food Journal</w:t>
      </w:r>
      <w:r w:rsidRPr="00946B4B">
        <w:rPr>
          <w:rFonts w:eastAsia="Times New Roman" w:cs="Times New Roman"/>
          <w:szCs w:val="24"/>
        </w:rPr>
        <w:t>, 127(3), pp. 839–856. Available at: https://doi.org/10.1108/BFJ-06-2024-0592.</w:t>
      </w:r>
    </w:p>
    <w:p w14:paraId="2972B2C0" w14:textId="77777777" w:rsidR="00493993" w:rsidRPr="00493993" w:rsidRDefault="00493993" w:rsidP="00493993"/>
    <w:p w14:paraId="7AF106A6" w14:textId="59A4E7D4" w:rsidR="00D50116" w:rsidRDefault="00D50116" w:rsidP="00493993">
      <w:pPr>
        <w:pStyle w:val="ListParagraph"/>
        <w:ind w:left="360"/>
      </w:pPr>
    </w:p>
    <w:sectPr w:rsidR="00D5011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3737C" w14:textId="77777777" w:rsidR="009D272C" w:rsidRDefault="009D272C" w:rsidP="00493993">
      <w:pPr>
        <w:spacing w:before="0" w:after="0" w:line="240" w:lineRule="auto"/>
      </w:pPr>
      <w:r>
        <w:separator/>
      </w:r>
    </w:p>
  </w:endnote>
  <w:endnote w:type="continuationSeparator" w:id="0">
    <w:p w14:paraId="095C48F9" w14:textId="77777777" w:rsidR="009D272C" w:rsidRDefault="009D272C" w:rsidP="004939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7D4D4" w14:textId="77777777" w:rsidR="001C0802" w:rsidRDefault="001C0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EB50" w14:textId="77777777" w:rsidR="001C0802" w:rsidRDefault="001C08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417CE" w14:textId="77777777" w:rsidR="001C0802" w:rsidRDefault="001C0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7266B" w14:textId="77777777" w:rsidR="009D272C" w:rsidRDefault="009D272C" w:rsidP="00493993">
      <w:pPr>
        <w:spacing w:before="0" w:after="0" w:line="240" w:lineRule="auto"/>
      </w:pPr>
      <w:r>
        <w:separator/>
      </w:r>
    </w:p>
  </w:footnote>
  <w:footnote w:type="continuationSeparator" w:id="0">
    <w:p w14:paraId="5485BC35" w14:textId="77777777" w:rsidR="009D272C" w:rsidRDefault="009D272C" w:rsidP="0049399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EFBC" w14:textId="77777777" w:rsidR="001C0802" w:rsidRDefault="001C08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213785"/>
      <w:docPartObj>
        <w:docPartGallery w:val="Page Numbers (Top of Page)"/>
        <w:docPartUnique/>
      </w:docPartObj>
    </w:sdtPr>
    <w:sdtEndPr>
      <w:rPr>
        <w:noProof/>
      </w:rPr>
    </w:sdtEndPr>
    <w:sdtContent>
      <w:p w14:paraId="74291437" w14:textId="0E180A69" w:rsidR="00493993" w:rsidRDefault="00493993">
        <w:pPr>
          <w:pStyle w:val="Header"/>
          <w:jc w:val="right"/>
        </w:pPr>
        <w:r>
          <w:fldChar w:fldCharType="begin"/>
        </w:r>
        <w:r>
          <w:instrText xml:space="preserve"> PAGE   \* MERGEFORMAT </w:instrText>
        </w:r>
        <w:r>
          <w:fldChar w:fldCharType="separate"/>
        </w:r>
        <w:r w:rsidR="001C0802">
          <w:rPr>
            <w:noProof/>
          </w:rPr>
          <w:t>1</w:t>
        </w:r>
        <w:r>
          <w:rPr>
            <w:noProof/>
          </w:rPr>
          <w:fldChar w:fldCharType="end"/>
        </w:r>
      </w:p>
    </w:sdtContent>
  </w:sdt>
  <w:p w14:paraId="330CA202" w14:textId="77777777" w:rsidR="00493993" w:rsidRDefault="004939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D8C52" w14:textId="77777777" w:rsidR="001C0802" w:rsidRDefault="001C0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6B88"/>
    <w:multiLevelType w:val="hybridMultilevel"/>
    <w:tmpl w:val="AC40BA9E"/>
    <w:lvl w:ilvl="0" w:tplc="A0F69C1A">
      <w:start w:val="1"/>
      <w:numFmt w:val="decimal"/>
      <w:lvlText w:val="%1."/>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B103C"/>
    <w:multiLevelType w:val="multilevel"/>
    <w:tmpl w:val="1960D0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38D0037"/>
    <w:multiLevelType w:val="hybridMultilevel"/>
    <w:tmpl w:val="E5EC22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ED43FD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0AF5D06"/>
    <w:multiLevelType w:val="hybridMultilevel"/>
    <w:tmpl w:val="1506C9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CD86812"/>
    <w:multiLevelType w:val="hybridMultilevel"/>
    <w:tmpl w:val="7AB4E2F0"/>
    <w:lvl w:ilvl="0" w:tplc="623E52BC">
      <w:start w:val="1"/>
      <w:numFmt w:val="decimal"/>
      <w:lvlText w:val="%1.1.1"/>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C966D5"/>
    <w:multiLevelType w:val="hybridMultilevel"/>
    <w:tmpl w:val="60121ACE"/>
    <w:lvl w:ilvl="0" w:tplc="664AA98A">
      <w:start w:val="1"/>
      <w:numFmt w:val="decimal"/>
      <w:lvlText w:val="%1.1"/>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1369217">
    <w:abstractNumId w:val="0"/>
  </w:num>
  <w:num w:numId="2" w16cid:durableId="513152103">
    <w:abstractNumId w:val="6"/>
  </w:num>
  <w:num w:numId="3" w16cid:durableId="1989087143">
    <w:abstractNumId w:val="5"/>
  </w:num>
  <w:num w:numId="4" w16cid:durableId="1135947005">
    <w:abstractNumId w:val="0"/>
  </w:num>
  <w:num w:numId="5" w16cid:durableId="930119060">
    <w:abstractNumId w:val="0"/>
  </w:num>
  <w:num w:numId="6" w16cid:durableId="1933734965">
    <w:abstractNumId w:val="0"/>
  </w:num>
  <w:num w:numId="7" w16cid:durableId="1964265475">
    <w:abstractNumId w:val="6"/>
  </w:num>
  <w:num w:numId="8" w16cid:durableId="277225578">
    <w:abstractNumId w:val="5"/>
  </w:num>
  <w:num w:numId="9" w16cid:durableId="1812407490">
    <w:abstractNumId w:val="1"/>
  </w:num>
  <w:num w:numId="10" w16cid:durableId="618073386">
    <w:abstractNumId w:val="2"/>
  </w:num>
  <w:num w:numId="11" w16cid:durableId="1339651358">
    <w:abstractNumId w:val="4"/>
  </w:num>
  <w:num w:numId="12" w16cid:durableId="1603536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YzsTQ0MTc2MDe2sDBX0lEKTi0uzszPAykwrgUAWo61YiwAAAA="/>
  </w:docVars>
  <w:rsids>
    <w:rsidRoot w:val="00D50116"/>
    <w:rsid w:val="00062E85"/>
    <w:rsid w:val="000A456C"/>
    <w:rsid w:val="000D6FEB"/>
    <w:rsid w:val="000E10C9"/>
    <w:rsid w:val="00115C53"/>
    <w:rsid w:val="00174120"/>
    <w:rsid w:val="001857D9"/>
    <w:rsid w:val="001C0802"/>
    <w:rsid w:val="00333671"/>
    <w:rsid w:val="00493993"/>
    <w:rsid w:val="004F6431"/>
    <w:rsid w:val="00531A77"/>
    <w:rsid w:val="00533354"/>
    <w:rsid w:val="005570CC"/>
    <w:rsid w:val="006678DE"/>
    <w:rsid w:val="007B1721"/>
    <w:rsid w:val="00824DB2"/>
    <w:rsid w:val="00857A17"/>
    <w:rsid w:val="00922AFA"/>
    <w:rsid w:val="00946B4B"/>
    <w:rsid w:val="009C5A16"/>
    <w:rsid w:val="009D272C"/>
    <w:rsid w:val="00AA5639"/>
    <w:rsid w:val="00BB17DA"/>
    <w:rsid w:val="00BB3201"/>
    <w:rsid w:val="00BC7F3F"/>
    <w:rsid w:val="00D02518"/>
    <w:rsid w:val="00D0278A"/>
    <w:rsid w:val="00D50116"/>
    <w:rsid w:val="00E35C69"/>
    <w:rsid w:val="00E558EC"/>
    <w:rsid w:val="00E56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810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518"/>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F6431"/>
    <w:pPr>
      <w:keepNext/>
      <w:keepLines/>
      <w:numPr>
        <w:numId w:val="12"/>
      </w:numPr>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4F6431"/>
    <w:pPr>
      <w:keepNext/>
      <w:keepLines/>
      <w:numPr>
        <w:ilvl w:val="1"/>
        <w:numId w:val="12"/>
      </w:numPr>
      <w:outlineLvl w:val="1"/>
    </w:pPr>
    <w:rPr>
      <w:rFonts w:eastAsiaTheme="majorEastAsia" w:cstheme="majorBidi"/>
      <w:b/>
      <w:color w:val="000000" w:themeColor="text1"/>
      <w:szCs w:val="26"/>
    </w:rPr>
  </w:style>
  <w:style w:type="paragraph" w:styleId="Heading3">
    <w:name w:val="heading 3"/>
    <w:basedOn w:val="Normal"/>
    <w:link w:val="Heading3Char"/>
    <w:autoRedefine/>
    <w:uiPriority w:val="9"/>
    <w:qFormat/>
    <w:rsid w:val="004F6431"/>
    <w:pPr>
      <w:numPr>
        <w:ilvl w:val="2"/>
        <w:numId w:val="12"/>
      </w:numPr>
      <w:spacing w:beforeAutospacing="1" w:afterAutospacing="1"/>
      <w:outlineLvl w:val="2"/>
    </w:pPr>
    <w:rPr>
      <w:rFonts w:eastAsia="Times New Roman" w:cs="Times New Roman"/>
      <w:b/>
      <w:bCs/>
      <w:color w:val="000000" w:themeColor="text1"/>
      <w:szCs w:val="27"/>
    </w:rPr>
  </w:style>
  <w:style w:type="paragraph" w:styleId="Heading4">
    <w:name w:val="heading 4"/>
    <w:basedOn w:val="Normal"/>
    <w:next w:val="Normal"/>
    <w:link w:val="Heading4Char"/>
    <w:autoRedefine/>
    <w:uiPriority w:val="9"/>
    <w:semiHidden/>
    <w:unhideWhenUsed/>
    <w:qFormat/>
    <w:rsid w:val="004F6431"/>
    <w:pPr>
      <w:keepNext/>
      <w:keepLines/>
      <w:numPr>
        <w:ilvl w:val="3"/>
        <w:numId w:val="12"/>
      </w:numPr>
      <w:spacing w:before="40" w:after="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493993"/>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3993"/>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3993"/>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3993"/>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3993"/>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431"/>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4F643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F6431"/>
    <w:rPr>
      <w:rFonts w:ascii="Times New Roman" w:eastAsia="Times New Roman" w:hAnsi="Times New Roman" w:cs="Times New Roman"/>
      <w:b/>
      <w:bCs/>
      <w:color w:val="000000" w:themeColor="text1"/>
      <w:sz w:val="24"/>
      <w:szCs w:val="27"/>
    </w:rPr>
  </w:style>
  <w:style w:type="character" w:customStyle="1" w:styleId="Heading4Char">
    <w:name w:val="Heading 4 Char"/>
    <w:basedOn w:val="DefaultParagraphFont"/>
    <w:link w:val="Heading4"/>
    <w:uiPriority w:val="9"/>
    <w:semiHidden/>
    <w:rsid w:val="004F6431"/>
    <w:rPr>
      <w:rFonts w:ascii="Times New Roman" w:eastAsiaTheme="majorEastAsia" w:hAnsi="Times New Roman" w:cstheme="majorBidi"/>
      <w:b/>
      <w:iCs/>
      <w:color w:val="000000" w:themeColor="text1"/>
      <w:sz w:val="24"/>
    </w:rPr>
  </w:style>
  <w:style w:type="paragraph" w:styleId="NormalWeb">
    <w:name w:val="Normal (Web)"/>
    <w:basedOn w:val="Normal"/>
    <w:uiPriority w:val="99"/>
    <w:semiHidden/>
    <w:unhideWhenUsed/>
    <w:rsid w:val="00D50116"/>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D50116"/>
    <w:rPr>
      <w:b/>
      <w:bCs/>
    </w:rPr>
  </w:style>
  <w:style w:type="paragraph" w:styleId="ListParagraph">
    <w:name w:val="List Paragraph"/>
    <w:basedOn w:val="Normal"/>
    <w:uiPriority w:val="34"/>
    <w:qFormat/>
    <w:rsid w:val="00D50116"/>
    <w:pPr>
      <w:ind w:left="720"/>
      <w:contextualSpacing/>
    </w:pPr>
  </w:style>
  <w:style w:type="paragraph" w:styleId="Header">
    <w:name w:val="header"/>
    <w:basedOn w:val="Normal"/>
    <w:link w:val="HeaderChar"/>
    <w:uiPriority w:val="99"/>
    <w:unhideWhenUsed/>
    <w:rsid w:val="0049399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3993"/>
    <w:rPr>
      <w:rFonts w:ascii="Times New Roman" w:hAnsi="Times New Roman"/>
      <w:sz w:val="24"/>
    </w:rPr>
  </w:style>
  <w:style w:type="paragraph" w:styleId="Footer">
    <w:name w:val="footer"/>
    <w:basedOn w:val="Normal"/>
    <w:link w:val="FooterChar"/>
    <w:uiPriority w:val="99"/>
    <w:unhideWhenUsed/>
    <w:rsid w:val="0049399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3993"/>
    <w:rPr>
      <w:rFonts w:ascii="Times New Roman" w:hAnsi="Times New Roman"/>
      <w:sz w:val="24"/>
    </w:rPr>
  </w:style>
  <w:style w:type="character" w:customStyle="1" w:styleId="Heading5Char">
    <w:name w:val="Heading 5 Char"/>
    <w:basedOn w:val="DefaultParagraphFont"/>
    <w:link w:val="Heading5"/>
    <w:uiPriority w:val="9"/>
    <w:semiHidden/>
    <w:rsid w:val="00493993"/>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93993"/>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93993"/>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939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399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93993"/>
    <w:pPr>
      <w:numPr>
        <w:numId w:val="0"/>
      </w:numPr>
      <w:spacing w:before="240"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93993"/>
    <w:pPr>
      <w:spacing w:after="100"/>
    </w:pPr>
  </w:style>
  <w:style w:type="paragraph" w:styleId="TOC2">
    <w:name w:val="toc 2"/>
    <w:basedOn w:val="Normal"/>
    <w:next w:val="Normal"/>
    <w:autoRedefine/>
    <w:uiPriority w:val="39"/>
    <w:unhideWhenUsed/>
    <w:rsid w:val="00493993"/>
    <w:pPr>
      <w:spacing w:after="100"/>
      <w:ind w:left="240"/>
    </w:pPr>
  </w:style>
  <w:style w:type="character" w:styleId="Hyperlink">
    <w:name w:val="Hyperlink"/>
    <w:basedOn w:val="DefaultParagraphFont"/>
    <w:uiPriority w:val="99"/>
    <w:unhideWhenUsed/>
    <w:rsid w:val="00493993"/>
    <w:rPr>
      <w:color w:val="0563C1" w:themeColor="hyperlink"/>
      <w:u w:val="single"/>
    </w:rPr>
  </w:style>
  <w:style w:type="character" w:styleId="Emphasis">
    <w:name w:val="Emphasis"/>
    <w:basedOn w:val="DefaultParagraphFont"/>
    <w:uiPriority w:val="20"/>
    <w:qFormat/>
    <w:rsid w:val="00857A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4295">
      <w:bodyDiv w:val="1"/>
      <w:marLeft w:val="0"/>
      <w:marRight w:val="0"/>
      <w:marTop w:val="0"/>
      <w:marBottom w:val="0"/>
      <w:divBdr>
        <w:top w:val="none" w:sz="0" w:space="0" w:color="auto"/>
        <w:left w:val="none" w:sz="0" w:space="0" w:color="auto"/>
        <w:bottom w:val="none" w:sz="0" w:space="0" w:color="auto"/>
        <w:right w:val="none" w:sz="0" w:space="0" w:color="auto"/>
      </w:divBdr>
    </w:div>
    <w:div w:id="647633543">
      <w:bodyDiv w:val="1"/>
      <w:marLeft w:val="0"/>
      <w:marRight w:val="0"/>
      <w:marTop w:val="0"/>
      <w:marBottom w:val="0"/>
      <w:divBdr>
        <w:top w:val="none" w:sz="0" w:space="0" w:color="auto"/>
        <w:left w:val="none" w:sz="0" w:space="0" w:color="auto"/>
        <w:bottom w:val="none" w:sz="0" w:space="0" w:color="auto"/>
        <w:right w:val="none" w:sz="0" w:space="0" w:color="auto"/>
      </w:divBdr>
    </w:div>
    <w:div w:id="1354068681">
      <w:bodyDiv w:val="1"/>
      <w:marLeft w:val="0"/>
      <w:marRight w:val="0"/>
      <w:marTop w:val="0"/>
      <w:marBottom w:val="0"/>
      <w:divBdr>
        <w:top w:val="none" w:sz="0" w:space="0" w:color="auto"/>
        <w:left w:val="none" w:sz="0" w:space="0" w:color="auto"/>
        <w:bottom w:val="none" w:sz="0" w:space="0" w:color="auto"/>
        <w:right w:val="none" w:sz="0" w:space="0" w:color="auto"/>
      </w:divBdr>
      <w:divsChild>
        <w:div w:id="44529841">
          <w:marLeft w:val="0"/>
          <w:marRight w:val="0"/>
          <w:marTop w:val="0"/>
          <w:marBottom w:val="0"/>
          <w:divBdr>
            <w:top w:val="none" w:sz="0" w:space="0" w:color="auto"/>
            <w:left w:val="none" w:sz="0" w:space="0" w:color="auto"/>
            <w:bottom w:val="none" w:sz="0" w:space="0" w:color="auto"/>
            <w:right w:val="none" w:sz="0" w:space="0" w:color="auto"/>
          </w:divBdr>
          <w:divsChild>
            <w:div w:id="1482304154">
              <w:marLeft w:val="0"/>
              <w:marRight w:val="0"/>
              <w:marTop w:val="0"/>
              <w:marBottom w:val="240"/>
              <w:divBdr>
                <w:top w:val="none" w:sz="0" w:space="0" w:color="auto"/>
                <w:left w:val="none" w:sz="0" w:space="0" w:color="auto"/>
                <w:bottom w:val="none" w:sz="0" w:space="0" w:color="auto"/>
                <w:right w:val="none" w:sz="0" w:space="0" w:color="auto"/>
              </w:divBdr>
            </w:div>
            <w:div w:id="1984430791">
              <w:marLeft w:val="0"/>
              <w:marRight w:val="0"/>
              <w:marTop w:val="0"/>
              <w:marBottom w:val="240"/>
              <w:divBdr>
                <w:top w:val="none" w:sz="0" w:space="0" w:color="auto"/>
                <w:left w:val="none" w:sz="0" w:space="0" w:color="auto"/>
                <w:bottom w:val="none" w:sz="0" w:space="0" w:color="auto"/>
                <w:right w:val="none" w:sz="0" w:space="0" w:color="auto"/>
              </w:divBdr>
            </w:div>
            <w:div w:id="406612867">
              <w:marLeft w:val="0"/>
              <w:marRight w:val="0"/>
              <w:marTop w:val="0"/>
              <w:marBottom w:val="240"/>
              <w:divBdr>
                <w:top w:val="none" w:sz="0" w:space="0" w:color="auto"/>
                <w:left w:val="none" w:sz="0" w:space="0" w:color="auto"/>
                <w:bottom w:val="none" w:sz="0" w:space="0" w:color="auto"/>
                <w:right w:val="none" w:sz="0" w:space="0" w:color="auto"/>
              </w:divBdr>
            </w:div>
            <w:div w:id="665208992">
              <w:marLeft w:val="0"/>
              <w:marRight w:val="0"/>
              <w:marTop w:val="0"/>
              <w:marBottom w:val="240"/>
              <w:divBdr>
                <w:top w:val="none" w:sz="0" w:space="0" w:color="auto"/>
                <w:left w:val="none" w:sz="0" w:space="0" w:color="auto"/>
                <w:bottom w:val="none" w:sz="0" w:space="0" w:color="auto"/>
                <w:right w:val="none" w:sz="0" w:space="0" w:color="auto"/>
              </w:divBdr>
            </w:div>
            <w:div w:id="1339701049">
              <w:marLeft w:val="0"/>
              <w:marRight w:val="0"/>
              <w:marTop w:val="0"/>
              <w:marBottom w:val="240"/>
              <w:divBdr>
                <w:top w:val="none" w:sz="0" w:space="0" w:color="auto"/>
                <w:left w:val="none" w:sz="0" w:space="0" w:color="auto"/>
                <w:bottom w:val="none" w:sz="0" w:space="0" w:color="auto"/>
                <w:right w:val="none" w:sz="0" w:space="0" w:color="auto"/>
              </w:divBdr>
            </w:div>
            <w:div w:id="205874887">
              <w:marLeft w:val="0"/>
              <w:marRight w:val="0"/>
              <w:marTop w:val="0"/>
              <w:marBottom w:val="240"/>
              <w:divBdr>
                <w:top w:val="none" w:sz="0" w:space="0" w:color="auto"/>
                <w:left w:val="none" w:sz="0" w:space="0" w:color="auto"/>
                <w:bottom w:val="none" w:sz="0" w:space="0" w:color="auto"/>
                <w:right w:val="none" w:sz="0" w:space="0" w:color="auto"/>
              </w:divBdr>
            </w:div>
            <w:div w:id="387652352">
              <w:marLeft w:val="0"/>
              <w:marRight w:val="0"/>
              <w:marTop w:val="0"/>
              <w:marBottom w:val="240"/>
              <w:divBdr>
                <w:top w:val="none" w:sz="0" w:space="0" w:color="auto"/>
                <w:left w:val="none" w:sz="0" w:space="0" w:color="auto"/>
                <w:bottom w:val="none" w:sz="0" w:space="0" w:color="auto"/>
                <w:right w:val="none" w:sz="0" w:space="0" w:color="auto"/>
              </w:divBdr>
            </w:div>
            <w:div w:id="1752195731">
              <w:marLeft w:val="0"/>
              <w:marRight w:val="0"/>
              <w:marTop w:val="0"/>
              <w:marBottom w:val="240"/>
              <w:divBdr>
                <w:top w:val="none" w:sz="0" w:space="0" w:color="auto"/>
                <w:left w:val="none" w:sz="0" w:space="0" w:color="auto"/>
                <w:bottom w:val="none" w:sz="0" w:space="0" w:color="auto"/>
                <w:right w:val="none" w:sz="0" w:space="0" w:color="auto"/>
              </w:divBdr>
            </w:div>
            <w:div w:id="922035040">
              <w:marLeft w:val="0"/>
              <w:marRight w:val="0"/>
              <w:marTop w:val="0"/>
              <w:marBottom w:val="240"/>
              <w:divBdr>
                <w:top w:val="none" w:sz="0" w:space="0" w:color="auto"/>
                <w:left w:val="none" w:sz="0" w:space="0" w:color="auto"/>
                <w:bottom w:val="none" w:sz="0" w:space="0" w:color="auto"/>
                <w:right w:val="none" w:sz="0" w:space="0" w:color="auto"/>
              </w:divBdr>
            </w:div>
            <w:div w:id="504629877">
              <w:marLeft w:val="0"/>
              <w:marRight w:val="0"/>
              <w:marTop w:val="0"/>
              <w:marBottom w:val="240"/>
              <w:divBdr>
                <w:top w:val="none" w:sz="0" w:space="0" w:color="auto"/>
                <w:left w:val="none" w:sz="0" w:space="0" w:color="auto"/>
                <w:bottom w:val="none" w:sz="0" w:space="0" w:color="auto"/>
                <w:right w:val="none" w:sz="0" w:space="0" w:color="auto"/>
              </w:divBdr>
            </w:div>
            <w:div w:id="1088573868">
              <w:marLeft w:val="0"/>
              <w:marRight w:val="0"/>
              <w:marTop w:val="0"/>
              <w:marBottom w:val="240"/>
              <w:divBdr>
                <w:top w:val="none" w:sz="0" w:space="0" w:color="auto"/>
                <w:left w:val="none" w:sz="0" w:space="0" w:color="auto"/>
                <w:bottom w:val="none" w:sz="0" w:space="0" w:color="auto"/>
                <w:right w:val="none" w:sz="0" w:space="0" w:color="auto"/>
              </w:divBdr>
            </w:div>
            <w:div w:id="1269387448">
              <w:marLeft w:val="0"/>
              <w:marRight w:val="0"/>
              <w:marTop w:val="0"/>
              <w:marBottom w:val="240"/>
              <w:divBdr>
                <w:top w:val="none" w:sz="0" w:space="0" w:color="auto"/>
                <w:left w:val="none" w:sz="0" w:space="0" w:color="auto"/>
                <w:bottom w:val="none" w:sz="0" w:space="0" w:color="auto"/>
                <w:right w:val="none" w:sz="0" w:space="0" w:color="auto"/>
              </w:divBdr>
            </w:div>
            <w:div w:id="1188569089">
              <w:marLeft w:val="0"/>
              <w:marRight w:val="0"/>
              <w:marTop w:val="0"/>
              <w:marBottom w:val="240"/>
              <w:divBdr>
                <w:top w:val="none" w:sz="0" w:space="0" w:color="auto"/>
                <w:left w:val="none" w:sz="0" w:space="0" w:color="auto"/>
                <w:bottom w:val="none" w:sz="0" w:space="0" w:color="auto"/>
                <w:right w:val="none" w:sz="0" w:space="0" w:color="auto"/>
              </w:divBdr>
            </w:div>
            <w:div w:id="1274752582">
              <w:marLeft w:val="0"/>
              <w:marRight w:val="0"/>
              <w:marTop w:val="0"/>
              <w:marBottom w:val="240"/>
              <w:divBdr>
                <w:top w:val="none" w:sz="0" w:space="0" w:color="auto"/>
                <w:left w:val="none" w:sz="0" w:space="0" w:color="auto"/>
                <w:bottom w:val="none" w:sz="0" w:space="0" w:color="auto"/>
                <w:right w:val="none" w:sz="0" w:space="0" w:color="auto"/>
              </w:divBdr>
            </w:div>
            <w:div w:id="1347513212">
              <w:marLeft w:val="0"/>
              <w:marRight w:val="0"/>
              <w:marTop w:val="0"/>
              <w:marBottom w:val="240"/>
              <w:divBdr>
                <w:top w:val="none" w:sz="0" w:space="0" w:color="auto"/>
                <w:left w:val="none" w:sz="0" w:space="0" w:color="auto"/>
                <w:bottom w:val="none" w:sz="0" w:space="0" w:color="auto"/>
                <w:right w:val="none" w:sz="0" w:space="0" w:color="auto"/>
              </w:divBdr>
            </w:div>
            <w:div w:id="391655331">
              <w:marLeft w:val="0"/>
              <w:marRight w:val="0"/>
              <w:marTop w:val="0"/>
              <w:marBottom w:val="240"/>
              <w:divBdr>
                <w:top w:val="none" w:sz="0" w:space="0" w:color="auto"/>
                <w:left w:val="none" w:sz="0" w:space="0" w:color="auto"/>
                <w:bottom w:val="none" w:sz="0" w:space="0" w:color="auto"/>
                <w:right w:val="none" w:sz="0" w:space="0" w:color="auto"/>
              </w:divBdr>
            </w:div>
            <w:div w:id="122231512">
              <w:marLeft w:val="0"/>
              <w:marRight w:val="0"/>
              <w:marTop w:val="0"/>
              <w:marBottom w:val="240"/>
              <w:divBdr>
                <w:top w:val="none" w:sz="0" w:space="0" w:color="auto"/>
                <w:left w:val="none" w:sz="0" w:space="0" w:color="auto"/>
                <w:bottom w:val="none" w:sz="0" w:space="0" w:color="auto"/>
                <w:right w:val="none" w:sz="0" w:space="0" w:color="auto"/>
              </w:divBdr>
            </w:div>
            <w:div w:id="1489590056">
              <w:marLeft w:val="0"/>
              <w:marRight w:val="0"/>
              <w:marTop w:val="0"/>
              <w:marBottom w:val="240"/>
              <w:divBdr>
                <w:top w:val="none" w:sz="0" w:space="0" w:color="auto"/>
                <w:left w:val="none" w:sz="0" w:space="0" w:color="auto"/>
                <w:bottom w:val="none" w:sz="0" w:space="0" w:color="auto"/>
                <w:right w:val="none" w:sz="0" w:space="0" w:color="auto"/>
              </w:divBdr>
            </w:div>
            <w:div w:id="1006251561">
              <w:marLeft w:val="0"/>
              <w:marRight w:val="0"/>
              <w:marTop w:val="0"/>
              <w:marBottom w:val="240"/>
              <w:divBdr>
                <w:top w:val="none" w:sz="0" w:space="0" w:color="auto"/>
                <w:left w:val="none" w:sz="0" w:space="0" w:color="auto"/>
                <w:bottom w:val="none" w:sz="0" w:space="0" w:color="auto"/>
                <w:right w:val="none" w:sz="0" w:space="0" w:color="auto"/>
              </w:divBdr>
            </w:div>
            <w:div w:id="1586920876">
              <w:marLeft w:val="0"/>
              <w:marRight w:val="0"/>
              <w:marTop w:val="0"/>
              <w:marBottom w:val="240"/>
              <w:divBdr>
                <w:top w:val="none" w:sz="0" w:space="0" w:color="auto"/>
                <w:left w:val="none" w:sz="0" w:space="0" w:color="auto"/>
                <w:bottom w:val="none" w:sz="0" w:space="0" w:color="auto"/>
                <w:right w:val="none" w:sz="0" w:space="0" w:color="auto"/>
              </w:divBdr>
            </w:div>
            <w:div w:id="1871186898">
              <w:marLeft w:val="0"/>
              <w:marRight w:val="0"/>
              <w:marTop w:val="0"/>
              <w:marBottom w:val="240"/>
              <w:divBdr>
                <w:top w:val="none" w:sz="0" w:space="0" w:color="auto"/>
                <w:left w:val="none" w:sz="0" w:space="0" w:color="auto"/>
                <w:bottom w:val="none" w:sz="0" w:space="0" w:color="auto"/>
                <w:right w:val="none" w:sz="0" w:space="0" w:color="auto"/>
              </w:divBdr>
            </w:div>
            <w:div w:id="63770473">
              <w:marLeft w:val="0"/>
              <w:marRight w:val="0"/>
              <w:marTop w:val="0"/>
              <w:marBottom w:val="240"/>
              <w:divBdr>
                <w:top w:val="none" w:sz="0" w:space="0" w:color="auto"/>
                <w:left w:val="none" w:sz="0" w:space="0" w:color="auto"/>
                <w:bottom w:val="none" w:sz="0" w:space="0" w:color="auto"/>
                <w:right w:val="none" w:sz="0" w:space="0" w:color="auto"/>
              </w:divBdr>
            </w:div>
            <w:div w:id="1314144324">
              <w:marLeft w:val="0"/>
              <w:marRight w:val="0"/>
              <w:marTop w:val="0"/>
              <w:marBottom w:val="240"/>
              <w:divBdr>
                <w:top w:val="none" w:sz="0" w:space="0" w:color="auto"/>
                <w:left w:val="none" w:sz="0" w:space="0" w:color="auto"/>
                <w:bottom w:val="none" w:sz="0" w:space="0" w:color="auto"/>
                <w:right w:val="none" w:sz="0" w:space="0" w:color="auto"/>
              </w:divBdr>
            </w:div>
            <w:div w:id="98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14342">
      <w:bodyDiv w:val="1"/>
      <w:marLeft w:val="0"/>
      <w:marRight w:val="0"/>
      <w:marTop w:val="0"/>
      <w:marBottom w:val="0"/>
      <w:divBdr>
        <w:top w:val="none" w:sz="0" w:space="0" w:color="auto"/>
        <w:left w:val="none" w:sz="0" w:space="0" w:color="auto"/>
        <w:bottom w:val="none" w:sz="0" w:space="0" w:color="auto"/>
        <w:right w:val="none" w:sz="0" w:space="0" w:color="auto"/>
      </w:divBdr>
    </w:div>
    <w:div w:id="159042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C5D1-8C6A-4FA3-AE1F-A1256E62C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3611</Words>
  <Characters>22106</Characters>
  <Application>Microsoft Office Word</Application>
  <DocSecurity>0</DocSecurity>
  <Lines>320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2026-02-11T15:01:00Z</dcterms:created>
  <dcterms:modified xsi:type="dcterms:W3CDTF">2026-02-12T09:17:00Z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1f766c29-b2a6-4e2c-8d37-54a6ab75eb2f</vt:lpwstr>
  </property>
</Properties>
</file>