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5C0C20F3" w:rsidR="001030A5" w:rsidRDefault="001030A5" w:rsidP="001834FC">
      <w:pPr>
        <w:pStyle w:val="Title"/>
        <w:jc w:val="center"/>
      </w:pPr>
      <w:r>
        <w:t>Research</w:t>
      </w:r>
      <w:r w:rsidR="006F3E7B">
        <w:t xml:space="preserve"> </w:t>
      </w:r>
      <w:r w:rsidR="001834FC">
        <w:t>Title</w:t>
      </w:r>
      <w:r>
        <w:t xml:space="preserve">: </w:t>
      </w:r>
      <w:r w:rsidRPr="001030A5">
        <w:t>The Effectiveness of Mobile Health Apps in Chronic Disease Management among the Elderly in Care Homes</w:t>
      </w:r>
    </w:p>
    <w:p w14:paraId="6D606A98" w14:textId="77777777" w:rsidR="001030A5" w:rsidRDefault="001030A5">
      <w:pPr>
        <w:spacing w:line="259" w:lineRule="auto"/>
        <w:jc w:val="left"/>
        <w:rPr>
          <w:rFonts w:asciiTheme="majorHAnsi" w:eastAsiaTheme="majorEastAsia" w:hAnsiTheme="majorHAnsi" w:cstheme="majorBidi"/>
          <w:color w:val="auto"/>
          <w:spacing w:val="-10"/>
          <w:kern w:val="28"/>
          <w:sz w:val="56"/>
          <w:szCs w:val="56"/>
        </w:rPr>
      </w:pPr>
      <w:r>
        <w:br w:type="page"/>
      </w:r>
    </w:p>
    <w:p w14:paraId="743E5805" w14:textId="67373512" w:rsidR="00913C8F" w:rsidRDefault="001030A5" w:rsidP="00CB34E9">
      <w:pPr>
        <w:pStyle w:val="Heading1"/>
      </w:pPr>
      <w:bookmarkStart w:id="0" w:name="_Toc130939547"/>
      <w:r>
        <w:lastRenderedPageBreak/>
        <w:t>Abstract</w:t>
      </w:r>
      <w:bookmarkEnd w:id="0"/>
    </w:p>
    <w:p w14:paraId="4BFBDF10" w14:textId="02795299" w:rsidR="00CB34E9" w:rsidRPr="00CB34E9" w:rsidRDefault="00CB34E9" w:rsidP="00CB34E9">
      <w:r w:rsidRPr="00CB34E9">
        <w:t xml:space="preserve">This </w:t>
      </w:r>
      <w:r w:rsidR="00050002">
        <w:t>research</w:t>
      </w:r>
      <w:r w:rsidRPr="00CB34E9">
        <w:t xml:space="preserve"> aims to investigate the effectiveness of mobile health applications</w:t>
      </w:r>
      <w:r w:rsidR="00050002">
        <w:t xml:space="preserve"> (MHAs)</w:t>
      </w:r>
      <w:r w:rsidRPr="00CB34E9">
        <w:t xml:space="preserve"> in the treatment of chronic diseases among the elderly in care homes. Using a systematic literature review approach, 10 research publications on the issue were </w:t>
      </w:r>
      <w:proofErr w:type="spellStart"/>
      <w:r w:rsidRPr="00CB34E9">
        <w:t>analyzed</w:t>
      </w:r>
      <w:proofErr w:type="spellEnd"/>
      <w:r w:rsidRPr="00CB34E9">
        <w:t xml:space="preserve">. The literature review revealed major themes about the advantages of </w:t>
      </w:r>
      <w:r w:rsidR="00050002">
        <w:t>MHAs</w:t>
      </w:r>
      <w:r w:rsidRPr="00CB34E9">
        <w:t xml:space="preserve">, the challenges and facilitators to adoption, and the effect on patient outcomes. The analysis and discussion of the data demonstrated that </w:t>
      </w:r>
      <w:r w:rsidR="00050002">
        <w:t>MHAs</w:t>
      </w:r>
      <w:r w:rsidRPr="00CB34E9">
        <w:t xml:space="preserve"> have the potential to enhance the treatment of chronic diseases among the elderly in nursing homes; however, adoption hurdles must be overcome to reach their full potential. The researcher recommends that healthcare practitioners and policymakers emphasize the development and deployment of </w:t>
      </w:r>
      <w:r w:rsidR="00050002">
        <w:t>MHAs</w:t>
      </w:r>
      <w:r w:rsidRPr="00CB34E9">
        <w:t xml:space="preserve"> that are user-friendly, readily available, and suited to the requirements of senior patients. Future stud</w:t>
      </w:r>
      <w:r>
        <w:t>ies</w:t>
      </w:r>
      <w:r w:rsidRPr="00CB34E9">
        <w:t xml:space="preserve"> should concentrate on the long-term effects of mobile health applications on patient outcomes and the variables influencing their continued usage.</w:t>
      </w:r>
    </w:p>
    <w:p w14:paraId="57E2CD9E" w14:textId="3B2959D1"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sz w:val="22"/>
        </w:rPr>
      </w:sdtEndPr>
      <w:sdtContent>
        <w:p w14:paraId="5358D54C" w14:textId="28855B5F" w:rsidR="001834FC" w:rsidRDefault="001834FC">
          <w:pPr>
            <w:pStyle w:val="TOCHeading"/>
          </w:pPr>
          <w:r>
            <w:t>Table of Contents</w:t>
          </w:r>
        </w:p>
        <w:p w14:paraId="19E80BA5" w14:textId="784BF282" w:rsidR="005510BE" w:rsidRDefault="001834FC">
          <w:pPr>
            <w:pStyle w:val="TOC1"/>
            <w:tabs>
              <w:tab w:val="right" w:leader="dot" w:pos="9350"/>
            </w:tabs>
            <w:rPr>
              <w:rFonts w:asciiTheme="minorHAnsi" w:eastAsiaTheme="minorEastAsia" w:hAnsiTheme="minorHAnsi"/>
              <w:noProof/>
              <w:color w:val="auto"/>
              <w:lang w:val="en-US"/>
            </w:rPr>
          </w:pPr>
          <w:r>
            <w:rPr>
              <w:b/>
              <w:bCs/>
              <w:noProof/>
            </w:rPr>
            <w:fldChar w:fldCharType="begin"/>
          </w:r>
          <w:r>
            <w:rPr>
              <w:b/>
              <w:bCs/>
              <w:noProof/>
            </w:rPr>
            <w:instrText xml:space="preserve"> TOC \o "1-3" \h \z \u </w:instrText>
          </w:r>
          <w:r>
            <w:rPr>
              <w:b/>
              <w:bCs/>
              <w:noProof/>
            </w:rPr>
            <w:fldChar w:fldCharType="separate"/>
          </w:r>
          <w:hyperlink w:anchor="_Toc130939547" w:history="1">
            <w:r w:rsidR="005510BE" w:rsidRPr="00CB217A">
              <w:rPr>
                <w:rStyle w:val="Hyperlink"/>
                <w:noProof/>
              </w:rPr>
              <w:t>Abstract</w:t>
            </w:r>
            <w:r w:rsidR="005510BE">
              <w:rPr>
                <w:noProof/>
                <w:webHidden/>
              </w:rPr>
              <w:tab/>
            </w:r>
            <w:r w:rsidR="005510BE">
              <w:rPr>
                <w:noProof/>
                <w:webHidden/>
              </w:rPr>
              <w:fldChar w:fldCharType="begin"/>
            </w:r>
            <w:r w:rsidR="005510BE">
              <w:rPr>
                <w:noProof/>
                <w:webHidden/>
              </w:rPr>
              <w:instrText xml:space="preserve"> PAGEREF _Toc130939547 \h </w:instrText>
            </w:r>
            <w:r w:rsidR="005510BE">
              <w:rPr>
                <w:noProof/>
                <w:webHidden/>
              </w:rPr>
            </w:r>
            <w:r w:rsidR="005510BE">
              <w:rPr>
                <w:noProof/>
                <w:webHidden/>
              </w:rPr>
              <w:fldChar w:fldCharType="separate"/>
            </w:r>
            <w:r w:rsidR="005510BE">
              <w:rPr>
                <w:noProof/>
                <w:webHidden/>
              </w:rPr>
              <w:t>ii</w:t>
            </w:r>
            <w:r w:rsidR="005510BE">
              <w:rPr>
                <w:noProof/>
                <w:webHidden/>
              </w:rPr>
              <w:fldChar w:fldCharType="end"/>
            </w:r>
          </w:hyperlink>
        </w:p>
        <w:p w14:paraId="76137E8C" w14:textId="710B5B05" w:rsidR="005510BE" w:rsidRDefault="005510BE">
          <w:pPr>
            <w:pStyle w:val="TOC1"/>
            <w:tabs>
              <w:tab w:val="right" w:leader="dot" w:pos="9350"/>
            </w:tabs>
            <w:rPr>
              <w:rFonts w:asciiTheme="minorHAnsi" w:eastAsiaTheme="minorEastAsia" w:hAnsiTheme="minorHAnsi"/>
              <w:noProof/>
              <w:color w:val="auto"/>
              <w:lang w:val="en-US"/>
            </w:rPr>
          </w:pPr>
          <w:hyperlink w:anchor="_Toc130939548" w:history="1">
            <w:r w:rsidRPr="00CB217A">
              <w:rPr>
                <w:rStyle w:val="Hyperlink"/>
                <w:noProof/>
              </w:rPr>
              <w:t>Introductions</w:t>
            </w:r>
            <w:r>
              <w:rPr>
                <w:noProof/>
                <w:webHidden/>
              </w:rPr>
              <w:tab/>
            </w:r>
            <w:r>
              <w:rPr>
                <w:noProof/>
                <w:webHidden/>
              </w:rPr>
              <w:fldChar w:fldCharType="begin"/>
            </w:r>
            <w:r>
              <w:rPr>
                <w:noProof/>
                <w:webHidden/>
              </w:rPr>
              <w:instrText xml:space="preserve"> PAGEREF _Toc130939548 \h </w:instrText>
            </w:r>
            <w:r>
              <w:rPr>
                <w:noProof/>
                <w:webHidden/>
              </w:rPr>
            </w:r>
            <w:r>
              <w:rPr>
                <w:noProof/>
                <w:webHidden/>
              </w:rPr>
              <w:fldChar w:fldCharType="separate"/>
            </w:r>
            <w:r>
              <w:rPr>
                <w:noProof/>
                <w:webHidden/>
              </w:rPr>
              <w:t>1</w:t>
            </w:r>
            <w:r>
              <w:rPr>
                <w:noProof/>
                <w:webHidden/>
              </w:rPr>
              <w:fldChar w:fldCharType="end"/>
            </w:r>
          </w:hyperlink>
        </w:p>
        <w:p w14:paraId="64EAB73F" w14:textId="63A56C2B" w:rsidR="005510BE" w:rsidRDefault="005510BE">
          <w:pPr>
            <w:pStyle w:val="TOC1"/>
            <w:tabs>
              <w:tab w:val="right" w:leader="dot" w:pos="9350"/>
            </w:tabs>
            <w:rPr>
              <w:rFonts w:asciiTheme="minorHAnsi" w:eastAsiaTheme="minorEastAsia" w:hAnsiTheme="minorHAnsi"/>
              <w:noProof/>
              <w:color w:val="auto"/>
              <w:lang w:val="en-US"/>
            </w:rPr>
          </w:pPr>
          <w:hyperlink w:anchor="_Toc130939549" w:history="1">
            <w:r w:rsidRPr="00CB217A">
              <w:rPr>
                <w:rStyle w:val="Hyperlink"/>
                <w:noProof/>
              </w:rPr>
              <w:t>Rationale</w:t>
            </w:r>
            <w:r>
              <w:rPr>
                <w:noProof/>
                <w:webHidden/>
              </w:rPr>
              <w:tab/>
            </w:r>
            <w:r>
              <w:rPr>
                <w:noProof/>
                <w:webHidden/>
              </w:rPr>
              <w:fldChar w:fldCharType="begin"/>
            </w:r>
            <w:r>
              <w:rPr>
                <w:noProof/>
                <w:webHidden/>
              </w:rPr>
              <w:instrText xml:space="preserve"> PAGEREF _Toc130939549 \h </w:instrText>
            </w:r>
            <w:r>
              <w:rPr>
                <w:noProof/>
                <w:webHidden/>
              </w:rPr>
            </w:r>
            <w:r>
              <w:rPr>
                <w:noProof/>
                <w:webHidden/>
              </w:rPr>
              <w:fldChar w:fldCharType="separate"/>
            </w:r>
            <w:r>
              <w:rPr>
                <w:noProof/>
                <w:webHidden/>
              </w:rPr>
              <w:t>1</w:t>
            </w:r>
            <w:r>
              <w:rPr>
                <w:noProof/>
                <w:webHidden/>
              </w:rPr>
              <w:fldChar w:fldCharType="end"/>
            </w:r>
          </w:hyperlink>
        </w:p>
        <w:p w14:paraId="1B84C56E" w14:textId="52D73B4B" w:rsidR="005510BE" w:rsidRDefault="005510BE">
          <w:pPr>
            <w:pStyle w:val="TOC1"/>
            <w:tabs>
              <w:tab w:val="right" w:leader="dot" w:pos="9350"/>
            </w:tabs>
            <w:rPr>
              <w:rFonts w:asciiTheme="minorHAnsi" w:eastAsiaTheme="minorEastAsia" w:hAnsiTheme="minorHAnsi"/>
              <w:noProof/>
              <w:color w:val="auto"/>
              <w:lang w:val="en-US"/>
            </w:rPr>
          </w:pPr>
          <w:hyperlink w:anchor="_Toc130939550" w:history="1">
            <w:r w:rsidRPr="00CB217A">
              <w:rPr>
                <w:rStyle w:val="Hyperlink"/>
                <w:noProof/>
              </w:rPr>
              <w:t>Research Objectives</w:t>
            </w:r>
            <w:r>
              <w:rPr>
                <w:noProof/>
                <w:webHidden/>
              </w:rPr>
              <w:tab/>
            </w:r>
            <w:r>
              <w:rPr>
                <w:noProof/>
                <w:webHidden/>
              </w:rPr>
              <w:fldChar w:fldCharType="begin"/>
            </w:r>
            <w:r>
              <w:rPr>
                <w:noProof/>
                <w:webHidden/>
              </w:rPr>
              <w:instrText xml:space="preserve"> PAGEREF _Toc130939550 \h </w:instrText>
            </w:r>
            <w:r>
              <w:rPr>
                <w:noProof/>
                <w:webHidden/>
              </w:rPr>
            </w:r>
            <w:r>
              <w:rPr>
                <w:noProof/>
                <w:webHidden/>
              </w:rPr>
              <w:fldChar w:fldCharType="separate"/>
            </w:r>
            <w:r>
              <w:rPr>
                <w:noProof/>
                <w:webHidden/>
              </w:rPr>
              <w:t>2</w:t>
            </w:r>
            <w:r>
              <w:rPr>
                <w:noProof/>
                <w:webHidden/>
              </w:rPr>
              <w:fldChar w:fldCharType="end"/>
            </w:r>
          </w:hyperlink>
        </w:p>
        <w:p w14:paraId="4F96C2C2" w14:textId="345A683E" w:rsidR="005510BE" w:rsidRDefault="005510BE">
          <w:pPr>
            <w:pStyle w:val="TOC1"/>
            <w:tabs>
              <w:tab w:val="right" w:leader="dot" w:pos="9350"/>
            </w:tabs>
            <w:rPr>
              <w:rFonts w:asciiTheme="minorHAnsi" w:eastAsiaTheme="minorEastAsia" w:hAnsiTheme="minorHAnsi"/>
              <w:noProof/>
              <w:color w:val="auto"/>
              <w:lang w:val="en-US"/>
            </w:rPr>
          </w:pPr>
          <w:hyperlink w:anchor="_Toc130939551" w:history="1">
            <w:r w:rsidRPr="00CB217A">
              <w:rPr>
                <w:rStyle w:val="Hyperlink"/>
                <w:noProof/>
              </w:rPr>
              <w:t>Research Methodology</w:t>
            </w:r>
            <w:r>
              <w:rPr>
                <w:noProof/>
                <w:webHidden/>
              </w:rPr>
              <w:tab/>
            </w:r>
            <w:r>
              <w:rPr>
                <w:noProof/>
                <w:webHidden/>
              </w:rPr>
              <w:fldChar w:fldCharType="begin"/>
            </w:r>
            <w:r>
              <w:rPr>
                <w:noProof/>
                <w:webHidden/>
              </w:rPr>
              <w:instrText xml:space="preserve"> PAGEREF _Toc130939551 \h </w:instrText>
            </w:r>
            <w:r>
              <w:rPr>
                <w:noProof/>
                <w:webHidden/>
              </w:rPr>
            </w:r>
            <w:r>
              <w:rPr>
                <w:noProof/>
                <w:webHidden/>
              </w:rPr>
              <w:fldChar w:fldCharType="separate"/>
            </w:r>
            <w:r>
              <w:rPr>
                <w:noProof/>
                <w:webHidden/>
              </w:rPr>
              <w:t>2</w:t>
            </w:r>
            <w:r>
              <w:rPr>
                <w:noProof/>
                <w:webHidden/>
              </w:rPr>
              <w:fldChar w:fldCharType="end"/>
            </w:r>
          </w:hyperlink>
        </w:p>
        <w:p w14:paraId="65BA7659" w14:textId="3C5EC636" w:rsidR="005510BE" w:rsidRDefault="005510BE">
          <w:pPr>
            <w:pStyle w:val="TOC1"/>
            <w:tabs>
              <w:tab w:val="right" w:leader="dot" w:pos="9350"/>
            </w:tabs>
            <w:rPr>
              <w:rFonts w:asciiTheme="minorHAnsi" w:eastAsiaTheme="minorEastAsia" w:hAnsiTheme="minorHAnsi"/>
              <w:noProof/>
              <w:color w:val="auto"/>
              <w:lang w:val="en-US"/>
            </w:rPr>
          </w:pPr>
          <w:hyperlink w:anchor="_Toc130939552" w:history="1">
            <w:r w:rsidRPr="00CB217A">
              <w:rPr>
                <w:rStyle w:val="Hyperlink"/>
                <w:noProof/>
              </w:rPr>
              <w:t>Literature Review</w:t>
            </w:r>
            <w:r>
              <w:rPr>
                <w:noProof/>
                <w:webHidden/>
              </w:rPr>
              <w:tab/>
            </w:r>
            <w:r>
              <w:rPr>
                <w:noProof/>
                <w:webHidden/>
              </w:rPr>
              <w:fldChar w:fldCharType="begin"/>
            </w:r>
            <w:r>
              <w:rPr>
                <w:noProof/>
                <w:webHidden/>
              </w:rPr>
              <w:instrText xml:space="preserve"> PAGEREF _Toc130939552 \h </w:instrText>
            </w:r>
            <w:r>
              <w:rPr>
                <w:noProof/>
                <w:webHidden/>
              </w:rPr>
            </w:r>
            <w:r>
              <w:rPr>
                <w:noProof/>
                <w:webHidden/>
              </w:rPr>
              <w:fldChar w:fldCharType="separate"/>
            </w:r>
            <w:r>
              <w:rPr>
                <w:noProof/>
                <w:webHidden/>
              </w:rPr>
              <w:t>3</w:t>
            </w:r>
            <w:r>
              <w:rPr>
                <w:noProof/>
                <w:webHidden/>
              </w:rPr>
              <w:fldChar w:fldCharType="end"/>
            </w:r>
          </w:hyperlink>
        </w:p>
        <w:p w14:paraId="3D5B276C" w14:textId="6F70643F" w:rsidR="005510BE" w:rsidRDefault="005510BE">
          <w:pPr>
            <w:pStyle w:val="TOC2"/>
            <w:tabs>
              <w:tab w:val="right" w:leader="dot" w:pos="9350"/>
            </w:tabs>
            <w:rPr>
              <w:rFonts w:asciiTheme="minorHAnsi" w:eastAsiaTheme="minorEastAsia" w:hAnsiTheme="minorHAnsi"/>
              <w:noProof/>
              <w:color w:val="auto"/>
              <w:lang w:val="en-US"/>
            </w:rPr>
          </w:pPr>
          <w:hyperlink w:anchor="_Toc130939553" w:history="1">
            <w:r w:rsidRPr="00CB217A">
              <w:rPr>
                <w:rStyle w:val="Hyperlink"/>
                <w:rFonts w:eastAsia="Times New Roman"/>
                <w:noProof/>
              </w:rPr>
              <w:t>Mobile Health Apps and Chronic Disease Management</w:t>
            </w:r>
            <w:r>
              <w:rPr>
                <w:noProof/>
                <w:webHidden/>
              </w:rPr>
              <w:tab/>
            </w:r>
            <w:r>
              <w:rPr>
                <w:noProof/>
                <w:webHidden/>
              </w:rPr>
              <w:fldChar w:fldCharType="begin"/>
            </w:r>
            <w:r>
              <w:rPr>
                <w:noProof/>
                <w:webHidden/>
              </w:rPr>
              <w:instrText xml:space="preserve"> PAGEREF _Toc130939553 \h </w:instrText>
            </w:r>
            <w:r>
              <w:rPr>
                <w:noProof/>
                <w:webHidden/>
              </w:rPr>
            </w:r>
            <w:r>
              <w:rPr>
                <w:noProof/>
                <w:webHidden/>
              </w:rPr>
              <w:fldChar w:fldCharType="separate"/>
            </w:r>
            <w:r>
              <w:rPr>
                <w:noProof/>
                <w:webHidden/>
              </w:rPr>
              <w:t>3</w:t>
            </w:r>
            <w:r>
              <w:rPr>
                <w:noProof/>
                <w:webHidden/>
              </w:rPr>
              <w:fldChar w:fldCharType="end"/>
            </w:r>
          </w:hyperlink>
        </w:p>
        <w:p w14:paraId="6D043412" w14:textId="4CFAE355" w:rsidR="005510BE" w:rsidRDefault="005510BE">
          <w:pPr>
            <w:pStyle w:val="TOC2"/>
            <w:tabs>
              <w:tab w:val="right" w:leader="dot" w:pos="9350"/>
            </w:tabs>
            <w:rPr>
              <w:rFonts w:asciiTheme="minorHAnsi" w:eastAsiaTheme="minorEastAsia" w:hAnsiTheme="minorHAnsi"/>
              <w:noProof/>
              <w:color w:val="auto"/>
              <w:lang w:val="en-US"/>
            </w:rPr>
          </w:pPr>
          <w:hyperlink w:anchor="_Toc130939554" w:history="1">
            <w:r w:rsidRPr="00CB217A">
              <w:rPr>
                <w:rStyle w:val="Hyperlink"/>
                <w:rFonts w:eastAsia="Times New Roman"/>
                <w:noProof/>
              </w:rPr>
              <w:t>Effectiveness of Mobile Health Apps in Elderly Care</w:t>
            </w:r>
            <w:r>
              <w:rPr>
                <w:noProof/>
                <w:webHidden/>
              </w:rPr>
              <w:tab/>
            </w:r>
            <w:r>
              <w:rPr>
                <w:noProof/>
                <w:webHidden/>
              </w:rPr>
              <w:fldChar w:fldCharType="begin"/>
            </w:r>
            <w:r>
              <w:rPr>
                <w:noProof/>
                <w:webHidden/>
              </w:rPr>
              <w:instrText xml:space="preserve"> PAGEREF _Toc130939554 \h </w:instrText>
            </w:r>
            <w:r>
              <w:rPr>
                <w:noProof/>
                <w:webHidden/>
              </w:rPr>
            </w:r>
            <w:r>
              <w:rPr>
                <w:noProof/>
                <w:webHidden/>
              </w:rPr>
              <w:fldChar w:fldCharType="separate"/>
            </w:r>
            <w:r>
              <w:rPr>
                <w:noProof/>
                <w:webHidden/>
              </w:rPr>
              <w:t>3</w:t>
            </w:r>
            <w:r>
              <w:rPr>
                <w:noProof/>
                <w:webHidden/>
              </w:rPr>
              <w:fldChar w:fldCharType="end"/>
            </w:r>
          </w:hyperlink>
        </w:p>
        <w:p w14:paraId="554E8E93" w14:textId="3F83C3F7" w:rsidR="005510BE" w:rsidRDefault="005510BE">
          <w:pPr>
            <w:pStyle w:val="TOC2"/>
            <w:tabs>
              <w:tab w:val="right" w:leader="dot" w:pos="9350"/>
            </w:tabs>
            <w:rPr>
              <w:rFonts w:asciiTheme="minorHAnsi" w:eastAsiaTheme="minorEastAsia" w:hAnsiTheme="minorHAnsi"/>
              <w:noProof/>
              <w:color w:val="auto"/>
              <w:lang w:val="en-US"/>
            </w:rPr>
          </w:pPr>
          <w:hyperlink w:anchor="_Toc130939555" w:history="1">
            <w:r w:rsidRPr="00CB217A">
              <w:rPr>
                <w:rStyle w:val="Hyperlink"/>
                <w:rFonts w:eastAsia="Times New Roman"/>
                <w:noProof/>
              </w:rPr>
              <w:t>Barriers and Facilitators of Mobile Health App Adoption in Care Homes</w:t>
            </w:r>
            <w:r>
              <w:rPr>
                <w:noProof/>
                <w:webHidden/>
              </w:rPr>
              <w:tab/>
            </w:r>
            <w:r>
              <w:rPr>
                <w:noProof/>
                <w:webHidden/>
              </w:rPr>
              <w:fldChar w:fldCharType="begin"/>
            </w:r>
            <w:r>
              <w:rPr>
                <w:noProof/>
                <w:webHidden/>
              </w:rPr>
              <w:instrText xml:space="preserve"> PAGEREF _Toc130939555 \h </w:instrText>
            </w:r>
            <w:r>
              <w:rPr>
                <w:noProof/>
                <w:webHidden/>
              </w:rPr>
            </w:r>
            <w:r>
              <w:rPr>
                <w:noProof/>
                <w:webHidden/>
              </w:rPr>
              <w:fldChar w:fldCharType="separate"/>
            </w:r>
            <w:r>
              <w:rPr>
                <w:noProof/>
                <w:webHidden/>
              </w:rPr>
              <w:t>4</w:t>
            </w:r>
            <w:r>
              <w:rPr>
                <w:noProof/>
                <w:webHidden/>
              </w:rPr>
              <w:fldChar w:fldCharType="end"/>
            </w:r>
          </w:hyperlink>
        </w:p>
        <w:p w14:paraId="41C076F1" w14:textId="5094C895" w:rsidR="005510BE" w:rsidRDefault="005510BE">
          <w:pPr>
            <w:pStyle w:val="TOC1"/>
            <w:tabs>
              <w:tab w:val="right" w:leader="dot" w:pos="9350"/>
            </w:tabs>
            <w:rPr>
              <w:rFonts w:asciiTheme="minorHAnsi" w:eastAsiaTheme="minorEastAsia" w:hAnsiTheme="minorHAnsi"/>
              <w:noProof/>
              <w:color w:val="auto"/>
              <w:lang w:val="en-US"/>
            </w:rPr>
          </w:pPr>
          <w:hyperlink w:anchor="_Toc130939556" w:history="1">
            <w:r w:rsidRPr="00CB217A">
              <w:rPr>
                <w:rStyle w:val="Hyperlink"/>
                <w:noProof/>
              </w:rPr>
              <w:t>Analysis and Discussion</w:t>
            </w:r>
            <w:r>
              <w:rPr>
                <w:noProof/>
                <w:webHidden/>
              </w:rPr>
              <w:tab/>
            </w:r>
            <w:r>
              <w:rPr>
                <w:noProof/>
                <w:webHidden/>
              </w:rPr>
              <w:fldChar w:fldCharType="begin"/>
            </w:r>
            <w:r>
              <w:rPr>
                <w:noProof/>
                <w:webHidden/>
              </w:rPr>
              <w:instrText xml:space="preserve"> PAGEREF _Toc130939556 \h </w:instrText>
            </w:r>
            <w:r>
              <w:rPr>
                <w:noProof/>
                <w:webHidden/>
              </w:rPr>
            </w:r>
            <w:r>
              <w:rPr>
                <w:noProof/>
                <w:webHidden/>
              </w:rPr>
              <w:fldChar w:fldCharType="separate"/>
            </w:r>
            <w:r>
              <w:rPr>
                <w:noProof/>
                <w:webHidden/>
              </w:rPr>
              <w:t>4</w:t>
            </w:r>
            <w:r>
              <w:rPr>
                <w:noProof/>
                <w:webHidden/>
              </w:rPr>
              <w:fldChar w:fldCharType="end"/>
            </w:r>
          </w:hyperlink>
        </w:p>
        <w:p w14:paraId="0F9FD7B7" w14:textId="6C9FA6EF" w:rsidR="005510BE" w:rsidRDefault="005510BE">
          <w:pPr>
            <w:pStyle w:val="TOC1"/>
            <w:tabs>
              <w:tab w:val="right" w:leader="dot" w:pos="9350"/>
            </w:tabs>
            <w:rPr>
              <w:rFonts w:asciiTheme="minorHAnsi" w:eastAsiaTheme="minorEastAsia" w:hAnsiTheme="minorHAnsi"/>
              <w:noProof/>
              <w:color w:val="auto"/>
              <w:lang w:val="en-US"/>
            </w:rPr>
          </w:pPr>
          <w:hyperlink w:anchor="_Toc130939557" w:history="1">
            <w:r w:rsidRPr="00CB217A">
              <w:rPr>
                <w:rStyle w:val="Hyperlink"/>
                <w:noProof/>
              </w:rPr>
              <w:t>Secondary Data Analysis</w:t>
            </w:r>
            <w:r>
              <w:rPr>
                <w:noProof/>
                <w:webHidden/>
              </w:rPr>
              <w:tab/>
            </w:r>
            <w:r>
              <w:rPr>
                <w:noProof/>
                <w:webHidden/>
              </w:rPr>
              <w:fldChar w:fldCharType="begin"/>
            </w:r>
            <w:r>
              <w:rPr>
                <w:noProof/>
                <w:webHidden/>
              </w:rPr>
              <w:instrText xml:space="preserve"> PAGEREF _Toc130939557 \h </w:instrText>
            </w:r>
            <w:r>
              <w:rPr>
                <w:noProof/>
                <w:webHidden/>
              </w:rPr>
            </w:r>
            <w:r>
              <w:rPr>
                <w:noProof/>
                <w:webHidden/>
              </w:rPr>
              <w:fldChar w:fldCharType="separate"/>
            </w:r>
            <w:r>
              <w:rPr>
                <w:noProof/>
                <w:webHidden/>
              </w:rPr>
              <w:t>5</w:t>
            </w:r>
            <w:r>
              <w:rPr>
                <w:noProof/>
                <w:webHidden/>
              </w:rPr>
              <w:fldChar w:fldCharType="end"/>
            </w:r>
          </w:hyperlink>
        </w:p>
        <w:p w14:paraId="02234AFF" w14:textId="4B21C2C4" w:rsidR="005510BE" w:rsidRDefault="005510BE">
          <w:pPr>
            <w:pStyle w:val="TOC1"/>
            <w:tabs>
              <w:tab w:val="right" w:leader="dot" w:pos="9350"/>
            </w:tabs>
            <w:rPr>
              <w:rFonts w:asciiTheme="minorHAnsi" w:eastAsiaTheme="minorEastAsia" w:hAnsiTheme="minorHAnsi"/>
              <w:noProof/>
              <w:color w:val="auto"/>
              <w:lang w:val="en-US"/>
            </w:rPr>
          </w:pPr>
          <w:hyperlink w:anchor="_Toc130939558" w:history="1">
            <w:r w:rsidRPr="00CB217A">
              <w:rPr>
                <w:rStyle w:val="Hyperlink"/>
                <w:noProof/>
              </w:rPr>
              <w:t>Conclusion and Recommendations</w:t>
            </w:r>
            <w:r>
              <w:rPr>
                <w:noProof/>
                <w:webHidden/>
              </w:rPr>
              <w:tab/>
            </w:r>
            <w:r>
              <w:rPr>
                <w:noProof/>
                <w:webHidden/>
              </w:rPr>
              <w:fldChar w:fldCharType="begin"/>
            </w:r>
            <w:r>
              <w:rPr>
                <w:noProof/>
                <w:webHidden/>
              </w:rPr>
              <w:instrText xml:space="preserve"> PAGEREF _Toc130939558 \h </w:instrText>
            </w:r>
            <w:r>
              <w:rPr>
                <w:noProof/>
                <w:webHidden/>
              </w:rPr>
            </w:r>
            <w:r>
              <w:rPr>
                <w:noProof/>
                <w:webHidden/>
              </w:rPr>
              <w:fldChar w:fldCharType="separate"/>
            </w:r>
            <w:r>
              <w:rPr>
                <w:noProof/>
                <w:webHidden/>
              </w:rPr>
              <w:t>6</w:t>
            </w:r>
            <w:r>
              <w:rPr>
                <w:noProof/>
                <w:webHidden/>
              </w:rPr>
              <w:fldChar w:fldCharType="end"/>
            </w:r>
          </w:hyperlink>
        </w:p>
        <w:p w14:paraId="1F00BF01" w14:textId="00C733DC" w:rsidR="005510BE" w:rsidRDefault="005510BE">
          <w:pPr>
            <w:pStyle w:val="TOC1"/>
            <w:tabs>
              <w:tab w:val="right" w:leader="dot" w:pos="9350"/>
            </w:tabs>
            <w:rPr>
              <w:rFonts w:asciiTheme="minorHAnsi" w:eastAsiaTheme="minorEastAsia" w:hAnsiTheme="minorHAnsi"/>
              <w:noProof/>
              <w:color w:val="auto"/>
              <w:lang w:val="en-US"/>
            </w:rPr>
          </w:pPr>
          <w:hyperlink w:anchor="_Toc130939559" w:history="1">
            <w:r w:rsidRPr="00CB217A">
              <w:rPr>
                <w:rStyle w:val="Hyperlink"/>
                <w:noProof/>
              </w:rPr>
              <w:t>Reference</w:t>
            </w:r>
            <w:r>
              <w:rPr>
                <w:noProof/>
                <w:webHidden/>
              </w:rPr>
              <w:tab/>
            </w:r>
            <w:r>
              <w:rPr>
                <w:noProof/>
                <w:webHidden/>
              </w:rPr>
              <w:fldChar w:fldCharType="begin"/>
            </w:r>
            <w:r>
              <w:rPr>
                <w:noProof/>
                <w:webHidden/>
              </w:rPr>
              <w:instrText xml:space="preserve"> PAGEREF _Toc130939559 \h </w:instrText>
            </w:r>
            <w:r>
              <w:rPr>
                <w:noProof/>
                <w:webHidden/>
              </w:rPr>
            </w:r>
            <w:r>
              <w:rPr>
                <w:noProof/>
                <w:webHidden/>
              </w:rPr>
              <w:fldChar w:fldCharType="separate"/>
            </w:r>
            <w:r>
              <w:rPr>
                <w:noProof/>
                <w:webHidden/>
              </w:rPr>
              <w:t>7</w:t>
            </w:r>
            <w:r>
              <w:rPr>
                <w:noProof/>
                <w:webHidden/>
              </w:rPr>
              <w:fldChar w:fldCharType="end"/>
            </w:r>
          </w:hyperlink>
        </w:p>
        <w:p w14:paraId="11FB9FCD" w14:textId="7AAC3CD7"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194129F4" w14:textId="28ABF087" w:rsidR="001834FC" w:rsidRDefault="001834FC" w:rsidP="001834FC">
      <w:pPr>
        <w:pStyle w:val="Heading1"/>
      </w:pPr>
      <w:bookmarkStart w:id="1" w:name="_Toc130939548"/>
      <w:r>
        <w:lastRenderedPageBreak/>
        <w:t>Introduction</w:t>
      </w:r>
      <w:r w:rsidR="00CB34E9">
        <w:t>s</w:t>
      </w:r>
      <w:bookmarkEnd w:id="1"/>
    </w:p>
    <w:p w14:paraId="5757347A" w14:textId="1229BB57" w:rsidR="00442AFE" w:rsidRDefault="00050002" w:rsidP="00FD70DB">
      <w:r>
        <w:t>T</w:t>
      </w:r>
      <w:r w:rsidRPr="00050002">
        <w:t>he incidence of long-term illnesses among the elderly population poses significant healthcare issues.</w:t>
      </w:r>
      <w:r>
        <w:t xml:space="preserve"> </w:t>
      </w:r>
      <w:proofErr w:type="gramStart"/>
      <w:r w:rsidR="00FD70DB">
        <w:t>In</w:t>
      </w:r>
      <w:proofErr w:type="gramEnd"/>
      <w:r w:rsidR="00FD70DB">
        <w:t xml:space="preserve"> the United Kingdom, nearly sixty per</w:t>
      </w:r>
      <w:r w:rsidR="00CB34E9">
        <w:t xml:space="preserve"> </w:t>
      </w:r>
      <w:r w:rsidR="00FD70DB">
        <w:t>cent of the ageing demographic has at least one serious illness, and this proportion is projected to increase in the future years</w:t>
      </w:r>
      <w:r>
        <w:t xml:space="preserve"> (Dennis et al., 2023)</w:t>
      </w:r>
      <w:r w:rsidR="00FD70DB">
        <w:t>. In this scenario, mobile health applications have become an effective tool for controlling chronic illnesses, particularly among the elderly. These applications provide numerous functions, including prescription reminders, health monitoring, and access to learning materials, that may assist patients in managing their illnesses more efficiently</w:t>
      </w:r>
      <w:r w:rsidR="00442AFE">
        <w:t xml:space="preserve"> (</w:t>
      </w:r>
      <w:r w:rsidR="00442AFE" w:rsidRPr="00442AFE">
        <w:t>Lee et al.</w:t>
      </w:r>
      <w:r w:rsidR="00442AFE">
        <w:t xml:space="preserve">, </w:t>
      </w:r>
      <w:r w:rsidR="00442AFE" w:rsidRPr="00442AFE">
        <w:t>2018)</w:t>
      </w:r>
      <w:r w:rsidR="00FD70DB">
        <w:t>. Nevertheless, the efficiency of these applications in the treatment of chronic diseases among the elderly residing in care homes mostly remains unknown.</w:t>
      </w:r>
    </w:p>
    <w:p w14:paraId="2BB2CB3F" w14:textId="10CF1FEA" w:rsidR="00442AFE" w:rsidRPr="00442AFE" w:rsidRDefault="00FD70DB" w:rsidP="00442AFE">
      <w:r>
        <w:t>The goal of this study is to explore the eff</w:t>
      </w:r>
      <w:r w:rsidR="00050002">
        <w:t>ectiveness</w:t>
      </w:r>
      <w:r>
        <w:t xml:space="preserve"> of </w:t>
      </w:r>
      <w:r w:rsidR="00050002">
        <w:t>mobile health applications (MHAs)</w:t>
      </w:r>
      <w:r>
        <w:t xml:space="preserve"> in the treatment of chronic diseases among the elderly in care homes. This study researched the existing literature on the issue and </w:t>
      </w:r>
      <w:proofErr w:type="spellStart"/>
      <w:r>
        <w:t>analyzed</w:t>
      </w:r>
      <w:proofErr w:type="spellEnd"/>
      <w:r>
        <w:t xml:space="preserve"> the results to assess the influence of </w:t>
      </w:r>
      <w:r w:rsidR="00050002">
        <w:t>MHAs</w:t>
      </w:r>
      <w:r>
        <w:t xml:space="preserve"> on the treatment of chronic illness among the elderly in care homes by </w:t>
      </w:r>
      <w:proofErr w:type="spellStart"/>
      <w:r>
        <w:t>analyzing</w:t>
      </w:r>
      <w:proofErr w:type="spellEnd"/>
      <w:r>
        <w:t xml:space="preserve"> secondary data. This report will offer an overview of the research's justification, objectives, methodology, literature review, analysis, and discussion of the results. This report will conclude with conclusions and recommendations based on the study results.</w:t>
      </w:r>
    </w:p>
    <w:p w14:paraId="68AF3D98" w14:textId="0C0F5225" w:rsidR="001030A5" w:rsidRDefault="001030A5" w:rsidP="001030A5">
      <w:pPr>
        <w:pStyle w:val="Heading1"/>
      </w:pPr>
      <w:bookmarkStart w:id="2" w:name="_Toc130939549"/>
      <w:r>
        <w:t>Rationale</w:t>
      </w:r>
      <w:bookmarkEnd w:id="2"/>
    </w:p>
    <w:p w14:paraId="5D7B2597" w14:textId="12D23E63" w:rsidR="00442AFE" w:rsidRPr="008133ED" w:rsidRDefault="00050002" w:rsidP="008133ED">
      <w:r>
        <w:t>Recently</w:t>
      </w:r>
      <w:r w:rsidR="00FD70DB" w:rsidRPr="00FD70DB">
        <w:t xml:space="preserve">, there </w:t>
      </w:r>
      <w:r>
        <w:t>is</w:t>
      </w:r>
      <w:r w:rsidR="00FD70DB" w:rsidRPr="00FD70DB">
        <w:t xml:space="preserve"> a</w:t>
      </w:r>
      <w:r>
        <w:t xml:space="preserve"> significant growth</w:t>
      </w:r>
      <w:r w:rsidR="00FD70DB" w:rsidRPr="00FD70DB">
        <w:t xml:space="preserve"> </w:t>
      </w:r>
      <w:r>
        <w:t>in</w:t>
      </w:r>
      <w:r w:rsidR="00FD70DB" w:rsidRPr="00FD70DB">
        <w:t xml:space="preserve"> interest in the use of </w:t>
      </w:r>
      <w:r>
        <w:t>MHAs</w:t>
      </w:r>
      <w:r w:rsidR="00FD70DB" w:rsidRPr="00FD70DB">
        <w:t xml:space="preserve"> for chronic illness care among the elderly residing in assisted living homes. The number of people with chronic illnesses in this group, along with the potential advantages of mobile health applications, underscores the need for more research into their effectiveness</w:t>
      </w:r>
      <w:r w:rsidR="00442AFE">
        <w:t xml:space="preserve"> (</w:t>
      </w:r>
      <w:r w:rsidR="00442AFE" w:rsidRPr="00442AFE">
        <w:t>Silva et al.</w:t>
      </w:r>
      <w:r w:rsidR="00442AFE">
        <w:t xml:space="preserve">, </w:t>
      </w:r>
      <w:r w:rsidR="00442AFE" w:rsidRPr="00442AFE">
        <w:t>2015)</w:t>
      </w:r>
      <w:r w:rsidR="00FD70DB" w:rsidRPr="00FD70DB">
        <w:t xml:space="preserve">. In addition, </w:t>
      </w:r>
      <w:r>
        <w:t>MHAs</w:t>
      </w:r>
      <w:r w:rsidR="00FD70DB" w:rsidRPr="00FD70DB">
        <w:t xml:space="preserve"> provide various benefits, including real-time health monitoring, prescription and appointment reminders, and access to educational materials, which may improve the management of chronic conditions</w:t>
      </w:r>
      <w:r w:rsidR="00442AFE">
        <w:t xml:space="preserve"> (Fedele et al., 2017)</w:t>
      </w:r>
      <w:r w:rsidR="00FD70DB" w:rsidRPr="00FD70DB">
        <w:t>. In addition, these apps may also help to better communication between healthcare providers and patients, resulting in improved illness management results</w:t>
      </w:r>
      <w:r w:rsidR="00442AFE">
        <w:t xml:space="preserve"> (Sarkar et al., 2019)</w:t>
      </w:r>
      <w:r w:rsidR="00FD70DB" w:rsidRPr="00FD70DB">
        <w:t xml:space="preserve">. Surprisingly, despite the potential advantages, the effectiveness of </w:t>
      </w:r>
      <w:r>
        <w:t>MHAs</w:t>
      </w:r>
      <w:r w:rsidR="00FD70DB" w:rsidRPr="00FD70DB">
        <w:t xml:space="preserve"> in the treatment of chronic diseases among the elderly in care homes remains unknown </w:t>
      </w:r>
      <w:r w:rsidR="00CB34E9">
        <w:t>to</w:t>
      </w:r>
      <w:r w:rsidR="00FD70DB" w:rsidRPr="00FD70DB">
        <w:t xml:space="preserve"> many healthcare professionals. This study attempts to address this gap in the literature by looking at the evidence o</w:t>
      </w:r>
      <w:r w:rsidR="00CB34E9">
        <w:t>f</w:t>
      </w:r>
      <w:r w:rsidR="00FD70DB" w:rsidRPr="00FD70DB">
        <w:t xml:space="preserve"> the effectiveness of mobile health applications in this demographic. This study is significant because it has the potential to enlighten healthcare practitioners, policymakers, and </w:t>
      </w:r>
      <w:r w:rsidR="00FD70DB" w:rsidRPr="00FD70DB">
        <w:lastRenderedPageBreak/>
        <w:t>software developers about the effectiveness of mobile health applications in the treatment of chronic diseases among elderly care home residents. This study may guide the future development and adoption of mobile health applications in care homes by highlighting the potential benefits and limits of these apps.</w:t>
      </w:r>
    </w:p>
    <w:p w14:paraId="3386DC5E" w14:textId="318DB802" w:rsidR="001030A5" w:rsidRDefault="001030A5" w:rsidP="001030A5">
      <w:pPr>
        <w:pStyle w:val="Heading1"/>
      </w:pPr>
      <w:bookmarkStart w:id="3" w:name="_Toc130939550"/>
      <w:r>
        <w:t>Research Objectives</w:t>
      </w:r>
      <w:bookmarkEnd w:id="3"/>
    </w:p>
    <w:p w14:paraId="2394358D" w14:textId="0992C75B" w:rsidR="00FD70DB" w:rsidRDefault="00FD70DB" w:rsidP="00FD70DB">
      <w:r w:rsidRPr="00FD70DB">
        <w:t>The research aims to investigate the effectiveness of mobile health apps in chronic disease management among the elderly in care homes.</w:t>
      </w:r>
    </w:p>
    <w:p w14:paraId="5EF6A43B" w14:textId="3BDF7AFE" w:rsidR="00FD70DB" w:rsidRPr="008133ED" w:rsidRDefault="00FD70DB" w:rsidP="00FD70DB">
      <w:pPr>
        <w:rPr>
          <w:lang w:val="en-US"/>
        </w:rPr>
      </w:pPr>
      <w:r>
        <w:t>Objectives of the study are as follows-</w:t>
      </w:r>
    </w:p>
    <w:p w14:paraId="0F81EBA8" w14:textId="7744855A" w:rsidR="00FD70DB" w:rsidRDefault="00FD70DB" w:rsidP="00FD70DB">
      <w:pPr>
        <w:pStyle w:val="ListParagraph"/>
        <w:numPr>
          <w:ilvl w:val="0"/>
          <w:numId w:val="3"/>
        </w:numPr>
      </w:pPr>
      <w:r>
        <w:t xml:space="preserve">To conduct a literature review on the use of </w:t>
      </w:r>
      <w:r w:rsidR="00050002">
        <w:t>MHAs</w:t>
      </w:r>
      <w:r>
        <w:t xml:space="preserve"> in the treatment of chronic diseases among the elderly in care homes.</w:t>
      </w:r>
    </w:p>
    <w:p w14:paraId="063A3B2A" w14:textId="18C46D11" w:rsidR="00FD70DB" w:rsidRDefault="00FD70DB" w:rsidP="00FD70DB">
      <w:pPr>
        <w:pStyle w:val="ListParagraph"/>
        <w:numPr>
          <w:ilvl w:val="0"/>
          <w:numId w:val="3"/>
        </w:numPr>
      </w:pPr>
      <w:r>
        <w:t>To e</w:t>
      </w:r>
      <w:r>
        <w:t xml:space="preserve">xamine the possible benefits and limits of </w:t>
      </w:r>
      <w:r w:rsidR="00050002">
        <w:t>MHAs</w:t>
      </w:r>
      <w:r>
        <w:t xml:space="preserve"> for the treatment of chronic diseases among the elderly residing in care homes.</w:t>
      </w:r>
    </w:p>
    <w:p w14:paraId="02FC7767" w14:textId="728B89B7" w:rsidR="00FD70DB" w:rsidRDefault="00FD70DB" w:rsidP="00FD70DB">
      <w:pPr>
        <w:pStyle w:val="ListParagraph"/>
        <w:numPr>
          <w:ilvl w:val="0"/>
          <w:numId w:val="3"/>
        </w:numPr>
      </w:pPr>
      <w:r>
        <w:t xml:space="preserve">To </w:t>
      </w:r>
      <w:proofErr w:type="spellStart"/>
      <w:r>
        <w:t>a</w:t>
      </w:r>
      <w:r>
        <w:t>nalyze</w:t>
      </w:r>
      <w:proofErr w:type="spellEnd"/>
      <w:r>
        <w:t xml:space="preserve"> the existing evidence on the effectiveness of </w:t>
      </w:r>
      <w:r w:rsidR="00050002">
        <w:t>MHAs</w:t>
      </w:r>
      <w:r>
        <w:t xml:space="preserve"> in the treatment of chronic diseases among the elderly in care homes.</w:t>
      </w:r>
    </w:p>
    <w:p w14:paraId="72DCAF36" w14:textId="1039CF55" w:rsidR="008133ED" w:rsidRPr="008133ED" w:rsidRDefault="00FD70DB" w:rsidP="00FD70DB">
      <w:pPr>
        <w:pStyle w:val="ListParagraph"/>
        <w:numPr>
          <w:ilvl w:val="0"/>
          <w:numId w:val="3"/>
        </w:numPr>
      </w:pPr>
      <w:r>
        <w:t>To</w:t>
      </w:r>
      <w:r>
        <w:t xml:space="preserve"> provide </w:t>
      </w:r>
      <w:r>
        <w:t xml:space="preserve">recommendations </w:t>
      </w:r>
      <w:r>
        <w:t xml:space="preserve">for the development and deployment of </w:t>
      </w:r>
      <w:r w:rsidR="00050002">
        <w:t>MHAs</w:t>
      </w:r>
      <w:r>
        <w:t xml:space="preserve"> for chronic illness management among the elderly in care homes.</w:t>
      </w:r>
    </w:p>
    <w:p w14:paraId="037C664C" w14:textId="5A88905E" w:rsidR="001030A5" w:rsidRDefault="001030A5" w:rsidP="001030A5">
      <w:pPr>
        <w:pStyle w:val="Heading1"/>
      </w:pPr>
      <w:bookmarkStart w:id="4" w:name="_Toc130939551"/>
      <w:r>
        <w:t>Research Methodology</w:t>
      </w:r>
      <w:bookmarkEnd w:id="4"/>
    </w:p>
    <w:p w14:paraId="0DA7A3A0" w14:textId="64964129" w:rsidR="00A8670C" w:rsidRDefault="00A8670C" w:rsidP="00A8670C">
      <w:r>
        <w:t xml:space="preserve">This research adopted a systematic literature review approach to examine the effectiveness of </w:t>
      </w:r>
      <w:r w:rsidR="00050002">
        <w:t>MHAs</w:t>
      </w:r>
      <w:r>
        <w:t xml:space="preserve"> in the treatment of chronic diseases among the elderly in care homes. The researcher did a literature review by exploring online databases "PubMed, and Google Scholar" using pertinent keywords such as "mobile health applications," "chronic illness management," "elderly," and "care homes." The search was restricted to English-language items published after January 2015.</w:t>
      </w:r>
    </w:p>
    <w:p w14:paraId="2745F605" w14:textId="68923E83" w:rsidR="00A8670C" w:rsidRDefault="00A8670C" w:rsidP="00A8670C">
      <w:r>
        <w:t xml:space="preserve">In addition, the papers included in this research </w:t>
      </w:r>
      <w:r w:rsidR="00B4785D">
        <w:t xml:space="preserve">are </w:t>
      </w:r>
      <w:r>
        <w:t xml:space="preserve">on the efficacy of </w:t>
      </w:r>
      <w:r w:rsidR="00050002">
        <w:t>MHAs</w:t>
      </w:r>
      <w:r>
        <w:t xml:space="preserve"> in the treatment of chronic diseases among the elderly in care homes. Excluded were studies that focused on different age groups or contexts, or that did not report on the efficacy of mobile health applications. The guidelines for inclusion and exclusion were applied to the article titles, abstracts, and full texts. Using a standard data extraction form, data was retrieved from the included papers. The retrieved data has included research parameters (such as sample size and study design), intervention information (such as the kind and length of usage of the mobile health app), and </w:t>
      </w:r>
      <w:r>
        <w:lastRenderedPageBreak/>
        <w:t>results. Using a thematic synthesis methodology, the data were then evaluated to uncover similar themes and patterns among the included articles</w:t>
      </w:r>
      <w:r w:rsidR="00442AFE">
        <w:t xml:space="preserve"> </w:t>
      </w:r>
      <w:r w:rsidR="00442AFE" w:rsidRPr="00442AFE">
        <w:t>(Smajic et al., 2022)</w:t>
      </w:r>
      <w:r>
        <w:t>.</w:t>
      </w:r>
      <w:r>
        <w:t xml:space="preserve"> </w:t>
      </w:r>
    </w:p>
    <w:p w14:paraId="6649EAEB" w14:textId="7F866B31" w:rsidR="008133ED" w:rsidRDefault="00A8670C" w:rsidP="008133ED">
      <w:r w:rsidRPr="00A8670C">
        <w:t xml:space="preserve">In addition, ethical issues were considered throughout the study procedure. Although this research is based on a systematic literature review employing secondary data sources, there have been no direct ethical considerations related </w:t>
      </w:r>
      <w:r w:rsidR="00CB34E9">
        <w:t>to</w:t>
      </w:r>
      <w:r w:rsidRPr="00A8670C">
        <w:t xml:space="preserve"> the method of data collecti</w:t>
      </w:r>
      <w:r w:rsidR="00CB34E9">
        <w:t>on</w:t>
      </w:r>
      <w:r w:rsidR="00442AFE">
        <w:t xml:space="preserve"> (Gupta and Gupta, 2022)</w:t>
      </w:r>
      <w:r w:rsidRPr="00A8670C">
        <w:t>. Additionally, the researcher has cited the authors whose works have been used in this study using the Harvard reference style.</w:t>
      </w:r>
    </w:p>
    <w:p w14:paraId="2830ADC9" w14:textId="1B99F911" w:rsidR="00442AFE" w:rsidRPr="00442AFE" w:rsidRDefault="001030A5" w:rsidP="00442AFE">
      <w:pPr>
        <w:pStyle w:val="Heading1"/>
      </w:pPr>
      <w:bookmarkStart w:id="5" w:name="_Toc130939552"/>
      <w:r>
        <w:t>Literature Review</w:t>
      </w:r>
      <w:bookmarkEnd w:id="5"/>
    </w:p>
    <w:p w14:paraId="0535FEAA" w14:textId="6EDF1C6F" w:rsidR="008133ED" w:rsidRDefault="008133ED" w:rsidP="008133ED">
      <w:pPr>
        <w:pStyle w:val="Heading2"/>
        <w:rPr>
          <w:rFonts w:eastAsia="Times New Roman"/>
        </w:rPr>
      </w:pPr>
      <w:bookmarkStart w:id="6" w:name="_Toc130939553"/>
      <w:r w:rsidRPr="008133ED">
        <w:rPr>
          <w:rFonts w:eastAsia="Times New Roman"/>
        </w:rPr>
        <w:t>Mobile Health Apps and Chronic Disease Management</w:t>
      </w:r>
      <w:bookmarkEnd w:id="6"/>
    </w:p>
    <w:p w14:paraId="33AD9A23" w14:textId="25FEF487" w:rsidR="00442AFE" w:rsidRPr="00BC229F" w:rsidRDefault="00A8670C" w:rsidP="00BC229F">
      <w:pPr>
        <w:rPr>
          <w:lang w:val="en-US"/>
        </w:rPr>
      </w:pPr>
      <w:r w:rsidRPr="00A8670C">
        <w:rPr>
          <w:lang w:val="en-US"/>
        </w:rPr>
        <w:t xml:space="preserve">Globally, chronic illness management is a major healthcare concern, and mobile health applications have emerged as a viable answer. According to </w:t>
      </w:r>
      <w:r w:rsidR="00442AFE" w:rsidRPr="00442AFE">
        <w:t>Matthew-Maich et al. (2016)</w:t>
      </w:r>
      <w:r w:rsidRPr="00A8670C">
        <w:rPr>
          <w:lang w:val="en-US"/>
        </w:rPr>
        <w:t xml:space="preserve">, mobile health apps are software programs that can be downloaded onto mobile devices and utilized to assist a variety of health-related tasks, including the treatment of chronic diseases. In addition, </w:t>
      </w:r>
      <w:proofErr w:type="spellStart"/>
      <w:r w:rsidR="00442AFE" w:rsidRPr="00442AFE">
        <w:t>Helbostad</w:t>
      </w:r>
      <w:proofErr w:type="spellEnd"/>
      <w:r w:rsidR="00442AFE" w:rsidRPr="00442AFE">
        <w:t xml:space="preserve"> et al. (2017)</w:t>
      </w:r>
      <w:r w:rsidRPr="00A8670C">
        <w:rPr>
          <w:lang w:val="en-US"/>
        </w:rPr>
        <w:t xml:space="preserve"> noted that mobile health applications might significantly influence the results of chronic illness management since they enable patients to keep track of their symptoms, contact healthcare practitioners, and access educational materials. Nonetheless, </w:t>
      </w:r>
      <w:r w:rsidR="00442AFE" w:rsidRPr="00442AFE">
        <w:t>Jaana and Paré (2020)</w:t>
      </w:r>
      <w:r w:rsidRPr="00A8670C">
        <w:rPr>
          <w:lang w:val="en-US"/>
        </w:rPr>
        <w:t xml:space="preserve"> raised worries about the usefulness of </w:t>
      </w:r>
      <w:r w:rsidR="00050002">
        <w:rPr>
          <w:lang w:val="en-US"/>
        </w:rPr>
        <w:t>MHAs</w:t>
      </w:r>
      <w:r w:rsidRPr="00A8670C">
        <w:rPr>
          <w:lang w:val="en-US"/>
        </w:rPr>
        <w:t xml:space="preserve"> for the treatment of chronic diseases. In their study, they discovered that </w:t>
      </w:r>
      <w:r w:rsidR="00CB34E9">
        <w:rPr>
          <w:lang w:val="en-US"/>
        </w:rPr>
        <w:t>even though</w:t>
      </w:r>
      <w:r w:rsidRPr="00A8670C">
        <w:rPr>
          <w:lang w:val="en-US"/>
        </w:rPr>
        <w:t xml:space="preserve"> </w:t>
      </w:r>
      <w:r w:rsidR="00050002">
        <w:rPr>
          <w:lang w:val="en-US"/>
        </w:rPr>
        <w:t>MHAs</w:t>
      </w:r>
      <w:r w:rsidRPr="00A8670C">
        <w:rPr>
          <w:lang w:val="en-US"/>
        </w:rPr>
        <w:t xml:space="preserve"> have the potential to improve self-management habits, there is minimal evidence of their influence on clinical outcomes. This was supported by </w:t>
      </w:r>
      <w:r w:rsidR="00442AFE" w:rsidRPr="00442AFE">
        <w:t>Leigh et al. (2020)</w:t>
      </w:r>
      <w:r w:rsidRPr="00A8670C">
        <w:rPr>
          <w:lang w:val="en-US"/>
        </w:rPr>
        <w:t xml:space="preserve">, which stated that the layout and features of mobile health applications might vary greatly, making it difficult to determine their efficacy. Additionally, </w:t>
      </w:r>
      <w:r w:rsidR="00442AFE" w:rsidRPr="00442AFE">
        <w:t>Grundy (2022)</w:t>
      </w:r>
      <w:r w:rsidR="00442AFE">
        <w:rPr>
          <w:lang w:val="en-US"/>
        </w:rPr>
        <w:t xml:space="preserve"> </w:t>
      </w:r>
      <w:r w:rsidRPr="00A8670C">
        <w:rPr>
          <w:lang w:val="en-US"/>
        </w:rPr>
        <w:t>ha</w:t>
      </w:r>
      <w:r w:rsidR="00CB34E9">
        <w:rPr>
          <w:lang w:val="en-US"/>
        </w:rPr>
        <w:t>s</w:t>
      </w:r>
      <w:r w:rsidRPr="00A8670C">
        <w:rPr>
          <w:lang w:val="en-US"/>
        </w:rPr>
        <w:t xml:space="preserve"> identified possible limitations to the use of mobile health apps in senior people. Study indicates that elderly persons may have lower levels of digital literacy and be less inclined to utilize mobile health applications. In addition, privacy concerns and issues with app functionality may hinder this population's adoption of mobile health apps.</w:t>
      </w:r>
    </w:p>
    <w:p w14:paraId="03777B7B" w14:textId="1BD3CB39" w:rsidR="008133ED" w:rsidRDefault="008133ED" w:rsidP="008133ED">
      <w:pPr>
        <w:pStyle w:val="Heading2"/>
        <w:rPr>
          <w:rFonts w:eastAsia="Times New Roman"/>
        </w:rPr>
      </w:pPr>
      <w:bookmarkStart w:id="7" w:name="_Toc130939554"/>
      <w:r w:rsidRPr="008133ED">
        <w:rPr>
          <w:rFonts w:eastAsia="Times New Roman"/>
        </w:rPr>
        <w:t>Effectiveness of Mobile Health Apps in Elderly Care</w:t>
      </w:r>
      <w:bookmarkEnd w:id="7"/>
    </w:p>
    <w:p w14:paraId="76F31082" w14:textId="323E7BD7" w:rsidR="00442AFE" w:rsidRPr="0037024A" w:rsidRDefault="0037024A" w:rsidP="0037024A">
      <w:pPr>
        <w:rPr>
          <w:lang w:val="en-US"/>
        </w:rPr>
      </w:pPr>
      <w:r w:rsidRPr="0037024A">
        <w:rPr>
          <w:lang w:val="en-US"/>
        </w:rPr>
        <w:t xml:space="preserve">Studies have examined the efficacy of </w:t>
      </w:r>
      <w:r w:rsidR="00050002">
        <w:rPr>
          <w:lang w:val="en-US"/>
        </w:rPr>
        <w:t>MHAs</w:t>
      </w:r>
      <w:r w:rsidRPr="0037024A">
        <w:rPr>
          <w:lang w:val="en-US"/>
        </w:rPr>
        <w:t xml:space="preserve"> in controlling chronic illnesses among the elderly population residing in care facilities. </w:t>
      </w:r>
      <w:r w:rsidR="00442AFE" w:rsidRPr="00442AFE">
        <w:t>Hamine et al. (2015)</w:t>
      </w:r>
      <w:r w:rsidRPr="0037024A">
        <w:rPr>
          <w:lang w:val="en-US"/>
        </w:rPr>
        <w:t xml:space="preserve"> discovered that </w:t>
      </w:r>
      <w:r w:rsidR="00050002">
        <w:rPr>
          <w:lang w:val="en-US"/>
        </w:rPr>
        <w:t>MHAs</w:t>
      </w:r>
      <w:r w:rsidRPr="0037024A">
        <w:rPr>
          <w:lang w:val="en-US"/>
        </w:rPr>
        <w:t xml:space="preserve"> improved the treatment of chronic illnesses such as pressure, diabetes, and depression. This was supported by </w:t>
      </w:r>
      <w:r w:rsidR="00442AFE" w:rsidRPr="00442AFE">
        <w:t>Dou et al. (2017)</w:t>
      </w:r>
      <w:r w:rsidRPr="0037024A">
        <w:rPr>
          <w:lang w:val="en-US"/>
        </w:rPr>
        <w:t xml:space="preserve">, who claimed that evidence suggests </w:t>
      </w:r>
      <w:r w:rsidR="00050002">
        <w:rPr>
          <w:lang w:val="en-US"/>
        </w:rPr>
        <w:t>MHAs</w:t>
      </w:r>
      <w:r w:rsidRPr="0037024A">
        <w:rPr>
          <w:lang w:val="en-US"/>
        </w:rPr>
        <w:t xml:space="preserve"> may increase medication compliance and patient self-management, resulting in improved health outcomes for the senior </w:t>
      </w:r>
      <w:r w:rsidRPr="0037024A">
        <w:rPr>
          <w:lang w:val="en-US"/>
        </w:rPr>
        <w:lastRenderedPageBreak/>
        <w:t xml:space="preserve">population. However, several academics have expressed concerns about the accessibility and ease of use of </w:t>
      </w:r>
      <w:r w:rsidR="00050002">
        <w:rPr>
          <w:lang w:val="en-US"/>
        </w:rPr>
        <w:t>MHAs</w:t>
      </w:r>
      <w:r w:rsidRPr="0037024A">
        <w:rPr>
          <w:lang w:val="en-US"/>
        </w:rPr>
        <w:t xml:space="preserve"> for the senior population. Because of their physical and cognitive limitations, the use of </w:t>
      </w:r>
      <w:r w:rsidR="00050002">
        <w:rPr>
          <w:lang w:val="en-US"/>
        </w:rPr>
        <w:t>MHAs</w:t>
      </w:r>
      <w:r w:rsidRPr="0037024A">
        <w:rPr>
          <w:lang w:val="en-US"/>
        </w:rPr>
        <w:t xml:space="preserve"> was a considerable issue for elderly users, according to </w:t>
      </w:r>
      <w:proofErr w:type="spellStart"/>
      <w:r w:rsidR="00442AFE" w:rsidRPr="00442AFE">
        <w:t>Vaghefi</w:t>
      </w:r>
      <w:proofErr w:type="spellEnd"/>
      <w:r w:rsidR="00442AFE" w:rsidRPr="00442AFE">
        <w:t xml:space="preserve"> and Tulu (2019)</w:t>
      </w:r>
      <w:r w:rsidRPr="0037024A">
        <w:rPr>
          <w:lang w:val="en-US"/>
        </w:rPr>
        <w:t xml:space="preserve">. In contrast, </w:t>
      </w:r>
      <w:r w:rsidR="00442AFE" w:rsidRPr="00442AFE">
        <w:t>Wu et al. (2020)</w:t>
      </w:r>
      <w:r w:rsidRPr="0037024A">
        <w:rPr>
          <w:lang w:val="en-US"/>
        </w:rPr>
        <w:t xml:space="preserve"> emphasized that individualized </w:t>
      </w:r>
      <w:r w:rsidR="00050002">
        <w:rPr>
          <w:lang w:val="en-US"/>
        </w:rPr>
        <w:t>MHAs</w:t>
      </w:r>
      <w:r w:rsidRPr="0037024A">
        <w:rPr>
          <w:lang w:val="en-US"/>
        </w:rPr>
        <w:t xml:space="preserve"> might enhance the quality of care delivered to the elderly by enabling contact between medical professionals and patients.</w:t>
      </w:r>
      <w:r w:rsidR="00442AFE">
        <w:rPr>
          <w:lang w:val="en-US"/>
        </w:rPr>
        <w:t xml:space="preserve"> </w:t>
      </w:r>
      <w:r w:rsidRPr="0037024A">
        <w:rPr>
          <w:lang w:val="en-US"/>
        </w:rPr>
        <w:t>In addition, the degree of techn</w:t>
      </w:r>
      <w:r w:rsidR="00CB34E9">
        <w:rPr>
          <w:lang w:val="en-US"/>
        </w:rPr>
        <w:t>ical</w:t>
      </w:r>
      <w:r w:rsidRPr="0037024A">
        <w:rPr>
          <w:lang w:val="en-US"/>
        </w:rPr>
        <w:t xml:space="preserve"> competency and health literacy may impact the efficacy of </w:t>
      </w:r>
      <w:r w:rsidR="00050002">
        <w:rPr>
          <w:lang w:val="en-US"/>
        </w:rPr>
        <w:t>MHAs</w:t>
      </w:r>
      <w:r w:rsidRPr="0037024A">
        <w:rPr>
          <w:lang w:val="en-US"/>
        </w:rPr>
        <w:t xml:space="preserve"> for chronic illness management in the aged population. A lack of health literacy was a key impediment to the uptake and utilization of </w:t>
      </w:r>
      <w:r w:rsidR="00050002">
        <w:rPr>
          <w:lang w:val="en-US"/>
        </w:rPr>
        <w:t>MHAs</w:t>
      </w:r>
      <w:r w:rsidRPr="0037024A">
        <w:rPr>
          <w:lang w:val="en-US"/>
        </w:rPr>
        <w:t xml:space="preserve"> by the senior population, according to </w:t>
      </w:r>
      <w:r w:rsidR="00442AFE" w:rsidRPr="00442AFE">
        <w:t>Debon et al. (2019)</w:t>
      </w:r>
      <w:r w:rsidRPr="0037024A">
        <w:rPr>
          <w:lang w:val="en-US"/>
        </w:rPr>
        <w:t xml:space="preserve">. In contrast, </w:t>
      </w:r>
      <w:proofErr w:type="spellStart"/>
      <w:r w:rsidR="00442AFE" w:rsidRPr="00442AFE">
        <w:t>Nimmanterdwong</w:t>
      </w:r>
      <w:proofErr w:type="spellEnd"/>
      <w:r w:rsidR="00442AFE" w:rsidRPr="00442AFE">
        <w:t xml:space="preserve"> et al. (2022)</w:t>
      </w:r>
      <w:r w:rsidRPr="0037024A">
        <w:rPr>
          <w:lang w:val="en-US"/>
        </w:rPr>
        <w:t xml:space="preserve"> stated that </w:t>
      </w:r>
      <w:r w:rsidR="00050002">
        <w:rPr>
          <w:lang w:val="en-US"/>
        </w:rPr>
        <w:t>MHAs</w:t>
      </w:r>
      <w:r w:rsidRPr="0037024A">
        <w:rPr>
          <w:lang w:val="en-US"/>
        </w:rPr>
        <w:t xml:space="preserve"> may effectively promote literacy skills and self-management skills among the elderly.</w:t>
      </w:r>
    </w:p>
    <w:p w14:paraId="19C8C83F" w14:textId="16F119E6" w:rsidR="008133ED" w:rsidRDefault="008133ED" w:rsidP="008133ED">
      <w:pPr>
        <w:pStyle w:val="Heading2"/>
        <w:rPr>
          <w:rFonts w:eastAsia="Times New Roman"/>
        </w:rPr>
      </w:pPr>
      <w:bookmarkStart w:id="8" w:name="_Toc130939555"/>
      <w:r w:rsidRPr="008133ED">
        <w:rPr>
          <w:rFonts w:eastAsia="Times New Roman"/>
        </w:rPr>
        <w:t>Barriers and Facilitators of Mobile Health App Adoption in Care Homes</w:t>
      </w:r>
      <w:bookmarkEnd w:id="8"/>
    </w:p>
    <w:p w14:paraId="3A7B49EC" w14:textId="427A9424" w:rsidR="0037024A" w:rsidRPr="0037024A" w:rsidRDefault="0037024A" w:rsidP="0037024A">
      <w:pPr>
        <w:rPr>
          <w:lang w:val="en-US"/>
        </w:rPr>
      </w:pPr>
      <w:r w:rsidRPr="0037024A">
        <w:rPr>
          <w:lang w:val="en-US"/>
        </w:rPr>
        <w:t xml:space="preserve">Many studies have found challenges and drivers of MHAs in care homes. </w:t>
      </w:r>
      <w:r w:rsidR="00442AFE" w:rsidRPr="00442AFE">
        <w:t>Anderson et al. (2016)</w:t>
      </w:r>
      <w:r w:rsidRPr="0037024A">
        <w:rPr>
          <w:lang w:val="en-US"/>
        </w:rPr>
        <w:t xml:space="preserve"> found that challenges to MHA adoption in nursing homes include privacy and confidentiality issues, limited training for staff, and implementation costs. Nevertheless, </w:t>
      </w:r>
      <w:proofErr w:type="spellStart"/>
      <w:r w:rsidR="00442AFE" w:rsidRPr="00442AFE">
        <w:t>Wildenbos</w:t>
      </w:r>
      <w:proofErr w:type="spellEnd"/>
      <w:r w:rsidR="00442AFE" w:rsidRPr="00442AFE">
        <w:t xml:space="preserve"> et al. (2018)</w:t>
      </w:r>
      <w:r w:rsidRPr="0037024A">
        <w:rPr>
          <w:lang w:val="en-US"/>
        </w:rPr>
        <w:t xml:space="preserve"> observed that the availability of funds, encouragement from upper management, and a clear knowledge of the advantages of employing MHAs serve as catalysts for MHA adoption in nursing facilities. In contrast, </w:t>
      </w:r>
      <w:r w:rsidR="00442AFE" w:rsidRPr="00442AFE">
        <w:t>Yousaf et al. (2019)</w:t>
      </w:r>
      <w:r w:rsidRPr="0037024A">
        <w:rPr>
          <w:lang w:val="en-US"/>
        </w:rPr>
        <w:t xml:space="preserve"> noted that a shortage of technical skills among professionals is a key obstacle to the acceptance of MHAs in care homes, whereas </w:t>
      </w:r>
      <w:r w:rsidR="00442AFE" w:rsidRPr="00442AFE">
        <w:t>El-</w:t>
      </w:r>
      <w:proofErr w:type="spellStart"/>
      <w:r w:rsidR="00442AFE" w:rsidRPr="00442AFE">
        <w:t>Rashidy</w:t>
      </w:r>
      <w:proofErr w:type="spellEnd"/>
      <w:r w:rsidR="00442AFE" w:rsidRPr="00442AFE">
        <w:t xml:space="preserve"> et al. (2021)</w:t>
      </w:r>
      <w:r w:rsidRPr="0037024A">
        <w:rPr>
          <w:lang w:val="en-US"/>
        </w:rPr>
        <w:t>'s research emphasized the necessity of user-</w:t>
      </w:r>
      <w:proofErr w:type="spellStart"/>
      <w:r w:rsidRPr="0037024A">
        <w:rPr>
          <w:lang w:val="en-US"/>
        </w:rPr>
        <w:t>centred</w:t>
      </w:r>
      <w:proofErr w:type="spellEnd"/>
      <w:r w:rsidRPr="0037024A">
        <w:rPr>
          <w:lang w:val="en-US"/>
        </w:rPr>
        <w:t xml:space="preserve"> designing in overcoming adoption hurdles. Furthermore, according to research by </w:t>
      </w:r>
      <w:proofErr w:type="spellStart"/>
      <w:r w:rsidR="00442AFE" w:rsidRPr="00442AFE">
        <w:t>Abbaspur</w:t>
      </w:r>
      <w:proofErr w:type="spellEnd"/>
      <w:r w:rsidR="00442AFE" w:rsidRPr="00442AFE">
        <w:t>-Behbahani et al. (2022</w:t>
      </w:r>
      <w:r w:rsidR="00442AFE">
        <w:t>)</w:t>
      </w:r>
      <w:r w:rsidRPr="0037024A">
        <w:rPr>
          <w:lang w:val="en-US"/>
        </w:rPr>
        <w:t>, the incorporation of gamification components in MHAs might facilitate uptake among older inhabitants of care homes. These studies illustrate the complex interaction between obstacles and enablers of MHA adoption in nursing homes and underscore the need for a full knowledge of the variables that affect the effective adoption of MHAs in this context.</w:t>
      </w:r>
    </w:p>
    <w:p w14:paraId="6270D873" w14:textId="6AFBE19B" w:rsidR="001030A5" w:rsidRDefault="001030A5" w:rsidP="001030A5">
      <w:pPr>
        <w:pStyle w:val="Heading1"/>
      </w:pPr>
      <w:bookmarkStart w:id="9" w:name="_Toc130939556"/>
      <w:r>
        <w:t>Analysis and Discussion</w:t>
      </w:r>
      <w:bookmarkEnd w:id="9"/>
    </w:p>
    <w:p w14:paraId="00C09A73" w14:textId="5F835DE4" w:rsidR="00442AFE" w:rsidRDefault="0037024A" w:rsidP="0037024A">
      <w:r>
        <w:t xml:space="preserve">The focus of this research and debate is to examine the effectiveness of </w:t>
      </w:r>
      <w:r w:rsidR="00050002">
        <w:t>MHAs</w:t>
      </w:r>
      <w:r>
        <w:t xml:space="preserve"> in the treatment of chronic diseases among the elderly in nursing homes. The selection of 10 studies for this secondary data analysis was based on their applicability to the research objectives.</w:t>
      </w:r>
    </w:p>
    <w:p w14:paraId="45A2624E" w14:textId="084899DA" w:rsidR="0037024A" w:rsidRDefault="0037024A" w:rsidP="0037024A">
      <w:r w:rsidRPr="0037024A">
        <w:rPr>
          <w:b/>
          <w:bCs/>
        </w:rPr>
        <w:t>Efficacy of Mobile Health Apps:</w:t>
      </w:r>
      <w:r>
        <w:t xml:space="preserve"> The research discovered numerous themes on the efficacy of mobile health apps in the treatment of chronic diseases among the elderly in care homes. </w:t>
      </w:r>
      <w:r w:rsidR="00442AFE" w:rsidRPr="00442AFE">
        <w:t>Ernsting et al. (2017)</w:t>
      </w:r>
      <w:r w:rsidR="00442AFE">
        <w:t xml:space="preserve"> </w:t>
      </w:r>
      <w:r>
        <w:t xml:space="preserve">found that the adoption of </w:t>
      </w:r>
      <w:r w:rsidR="00050002">
        <w:t>MHAs</w:t>
      </w:r>
      <w:r>
        <w:t xml:space="preserve"> dramatically enhanced medication adherence among senior diabetics residing in nursing homes</w:t>
      </w:r>
      <w:r w:rsidRPr="00442AFE">
        <w:t xml:space="preserve">. Similarly, </w:t>
      </w:r>
      <w:r w:rsidR="00442AFE" w:rsidRPr="00442AFE">
        <w:t>Yousaf et al. (2019)</w:t>
      </w:r>
      <w:r w:rsidRPr="00442AFE">
        <w:t xml:space="preserve"> </w:t>
      </w:r>
      <w:r w:rsidR="00442AFE" w:rsidRPr="00442AFE">
        <w:t xml:space="preserve">and Piette et al. </w:t>
      </w:r>
      <w:r w:rsidR="00442AFE" w:rsidRPr="00442AFE">
        <w:lastRenderedPageBreak/>
        <w:t xml:space="preserve">(2017) </w:t>
      </w:r>
      <w:r w:rsidRPr="00442AFE">
        <w:t xml:space="preserve">observed that </w:t>
      </w:r>
      <w:r w:rsidR="00050002" w:rsidRPr="00442AFE">
        <w:t>MHAs</w:t>
      </w:r>
      <w:r w:rsidRPr="00442AFE">
        <w:t xml:space="preserve"> increased patient self-management of chronic illnesses and decreased hospitalizations. In contrast to these results, </w:t>
      </w:r>
      <w:proofErr w:type="spellStart"/>
      <w:r w:rsidR="00442AFE" w:rsidRPr="00442AFE">
        <w:t>Nimmanterdwong</w:t>
      </w:r>
      <w:proofErr w:type="spellEnd"/>
      <w:r w:rsidR="00442AFE" w:rsidRPr="00442AFE">
        <w:t xml:space="preserve"> et al. (2022)</w:t>
      </w:r>
      <w:r w:rsidRPr="00442AFE">
        <w:t xml:space="preserve"> observed no statistically significant difference in illness management outcomes between senior patients who have used </w:t>
      </w:r>
      <w:r w:rsidR="00050002" w:rsidRPr="00442AFE">
        <w:t>MHAs</w:t>
      </w:r>
      <w:r w:rsidRPr="00442AFE">
        <w:t xml:space="preserve"> and those who got standard treatment.</w:t>
      </w:r>
    </w:p>
    <w:p w14:paraId="01A22A8D" w14:textId="2C1A0CC5" w:rsidR="0037024A" w:rsidRDefault="0037024A" w:rsidP="0037024A">
      <w:r w:rsidRPr="0037024A">
        <w:rPr>
          <w:b/>
          <w:bCs/>
        </w:rPr>
        <w:t>Barriers and Facilitators of Mobile Health App Adoption</w:t>
      </w:r>
      <w:r>
        <w:t>:</w:t>
      </w:r>
      <w:r>
        <w:t xml:space="preserve"> The research also discovered a variety of barriers and facilitators of mobile health app use in care homes. </w:t>
      </w:r>
      <w:proofErr w:type="spellStart"/>
      <w:r w:rsidR="00442AFE" w:rsidRPr="00442AFE">
        <w:t>Boscart</w:t>
      </w:r>
      <w:proofErr w:type="spellEnd"/>
      <w:r w:rsidR="00442AFE" w:rsidRPr="00442AFE">
        <w:t xml:space="preserve"> et al. (2020)</w:t>
      </w:r>
      <w:r>
        <w:t xml:space="preserve"> discovered that lack of technical assistance, limited digital literacy, and the perception of an infringement on confidentiality were significant hurdles to the use of m</w:t>
      </w:r>
      <w:r w:rsidRPr="00442AFE">
        <w:t xml:space="preserve">obile health apps among senior patients in care facilities. In contrast, </w:t>
      </w:r>
      <w:r w:rsidR="00442AFE" w:rsidRPr="00442AFE">
        <w:t>Grundy (2022)</w:t>
      </w:r>
      <w:r w:rsidRPr="00442AFE">
        <w:t xml:space="preserve"> </w:t>
      </w:r>
      <w:r w:rsidR="00442AFE" w:rsidRPr="00442AFE">
        <w:t xml:space="preserve">and </w:t>
      </w:r>
      <w:r w:rsidR="00442AFE" w:rsidRPr="00442AFE">
        <w:t>Leigh et al. (2020)</w:t>
      </w:r>
      <w:r w:rsidR="00442AFE" w:rsidRPr="00442AFE">
        <w:t xml:space="preserve"> </w:t>
      </w:r>
      <w:r w:rsidRPr="00442AFE">
        <w:t xml:space="preserve">discovered that the deployment of user-friendly, culturally relevant </w:t>
      </w:r>
      <w:r w:rsidR="00050002" w:rsidRPr="00442AFE">
        <w:t>MHAs</w:t>
      </w:r>
      <w:r w:rsidRPr="00442AFE">
        <w:t xml:space="preserve"> promoted their uptake among</w:t>
      </w:r>
      <w:r>
        <w:t xml:space="preserve"> elderly patients in care facilities.</w:t>
      </w:r>
    </w:p>
    <w:p w14:paraId="45471008" w14:textId="4615D4D1" w:rsidR="0037024A" w:rsidRDefault="0037024A" w:rsidP="0037024A">
      <w:r w:rsidRPr="0037024A">
        <w:rPr>
          <w:b/>
          <w:bCs/>
        </w:rPr>
        <w:t>Patient and Clinician Perspectives:</w:t>
      </w:r>
      <w:r>
        <w:t xml:space="preserve"> Also, the studies discovered patient and clinician opinions on the use of </w:t>
      </w:r>
      <w:r w:rsidR="00050002">
        <w:t>MHAs</w:t>
      </w:r>
      <w:r>
        <w:t xml:space="preserve"> in the treatment </w:t>
      </w:r>
      <w:r w:rsidRPr="00442AFE">
        <w:t xml:space="preserve">of chronic diseases among the elderly in care homes. </w:t>
      </w:r>
      <w:r w:rsidR="00442AFE" w:rsidRPr="00442AFE">
        <w:t>Jaana and Paré (2020)</w:t>
      </w:r>
      <w:r w:rsidR="00442AFE" w:rsidRPr="00442AFE">
        <w:t xml:space="preserve"> </w:t>
      </w:r>
      <w:r w:rsidR="00442AFE">
        <w:t xml:space="preserve">and </w:t>
      </w:r>
      <w:r w:rsidR="00442AFE" w:rsidRPr="00442AFE">
        <w:t xml:space="preserve">Wood et al. (2019) </w:t>
      </w:r>
      <w:r w:rsidR="00442AFE">
        <w:t xml:space="preserve">both studies </w:t>
      </w:r>
      <w:r w:rsidRPr="00442AFE">
        <w:t>discovered that patients viewed mobile health apps as beneficial for tracking symptoms, receiving drug information, and</w:t>
      </w:r>
      <w:r>
        <w:t xml:space="preserve"> sharing information with healthcare providers. However</w:t>
      </w:r>
      <w:r w:rsidRPr="00442AFE">
        <w:t xml:space="preserve">, </w:t>
      </w:r>
      <w:proofErr w:type="spellStart"/>
      <w:r w:rsidR="00442AFE" w:rsidRPr="00442AFE">
        <w:t>Nimmanterdwong</w:t>
      </w:r>
      <w:proofErr w:type="spellEnd"/>
      <w:r w:rsidR="00442AFE" w:rsidRPr="00442AFE">
        <w:t xml:space="preserve"> et al. (2022) </w:t>
      </w:r>
      <w:r w:rsidR="00442AFE" w:rsidRPr="00442AFE">
        <w:t xml:space="preserve">found that </w:t>
      </w:r>
      <w:r w:rsidRPr="00442AFE">
        <w:t xml:space="preserve">professionals voiced worries over the reliability of patient-generated data and the opportunity for </w:t>
      </w:r>
      <w:r w:rsidR="00050002" w:rsidRPr="00442AFE">
        <w:t>MHAs</w:t>
      </w:r>
      <w:r w:rsidRPr="00442AFE">
        <w:t xml:space="preserve"> to replace in-person consultations.</w:t>
      </w:r>
    </w:p>
    <w:p w14:paraId="4BB9CDD9" w14:textId="4BDDD6D5" w:rsidR="00D204FB" w:rsidRPr="00D204FB" w:rsidRDefault="0037024A" w:rsidP="0037024A">
      <w:r>
        <w:t xml:space="preserve">Although the studies demonstrate the promise of </w:t>
      </w:r>
      <w:r w:rsidR="00050002">
        <w:t>MHAs</w:t>
      </w:r>
      <w:r>
        <w:t xml:space="preserve"> in the treatment of chronic diseases among the elderly in care homes, they also emphasize the need to overcome hurdles to adoption and incorporate both clinical and patient perspectives in their development and execution.</w:t>
      </w:r>
    </w:p>
    <w:p w14:paraId="16790F49" w14:textId="52B239C9" w:rsidR="001030A5" w:rsidRDefault="001030A5" w:rsidP="001030A5">
      <w:pPr>
        <w:pStyle w:val="Heading1"/>
      </w:pPr>
      <w:bookmarkStart w:id="10" w:name="_Toc130939557"/>
      <w:r>
        <w:t>Secondary Data Analysis</w:t>
      </w:r>
      <w:bookmarkEnd w:id="10"/>
    </w:p>
    <w:p w14:paraId="0DA25EE1" w14:textId="4E9236F5" w:rsidR="00CB34E9" w:rsidRPr="00CB34E9" w:rsidRDefault="00CB34E9" w:rsidP="00CB34E9">
      <w:r w:rsidRPr="00CB34E9">
        <w:t>This study depends solely on secondary data analysis to investigate the extent to which care</w:t>
      </w:r>
      <w:r>
        <w:t>, home residents,</w:t>
      </w:r>
      <w:r w:rsidRPr="00CB34E9">
        <w:t xml:space="preserve"> have used </w:t>
      </w:r>
      <w:r w:rsidR="00050002">
        <w:t>MHAs</w:t>
      </w:r>
      <w:r w:rsidRPr="00CB34E9">
        <w:t xml:space="preserve"> for the treatment of chronic conditions. The information for this research was gathered from a variety of secondary data sources, including scholarly journals, papers, and government publications. In light of the evaluation of the literature review, it is evident that the use of </w:t>
      </w:r>
      <w:r w:rsidR="00050002">
        <w:t>MHAs</w:t>
      </w:r>
      <w:r w:rsidRPr="00CB34E9">
        <w:t xml:space="preserve"> in chronic illness management among the elderly in care homes is a subject of great interest to academics, healthcare practitioners, and policymakers. The literature review revealed numerous potential advantages of employing </w:t>
      </w:r>
      <w:r w:rsidR="00050002">
        <w:t>MHAs</w:t>
      </w:r>
      <w:r w:rsidRPr="00CB34E9">
        <w:t xml:space="preserve"> in this setting, including better patient outcomes, higher patient involvement, and improved communication between patients and healthcare professionals. Nevertheless, the research also identified </w:t>
      </w:r>
      <w:r>
        <w:t>many</w:t>
      </w:r>
      <w:r w:rsidRPr="00CB34E9">
        <w:t xml:space="preserve"> obstacles and hurdles to the acceptance and implementation of </w:t>
      </w:r>
      <w:r w:rsidR="00050002">
        <w:t>MHAs</w:t>
      </w:r>
      <w:r w:rsidRPr="00CB34E9">
        <w:t xml:space="preserve"> in care homes. They include concerns </w:t>
      </w:r>
      <w:r w:rsidRPr="00CB34E9">
        <w:lastRenderedPageBreak/>
        <w:t>over usability and accessibility, as well as data security and privacy. In addition, the review identifies a need for more stud</w:t>
      </w:r>
      <w:r>
        <w:t>ies</w:t>
      </w:r>
      <w:r w:rsidRPr="00CB34E9">
        <w:t xml:space="preserve"> on the effectiveness of </w:t>
      </w:r>
      <w:r w:rsidR="00050002">
        <w:t>MHAs</w:t>
      </w:r>
      <w:r w:rsidRPr="00CB34E9">
        <w:t xml:space="preserve"> in various care home contexts and for various chronic illnesses.</w:t>
      </w:r>
    </w:p>
    <w:p w14:paraId="7A1614DA" w14:textId="3902457B" w:rsidR="001030A5" w:rsidRDefault="001030A5" w:rsidP="001030A5">
      <w:pPr>
        <w:pStyle w:val="Heading1"/>
      </w:pPr>
      <w:bookmarkStart w:id="11" w:name="_Toc130939558"/>
      <w:r>
        <w:t>Conclusion and Recommendations</w:t>
      </w:r>
      <w:bookmarkEnd w:id="11"/>
    </w:p>
    <w:p w14:paraId="578D0AE3" w14:textId="38230C7A" w:rsidR="00CB34E9" w:rsidRDefault="00CB34E9" w:rsidP="00CB34E9">
      <w:r>
        <w:t xml:space="preserve">In conclusion, the adoption of </w:t>
      </w:r>
      <w:r w:rsidR="00050002">
        <w:t>MHAs</w:t>
      </w:r>
      <w:r>
        <w:t xml:space="preserve"> has the possibility of enhancing the treatment of chronic diseases among senior care home residents. The study and discussion highlight various advantages and disadvantages of using </w:t>
      </w:r>
      <w:r w:rsidR="00050002">
        <w:t>MHAs</w:t>
      </w:r>
      <w:r>
        <w:t xml:space="preserve">. The outcomes of the research indicate that </w:t>
      </w:r>
      <w:r w:rsidR="00050002">
        <w:t>MHAs</w:t>
      </w:r>
      <w:r>
        <w:t xml:space="preserve"> may enable self-management, increase communication, and improve drug adherence. However, digital illiteracy, technological problems, and privacy concerns might impede their adoption in nursing homes.</w:t>
      </w:r>
    </w:p>
    <w:p w14:paraId="4701BFE8" w14:textId="02440C86" w:rsidR="00D204FB" w:rsidRPr="00D204FB" w:rsidRDefault="00CB34E9" w:rsidP="00CB34E9">
      <w:r>
        <w:t>Based on</w:t>
      </w:r>
      <w:r>
        <w:t xml:space="preserve"> the results of this study, the researcher proposes that care home providers include </w:t>
      </w:r>
      <w:r w:rsidR="00050002">
        <w:t>MHAs</w:t>
      </w:r>
      <w:r>
        <w:t xml:space="preserve"> in their chronic illness management plans. To overcome the barriers to adoption, assisted living facilities should also offer digital literacy training to senior residents and their caregivers. In addition, developers should create </w:t>
      </w:r>
      <w:r w:rsidR="00050002">
        <w:t>MHAs</w:t>
      </w:r>
      <w:r>
        <w:t xml:space="preserve"> that are user-friendly, secure, and interoperable with the current infrastructure of care homes. Future stud</w:t>
      </w:r>
      <w:r>
        <w:t>ies</w:t>
      </w:r>
      <w:r>
        <w:t xml:space="preserve"> should investigate the influence of </w:t>
      </w:r>
      <w:r w:rsidR="00050002">
        <w:t>MHAs</w:t>
      </w:r>
      <w:r>
        <w:t xml:space="preserve"> on the quality of life of nursing home patients and the cost-effectiveness of their adoption. Overall, the results imply that the implementation of </w:t>
      </w:r>
      <w:r w:rsidR="00050002">
        <w:t>MHAs</w:t>
      </w:r>
      <w:r>
        <w:t xml:space="preserve"> may improve the management of chronic diseases and boost the quality of care provided to older residents of care homes.</w:t>
      </w:r>
    </w:p>
    <w:p w14:paraId="2D9A9B7E" w14:textId="77777777" w:rsidR="001030A5" w:rsidRPr="001030A5" w:rsidRDefault="001030A5" w:rsidP="001030A5"/>
    <w:p w14:paraId="3681A04B" w14:textId="44DC0094" w:rsidR="001834FC" w:rsidRDefault="001834FC">
      <w:r>
        <w:br w:type="page"/>
      </w:r>
    </w:p>
    <w:p w14:paraId="17598CB2" w14:textId="61EB02A2" w:rsidR="001834FC" w:rsidRDefault="001834FC" w:rsidP="001834FC">
      <w:pPr>
        <w:pStyle w:val="Heading1"/>
      </w:pPr>
      <w:bookmarkStart w:id="12" w:name="_Toc130939559"/>
      <w:r>
        <w:lastRenderedPageBreak/>
        <w:t>Reference</w:t>
      </w:r>
      <w:bookmarkEnd w:id="12"/>
      <w:r>
        <w:t xml:space="preserve"> </w:t>
      </w:r>
    </w:p>
    <w:p w14:paraId="789D4741"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Abbaspur</w:t>
      </w:r>
      <w:proofErr w:type="spellEnd"/>
      <w:r w:rsidRPr="00442AFE">
        <w:rPr>
          <w:rFonts w:cs="Arial"/>
          <w:color w:val="222222"/>
          <w:shd w:val="clear" w:color="auto" w:fill="FFFFFF"/>
        </w:rPr>
        <w:t xml:space="preserve">-Behbahani, S., </w:t>
      </w:r>
      <w:proofErr w:type="spellStart"/>
      <w:r w:rsidRPr="00442AFE">
        <w:rPr>
          <w:rFonts w:cs="Arial"/>
          <w:color w:val="222222"/>
          <w:shd w:val="clear" w:color="auto" w:fill="FFFFFF"/>
        </w:rPr>
        <w:t>Monaghesh</w:t>
      </w:r>
      <w:proofErr w:type="spellEnd"/>
      <w:r w:rsidRPr="00442AFE">
        <w:rPr>
          <w:rFonts w:cs="Arial"/>
          <w:color w:val="222222"/>
          <w:shd w:val="clear" w:color="auto" w:fill="FFFFFF"/>
        </w:rPr>
        <w:t xml:space="preserve">, E., Hajizadeh, A. and </w:t>
      </w:r>
      <w:proofErr w:type="spellStart"/>
      <w:r w:rsidRPr="00442AFE">
        <w:rPr>
          <w:rFonts w:cs="Arial"/>
          <w:color w:val="222222"/>
          <w:shd w:val="clear" w:color="auto" w:fill="FFFFFF"/>
        </w:rPr>
        <w:t>Fehresti</w:t>
      </w:r>
      <w:proofErr w:type="spellEnd"/>
      <w:r w:rsidRPr="00442AFE">
        <w:rPr>
          <w:rFonts w:cs="Arial"/>
          <w:color w:val="222222"/>
          <w:shd w:val="clear" w:color="auto" w:fill="FFFFFF"/>
        </w:rPr>
        <w:t>, S., 2022. Application of mobile health to support the elderly during the COVID-19 outbreak: A systematic review. </w:t>
      </w:r>
      <w:r w:rsidRPr="00442AFE">
        <w:rPr>
          <w:rFonts w:cs="Arial"/>
          <w:i/>
          <w:iCs/>
          <w:color w:val="222222"/>
          <w:shd w:val="clear" w:color="auto" w:fill="FFFFFF"/>
        </w:rPr>
        <w:t>Health Policy and Technology</w:t>
      </w:r>
      <w:r w:rsidRPr="00442AFE">
        <w:rPr>
          <w:rFonts w:cs="Arial"/>
          <w:color w:val="222222"/>
          <w:shd w:val="clear" w:color="auto" w:fill="FFFFFF"/>
        </w:rPr>
        <w:t>, p.100595.</w:t>
      </w:r>
    </w:p>
    <w:p w14:paraId="44C380A6"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Anderson, K., Burford, O. and Emmerton, L., 2016. Mobile health apps to facilitate self-care: a qualitative study of user experiences. </w:t>
      </w:r>
      <w:proofErr w:type="spellStart"/>
      <w:r w:rsidRPr="00442AFE">
        <w:rPr>
          <w:rFonts w:cs="Arial"/>
          <w:i/>
          <w:iCs/>
          <w:color w:val="222222"/>
          <w:shd w:val="clear" w:color="auto" w:fill="FFFFFF"/>
        </w:rPr>
        <w:t>PloS</w:t>
      </w:r>
      <w:proofErr w:type="spellEnd"/>
      <w:r w:rsidRPr="00442AFE">
        <w:rPr>
          <w:rFonts w:cs="Arial"/>
          <w:i/>
          <w:iCs/>
          <w:color w:val="222222"/>
          <w:shd w:val="clear" w:color="auto" w:fill="FFFFFF"/>
        </w:rPr>
        <w:t xml:space="preserve"> one</w:t>
      </w:r>
      <w:r w:rsidRPr="00442AFE">
        <w:rPr>
          <w:rFonts w:cs="Arial"/>
          <w:color w:val="222222"/>
          <w:shd w:val="clear" w:color="auto" w:fill="FFFFFF"/>
        </w:rPr>
        <w:t>, </w:t>
      </w:r>
      <w:r w:rsidRPr="00442AFE">
        <w:rPr>
          <w:rFonts w:cs="Arial"/>
          <w:i/>
          <w:iCs/>
          <w:color w:val="222222"/>
          <w:shd w:val="clear" w:color="auto" w:fill="FFFFFF"/>
        </w:rPr>
        <w:t>11</w:t>
      </w:r>
      <w:r w:rsidRPr="00442AFE">
        <w:rPr>
          <w:rFonts w:cs="Arial"/>
          <w:color w:val="222222"/>
          <w:shd w:val="clear" w:color="auto" w:fill="FFFFFF"/>
        </w:rPr>
        <w:t>(5), p.e0156164.</w:t>
      </w:r>
    </w:p>
    <w:p w14:paraId="1B2B39D9"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Boscart</w:t>
      </w:r>
      <w:proofErr w:type="spellEnd"/>
      <w:r w:rsidRPr="00442AFE">
        <w:rPr>
          <w:rFonts w:cs="Arial"/>
          <w:color w:val="222222"/>
          <w:shd w:val="clear" w:color="auto" w:fill="FFFFFF"/>
        </w:rPr>
        <w:t xml:space="preserve">, V., Crutchlow, L.E., </w:t>
      </w:r>
      <w:proofErr w:type="spellStart"/>
      <w:r w:rsidRPr="00442AFE">
        <w:rPr>
          <w:rFonts w:cs="Arial"/>
          <w:color w:val="222222"/>
          <w:shd w:val="clear" w:color="auto" w:fill="FFFFFF"/>
        </w:rPr>
        <w:t>Taucar</w:t>
      </w:r>
      <w:proofErr w:type="spellEnd"/>
      <w:r w:rsidRPr="00442AFE">
        <w:rPr>
          <w:rFonts w:cs="Arial"/>
          <w:color w:val="222222"/>
          <w:shd w:val="clear" w:color="auto" w:fill="FFFFFF"/>
        </w:rPr>
        <w:t>, L.S., Johnson, K., Heyer, M., Davey, M., Costa, A.P. and Heckman, G., 2020. Chronic disease management models in nursing homes: A scoping review. </w:t>
      </w:r>
      <w:r w:rsidRPr="00442AFE">
        <w:rPr>
          <w:rFonts w:cs="Arial"/>
          <w:i/>
          <w:iCs/>
          <w:color w:val="222222"/>
          <w:shd w:val="clear" w:color="auto" w:fill="FFFFFF"/>
        </w:rPr>
        <w:t>BMJ open</w:t>
      </w:r>
      <w:r w:rsidRPr="00442AFE">
        <w:rPr>
          <w:rFonts w:cs="Arial"/>
          <w:color w:val="222222"/>
          <w:shd w:val="clear" w:color="auto" w:fill="FFFFFF"/>
        </w:rPr>
        <w:t>, </w:t>
      </w:r>
      <w:r w:rsidRPr="00442AFE">
        <w:rPr>
          <w:rFonts w:cs="Arial"/>
          <w:i/>
          <w:iCs/>
          <w:color w:val="222222"/>
          <w:shd w:val="clear" w:color="auto" w:fill="FFFFFF"/>
        </w:rPr>
        <w:t>10</w:t>
      </w:r>
      <w:r w:rsidRPr="00442AFE">
        <w:rPr>
          <w:rFonts w:cs="Arial"/>
          <w:color w:val="222222"/>
          <w:shd w:val="clear" w:color="auto" w:fill="FFFFFF"/>
        </w:rPr>
        <w:t>(2), p.e032316.</w:t>
      </w:r>
    </w:p>
    <w:p w14:paraId="6456EFA1"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Debon, R., Coleone, J.D., </w:t>
      </w:r>
      <w:proofErr w:type="spellStart"/>
      <w:r w:rsidRPr="00442AFE">
        <w:rPr>
          <w:rFonts w:cs="Arial"/>
          <w:color w:val="222222"/>
          <w:shd w:val="clear" w:color="auto" w:fill="FFFFFF"/>
        </w:rPr>
        <w:t>Bellei</w:t>
      </w:r>
      <w:proofErr w:type="spellEnd"/>
      <w:r w:rsidRPr="00442AFE">
        <w:rPr>
          <w:rFonts w:cs="Arial"/>
          <w:color w:val="222222"/>
          <w:shd w:val="clear" w:color="auto" w:fill="FFFFFF"/>
        </w:rPr>
        <w:t>, E.A. and De Marchi, A.C.B., 2019. Mobile health applications for chronic diseases: A systematic review of features for lifestyle improvement. </w:t>
      </w:r>
      <w:r w:rsidRPr="00442AFE">
        <w:rPr>
          <w:rFonts w:cs="Arial"/>
          <w:i/>
          <w:iCs/>
          <w:color w:val="222222"/>
          <w:shd w:val="clear" w:color="auto" w:fill="FFFFFF"/>
        </w:rPr>
        <w:t>Diabetes &amp; Metabolic Syndrome: Clinical Research &amp; Reviews</w:t>
      </w:r>
      <w:r w:rsidRPr="00442AFE">
        <w:rPr>
          <w:rFonts w:cs="Arial"/>
          <w:color w:val="222222"/>
          <w:shd w:val="clear" w:color="auto" w:fill="FFFFFF"/>
        </w:rPr>
        <w:t>, </w:t>
      </w:r>
      <w:r w:rsidRPr="00442AFE">
        <w:rPr>
          <w:rFonts w:cs="Arial"/>
          <w:i/>
          <w:iCs/>
          <w:color w:val="222222"/>
          <w:shd w:val="clear" w:color="auto" w:fill="FFFFFF"/>
        </w:rPr>
        <w:t>13</w:t>
      </w:r>
      <w:r w:rsidRPr="00442AFE">
        <w:rPr>
          <w:rFonts w:cs="Arial"/>
          <w:color w:val="222222"/>
          <w:shd w:val="clear" w:color="auto" w:fill="FFFFFF"/>
        </w:rPr>
        <w:t>(4), pp.2507-2512.</w:t>
      </w:r>
    </w:p>
    <w:p w14:paraId="7633DD5C"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Dennis, M., Barker, A., Anderson, J., Ashton, J.C., Cavan, G., Cook, P.A., French, D., Gilchrist, A., James, P., Phillipson, C. and </w:t>
      </w:r>
      <w:proofErr w:type="spellStart"/>
      <w:r w:rsidRPr="00442AFE">
        <w:rPr>
          <w:rFonts w:cs="Arial"/>
          <w:color w:val="222222"/>
          <w:shd w:val="clear" w:color="auto" w:fill="FFFFFF"/>
        </w:rPr>
        <w:t>Tzoulas</w:t>
      </w:r>
      <w:proofErr w:type="spellEnd"/>
      <w:r w:rsidRPr="00442AFE">
        <w:rPr>
          <w:rFonts w:cs="Arial"/>
          <w:color w:val="222222"/>
          <w:shd w:val="clear" w:color="auto" w:fill="FFFFFF"/>
        </w:rPr>
        <w:t>, K., 2023. Integrating knowledge on green infrastructure, health and well-being in ageing populations: Principles for research and practice. </w:t>
      </w:r>
      <w:proofErr w:type="spellStart"/>
      <w:r w:rsidRPr="00442AFE">
        <w:rPr>
          <w:rFonts w:cs="Arial"/>
          <w:i/>
          <w:iCs/>
          <w:color w:val="222222"/>
          <w:shd w:val="clear" w:color="auto" w:fill="FFFFFF"/>
        </w:rPr>
        <w:t>Ambio</w:t>
      </w:r>
      <w:proofErr w:type="spellEnd"/>
      <w:r w:rsidRPr="00442AFE">
        <w:rPr>
          <w:rFonts w:cs="Arial"/>
          <w:color w:val="222222"/>
          <w:shd w:val="clear" w:color="auto" w:fill="FFFFFF"/>
        </w:rPr>
        <w:t>, </w:t>
      </w:r>
      <w:r w:rsidRPr="00442AFE">
        <w:rPr>
          <w:rFonts w:cs="Arial"/>
          <w:i/>
          <w:iCs/>
          <w:color w:val="222222"/>
          <w:shd w:val="clear" w:color="auto" w:fill="FFFFFF"/>
        </w:rPr>
        <w:t>52</w:t>
      </w:r>
      <w:r w:rsidRPr="00442AFE">
        <w:rPr>
          <w:rFonts w:cs="Arial"/>
          <w:color w:val="222222"/>
          <w:shd w:val="clear" w:color="auto" w:fill="FFFFFF"/>
        </w:rPr>
        <w:t>(1), pp.107-125.</w:t>
      </w:r>
    </w:p>
    <w:p w14:paraId="3EC00583"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Dou, K., Yu, P., Deng, N., Liu, F., Guan, Y., Li, Z., Ji, Y., Du, N., Lu, X. and Duan, H., 2017. Patients’ acceptance of smartphone health technology for chronic disease management: a theoretical model and empirical test.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5</w:t>
      </w:r>
      <w:r w:rsidRPr="00442AFE">
        <w:rPr>
          <w:rFonts w:cs="Arial"/>
          <w:color w:val="222222"/>
          <w:shd w:val="clear" w:color="auto" w:fill="FFFFFF"/>
        </w:rPr>
        <w:t>(12), p.e177.</w:t>
      </w:r>
    </w:p>
    <w:p w14:paraId="67A04C6D"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El-</w:t>
      </w:r>
      <w:proofErr w:type="spellStart"/>
      <w:r w:rsidRPr="00442AFE">
        <w:rPr>
          <w:rFonts w:cs="Arial"/>
          <w:color w:val="222222"/>
          <w:shd w:val="clear" w:color="auto" w:fill="FFFFFF"/>
        </w:rPr>
        <w:t>Rashidy</w:t>
      </w:r>
      <w:proofErr w:type="spellEnd"/>
      <w:r w:rsidRPr="00442AFE">
        <w:rPr>
          <w:rFonts w:cs="Arial"/>
          <w:color w:val="222222"/>
          <w:shd w:val="clear" w:color="auto" w:fill="FFFFFF"/>
        </w:rPr>
        <w:t>, N., El-</w:t>
      </w:r>
      <w:proofErr w:type="spellStart"/>
      <w:r w:rsidRPr="00442AFE">
        <w:rPr>
          <w:rFonts w:cs="Arial"/>
          <w:color w:val="222222"/>
          <w:shd w:val="clear" w:color="auto" w:fill="FFFFFF"/>
        </w:rPr>
        <w:t>Sappagh</w:t>
      </w:r>
      <w:proofErr w:type="spellEnd"/>
      <w:r w:rsidRPr="00442AFE">
        <w:rPr>
          <w:rFonts w:cs="Arial"/>
          <w:color w:val="222222"/>
          <w:shd w:val="clear" w:color="auto" w:fill="FFFFFF"/>
        </w:rPr>
        <w:t xml:space="preserve">, S., Islam, S.R., M. El-Bakry, H. and </w:t>
      </w:r>
      <w:proofErr w:type="spellStart"/>
      <w:r w:rsidRPr="00442AFE">
        <w:rPr>
          <w:rFonts w:cs="Arial"/>
          <w:color w:val="222222"/>
          <w:shd w:val="clear" w:color="auto" w:fill="FFFFFF"/>
        </w:rPr>
        <w:t>Abdelrazek</w:t>
      </w:r>
      <w:proofErr w:type="spellEnd"/>
      <w:r w:rsidRPr="00442AFE">
        <w:rPr>
          <w:rFonts w:cs="Arial"/>
          <w:color w:val="222222"/>
          <w:shd w:val="clear" w:color="auto" w:fill="FFFFFF"/>
        </w:rPr>
        <w:t>, S., 2021. Mobile health in remote patient monitoring for chronic diseases: principles, trends, and challenges. </w:t>
      </w:r>
      <w:r w:rsidRPr="00442AFE">
        <w:rPr>
          <w:rFonts w:cs="Arial"/>
          <w:i/>
          <w:iCs/>
          <w:color w:val="222222"/>
          <w:shd w:val="clear" w:color="auto" w:fill="FFFFFF"/>
        </w:rPr>
        <w:t>Diagnostics</w:t>
      </w:r>
      <w:r w:rsidRPr="00442AFE">
        <w:rPr>
          <w:rFonts w:cs="Arial"/>
          <w:color w:val="222222"/>
          <w:shd w:val="clear" w:color="auto" w:fill="FFFFFF"/>
        </w:rPr>
        <w:t>, </w:t>
      </w:r>
      <w:r w:rsidRPr="00442AFE">
        <w:rPr>
          <w:rFonts w:cs="Arial"/>
          <w:i/>
          <w:iCs/>
          <w:color w:val="222222"/>
          <w:shd w:val="clear" w:color="auto" w:fill="FFFFFF"/>
        </w:rPr>
        <w:t>11</w:t>
      </w:r>
      <w:r w:rsidRPr="00442AFE">
        <w:rPr>
          <w:rFonts w:cs="Arial"/>
          <w:color w:val="222222"/>
          <w:shd w:val="clear" w:color="auto" w:fill="FFFFFF"/>
        </w:rPr>
        <w:t>(4), p.607.</w:t>
      </w:r>
    </w:p>
    <w:p w14:paraId="0BA0E9A3"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Ernsting, C., Dombrowski, S.U., Oedekoven, M., Kanzler, M., Kuhlmey, A. and Gellert, P., 2017. Using smartphones and health apps to change and manage health </w:t>
      </w:r>
      <w:proofErr w:type="spellStart"/>
      <w:r w:rsidRPr="00442AFE">
        <w:rPr>
          <w:rFonts w:cs="Arial"/>
          <w:color w:val="222222"/>
          <w:shd w:val="clear" w:color="auto" w:fill="FFFFFF"/>
        </w:rPr>
        <w:t>behaviors</w:t>
      </w:r>
      <w:proofErr w:type="spellEnd"/>
      <w:r w:rsidRPr="00442AFE">
        <w:rPr>
          <w:rFonts w:cs="Arial"/>
          <w:color w:val="222222"/>
          <w:shd w:val="clear" w:color="auto" w:fill="FFFFFF"/>
        </w:rPr>
        <w:t>: a population-based survey. </w:t>
      </w:r>
      <w:r w:rsidRPr="00442AFE">
        <w:rPr>
          <w:rFonts w:cs="Arial"/>
          <w:i/>
          <w:iCs/>
          <w:color w:val="222222"/>
          <w:shd w:val="clear" w:color="auto" w:fill="FFFFFF"/>
        </w:rPr>
        <w:t>Journal of medical Internet research</w:t>
      </w:r>
      <w:r w:rsidRPr="00442AFE">
        <w:rPr>
          <w:rFonts w:cs="Arial"/>
          <w:color w:val="222222"/>
          <w:shd w:val="clear" w:color="auto" w:fill="FFFFFF"/>
        </w:rPr>
        <w:t>, </w:t>
      </w:r>
      <w:r w:rsidRPr="00442AFE">
        <w:rPr>
          <w:rFonts w:cs="Arial"/>
          <w:i/>
          <w:iCs/>
          <w:color w:val="222222"/>
          <w:shd w:val="clear" w:color="auto" w:fill="FFFFFF"/>
        </w:rPr>
        <w:t>19</w:t>
      </w:r>
      <w:r w:rsidRPr="00442AFE">
        <w:rPr>
          <w:rFonts w:cs="Arial"/>
          <w:color w:val="222222"/>
          <w:shd w:val="clear" w:color="auto" w:fill="FFFFFF"/>
        </w:rPr>
        <w:t>(4), p.e101.</w:t>
      </w:r>
    </w:p>
    <w:p w14:paraId="372FC53E"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Fedele, D.A., Cushing, C.C., Fritz, A., Amaro, C.M. and Ortega, A., 2017. Mobile health interventions for improving health outcomes in youth: a meta-analysis. </w:t>
      </w:r>
      <w:r w:rsidRPr="00442AFE">
        <w:rPr>
          <w:rFonts w:cs="Arial"/>
          <w:i/>
          <w:iCs/>
          <w:color w:val="222222"/>
          <w:shd w:val="clear" w:color="auto" w:fill="FFFFFF"/>
        </w:rPr>
        <w:t xml:space="preserve">JAMA </w:t>
      </w:r>
      <w:proofErr w:type="spellStart"/>
      <w:r w:rsidRPr="00442AFE">
        <w:rPr>
          <w:rFonts w:cs="Arial"/>
          <w:i/>
          <w:iCs/>
          <w:color w:val="222222"/>
          <w:shd w:val="clear" w:color="auto" w:fill="FFFFFF"/>
        </w:rPr>
        <w:t>pediatrics</w:t>
      </w:r>
      <w:proofErr w:type="spellEnd"/>
      <w:r w:rsidRPr="00442AFE">
        <w:rPr>
          <w:rFonts w:cs="Arial"/>
          <w:color w:val="222222"/>
          <w:shd w:val="clear" w:color="auto" w:fill="FFFFFF"/>
        </w:rPr>
        <w:t>, </w:t>
      </w:r>
      <w:r w:rsidRPr="00442AFE">
        <w:rPr>
          <w:rFonts w:cs="Arial"/>
          <w:i/>
          <w:iCs/>
          <w:color w:val="222222"/>
          <w:shd w:val="clear" w:color="auto" w:fill="FFFFFF"/>
        </w:rPr>
        <w:t>171</w:t>
      </w:r>
      <w:r w:rsidRPr="00442AFE">
        <w:rPr>
          <w:rFonts w:cs="Arial"/>
          <w:color w:val="222222"/>
          <w:shd w:val="clear" w:color="auto" w:fill="FFFFFF"/>
        </w:rPr>
        <w:t>(5), pp.461-469.</w:t>
      </w:r>
    </w:p>
    <w:p w14:paraId="3EAEA9C0"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Grundy, Q., 2022. A review of the quality and impact of mobile health apps. </w:t>
      </w:r>
      <w:r w:rsidRPr="00442AFE">
        <w:rPr>
          <w:rFonts w:cs="Arial"/>
          <w:i/>
          <w:iCs/>
          <w:color w:val="222222"/>
          <w:shd w:val="clear" w:color="auto" w:fill="FFFFFF"/>
        </w:rPr>
        <w:t>Annual Review of Public Health</w:t>
      </w:r>
      <w:r w:rsidRPr="00442AFE">
        <w:rPr>
          <w:rFonts w:cs="Arial"/>
          <w:color w:val="222222"/>
          <w:shd w:val="clear" w:color="auto" w:fill="FFFFFF"/>
        </w:rPr>
        <w:t>, </w:t>
      </w:r>
      <w:r w:rsidRPr="00442AFE">
        <w:rPr>
          <w:rFonts w:cs="Arial"/>
          <w:i/>
          <w:iCs/>
          <w:color w:val="222222"/>
          <w:shd w:val="clear" w:color="auto" w:fill="FFFFFF"/>
        </w:rPr>
        <w:t>43</w:t>
      </w:r>
      <w:r w:rsidRPr="00442AFE">
        <w:rPr>
          <w:rFonts w:cs="Arial"/>
          <w:color w:val="222222"/>
          <w:shd w:val="clear" w:color="auto" w:fill="FFFFFF"/>
        </w:rPr>
        <w:t>, pp.117-134.</w:t>
      </w:r>
    </w:p>
    <w:p w14:paraId="4DB2F681" w14:textId="77777777" w:rsidR="00442AFE" w:rsidRPr="00442AFE" w:rsidRDefault="00442AFE" w:rsidP="00442AFE">
      <w:pPr>
        <w:rPr>
          <w:sz w:val="24"/>
          <w:szCs w:val="24"/>
        </w:rPr>
      </w:pPr>
      <w:r w:rsidRPr="00442AFE">
        <w:rPr>
          <w:rFonts w:cs="Arial"/>
          <w:color w:val="222222"/>
          <w:shd w:val="clear" w:color="auto" w:fill="FFFFFF"/>
        </w:rPr>
        <w:lastRenderedPageBreak/>
        <w:t>Gupta, A. and Gupta, N., 2022. </w:t>
      </w:r>
      <w:r w:rsidRPr="00442AFE">
        <w:rPr>
          <w:rFonts w:cs="Arial"/>
          <w:i/>
          <w:iCs/>
          <w:color w:val="222222"/>
          <w:shd w:val="clear" w:color="auto" w:fill="FFFFFF"/>
        </w:rPr>
        <w:t>Research methodology</w:t>
      </w:r>
      <w:r w:rsidRPr="00442AFE">
        <w:rPr>
          <w:rFonts w:cs="Arial"/>
          <w:color w:val="222222"/>
          <w:shd w:val="clear" w:color="auto" w:fill="FFFFFF"/>
        </w:rPr>
        <w:t>. SBPD Publications.</w:t>
      </w:r>
    </w:p>
    <w:p w14:paraId="65A77ED7"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Hamine, S., Gerth-Guyette, E., </w:t>
      </w:r>
      <w:proofErr w:type="spellStart"/>
      <w:r w:rsidRPr="00442AFE">
        <w:rPr>
          <w:rFonts w:cs="Arial"/>
          <w:color w:val="222222"/>
          <w:shd w:val="clear" w:color="auto" w:fill="FFFFFF"/>
        </w:rPr>
        <w:t>Faulx</w:t>
      </w:r>
      <w:proofErr w:type="spellEnd"/>
      <w:r w:rsidRPr="00442AFE">
        <w:rPr>
          <w:rFonts w:cs="Arial"/>
          <w:color w:val="222222"/>
          <w:shd w:val="clear" w:color="auto" w:fill="FFFFFF"/>
        </w:rPr>
        <w:t>, D., Green, B.B. and Ginsburg, A.S., 2015. Impact of mHealth chronic disease management on treatment adherence and patient outcomes: a systematic review. </w:t>
      </w:r>
      <w:r w:rsidRPr="00442AFE">
        <w:rPr>
          <w:rFonts w:cs="Arial"/>
          <w:i/>
          <w:iCs/>
          <w:color w:val="222222"/>
          <w:shd w:val="clear" w:color="auto" w:fill="FFFFFF"/>
        </w:rPr>
        <w:t>Journal of medical Internet research</w:t>
      </w:r>
      <w:r w:rsidRPr="00442AFE">
        <w:rPr>
          <w:rFonts w:cs="Arial"/>
          <w:color w:val="222222"/>
          <w:shd w:val="clear" w:color="auto" w:fill="FFFFFF"/>
        </w:rPr>
        <w:t>, </w:t>
      </w:r>
      <w:r w:rsidRPr="00442AFE">
        <w:rPr>
          <w:rFonts w:cs="Arial"/>
          <w:i/>
          <w:iCs/>
          <w:color w:val="222222"/>
          <w:shd w:val="clear" w:color="auto" w:fill="FFFFFF"/>
        </w:rPr>
        <w:t>17</w:t>
      </w:r>
      <w:r w:rsidRPr="00442AFE">
        <w:rPr>
          <w:rFonts w:cs="Arial"/>
          <w:color w:val="222222"/>
          <w:shd w:val="clear" w:color="auto" w:fill="FFFFFF"/>
        </w:rPr>
        <w:t>(2), p.e52.</w:t>
      </w:r>
    </w:p>
    <w:p w14:paraId="65B9DEFC"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Helbostad</w:t>
      </w:r>
      <w:proofErr w:type="spellEnd"/>
      <w:r w:rsidRPr="00442AFE">
        <w:rPr>
          <w:rFonts w:cs="Arial"/>
          <w:color w:val="222222"/>
          <w:shd w:val="clear" w:color="auto" w:fill="FFFFFF"/>
        </w:rPr>
        <w:t xml:space="preserve">, J.L., </w:t>
      </w:r>
      <w:proofErr w:type="spellStart"/>
      <w:r w:rsidRPr="00442AFE">
        <w:rPr>
          <w:rFonts w:cs="Arial"/>
          <w:color w:val="222222"/>
          <w:shd w:val="clear" w:color="auto" w:fill="FFFFFF"/>
        </w:rPr>
        <w:t>Vereijken</w:t>
      </w:r>
      <w:proofErr w:type="spellEnd"/>
      <w:r w:rsidRPr="00442AFE">
        <w:rPr>
          <w:rFonts w:cs="Arial"/>
          <w:color w:val="222222"/>
          <w:shd w:val="clear" w:color="auto" w:fill="FFFFFF"/>
        </w:rPr>
        <w:t xml:space="preserve">, B., Becker, C., Todd, C., Taraldsen, K., </w:t>
      </w:r>
      <w:proofErr w:type="spellStart"/>
      <w:r w:rsidRPr="00442AFE">
        <w:rPr>
          <w:rFonts w:cs="Arial"/>
          <w:color w:val="222222"/>
          <w:shd w:val="clear" w:color="auto" w:fill="FFFFFF"/>
        </w:rPr>
        <w:t>Pijnappels</w:t>
      </w:r>
      <w:proofErr w:type="spellEnd"/>
      <w:r w:rsidRPr="00442AFE">
        <w:rPr>
          <w:rFonts w:cs="Arial"/>
          <w:color w:val="222222"/>
          <w:shd w:val="clear" w:color="auto" w:fill="FFFFFF"/>
        </w:rPr>
        <w:t>, M., Aminian, K. and Mellone, S., 2017. Mobile health applications to promote active and healthy ageing. </w:t>
      </w:r>
      <w:r w:rsidRPr="00442AFE">
        <w:rPr>
          <w:rFonts w:cs="Arial"/>
          <w:i/>
          <w:iCs/>
          <w:color w:val="222222"/>
          <w:shd w:val="clear" w:color="auto" w:fill="FFFFFF"/>
        </w:rPr>
        <w:t>Sensors</w:t>
      </w:r>
      <w:r w:rsidRPr="00442AFE">
        <w:rPr>
          <w:rFonts w:cs="Arial"/>
          <w:color w:val="222222"/>
          <w:shd w:val="clear" w:color="auto" w:fill="FFFFFF"/>
        </w:rPr>
        <w:t>, </w:t>
      </w:r>
      <w:r w:rsidRPr="00442AFE">
        <w:rPr>
          <w:rFonts w:cs="Arial"/>
          <w:i/>
          <w:iCs/>
          <w:color w:val="222222"/>
          <w:shd w:val="clear" w:color="auto" w:fill="FFFFFF"/>
        </w:rPr>
        <w:t>17</w:t>
      </w:r>
      <w:r w:rsidRPr="00442AFE">
        <w:rPr>
          <w:rFonts w:cs="Arial"/>
          <w:color w:val="222222"/>
          <w:shd w:val="clear" w:color="auto" w:fill="FFFFFF"/>
        </w:rPr>
        <w:t>(3), p.622.</w:t>
      </w:r>
    </w:p>
    <w:p w14:paraId="26AC646E"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Jaana, M. and Paré, G., 2020. Comparison of mobile health technology use for self-tracking between older adults and the general adult population in Canada: cross-sectional survey.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8</w:t>
      </w:r>
      <w:r w:rsidRPr="00442AFE">
        <w:rPr>
          <w:rFonts w:cs="Arial"/>
          <w:color w:val="222222"/>
          <w:shd w:val="clear" w:color="auto" w:fill="FFFFFF"/>
        </w:rPr>
        <w:t>(11), p.e24718.</w:t>
      </w:r>
    </w:p>
    <w:p w14:paraId="3E95A59B"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Lee, J.A., Choi, M., Lee, S.A. and Jiang, N., 2018. Effective </w:t>
      </w:r>
      <w:proofErr w:type="spellStart"/>
      <w:r w:rsidRPr="00442AFE">
        <w:rPr>
          <w:rFonts w:cs="Arial"/>
          <w:color w:val="222222"/>
          <w:shd w:val="clear" w:color="auto" w:fill="FFFFFF"/>
        </w:rPr>
        <w:t>behavioral</w:t>
      </w:r>
      <w:proofErr w:type="spellEnd"/>
      <w:r w:rsidRPr="00442AFE">
        <w:rPr>
          <w:rFonts w:cs="Arial"/>
          <w:color w:val="222222"/>
          <w:shd w:val="clear" w:color="auto" w:fill="FFFFFF"/>
        </w:rPr>
        <w:t xml:space="preserve"> intervention strategies using mobile health applications for chronic disease management: a systematic review. </w:t>
      </w:r>
      <w:r w:rsidRPr="00442AFE">
        <w:rPr>
          <w:rFonts w:cs="Arial"/>
          <w:i/>
          <w:iCs/>
          <w:color w:val="222222"/>
          <w:shd w:val="clear" w:color="auto" w:fill="FFFFFF"/>
        </w:rPr>
        <w:t>BMC medical informatics and decision making</w:t>
      </w:r>
      <w:r w:rsidRPr="00442AFE">
        <w:rPr>
          <w:rFonts w:cs="Arial"/>
          <w:color w:val="222222"/>
          <w:shd w:val="clear" w:color="auto" w:fill="FFFFFF"/>
        </w:rPr>
        <w:t>, </w:t>
      </w:r>
      <w:r w:rsidRPr="00442AFE">
        <w:rPr>
          <w:rFonts w:cs="Arial"/>
          <w:i/>
          <w:iCs/>
          <w:color w:val="222222"/>
          <w:shd w:val="clear" w:color="auto" w:fill="FFFFFF"/>
        </w:rPr>
        <w:t>18</w:t>
      </w:r>
      <w:r w:rsidRPr="00442AFE">
        <w:rPr>
          <w:rFonts w:cs="Arial"/>
          <w:color w:val="222222"/>
          <w:shd w:val="clear" w:color="auto" w:fill="FFFFFF"/>
        </w:rPr>
        <w:t>(1), pp.1-18.</w:t>
      </w:r>
    </w:p>
    <w:p w14:paraId="0DFEF664"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Leigh, S., Ashall-Payne, L. and Andrews, T., 2020. Barriers and facilitators to the adoption of mobile health among health care professionals from the United Kingdom: discrete choice experiment.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8</w:t>
      </w:r>
      <w:r w:rsidRPr="00442AFE">
        <w:rPr>
          <w:rFonts w:cs="Arial"/>
          <w:color w:val="222222"/>
          <w:shd w:val="clear" w:color="auto" w:fill="FFFFFF"/>
        </w:rPr>
        <w:t>(7), p.e17704.</w:t>
      </w:r>
    </w:p>
    <w:p w14:paraId="093F0DF5"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Matthew-Maich, N., Harris, L., Ploeg, J., Markle-Reid, M., Valaitis, R., Ibrahim, S., Gafni, A. and Isaacs, S., 2016. Designing, implementing, and evaluating mobile health technologies for managing chronic conditions in older adults: a scoping review.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4</w:t>
      </w:r>
      <w:r w:rsidRPr="00442AFE">
        <w:rPr>
          <w:rFonts w:cs="Arial"/>
          <w:color w:val="222222"/>
          <w:shd w:val="clear" w:color="auto" w:fill="FFFFFF"/>
        </w:rPr>
        <w:t>(2), p.e5127.</w:t>
      </w:r>
    </w:p>
    <w:p w14:paraId="53072940"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Nimmanterdwong</w:t>
      </w:r>
      <w:proofErr w:type="spellEnd"/>
      <w:r w:rsidRPr="00442AFE">
        <w:rPr>
          <w:rFonts w:cs="Arial"/>
          <w:color w:val="222222"/>
          <w:shd w:val="clear" w:color="auto" w:fill="FFFFFF"/>
        </w:rPr>
        <w:t xml:space="preserve">, Z., </w:t>
      </w:r>
      <w:proofErr w:type="spellStart"/>
      <w:r w:rsidRPr="00442AFE">
        <w:rPr>
          <w:rFonts w:cs="Arial"/>
          <w:color w:val="222222"/>
          <w:shd w:val="clear" w:color="auto" w:fill="FFFFFF"/>
        </w:rPr>
        <w:t>Boonviriya</w:t>
      </w:r>
      <w:proofErr w:type="spellEnd"/>
      <w:r w:rsidRPr="00442AFE">
        <w:rPr>
          <w:rFonts w:cs="Arial"/>
          <w:color w:val="222222"/>
          <w:shd w:val="clear" w:color="auto" w:fill="FFFFFF"/>
        </w:rPr>
        <w:t xml:space="preserve">, S. and </w:t>
      </w:r>
      <w:proofErr w:type="spellStart"/>
      <w:r w:rsidRPr="00442AFE">
        <w:rPr>
          <w:rFonts w:cs="Arial"/>
          <w:color w:val="222222"/>
          <w:shd w:val="clear" w:color="auto" w:fill="FFFFFF"/>
        </w:rPr>
        <w:t>Tangkijvanich</w:t>
      </w:r>
      <w:proofErr w:type="spellEnd"/>
      <w:r w:rsidRPr="00442AFE">
        <w:rPr>
          <w:rFonts w:cs="Arial"/>
          <w:color w:val="222222"/>
          <w:shd w:val="clear" w:color="auto" w:fill="FFFFFF"/>
        </w:rPr>
        <w:t>, P., 2022. Human-</w:t>
      </w:r>
      <w:proofErr w:type="spellStart"/>
      <w:r w:rsidRPr="00442AFE">
        <w:rPr>
          <w:rFonts w:cs="Arial"/>
          <w:color w:val="222222"/>
          <w:shd w:val="clear" w:color="auto" w:fill="FFFFFF"/>
        </w:rPr>
        <w:t>centered</w:t>
      </w:r>
      <w:proofErr w:type="spellEnd"/>
      <w:r w:rsidRPr="00442AFE">
        <w:rPr>
          <w:rFonts w:cs="Arial"/>
          <w:color w:val="222222"/>
          <w:shd w:val="clear" w:color="auto" w:fill="FFFFFF"/>
        </w:rPr>
        <w:t xml:space="preserve"> design of mobile health apps for older adults: systematic review and narrative synthesis.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10</w:t>
      </w:r>
      <w:r w:rsidRPr="00442AFE">
        <w:rPr>
          <w:rFonts w:cs="Arial"/>
          <w:color w:val="222222"/>
          <w:shd w:val="clear" w:color="auto" w:fill="FFFFFF"/>
        </w:rPr>
        <w:t>(1), p.e29512.</w:t>
      </w:r>
    </w:p>
    <w:p w14:paraId="54C64D65"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Piette, J.D., List, J., Rana, G.K., Townsend, W., Striplin, D. and Heisler, M., 2017. Mobile health devices as tools for worldwide cardiovascular risk reduction and disease management. </w:t>
      </w:r>
      <w:r w:rsidRPr="00442AFE">
        <w:rPr>
          <w:rFonts w:cs="Arial"/>
          <w:i/>
          <w:iCs/>
          <w:color w:val="222222"/>
          <w:shd w:val="clear" w:color="auto" w:fill="FFFFFF"/>
        </w:rPr>
        <w:t>Circulation</w:t>
      </w:r>
      <w:r w:rsidRPr="00442AFE">
        <w:rPr>
          <w:rFonts w:cs="Arial"/>
          <w:color w:val="222222"/>
          <w:shd w:val="clear" w:color="auto" w:fill="FFFFFF"/>
        </w:rPr>
        <w:t>, </w:t>
      </w:r>
      <w:r w:rsidRPr="00442AFE">
        <w:rPr>
          <w:rFonts w:cs="Arial"/>
          <w:i/>
          <w:iCs/>
          <w:color w:val="222222"/>
          <w:shd w:val="clear" w:color="auto" w:fill="FFFFFF"/>
        </w:rPr>
        <w:t>132</w:t>
      </w:r>
      <w:r w:rsidRPr="00442AFE">
        <w:rPr>
          <w:rFonts w:cs="Arial"/>
          <w:color w:val="222222"/>
          <w:shd w:val="clear" w:color="auto" w:fill="FFFFFF"/>
        </w:rPr>
        <w:t>(21), pp.2012-2027.</w:t>
      </w:r>
    </w:p>
    <w:p w14:paraId="56941107"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Sarkar, U., Gourley, G.I., Lyles, C.R., Tieu, L., Clarity, C., Newmark, L., Singh, K. and Bates, D.W., 2019. Usability of commercially available mobile applications for diverse patients. </w:t>
      </w:r>
      <w:r w:rsidRPr="00442AFE">
        <w:rPr>
          <w:rFonts w:cs="Arial"/>
          <w:i/>
          <w:iCs/>
          <w:color w:val="222222"/>
          <w:shd w:val="clear" w:color="auto" w:fill="FFFFFF"/>
        </w:rPr>
        <w:t>Journal of general internal medicine</w:t>
      </w:r>
      <w:r w:rsidRPr="00442AFE">
        <w:rPr>
          <w:rFonts w:cs="Arial"/>
          <w:color w:val="222222"/>
          <w:shd w:val="clear" w:color="auto" w:fill="FFFFFF"/>
        </w:rPr>
        <w:t>, </w:t>
      </w:r>
      <w:r w:rsidRPr="00442AFE">
        <w:rPr>
          <w:rFonts w:cs="Arial"/>
          <w:i/>
          <w:iCs/>
          <w:color w:val="222222"/>
          <w:shd w:val="clear" w:color="auto" w:fill="FFFFFF"/>
        </w:rPr>
        <w:t>31</w:t>
      </w:r>
      <w:r w:rsidRPr="00442AFE">
        <w:rPr>
          <w:rFonts w:cs="Arial"/>
          <w:color w:val="222222"/>
          <w:shd w:val="clear" w:color="auto" w:fill="FFFFFF"/>
        </w:rPr>
        <w:t>, pp.1417-1426.</w:t>
      </w:r>
    </w:p>
    <w:p w14:paraId="095E249F"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lastRenderedPageBreak/>
        <w:t xml:space="preserve">Silva, B.M., Rodrigues, J.J., de la Torre </w:t>
      </w:r>
      <w:proofErr w:type="spellStart"/>
      <w:r w:rsidRPr="00442AFE">
        <w:rPr>
          <w:rFonts w:cs="Arial"/>
          <w:color w:val="222222"/>
          <w:shd w:val="clear" w:color="auto" w:fill="FFFFFF"/>
        </w:rPr>
        <w:t>Díez</w:t>
      </w:r>
      <w:proofErr w:type="spellEnd"/>
      <w:r w:rsidRPr="00442AFE">
        <w:rPr>
          <w:rFonts w:cs="Arial"/>
          <w:color w:val="222222"/>
          <w:shd w:val="clear" w:color="auto" w:fill="FFFFFF"/>
        </w:rPr>
        <w:t>, I., López-Coronado, M. and Saleem, K., 2015. Mobile-health: A review of current state in 2015. </w:t>
      </w:r>
      <w:r w:rsidRPr="00442AFE">
        <w:rPr>
          <w:rFonts w:cs="Arial"/>
          <w:i/>
          <w:iCs/>
          <w:color w:val="222222"/>
          <w:shd w:val="clear" w:color="auto" w:fill="FFFFFF"/>
        </w:rPr>
        <w:t>Journal of biomedical informatics</w:t>
      </w:r>
      <w:r w:rsidRPr="00442AFE">
        <w:rPr>
          <w:rFonts w:cs="Arial"/>
          <w:color w:val="222222"/>
          <w:shd w:val="clear" w:color="auto" w:fill="FFFFFF"/>
        </w:rPr>
        <w:t>, </w:t>
      </w:r>
      <w:r w:rsidRPr="00442AFE">
        <w:rPr>
          <w:rFonts w:cs="Arial"/>
          <w:i/>
          <w:iCs/>
          <w:color w:val="222222"/>
          <w:shd w:val="clear" w:color="auto" w:fill="FFFFFF"/>
        </w:rPr>
        <w:t>56</w:t>
      </w:r>
      <w:r w:rsidRPr="00442AFE">
        <w:rPr>
          <w:rFonts w:cs="Arial"/>
          <w:color w:val="222222"/>
          <w:shd w:val="clear" w:color="auto" w:fill="FFFFFF"/>
        </w:rPr>
        <w:t>, pp.265-272.</w:t>
      </w:r>
    </w:p>
    <w:p w14:paraId="7BAF8A86"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Smajic, E., Avdic, D., Pasic, A., </w:t>
      </w:r>
      <w:proofErr w:type="spellStart"/>
      <w:r w:rsidRPr="00442AFE">
        <w:rPr>
          <w:rFonts w:cs="Arial"/>
          <w:color w:val="222222"/>
          <w:shd w:val="clear" w:color="auto" w:fill="FFFFFF"/>
        </w:rPr>
        <w:t>Prcic</w:t>
      </w:r>
      <w:proofErr w:type="spellEnd"/>
      <w:r w:rsidRPr="00442AFE">
        <w:rPr>
          <w:rFonts w:cs="Arial"/>
          <w:color w:val="222222"/>
          <w:shd w:val="clear" w:color="auto" w:fill="FFFFFF"/>
        </w:rPr>
        <w:t xml:space="preserve">, A. and </w:t>
      </w:r>
      <w:proofErr w:type="spellStart"/>
      <w:r w:rsidRPr="00442AFE">
        <w:rPr>
          <w:rFonts w:cs="Arial"/>
          <w:color w:val="222222"/>
          <w:shd w:val="clear" w:color="auto" w:fill="FFFFFF"/>
        </w:rPr>
        <w:t>Stancic</w:t>
      </w:r>
      <w:proofErr w:type="spellEnd"/>
      <w:r w:rsidRPr="00442AFE">
        <w:rPr>
          <w:rFonts w:cs="Arial"/>
          <w:color w:val="222222"/>
          <w:shd w:val="clear" w:color="auto" w:fill="FFFFFF"/>
        </w:rPr>
        <w:t>, M., 2022. Mixed methodology of scientific research in healthcare. </w:t>
      </w:r>
      <w:r w:rsidRPr="00442AFE">
        <w:rPr>
          <w:rFonts w:cs="Arial"/>
          <w:i/>
          <w:iCs/>
          <w:color w:val="222222"/>
          <w:shd w:val="clear" w:color="auto" w:fill="FFFFFF"/>
        </w:rPr>
        <w:t>Acta Informatica Medica</w:t>
      </w:r>
      <w:r w:rsidRPr="00442AFE">
        <w:rPr>
          <w:rFonts w:cs="Arial"/>
          <w:color w:val="222222"/>
          <w:shd w:val="clear" w:color="auto" w:fill="FFFFFF"/>
        </w:rPr>
        <w:t>, </w:t>
      </w:r>
      <w:r w:rsidRPr="00442AFE">
        <w:rPr>
          <w:rFonts w:cs="Arial"/>
          <w:i/>
          <w:iCs/>
          <w:color w:val="222222"/>
          <w:shd w:val="clear" w:color="auto" w:fill="FFFFFF"/>
        </w:rPr>
        <w:t>30</w:t>
      </w:r>
      <w:r w:rsidRPr="00442AFE">
        <w:rPr>
          <w:rFonts w:cs="Arial"/>
          <w:color w:val="222222"/>
          <w:shd w:val="clear" w:color="auto" w:fill="FFFFFF"/>
        </w:rPr>
        <w:t>(1), p.57.</w:t>
      </w:r>
    </w:p>
    <w:p w14:paraId="186241AD"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Vaghefi</w:t>
      </w:r>
      <w:proofErr w:type="spellEnd"/>
      <w:r w:rsidRPr="00442AFE">
        <w:rPr>
          <w:rFonts w:cs="Arial"/>
          <w:color w:val="222222"/>
          <w:shd w:val="clear" w:color="auto" w:fill="FFFFFF"/>
        </w:rPr>
        <w:t>, I. and Tulu, B., 2019. The continued use of mobile health apps: insights from a longitudinal study. </w:t>
      </w:r>
      <w:r w:rsidRPr="00442AFE">
        <w:rPr>
          <w:rFonts w:cs="Arial"/>
          <w:i/>
          <w:iCs/>
          <w:color w:val="222222"/>
          <w:shd w:val="clear" w:color="auto" w:fill="FFFFFF"/>
        </w:rPr>
        <w:t xml:space="preserve">JMIR mHealth and </w:t>
      </w:r>
      <w:proofErr w:type="spellStart"/>
      <w:r w:rsidRPr="00442AFE">
        <w:rPr>
          <w:rFonts w:cs="Arial"/>
          <w:i/>
          <w:iCs/>
          <w:color w:val="222222"/>
          <w:shd w:val="clear" w:color="auto" w:fill="FFFFFF"/>
        </w:rPr>
        <w:t>uHealth</w:t>
      </w:r>
      <w:proofErr w:type="spellEnd"/>
      <w:r w:rsidRPr="00442AFE">
        <w:rPr>
          <w:rFonts w:cs="Arial"/>
          <w:color w:val="222222"/>
          <w:shd w:val="clear" w:color="auto" w:fill="FFFFFF"/>
        </w:rPr>
        <w:t>, </w:t>
      </w:r>
      <w:r w:rsidRPr="00442AFE">
        <w:rPr>
          <w:rFonts w:cs="Arial"/>
          <w:i/>
          <w:iCs/>
          <w:color w:val="222222"/>
          <w:shd w:val="clear" w:color="auto" w:fill="FFFFFF"/>
        </w:rPr>
        <w:t>7</w:t>
      </w:r>
      <w:r w:rsidRPr="00442AFE">
        <w:rPr>
          <w:rFonts w:cs="Arial"/>
          <w:color w:val="222222"/>
          <w:shd w:val="clear" w:color="auto" w:fill="FFFFFF"/>
        </w:rPr>
        <w:t>(8), p.e12983.</w:t>
      </w:r>
    </w:p>
    <w:p w14:paraId="0C7E3B3B" w14:textId="77777777" w:rsidR="00442AFE" w:rsidRPr="00442AFE" w:rsidRDefault="00442AFE" w:rsidP="00442AFE">
      <w:pPr>
        <w:rPr>
          <w:rFonts w:cs="Arial"/>
          <w:color w:val="222222"/>
          <w:shd w:val="clear" w:color="auto" w:fill="FFFFFF"/>
        </w:rPr>
      </w:pPr>
      <w:proofErr w:type="spellStart"/>
      <w:r w:rsidRPr="00442AFE">
        <w:rPr>
          <w:rFonts w:cs="Arial"/>
          <w:color w:val="222222"/>
          <w:shd w:val="clear" w:color="auto" w:fill="FFFFFF"/>
        </w:rPr>
        <w:t>Wildenbos</w:t>
      </w:r>
      <w:proofErr w:type="spellEnd"/>
      <w:r w:rsidRPr="00442AFE">
        <w:rPr>
          <w:rFonts w:cs="Arial"/>
          <w:color w:val="222222"/>
          <w:shd w:val="clear" w:color="auto" w:fill="FFFFFF"/>
        </w:rPr>
        <w:t xml:space="preserve">, G.A., </w:t>
      </w:r>
      <w:proofErr w:type="spellStart"/>
      <w:r w:rsidRPr="00442AFE">
        <w:rPr>
          <w:rFonts w:cs="Arial"/>
          <w:color w:val="222222"/>
          <w:shd w:val="clear" w:color="auto" w:fill="FFFFFF"/>
        </w:rPr>
        <w:t>Peute</w:t>
      </w:r>
      <w:proofErr w:type="spellEnd"/>
      <w:r w:rsidRPr="00442AFE">
        <w:rPr>
          <w:rFonts w:cs="Arial"/>
          <w:color w:val="222222"/>
          <w:shd w:val="clear" w:color="auto" w:fill="FFFFFF"/>
        </w:rPr>
        <w:t xml:space="preserve">, L. and Jaspers, M., 2018. Aging barriers influencing mobile health usability for older adults: a </w:t>
      </w:r>
      <w:proofErr w:type="gramStart"/>
      <w:r w:rsidRPr="00442AFE">
        <w:rPr>
          <w:rFonts w:cs="Arial"/>
          <w:color w:val="222222"/>
          <w:shd w:val="clear" w:color="auto" w:fill="FFFFFF"/>
        </w:rPr>
        <w:t>literature based</w:t>
      </w:r>
      <w:proofErr w:type="gramEnd"/>
      <w:r w:rsidRPr="00442AFE">
        <w:rPr>
          <w:rFonts w:cs="Arial"/>
          <w:color w:val="222222"/>
          <w:shd w:val="clear" w:color="auto" w:fill="FFFFFF"/>
        </w:rPr>
        <w:t xml:space="preserve"> framework (MOLD-US). </w:t>
      </w:r>
      <w:r w:rsidRPr="00442AFE">
        <w:rPr>
          <w:rFonts w:cs="Arial"/>
          <w:i/>
          <w:iCs/>
          <w:color w:val="222222"/>
          <w:shd w:val="clear" w:color="auto" w:fill="FFFFFF"/>
        </w:rPr>
        <w:t>International journal of medical informatics</w:t>
      </w:r>
      <w:r w:rsidRPr="00442AFE">
        <w:rPr>
          <w:rFonts w:cs="Arial"/>
          <w:color w:val="222222"/>
          <w:shd w:val="clear" w:color="auto" w:fill="FFFFFF"/>
        </w:rPr>
        <w:t>, </w:t>
      </w:r>
      <w:r w:rsidRPr="00442AFE">
        <w:rPr>
          <w:rFonts w:cs="Arial"/>
          <w:i/>
          <w:iCs/>
          <w:color w:val="222222"/>
          <w:shd w:val="clear" w:color="auto" w:fill="FFFFFF"/>
        </w:rPr>
        <w:t>114</w:t>
      </w:r>
      <w:r w:rsidRPr="00442AFE">
        <w:rPr>
          <w:rFonts w:cs="Arial"/>
          <w:color w:val="222222"/>
          <w:shd w:val="clear" w:color="auto" w:fill="FFFFFF"/>
        </w:rPr>
        <w:t>, pp.66-75.</w:t>
      </w:r>
    </w:p>
    <w:p w14:paraId="61B2EE72"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Wood, C.S., Thomas, M.R., Budd, J., Mashamba-Thompson, T.P., Herbst, K., Pillay, D., Peeling, R.W., Johnson, A.M., McKendry, R.A. and Stevens, M.M., 2019. Taking connected mobile-health diagnostics of infectious diseases to the field. </w:t>
      </w:r>
      <w:r w:rsidRPr="00442AFE">
        <w:rPr>
          <w:rFonts w:cs="Arial"/>
          <w:i/>
          <w:iCs/>
          <w:color w:val="222222"/>
          <w:shd w:val="clear" w:color="auto" w:fill="FFFFFF"/>
        </w:rPr>
        <w:t>Nature</w:t>
      </w:r>
      <w:r w:rsidRPr="00442AFE">
        <w:rPr>
          <w:rFonts w:cs="Arial"/>
          <w:color w:val="222222"/>
          <w:shd w:val="clear" w:color="auto" w:fill="FFFFFF"/>
        </w:rPr>
        <w:t>, </w:t>
      </w:r>
      <w:r w:rsidRPr="00442AFE">
        <w:rPr>
          <w:rFonts w:cs="Arial"/>
          <w:i/>
          <w:iCs/>
          <w:color w:val="222222"/>
          <w:shd w:val="clear" w:color="auto" w:fill="FFFFFF"/>
        </w:rPr>
        <w:t>566</w:t>
      </w:r>
      <w:r w:rsidRPr="00442AFE">
        <w:rPr>
          <w:rFonts w:cs="Arial"/>
          <w:color w:val="222222"/>
          <w:shd w:val="clear" w:color="auto" w:fill="FFFFFF"/>
        </w:rPr>
        <w:t>(7745), pp.467-474.</w:t>
      </w:r>
    </w:p>
    <w:p w14:paraId="2872651B"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Wu, J., Chang, L. and Yu, G., 2020. Effective data decision-making and transmission system based on mobile health for chronic disease management in the elderly. </w:t>
      </w:r>
      <w:r w:rsidRPr="00442AFE">
        <w:rPr>
          <w:rFonts w:cs="Arial"/>
          <w:i/>
          <w:iCs/>
          <w:color w:val="222222"/>
          <w:shd w:val="clear" w:color="auto" w:fill="FFFFFF"/>
        </w:rPr>
        <w:t>IEEE Systems Journal</w:t>
      </w:r>
      <w:r w:rsidRPr="00442AFE">
        <w:rPr>
          <w:rFonts w:cs="Arial"/>
          <w:color w:val="222222"/>
          <w:shd w:val="clear" w:color="auto" w:fill="FFFFFF"/>
        </w:rPr>
        <w:t>, </w:t>
      </w:r>
      <w:r w:rsidRPr="00442AFE">
        <w:rPr>
          <w:rFonts w:cs="Arial"/>
          <w:i/>
          <w:iCs/>
          <w:color w:val="222222"/>
          <w:shd w:val="clear" w:color="auto" w:fill="FFFFFF"/>
        </w:rPr>
        <w:t>15</w:t>
      </w:r>
      <w:r w:rsidRPr="00442AFE">
        <w:rPr>
          <w:rFonts w:cs="Arial"/>
          <w:color w:val="222222"/>
          <w:shd w:val="clear" w:color="auto" w:fill="FFFFFF"/>
        </w:rPr>
        <w:t>(4), pp.5537-5548.</w:t>
      </w:r>
    </w:p>
    <w:p w14:paraId="479D808B" w14:textId="77777777" w:rsidR="00442AFE" w:rsidRPr="00442AFE" w:rsidRDefault="00442AFE" w:rsidP="00442AFE">
      <w:pPr>
        <w:rPr>
          <w:rFonts w:cs="Arial"/>
          <w:color w:val="222222"/>
          <w:shd w:val="clear" w:color="auto" w:fill="FFFFFF"/>
        </w:rPr>
      </w:pPr>
      <w:r w:rsidRPr="00442AFE">
        <w:rPr>
          <w:rFonts w:cs="Arial"/>
          <w:color w:val="222222"/>
          <w:shd w:val="clear" w:color="auto" w:fill="FFFFFF"/>
        </w:rPr>
        <w:t xml:space="preserve">Yousaf, K., Mehmood, Z., Saba, T., Rehman, A., Munshi, A.M., </w:t>
      </w:r>
      <w:proofErr w:type="spellStart"/>
      <w:r w:rsidRPr="00442AFE">
        <w:rPr>
          <w:rFonts w:cs="Arial"/>
          <w:color w:val="222222"/>
          <w:shd w:val="clear" w:color="auto" w:fill="FFFFFF"/>
        </w:rPr>
        <w:t>Alharbey</w:t>
      </w:r>
      <w:proofErr w:type="spellEnd"/>
      <w:r w:rsidRPr="00442AFE">
        <w:rPr>
          <w:rFonts w:cs="Arial"/>
          <w:color w:val="222222"/>
          <w:shd w:val="clear" w:color="auto" w:fill="FFFFFF"/>
        </w:rPr>
        <w:t>, R. and Rashid, M., 2019. Mobile-health applications for the efficient delivery of health care facility to people with dementia (</w:t>
      </w:r>
      <w:proofErr w:type="spellStart"/>
      <w:r w:rsidRPr="00442AFE">
        <w:rPr>
          <w:rFonts w:cs="Arial"/>
          <w:color w:val="222222"/>
          <w:shd w:val="clear" w:color="auto" w:fill="FFFFFF"/>
        </w:rPr>
        <w:t>PwD</w:t>
      </w:r>
      <w:proofErr w:type="spellEnd"/>
      <w:r w:rsidRPr="00442AFE">
        <w:rPr>
          <w:rFonts w:cs="Arial"/>
          <w:color w:val="222222"/>
          <w:shd w:val="clear" w:color="auto" w:fill="FFFFFF"/>
        </w:rPr>
        <w:t>) and support to their carers: a survey. </w:t>
      </w:r>
      <w:r w:rsidRPr="00442AFE">
        <w:rPr>
          <w:rFonts w:cs="Arial"/>
          <w:i/>
          <w:iCs/>
          <w:color w:val="222222"/>
          <w:shd w:val="clear" w:color="auto" w:fill="FFFFFF"/>
        </w:rPr>
        <w:t>BioMed Research International</w:t>
      </w:r>
      <w:r w:rsidRPr="00442AFE">
        <w:rPr>
          <w:rFonts w:cs="Arial"/>
          <w:color w:val="222222"/>
          <w:shd w:val="clear" w:color="auto" w:fill="FFFFFF"/>
        </w:rPr>
        <w:t>, </w:t>
      </w:r>
      <w:r w:rsidRPr="00442AFE">
        <w:rPr>
          <w:rFonts w:cs="Arial"/>
          <w:i/>
          <w:iCs/>
          <w:color w:val="222222"/>
          <w:shd w:val="clear" w:color="auto" w:fill="FFFFFF"/>
        </w:rPr>
        <w:t>2019</w:t>
      </w:r>
      <w:r w:rsidRPr="00442AFE">
        <w:rPr>
          <w:rFonts w:cs="Arial"/>
          <w:color w:val="222222"/>
          <w:shd w:val="clear" w:color="auto" w:fill="FFFFFF"/>
        </w:rPr>
        <w:t>.</w:t>
      </w:r>
    </w:p>
    <w:p w14:paraId="0FD0F3B8" w14:textId="77777777"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33D7E" w14:textId="77777777" w:rsidR="00A24F9D" w:rsidRDefault="00A24F9D" w:rsidP="001834FC">
      <w:pPr>
        <w:spacing w:after="0" w:line="240" w:lineRule="auto"/>
      </w:pPr>
      <w:r>
        <w:separator/>
      </w:r>
    </w:p>
  </w:endnote>
  <w:endnote w:type="continuationSeparator" w:id="0">
    <w:p w14:paraId="330C5F93" w14:textId="77777777" w:rsidR="00A24F9D" w:rsidRDefault="00A24F9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583AA" w14:textId="77777777" w:rsidR="00A24F9D" w:rsidRDefault="00A24F9D" w:rsidP="001834FC">
      <w:pPr>
        <w:spacing w:after="0" w:line="240" w:lineRule="auto"/>
      </w:pPr>
      <w:r>
        <w:separator/>
      </w:r>
    </w:p>
  </w:footnote>
  <w:footnote w:type="continuationSeparator" w:id="0">
    <w:p w14:paraId="610DA374" w14:textId="77777777" w:rsidR="00A24F9D" w:rsidRDefault="00A24F9D"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E2E50"/>
    <w:multiLevelType w:val="multilevel"/>
    <w:tmpl w:val="EFFAF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802711"/>
    <w:multiLevelType w:val="hybridMultilevel"/>
    <w:tmpl w:val="EE6C4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3A1857"/>
    <w:multiLevelType w:val="multilevel"/>
    <w:tmpl w:val="D968F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3826324">
    <w:abstractNumId w:val="2"/>
  </w:num>
  <w:num w:numId="2" w16cid:durableId="317344155">
    <w:abstractNumId w:val="0"/>
  </w:num>
  <w:num w:numId="3" w16cid:durableId="787772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50002"/>
    <w:rsid w:val="000E047C"/>
    <w:rsid w:val="000F02BF"/>
    <w:rsid w:val="001030A5"/>
    <w:rsid w:val="001834FC"/>
    <w:rsid w:val="001D16F6"/>
    <w:rsid w:val="0022399E"/>
    <w:rsid w:val="00252195"/>
    <w:rsid w:val="0037024A"/>
    <w:rsid w:val="00442AFE"/>
    <w:rsid w:val="005510BE"/>
    <w:rsid w:val="006F3E7B"/>
    <w:rsid w:val="008133ED"/>
    <w:rsid w:val="00913C8F"/>
    <w:rsid w:val="00975554"/>
    <w:rsid w:val="00A24F9D"/>
    <w:rsid w:val="00A60069"/>
    <w:rsid w:val="00A8670C"/>
    <w:rsid w:val="00B4785D"/>
    <w:rsid w:val="00BB6D54"/>
    <w:rsid w:val="00BC229F"/>
    <w:rsid w:val="00BC48D0"/>
    <w:rsid w:val="00CB34E9"/>
    <w:rsid w:val="00D204FB"/>
    <w:rsid w:val="00E55B9C"/>
    <w:rsid w:val="00EB7A2D"/>
    <w:rsid w:val="00EC16C3"/>
    <w:rsid w:val="00FD70D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0A5"/>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8133ED"/>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ListParagraph">
    <w:name w:val="List Paragraph"/>
    <w:basedOn w:val="Normal"/>
    <w:uiPriority w:val="34"/>
    <w:qFormat/>
    <w:rsid w:val="00FD70DB"/>
    <w:pPr>
      <w:ind w:left="720"/>
      <w:contextualSpacing/>
    </w:pPr>
  </w:style>
  <w:style w:type="paragraph" w:styleId="TOC2">
    <w:name w:val="toc 2"/>
    <w:basedOn w:val="Normal"/>
    <w:next w:val="Normal"/>
    <w:autoRedefine/>
    <w:uiPriority w:val="39"/>
    <w:unhideWhenUsed/>
    <w:rsid w:val="00BC48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779">
      <w:bodyDiv w:val="1"/>
      <w:marLeft w:val="0"/>
      <w:marRight w:val="0"/>
      <w:marTop w:val="0"/>
      <w:marBottom w:val="0"/>
      <w:divBdr>
        <w:top w:val="none" w:sz="0" w:space="0" w:color="auto"/>
        <w:left w:val="none" w:sz="0" w:space="0" w:color="auto"/>
        <w:bottom w:val="none" w:sz="0" w:space="0" w:color="auto"/>
        <w:right w:val="none" w:sz="0" w:space="0" w:color="auto"/>
      </w:divBdr>
    </w:div>
    <w:div w:id="578948121">
      <w:bodyDiv w:val="1"/>
      <w:marLeft w:val="0"/>
      <w:marRight w:val="0"/>
      <w:marTop w:val="0"/>
      <w:marBottom w:val="0"/>
      <w:divBdr>
        <w:top w:val="none" w:sz="0" w:space="0" w:color="auto"/>
        <w:left w:val="none" w:sz="0" w:space="0" w:color="auto"/>
        <w:bottom w:val="none" w:sz="0" w:space="0" w:color="auto"/>
        <w:right w:val="none" w:sz="0" w:space="0" w:color="auto"/>
      </w:divBdr>
    </w:div>
    <w:div w:id="928469207">
      <w:bodyDiv w:val="1"/>
      <w:marLeft w:val="0"/>
      <w:marRight w:val="0"/>
      <w:marTop w:val="0"/>
      <w:marBottom w:val="0"/>
      <w:divBdr>
        <w:top w:val="none" w:sz="0" w:space="0" w:color="auto"/>
        <w:left w:val="none" w:sz="0" w:space="0" w:color="auto"/>
        <w:bottom w:val="none" w:sz="0" w:space="0" w:color="auto"/>
        <w:right w:val="none" w:sz="0" w:space="0" w:color="auto"/>
      </w:divBdr>
    </w:div>
    <w:div w:id="971834069">
      <w:bodyDiv w:val="1"/>
      <w:marLeft w:val="0"/>
      <w:marRight w:val="0"/>
      <w:marTop w:val="0"/>
      <w:marBottom w:val="0"/>
      <w:divBdr>
        <w:top w:val="none" w:sz="0" w:space="0" w:color="auto"/>
        <w:left w:val="none" w:sz="0" w:space="0" w:color="auto"/>
        <w:bottom w:val="none" w:sz="0" w:space="0" w:color="auto"/>
        <w:right w:val="none" w:sz="0" w:space="0" w:color="auto"/>
      </w:divBdr>
    </w:div>
    <w:div w:id="997197603">
      <w:bodyDiv w:val="1"/>
      <w:marLeft w:val="0"/>
      <w:marRight w:val="0"/>
      <w:marTop w:val="0"/>
      <w:marBottom w:val="0"/>
      <w:divBdr>
        <w:top w:val="none" w:sz="0" w:space="0" w:color="auto"/>
        <w:left w:val="none" w:sz="0" w:space="0" w:color="auto"/>
        <w:bottom w:val="none" w:sz="0" w:space="0" w:color="auto"/>
        <w:right w:val="none" w:sz="0" w:space="0" w:color="auto"/>
      </w:divBdr>
    </w:div>
    <w:div w:id="1029456024">
      <w:bodyDiv w:val="1"/>
      <w:marLeft w:val="0"/>
      <w:marRight w:val="0"/>
      <w:marTop w:val="0"/>
      <w:marBottom w:val="0"/>
      <w:divBdr>
        <w:top w:val="none" w:sz="0" w:space="0" w:color="auto"/>
        <w:left w:val="none" w:sz="0" w:space="0" w:color="auto"/>
        <w:bottom w:val="none" w:sz="0" w:space="0" w:color="auto"/>
        <w:right w:val="none" w:sz="0" w:space="0" w:color="auto"/>
      </w:divBdr>
    </w:div>
    <w:div w:id="1135368509">
      <w:bodyDiv w:val="1"/>
      <w:marLeft w:val="0"/>
      <w:marRight w:val="0"/>
      <w:marTop w:val="0"/>
      <w:marBottom w:val="0"/>
      <w:divBdr>
        <w:top w:val="none" w:sz="0" w:space="0" w:color="auto"/>
        <w:left w:val="none" w:sz="0" w:space="0" w:color="auto"/>
        <w:bottom w:val="none" w:sz="0" w:space="0" w:color="auto"/>
        <w:right w:val="none" w:sz="0" w:space="0" w:color="auto"/>
      </w:divBdr>
    </w:div>
    <w:div w:id="1173183568">
      <w:bodyDiv w:val="1"/>
      <w:marLeft w:val="0"/>
      <w:marRight w:val="0"/>
      <w:marTop w:val="0"/>
      <w:marBottom w:val="0"/>
      <w:divBdr>
        <w:top w:val="none" w:sz="0" w:space="0" w:color="auto"/>
        <w:left w:val="none" w:sz="0" w:space="0" w:color="auto"/>
        <w:bottom w:val="none" w:sz="0" w:space="0" w:color="auto"/>
        <w:right w:val="none" w:sz="0" w:space="0" w:color="auto"/>
      </w:divBdr>
    </w:div>
    <w:div w:id="1479567899">
      <w:bodyDiv w:val="1"/>
      <w:marLeft w:val="0"/>
      <w:marRight w:val="0"/>
      <w:marTop w:val="0"/>
      <w:marBottom w:val="0"/>
      <w:divBdr>
        <w:top w:val="none" w:sz="0" w:space="0" w:color="auto"/>
        <w:left w:val="none" w:sz="0" w:space="0" w:color="auto"/>
        <w:bottom w:val="none" w:sz="0" w:space="0" w:color="auto"/>
        <w:right w:val="none" w:sz="0" w:space="0" w:color="auto"/>
      </w:divBdr>
    </w:div>
    <w:div w:id="1488859873">
      <w:bodyDiv w:val="1"/>
      <w:marLeft w:val="0"/>
      <w:marRight w:val="0"/>
      <w:marTop w:val="0"/>
      <w:marBottom w:val="0"/>
      <w:divBdr>
        <w:top w:val="none" w:sz="0" w:space="0" w:color="auto"/>
        <w:left w:val="none" w:sz="0" w:space="0" w:color="auto"/>
        <w:bottom w:val="none" w:sz="0" w:space="0" w:color="auto"/>
        <w:right w:val="none" w:sz="0" w:space="0" w:color="auto"/>
      </w:divBdr>
    </w:div>
    <w:div w:id="1656449532">
      <w:bodyDiv w:val="1"/>
      <w:marLeft w:val="0"/>
      <w:marRight w:val="0"/>
      <w:marTop w:val="0"/>
      <w:marBottom w:val="0"/>
      <w:divBdr>
        <w:top w:val="none" w:sz="0" w:space="0" w:color="auto"/>
        <w:left w:val="none" w:sz="0" w:space="0" w:color="auto"/>
        <w:bottom w:val="none" w:sz="0" w:space="0" w:color="auto"/>
        <w:right w:val="none" w:sz="0" w:space="0" w:color="auto"/>
      </w:divBdr>
    </w:div>
    <w:div w:id="2046055692">
      <w:bodyDiv w:val="1"/>
      <w:marLeft w:val="0"/>
      <w:marRight w:val="0"/>
      <w:marTop w:val="0"/>
      <w:marBottom w:val="0"/>
      <w:divBdr>
        <w:top w:val="none" w:sz="0" w:space="0" w:color="auto"/>
        <w:left w:val="none" w:sz="0" w:space="0" w:color="auto"/>
        <w:bottom w:val="none" w:sz="0" w:space="0" w:color="auto"/>
        <w:right w:val="none" w:sz="0" w:space="0" w:color="auto"/>
      </w:divBdr>
    </w:div>
    <w:div w:id="213968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2973</Words>
  <Characters>20010</Characters>
  <DocSecurity>0</DocSecurity>
  <Lines>4002</Lines>
  <Paragraphs>1915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2020-06-20T09:46:00Z</dcterms:created>
  <dcterms:modified xsi:type="dcterms:W3CDTF">2023-03-28T17:45:00Z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1e582ee92e795e5799d8e0eaf389db5773175456c8aa986213bd9408ad8f876b</vt:lpwstr>
  </property>
</Properties>
</file>