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66D" w:rsidRDefault="00116BE8">
      <w:pPr>
        <w:rPr>
          <w:b/>
          <w:sz w:val="28"/>
          <w:u w:val="single"/>
        </w:rPr>
      </w:pPr>
      <w:r>
        <w:rPr>
          <w:b/>
          <w:sz w:val="28"/>
          <w:u w:val="single"/>
        </w:rPr>
        <w:t>Gender in the Medea</w:t>
      </w:r>
    </w:p>
    <w:p w:rsidR="00116BE8" w:rsidRDefault="00116BE8">
      <w:r>
        <w:t>The Medea exists as a comfortable showcase of the expected behaviours of men and women in Corinth as shown in the chorus reaction to the main Characters, Medea, Jason, Creon, and Aegeus as well as to an extent the tutor and nurse. Written by playwright Euripides who enjoyed the use of controversial topics, the Medea explores the results of crossing a barbarian</w:t>
      </w:r>
      <w:r w:rsidR="00A303B0">
        <w:t xml:space="preserve"> woman</w:t>
      </w:r>
      <w:r>
        <w:t xml:space="preserve"> </w:t>
      </w:r>
      <w:r w:rsidR="00A303B0">
        <w:t xml:space="preserve">with divine heritage </w:t>
      </w:r>
      <w:r>
        <w:t>and the results of being un-heroic as in the case of Jason.</w:t>
      </w:r>
    </w:p>
    <w:p w:rsidR="00116BE8" w:rsidRDefault="00116BE8">
      <w:r>
        <w:t xml:space="preserve">Medea’s character in the play is shown to be a shrewd, calculated and driven character, </w:t>
      </w:r>
      <w:r w:rsidR="00841E8A">
        <w:t>this is emphasised in</w:t>
      </w:r>
      <w:r>
        <w:t xml:space="preserve"> her ‘madness’ </w:t>
      </w:r>
      <w:r w:rsidR="00841E8A">
        <w:t xml:space="preserve">that </w:t>
      </w:r>
      <w:r>
        <w:t>comes from the Eros</w:t>
      </w:r>
      <w:r w:rsidR="00841E8A">
        <w:t>, Eros was considered to be a terrible affliction in either male or female as it means that the individual becomes unhinged in situations that include the subject of their affection, this is shown negatively. What this does show is that despite the fact Medea is a woman she is capable of action that would have been believed were beyond a man’s capabilities.</w:t>
      </w:r>
    </w:p>
    <w:p w:rsidR="00116BE8" w:rsidRDefault="00116BE8">
      <w:pPr>
        <w:rPr>
          <w:rFonts w:cstheme="minorHAnsi"/>
          <w:spacing w:val="-2"/>
          <w:shd w:val="clear" w:color="auto" w:fill="FFFFFF"/>
        </w:rPr>
      </w:pPr>
      <w:r>
        <w:t>Jason’s portrayal is in direct comparison to Medea whereas she enters with the preconception tha</w:t>
      </w:r>
      <w:r w:rsidR="00AA226D">
        <w:t xml:space="preserve">t she has Eros for Jason and is a Barbarian, he is </w:t>
      </w:r>
      <w:r w:rsidR="00841E8A">
        <w:t>supposedly</w:t>
      </w:r>
      <w:r w:rsidR="00AA226D">
        <w:t xml:space="preserve"> to be one the heroes of the Argos and procurer of the Golden fleece, however this is in stark contrast to his actual actions within the play, he seemingly abandons the heroic code to</w:t>
      </w:r>
      <w:r w:rsidR="00841E8A">
        <w:t xml:space="preserve"> pursue</w:t>
      </w:r>
      <w:r w:rsidR="00AA226D">
        <w:t xml:space="preserve"> his own interests, choosing to dishono</w:t>
      </w:r>
      <w:r w:rsidR="00841E8A">
        <w:t>ur his first wife in Medea for the</w:t>
      </w:r>
      <w:r w:rsidR="00AA226D">
        <w:t xml:space="preserve"> princess</w:t>
      </w:r>
      <w:r w:rsidR="00841E8A">
        <w:t xml:space="preserve"> of Corinth</w:t>
      </w:r>
      <w:r w:rsidR="00AA226D">
        <w:t xml:space="preserve">, with the tutor even going so far as to state </w:t>
      </w:r>
      <w:r w:rsidR="00AA226D" w:rsidRPr="00AA226D">
        <w:rPr>
          <w:rFonts w:cstheme="minorHAnsi"/>
        </w:rPr>
        <w:t>“</w:t>
      </w:r>
      <w:r w:rsidR="00AA226D" w:rsidRPr="00AA226D">
        <w:rPr>
          <w:rFonts w:cstheme="minorHAnsi"/>
          <w:spacing w:val="-2"/>
          <w:shd w:val="clear" w:color="auto" w:fill="FFFFFF"/>
        </w:rPr>
        <w:t>Old marriage ties give way to new: he is no friend to this house.”</w:t>
      </w:r>
      <w:r w:rsidR="00AA226D">
        <w:rPr>
          <w:rStyle w:val="FootnoteReference"/>
          <w:rFonts w:cstheme="minorHAnsi"/>
          <w:spacing w:val="-2"/>
          <w:shd w:val="clear" w:color="auto" w:fill="FFFFFF"/>
        </w:rPr>
        <w:footnoteReference w:id="1"/>
      </w:r>
      <w:r w:rsidR="00AA226D">
        <w:rPr>
          <w:rFonts w:cstheme="minorHAnsi"/>
          <w:spacing w:val="-2"/>
          <w:shd w:val="clear" w:color="auto" w:fill="FFFFFF"/>
        </w:rPr>
        <w:t xml:space="preserve"> </w:t>
      </w:r>
      <w:r w:rsidR="00841E8A">
        <w:rPr>
          <w:rFonts w:cstheme="minorHAnsi"/>
          <w:spacing w:val="-2"/>
          <w:shd w:val="clear" w:color="auto" w:fill="FFFFFF"/>
        </w:rPr>
        <w:t xml:space="preserve">Jason’s Character is offset by what Euripides considers to be a heroic man, Aegeus, who condemns Jason’s actions and reluctantly agrees to Medea’s plea for help but only for safety </w:t>
      </w:r>
      <w:r w:rsidR="00841E8A" w:rsidRPr="00841E8A">
        <w:rPr>
          <w:rFonts w:cstheme="minorHAnsi"/>
        </w:rPr>
        <w:t>“</w:t>
      </w:r>
      <w:r w:rsidR="00841E8A" w:rsidRPr="00841E8A">
        <w:rPr>
          <w:rFonts w:cstheme="minorHAnsi"/>
          <w:spacing w:val="-2"/>
          <w:shd w:val="clear" w:color="auto" w:fill="FFFFFF"/>
        </w:rPr>
        <w:t>If you come to my country, I shall in justice try to act as your protector. This much, however, I tell you in advance: I will not consent to take you from this land.”</w:t>
      </w:r>
      <w:r w:rsidR="00841E8A" w:rsidRPr="00841E8A">
        <w:rPr>
          <w:rStyle w:val="FootnoteReference"/>
          <w:rFonts w:cstheme="minorHAnsi"/>
          <w:spacing w:val="-2"/>
          <w:shd w:val="clear" w:color="auto" w:fill="FFFFFF"/>
        </w:rPr>
        <w:footnoteReference w:id="2"/>
      </w:r>
    </w:p>
    <w:p w:rsidR="00AA226D" w:rsidRDefault="00AA226D">
      <w:pPr>
        <w:rPr>
          <w:rFonts w:cstheme="minorHAnsi"/>
          <w:color w:val="333333"/>
          <w:spacing w:val="-2"/>
          <w:shd w:val="clear" w:color="auto" w:fill="FFFFFF"/>
        </w:rPr>
      </w:pPr>
      <w:r>
        <w:rPr>
          <w:rFonts w:cstheme="minorHAnsi"/>
          <w:spacing w:val="-2"/>
          <w:shd w:val="clear" w:color="auto" w:fill="FFFFFF"/>
        </w:rPr>
        <w:t>The Chorus acts as a secondary female presence</w:t>
      </w:r>
      <w:r w:rsidR="00841E8A">
        <w:rPr>
          <w:rFonts w:cstheme="minorHAnsi"/>
          <w:spacing w:val="-2"/>
          <w:shd w:val="clear" w:color="auto" w:fill="FFFFFF"/>
        </w:rPr>
        <w:t xml:space="preserve"> from the perspective of the average Athenian citizen</w:t>
      </w:r>
      <w:r>
        <w:rPr>
          <w:rFonts w:cstheme="minorHAnsi"/>
          <w:spacing w:val="-2"/>
          <w:shd w:val="clear" w:color="auto" w:fill="FFFFFF"/>
        </w:rPr>
        <w:t xml:space="preserve"> providing their opinions on Jason while also attempting to guide Medea onto an appropriate path,</w:t>
      </w:r>
      <w:r w:rsidR="00841E8A">
        <w:rPr>
          <w:rFonts w:cstheme="minorHAnsi"/>
          <w:spacing w:val="-2"/>
          <w:shd w:val="clear" w:color="auto" w:fill="FFFFFF"/>
        </w:rPr>
        <w:t xml:space="preserve"> this continues until she begins to go beyond what is deemed appropriate, whilst they agree with her sentiments of Jason they do not condone her actions, this however is neglected by Medea as she is a not a Greek woman, this fully projected</w:t>
      </w:r>
      <w:r w:rsidR="00A35489" w:rsidRPr="00A35489">
        <w:rPr>
          <w:rFonts w:cstheme="minorHAnsi"/>
          <w:spacing w:val="-2"/>
          <w:shd w:val="clear" w:color="auto" w:fill="FFFFFF"/>
        </w:rPr>
        <w:t xml:space="preserve"> with </w:t>
      </w:r>
      <w:r w:rsidR="00841E8A">
        <w:rPr>
          <w:rFonts w:cstheme="minorHAnsi"/>
          <w:spacing w:val="-2"/>
          <w:shd w:val="clear" w:color="auto" w:fill="FFFFFF"/>
        </w:rPr>
        <w:t>the</w:t>
      </w:r>
      <w:r w:rsidR="00A35489" w:rsidRPr="00A35489">
        <w:rPr>
          <w:rFonts w:cstheme="minorHAnsi"/>
          <w:spacing w:val="-2"/>
          <w:shd w:val="clear" w:color="auto" w:fill="FFFFFF"/>
        </w:rPr>
        <w:t xml:space="preserve"> depiction of</w:t>
      </w:r>
      <w:r w:rsidR="00841E8A">
        <w:rPr>
          <w:rFonts w:cstheme="minorHAnsi"/>
          <w:spacing w:val="-2"/>
          <w:shd w:val="clear" w:color="auto" w:fill="FFFFFF"/>
        </w:rPr>
        <w:t xml:space="preserve"> Medea riding a chariot</w:t>
      </w:r>
      <w:r w:rsidR="00A35489" w:rsidRPr="00841E8A">
        <w:rPr>
          <w:rStyle w:val="FootnoteReference"/>
          <w:rFonts w:cstheme="minorHAnsi"/>
          <w:spacing w:val="-2"/>
          <w:shd w:val="clear" w:color="auto" w:fill="FFFFFF"/>
        </w:rPr>
        <w:footnoteReference w:id="3"/>
      </w:r>
      <w:r w:rsidR="00841E8A">
        <w:rPr>
          <w:rFonts w:cstheme="minorHAnsi"/>
          <w:spacing w:val="-2"/>
          <w:shd w:val="clear" w:color="auto" w:fill="FFFFFF"/>
        </w:rPr>
        <w:t xml:space="preserve"> this in combination with her </w:t>
      </w:r>
      <w:r w:rsidR="00A303B0">
        <w:rPr>
          <w:rFonts w:cstheme="minorHAnsi"/>
          <w:spacing w:val="-2"/>
          <w:shd w:val="clear" w:color="auto" w:fill="FFFFFF"/>
        </w:rPr>
        <w:t>demeanour</w:t>
      </w:r>
      <w:r w:rsidR="00841E8A">
        <w:rPr>
          <w:rFonts w:cstheme="minorHAnsi"/>
          <w:spacing w:val="-2"/>
          <w:shd w:val="clear" w:color="auto" w:fill="FFFFFF"/>
        </w:rPr>
        <w:t xml:space="preserve"> and thoughts throughout the play distinguish her fro</w:t>
      </w:r>
      <w:r w:rsidR="00A303B0">
        <w:rPr>
          <w:rFonts w:cstheme="minorHAnsi"/>
          <w:spacing w:val="-2"/>
          <w:shd w:val="clear" w:color="auto" w:fill="FFFFFF"/>
        </w:rPr>
        <w:t>m the Greek woman whilst simultaneously showing that as a barbarian woman she is defending her honour.</w:t>
      </w:r>
    </w:p>
    <w:p w:rsidR="00AA226D" w:rsidRDefault="00AA226D">
      <w:pPr>
        <w:rPr>
          <w:rFonts w:cstheme="minorHAnsi"/>
          <w:color w:val="333333"/>
          <w:spacing w:val="-2"/>
          <w:shd w:val="clear" w:color="auto" w:fill="FFFFFF"/>
        </w:rPr>
      </w:pPr>
    </w:p>
    <w:p w:rsidR="00A303B0" w:rsidRPr="00A303B0" w:rsidRDefault="00A303B0">
      <w:pPr>
        <w:rPr>
          <w:rFonts w:cstheme="minorHAnsi"/>
          <w:spacing w:val="-2"/>
          <w:shd w:val="clear" w:color="auto" w:fill="FFFFFF"/>
        </w:rPr>
      </w:pPr>
      <w:r w:rsidRPr="00A303B0">
        <w:rPr>
          <w:rFonts w:cstheme="minorHAnsi"/>
          <w:spacing w:val="-2"/>
          <w:shd w:val="clear" w:color="auto" w:fill="FFFFFF"/>
        </w:rPr>
        <w:t>Bibliography</w:t>
      </w:r>
    </w:p>
    <w:p w:rsidR="00A303B0" w:rsidRDefault="00A303B0" w:rsidP="00A303B0">
      <w:pPr>
        <w:rPr>
          <w:rFonts w:cstheme="minorHAnsi"/>
          <w:shd w:val="clear" w:color="auto" w:fill="FFFFFF"/>
        </w:rPr>
      </w:pPr>
      <w:r w:rsidRPr="00A303B0">
        <w:rPr>
          <w:rStyle w:val="bibliographicauthorname"/>
          <w:rFonts w:cstheme="minorHAnsi"/>
          <w:shd w:val="clear" w:color="auto" w:fill="FFFFFF"/>
        </w:rPr>
        <w:t>Euripides</w:t>
      </w:r>
      <w:r w:rsidRPr="00A303B0">
        <w:rPr>
          <w:rFonts w:cstheme="minorHAnsi"/>
          <w:shd w:val="clear" w:color="auto" w:fill="FFFFFF"/>
        </w:rPr>
        <w:t>. </w:t>
      </w:r>
      <w:r w:rsidRPr="00A303B0">
        <w:rPr>
          <w:rFonts w:cstheme="minorHAnsi"/>
          <w:i/>
          <w:iCs/>
          <w:shd w:val="clear" w:color="auto" w:fill="FFFFFF"/>
        </w:rPr>
        <w:t xml:space="preserve"> Medea. </w:t>
      </w:r>
      <w:r w:rsidRPr="00A303B0">
        <w:rPr>
          <w:rStyle w:val="editorandtranslators"/>
          <w:rFonts w:cstheme="minorHAnsi"/>
          <w:shd w:val="clear" w:color="auto" w:fill="FFFFFF"/>
        </w:rPr>
        <w:t>Edited and translated by </w:t>
      </w:r>
      <w:r w:rsidRPr="00A303B0">
        <w:rPr>
          <w:rStyle w:val="contributorname"/>
          <w:rFonts w:cstheme="minorHAnsi"/>
          <w:shd w:val="clear" w:color="auto" w:fill="FFFFFF"/>
        </w:rPr>
        <w:t>David Kovacs</w:t>
      </w:r>
      <w:r w:rsidRPr="00A303B0">
        <w:rPr>
          <w:rStyle w:val="editorandtranslators"/>
          <w:rFonts w:cstheme="minorHAnsi"/>
          <w:shd w:val="clear" w:color="auto" w:fill="FFFFFF"/>
        </w:rPr>
        <w:t>. </w:t>
      </w:r>
      <w:r w:rsidRPr="00A303B0">
        <w:rPr>
          <w:rFonts w:cstheme="minorHAnsi"/>
          <w:shd w:val="clear" w:color="auto" w:fill="FFFFFF"/>
        </w:rPr>
        <w:t>Loeb Classical Library 12. Cambridge, MA: Harvard University Press, 1994.</w:t>
      </w:r>
      <w:bookmarkStart w:id="0" w:name="_GoBack"/>
      <w:bookmarkEnd w:id="0"/>
    </w:p>
    <w:p w:rsidR="00EC5256" w:rsidRPr="00EC5256" w:rsidRDefault="00EC5256" w:rsidP="00A303B0">
      <w:pPr>
        <w:rPr>
          <w:rFonts w:cstheme="minorHAnsi"/>
          <w:i/>
        </w:rPr>
      </w:pPr>
      <w:r w:rsidRPr="00EC5256">
        <w:rPr>
          <w:rFonts w:cstheme="minorHAnsi"/>
          <w:shd w:val="clear" w:color="auto" w:fill="FFFFFF"/>
        </w:rPr>
        <w:t>Gabriel, Ayala H. “Living with Medea and Thinking after Freud: Greek Drama, Gender, and Concealments.” </w:t>
      </w:r>
      <w:r w:rsidRPr="00EC5256">
        <w:rPr>
          <w:rFonts w:cstheme="minorHAnsi"/>
          <w:i/>
          <w:iCs/>
          <w:shd w:val="clear" w:color="auto" w:fill="FFFFFF"/>
        </w:rPr>
        <w:t>Cultural Anthropology</w:t>
      </w:r>
      <w:r w:rsidRPr="00EC5256">
        <w:rPr>
          <w:rFonts w:cstheme="minorHAnsi"/>
          <w:shd w:val="clear" w:color="auto" w:fill="FFFFFF"/>
        </w:rPr>
        <w:t>, vol. 7, no. 3, 1992, pp. 346–373. </w:t>
      </w:r>
      <w:r w:rsidRPr="00EC5256">
        <w:rPr>
          <w:rFonts w:cstheme="minorHAnsi"/>
          <w:i/>
          <w:iCs/>
          <w:shd w:val="clear" w:color="auto" w:fill="FFFFFF"/>
        </w:rPr>
        <w:t>JSTOR</w:t>
      </w:r>
      <w:r w:rsidRPr="00EC5256">
        <w:rPr>
          <w:rFonts w:cstheme="minorHAnsi"/>
          <w:shd w:val="clear" w:color="auto" w:fill="FFFFFF"/>
        </w:rPr>
        <w:t>, www.jsto</w:t>
      </w:r>
      <w:r w:rsidRPr="00EC5256">
        <w:rPr>
          <w:rFonts w:cstheme="minorHAnsi"/>
          <w:shd w:val="clear" w:color="auto" w:fill="FFFFFF"/>
        </w:rPr>
        <w:t>r.org/stable/656203. Accessed 16</w:t>
      </w:r>
      <w:r w:rsidRPr="00EC5256">
        <w:rPr>
          <w:rFonts w:cstheme="minorHAnsi"/>
          <w:shd w:val="clear" w:color="auto" w:fill="FFFFFF"/>
        </w:rPr>
        <w:t xml:space="preserve"> Jan. 2020.</w:t>
      </w:r>
    </w:p>
    <w:sectPr w:rsidR="00EC5256" w:rsidRPr="00EC52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038E" w:rsidRDefault="0044038E" w:rsidP="00AA226D">
      <w:pPr>
        <w:spacing w:after="0" w:line="240" w:lineRule="auto"/>
      </w:pPr>
      <w:r>
        <w:separator/>
      </w:r>
    </w:p>
  </w:endnote>
  <w:endnote w:type="continuationSeparator" w:id="0">
    <w:p w:rsidR="0044038E" w:rsidRDefault="0044038E" w:rsidP="00AA2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038E" w:rsidRDefault="0044038E" w:rsidP="00AA226D">
      <w:pPr>
        <w:spacing w:after="0" w:line="240" w:lineRule="auto"/>
      </w:pPr>
      <w:r>
        <w:separator/>
      </w:r>
    </w:p>
  </w:footnote>
  <w:footnote w:type="continuationSeparator" w:id="0">
    <w:p w:rsidR="0044038E" w:rsidRDefault="0044038E" w:rsidP="00AA226D">
      <w:pPr>
        <w:spacing w:after="0" w:line="240" w:lineRule="auto"/>
      </w:pPr>
      <w:r>
        <w:continuationSeparator/>
      </w:r>
    </w:p>
  </w:footnote>
  <w:footnote w:id="1">
    <w:p w:rsidR="00AA226D" w:rsidRDefault="00AA226D">
      <w:pPr>
        <w:pStyle w:val="FootnoteText"/>
      </w:pPr>
      <w:r>
        <w:rPr>
          <w:rStyle w:val="FootnoteReference"/>
        </w:rPr>
        <w:footnoteRef/>
      </w:r>
      <w:r>
        <w:t xml:space="preserve"> </w:t>
      </w:r>
      <w:r>
        <w:rPr>
          <w:rFonts w:cstheme="minorHAnsi"/>
          <w:spacing w:val="-2"/>
          <w:shd w:val="clear" w:color="auto" w:fill="FFFFFF"/>
        </w:rPr>
        <w:t>Eur.</w:t>
      </w:r>
      <w:r w:rsidRPr="00AA226D">
        <w:rPr>
          <w:rFonts w:cstheme="minorHAnsi"/>
          <w:i/>
          <w:spacing w:val="-2"/>
          <w:shd w:val="clear" w:color="auto" w:fill="FFFFFF"/>
        </w:rPr>
        <w:t xml:space="preserve"> The</w:t>
      </w:r>
      <w:r>
        <w:rPr>
          <w:rFonts w:cstheme="minorHAnsi"/>
          <w:spacing w:val="-2"/>
          <w:shd w:val="clear" w:color="auto" w:fill="FFFFFF"/>
        </w:rPr>
        <w:t xml:space="preserve"> </w:t>
      </w:r>
      <w:r w:rsidRPr="00AA226D">
        <w:rPr>
          <w:rFonts w:cstheme="minorHAnsi"/>
          <w:i/>
          <w:spacing w:val="-2"/>
          <w:shd w:val="clear" w:color="auto" w:fill="FFFFFF"/>
        </w:rPr>
        <w:t>Medea</w:t>
      </w:r>
      <w:r>
        <w:rPr>
          <w:rFonts w:cstheme="minorHAnsi"/>
          <w:spacing w:val="-2"/>
          <w:shd w:val="clear" w:color="auto" w:fill="FFFFFF"/>
        </w:rPr>
        <w:t xml:space="preserve"> 74-5</w:t>
      </w:r>
    </w:p>
  </w:footnote>
  <w:footnote w:id="2">
    <w:p w:rsidR="00841E8A" w:rsidRDefault="00841E8A" w:rsidP="00841E8A">
      <w:pPr>
        <w:pStyle w:val="FootnoteText"/>
      </w:pPr>
      <w:r>
        <w:rPr>
          <w:rStyle w:val="FootnoteReference"/>
        </w:rPr>
        <w:footnoteRef/>
      </w:r>
      <w:r>
        <w:t xml:space="preserve"> Eur. </w:t>
      </w:r>
      <w:r>
        <w:rPr>
          <w:i/>
        </w:rPr>
        <w:t xml:space="preserve">The Medea </w:t>
      </w:r>
      <w:r>
        <w:t>723-5</w:t>
      </w:r>
    </w:p>
  </w:footnote>
  <w:footnote w:id="3">
    <w:p w:rsidR="00A35489" w:rsidRPr="00A35489" w:rsidRDefault="00A35489">
      <w:pPr>
        <w:pStyle w:val="FootnoteText"/>
        <w:rPr>
          <w:i/>
        </w:rPr>
      </w:pPr>
      <w:r>
        <w:rPr>
          <w:rStyle w:val="FootnoteReference"/>
        </w:rPr>
        <w:footnoteRef/>
      </w:r>
      <w:r>
        <w:t xml:space="preserve"> Eur. </w:t>
      </w:r>
      <w:r>
        <w:rPr>
          <w:i/>
        </w:rPr>
        <w:t>The Medea 1316a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BE8"/>
    <w:rsid w:val="00116BE8"/>
    <w:rsid w:val="0044038E"/>
    <w:rsid w:val="00841E8A"/>
    <w:rsid w:val="00970CDB"/>
    <w:rsid w:val="00A303B0"/>
    <w:rsid w:val="00A35489"/>
    <w:rsid w:val="00AA226D"/>
    <w:rsid w:val="00BC3342"/>
    <w:rsid w:val="00EC5256"/>
    <w:rsid w:val="00F5766D"/>
    <w:rsid w:val="00FC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73029C-A8C1-461C-8950-55E8C2D8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A22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226D"/>
    <w:rPr>
      <w:sz w:val="20"/>
      <w:szCs w:val="20"/>
    </w:rPr>
  </w:style>
  <w:style w:type="character" w:styleId="FootnoteReference">
    <w:name w:val="footnote reference"/>
    <w:basedOn w:val="DefaultParagraphFont"/>
    <w:uiPriority w:val="99"/>
    <w:semiHidden/>
    <w:unhideWhenUsed/>
    <w:rsid w:val="00AA226D"/>
    <w:rPr>
      <w:vertAlign w:val="superscript"/>
    </w:rPr>
  </w:style>
  <w:style w:type="character" w:customStyle="1" w:styleId="italic">
    <w:name w:val="italic"/>
    <w:basedOn w:val="DefaultParagraphFont"/>
    <w:rsid w:val="00A35489"/>
  </w:style>
  <w:style w:type="character" w:customStyle="1" w:styleId="sc">
    <w:name w:val="sc"/>
    <w:basedOn w:val="DefaultParagraphFont"/>
    <w:rsid w:val="00A35489"/>
  </w:style>
  <w:style w:type="character" w:customStyle="1" w:styleId="bibliographicauthorname">
    <w:name w:val="bibliographicauthorname"/>
    <w:basedOn w:val="DefaultParagraphFont"/>
    <w:rsid w:val="00A303B0"/>
  </w:style>
  <w:style w:type="character" w:customStyle="1" w:styleId="editorandtranslators">
    <w:name w:val="editorandtranslators"/>
    <w:basedOn w:val="DefaultParagraphFont"/>
    <w:rsid w:val="00A303B0"/>
  </w:style>
  <w:style w:type="character" w:customStyle="1" w:styleId="contributorname">
    <w:name w:val="contributorname"/>
    <w:basedOn w:val="DefaultParagraphFont"/>
    <w:rsid w:val="00A30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Fielding</dc:creator>
  <cp:keywords/>
  <dc:description/>
  <cp:lastModifiedBy>Callum Fielding</cp:lastModifiedBy>
  <cp:revision>3</cp:revision>
  <dcterms:created xsi:type="dcterms:W3CDTF">2020-01-16T05:52:00Z</dcterms:created>
  <dcterms:modified xsi:type="dcterms:W3CDTF">2020-01-19T03:22:00Z</dcterms:modified>
</cp:coreProperties>
</file>