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AAF1C" w14:textId="7CF778D3" w:rsidR="008D5E97" w:rsidRPr="007513EB" w:rsidRDefault="00C63A01" w:rsidP="007513EB">
      <w:pPr>
        <w:pStyle w:val="Heading1"/>
        <w:jc w:val="center"/>
        <w:rPr>
          <w:rFonts w:ascii="Arial" w:hAnsi="Arial" w:cs="Arial"/>
          <w:sz w:val="44"/>
          <w:szCs w:val="44"/>
          <w:lang w:val="en-IN"/>
        </w:rPr>
      </w:pPr>
      <w:r w:rsidRPr="007513EB">
        <w:rPr>
          <w:rFonts w:ascii="Arial" w:hAnsi="Arial" w:cs="Arial"/>
          <w:sz w:val="44"/>
          <w:szCs w:val="44"/>
          <w:lang w:val="en-IN"/>
        </w:rPr>
        <w:t>CHRONIC KIDNEY DISEASE</w:t>
      </w:r>
    </w:p>
    <w:p w14:paraId="0806F728" w14:textId="0501FEDD" w:rsidR="008D5E97" w:rsidRDefault="007513EB" w:rsidP="007513EB">
      <w:pPr>
        <w:spacing w:line="240" w:lineRule="auto"/>
        <w:jc w:val="center"/>
        <w:rPr>
          <w:rFonts w:ascii="Arial" w:hAnsi="Arial" w:cs="Arial"/>
          <w:b/>
          <w:bCs/>
          <w:color w:val="4F81BD" w:themeColor="accent1"/>
          <w:sz w:val="32"/>
          <w:szCs w:val="32"/>
          <w:u w:val="single"/>
          <w:lang w:val="en-IN"/>
        </w:rPr>
      </w:pPr>
      <w:r w:rsidRPr="007513EB">
        <w:rPr>
          <w:rFonts w:ascii="Arial" w:hAnsi="Arial" w:cs="Arial"/>
          <w:b/>
          <w:bCs/>
          <w:color w:val="4F81BD" w:themeColor="accent1"/>
          <w:sz w:val="32"/>
          <w:szCs w:val="32"/>
          <w:u w:val="single"/>
          <w:lang w:val="en-IN"/>
        </w:rPr>
        <w:t>A Clinical and Public Health Perspective</w:t>
      </w:r>
    </w:p>
    <w:p w14:paraId="692B7649" w14:textId="77777777" w:rsidR="005B35B1" w:rsidRPr="007513EB" w:rsidRDefault="005B35B1" w:rsidP="007513EB">
      <w:pPr>
        <w:spacing w:line="240" w:lineRule="auto"/>
        <w:jc w:val="center"/>
        <w:rPr>
          <w:rFonts w:ascii="Arial" w:hAnsi="Arial" w:cs="Arial"/>
          <w:b/>
          <w:bCs/>
          <w:color w:val="4F81BD" w:themeColor="accent1"/>
          <w:sz w:val="32"/>
          <w:szCs w:val="32"/>
          <w:u w:val="single"/>
          <w:lang w:val="en-IN"/>
        </w:rPr>
      </w:pPr>
    </w:p>
    <w:p w14:paraId="70C66687" w14:textId="379E4E8B" w:rsidR="008D5E97" w:rsidRDefault="005B35B1" w:rsidP="005B35B1">
      <w:pPr>
        <w:spacing w:line="240" w:lineRule="auto"/>
        <w:jc w:val="center"/>
        <w:rPr>
          <w:rFonts w:ascii="Arial" w:hAnsi="Arial" w:cs="Arial"/>
          <w:b/>
          <w:bCs/>
          <w:sz w:val="40"/>
          <w:szCs w:val="40"/>
          <w:u w:val="single"/>
          <w:lang w:val="en-IN"/>
        </w:rPr>
      </w:pPr>
      <w:r>
        <w:rPr>
          <w:noProof/>
        </w:rPr>
        <w:drawing>
          <wp:inline distT="0" distB="0" distL="0" distR="0" wp14:anchorId="4F37F75F" wp14:editId="3119DF4A">
            <wp:extent cx="2623185" cy="1741805"/>
            <wp:effectExtent l="0" t="0" r="5715" b="0"/>
            <wp:docPr id="1638146513" name="Picture 5" descr="NKF's Kidney Disease Hub: Stages, Tes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KF's Kidney Disease Hub: Stages, Test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185" cy="1741805"/>
                    </a:xfrm>
                    <a:prstGeom prst="rect">
                      <a:avLst/>
                    </a:prstGeom>
                    <a:noFill/>
                    <a:ln>
                      <a:noFill/>
                    </a:ln>
                  </pic:spPr>
                </pic:pic>
              </a:graphicData>
            </a:graphic>
          </wp:inline>
        </w:drawing>
      </w:r>
    </w:p>
    <w:p w14:paraId="5561C3CE" w14:textId="5737C935" w:rsidR="008D5E97" w:rsidRDefault="008D5E97" w:rsidP="00F27C87">
      <w:pPr>
        <w:spacing w:line="240" w:lineRule="auto"/>
        <w:jc w:val="both"/>
        <w:rPr>
          <w:rFonts w:ascii="Arial" w:hAnsi="Arial" w:cs="Arial"/>
          <w:b/>
          <w:bCs/>
          <w:sz w:val="40"/>
          <w:szCs w:val="40"/>
          <w:u w:val="single"/>
          <w:lang w:val="en-IN"/>
        </w:rPr>
      </w:pPr>
    </w:p>
    <w:p w14:paraId="29BFF0AE" w14:textId="5DA3581A" w:rsidR="008D5E97" w:rsidRPr="00EE3597" w:rsidRDefault="00FE4674" w:rsidP="00FC34A7">
      <w:pPr>
        <w:spacing w:line="240" w:lineRule="auto"/>
        <w:jc w:val="center"/>
        <w:rPr>
          <w:rFonts w:ascii="Arial" w:hAnsi="Arial" w:cs="Arial"/>
          <w:color w:val="4F81BD" w:themeColor="accent1"/>
          <w:sz w:val="32"/>
          <w:szCs w:val="32"/>
          <w:lang w:val="en-IN"/>
        </w:rPr>
      </w:pPr>
      <w:r w:rsidRPr="00EE3597">
        <w:rPr>
          <w:rFonts w:ascii="Arial" w:hAnsi="Arial" w:cs="Arial"/>
          <w:color w:val="4F81BD" w:themeColor="accent1"/>
          <w:sz w:val="32"/>
          <w:szCs w:val="32"/>
          <w:lang w:val="en-IN"/>
        </w:rPr>
        <w:t>Name: Ardra Sudhan</w:t>
      </w:r>
    </w:p>
    <w:p w14:paraId="36A484CE" w14:textId="449F67C8" w:rsidR="00FE4674" w:rsidRPr="00EE3597" w:rsidRDefault="00FE4674" w:rsidP="00FC34A7">
      <w:pPr>
        <w:spacing w:line="240" w:lineRule="auto"/>
        <w:jc w:val="center"/>
        <w:rPr>
          <w:rFonts w:ascii="Arial" w:hAnsi="Arial" w:cs="Arial"/>
          <w:color w:val="4F81BD" w:themeColor="accent1"/>
          <w:sz w:val="32"/>
          <w:szCs w:val="32"/>
          <w:lang w:val="en-IN"/>
        </w:rPr>
      </w:pPr>
      <w:r w:rsidRPr="00EE3597">
        <w:rPr>
          <w:rFonts w:ascii="Arial" w:hAnsi="Arial" w:cs="Arial"/>
          <w:color w:val="4F81BD" w:themeColor="accent1"/>
          <w:sz w:val="32"/>
          <w:szCs w:val="32"/>
          <w:lang w:val="en-IN"/>
        </w:rPr>
        <w:t>Student number: 2529434</w:t>
      </w:r>
    </w:p>
    <w:p w14:paraId="43167B86" w14:textId="2FDB91D6" w:rsidR="00FE4674" w:rsidRPr="00EE3597" w:rsidRDefault="00EE3597" w:rsidP="00FC34A7">
      <w:pPr>
        <w:spacing w:line="240" w:lineRule="auto"/>
        <w:jc w:val="center"/>
        <w:rPr>
          <w:rFonts w:ascii="Arial" w:hAnsi="Arial" w:cs="Arial"/>
          <w:color w:val="4F81BD" w:themeColor="accent1"/>
          <w:sz w:val="32"/>
          <w:szCs w:val="32"/>
          <w:lang w:val="en-IN"/>
        </w:rPr>
      </w:pPr>
      <w:r w:rsidRPr="00EE3597">
        <w:rPr>
          <w:rFonts w:ascii="Arial" w:hAnsi="Arial" w:cs="Arial"/>
          <w:color w:val="4F81BD" w:themeColor="accent1"/>
          <w:sz w:val="32"/>
          <w:szCs w:val="32"/>
          <w:lang w:val="en-IN"/>
        </w:rPr>
        <w:t>M.Sc.</w:t>
      </w:r>
      <w:r w:rsidR="00FE4674" w:rsidRPr="00EE3597">
        <w:rPr>
          <w:rFonts w:ascii="Arial" w:hAnsi="Arial" w:cs="Arial"/>
          <w:color w:val="4F81BD" w:themeColor="accent1"/>
          <w:sz w:val="32"/>
          <w:szCs w:val="32"/>
          <w:lang w:val="en-IN"/>
        </w:rPr>
        <w:t xml:space="preserve"> Public health and social care in practice</w:t>
      </w:r>
    </w:p>
    <w:p w14:paraId="48812D35" w14:textId="4899DDA0" w:rsidR="008D5E97" w:rsidRDefault="00E948F9" w:rsidP="00FC34A7">
      <w:pPr>
        <w:spacing w:line="240" w:lineRule="auto"/>
        <w:jc w:val="center"/>
        <w:rPr>
          <w:rFonts w:ascii="Arial" w:hAnsi="Arial" w:cs="Arial"/>
          <w:color w:val="4F81BD" w:themeColor="accent1"/>
          <w:sz w:val="32"/>
          <w:szCs w:val="32"/>
        </w:rPr>
      </w:pPr>
      <w:r w:rsidRPr="000C42EC">
        <w:rPr>
          <w:rFonts w:ascii="Arial" w:hAnsi="Arial" w:cs="Arial"/>
          <w:color w:val="4F81BD" w:themeColor="accent1"/>
          <w:sz w:val="32"/>
          <w:szCs w:val="32"/>
          <w:lang w:val="en-IN"/>
        </w:rPr>
        <w:t>Module code:</w:t>
      </w:r>
      <w:r w:rsidR="000C42EC" w:rsidRPr="000C42EC">
        <w:rPr>
          <w:color w:val="4F81BD" w:themeColor="accent1"/>
          <w:sz w:val="16"/>
          <w:szCs w:val="16"/>
        </w:rPr>
        <w:t xml:space="preserve"> </w:t>
      </w:r>
      <w:r w:rsidR="000C42EC" w:rsidRPr="000C42EC">
        <w:rPr>
          <w:rFonts w:ascii="Arial" w:hAnsi="Arial" w:cs="Arial"/>
          <w:color w:val="4F81BD" w:themeColor="accent1"/>
          <w:sz w:val="32"/>
          <w:szCs w:val="32"/>
        </w:rPr>
        <w:t>LCHS7003</w:t>
      </w:r>
    </w:p>
    <w:p w14:paraId="5BF86183" w14:textId="0987B7F8" w:rsidR="000C42EC" w:rsidRPr="000C42EC" w:rsidRDefault="000C42EC" w:rsidP="00FC34A7">
      <w:pPr>
        <w:spacing w:line="240" w:lineRule="auto"/>
        <w:jc w:val="center"/>
        <w:rPr>
          <w:rFonts w:ascii="Arial" w:hAnsi="Arial" w:cs="Arial"/>
          <w:color w:val="4F81BD" w:themeColor="accent1"/>
          <w:sz w:val="32"/>
          <w:szCs w:val="32"/>
          <w:lang w:val="en-IN"/>
        </w:rPr>
      </w:pPr>
      <w:r>
        <w:rPr>
          <w:rFonts w:ascii="Arial" w:hAnsi="Arial" w:cs="Arial"/>
          <w:color w:val="4F81BD" w:themeColor="accent1"/>
          <w:sz w:val="32"/>
          <w:szCs w:val="32"/>
        </w:rPr>
        <w:t>Lecture</w:t>
      </w:r>
      <w:r w:rsidR="00700F5A">
        <w:rPr>
          <w:rFonts w:ascii="Arial" w:hAnsi="Arial" w:cs="Arial"/>
          <w:color w:val="4F81BD" w:themeColor="accent1"/>
          <w:sz w:val="32"/>
          <w:szCs w:val="32"/>
        </w:rPr>
        <w:t>r</w:t>
      </w:r>
      <w:r>
        <w:rPr>
          <w:rFonts w:ascii="Arial" w:hAnsi="Arial" w:cs="Arial"/>
          <w:color w:val="4F81BD" w:themeColor="accent1"/>
          <w:sz w:val="32"/>
          <w:szCs w:val="32"/>
        </w:rPr>
        <w:t>:</w:t>
      </w:r>
      <w:r w:rsidR="00700F5A">
        <w:rPr>
          <w:rFonts w:ascii="Arial" w:hAnsi="Arial" w:cs="Arial"/>
          <w:color w:val="4F81BD" w:themeColor="accent1"/>
          <w:sz w:val="32"/>
          <w:szCs w:val="32"/>
        </w:rPr>
        <w:t xml:space="preserve"> </w:t>
      </w:r>
      <w:r w:rsidR="00700F5A" w:rsidRPr="00700F5A">
        <w:rPr>
          <w:rFonts w:ascii="Arial" w:hAnsi="Arial" w:cs="Arial"/>
          <w:color w:val="4F81BD" w:themeColor="accent1"/>
          <w:sz w:val="32"/>
          <w:szCs w:val="32"/>
        </w:rPr>
        <w:t>Muhammed Khan</w:t>
      </w:r>
    </w:p>
    <w:p w14:paraId="68C6E2F9" w14:textId="77777777" w:rsidR="008D5E97" w:rsidRDefault="008D5E97" w:rsidP="00F27C87">
      <w:pPr>
        <w:spacing w:line="240" w:lineRule="auto"/>
        <w:jc w:val="both"/>
        <w:rPr>
          <w:rFonts w:ascii="Arial" w:hAnsi="Arial" w:cs="Arial"/>
          <w:b/>
          <w:bCs/>
          <w:sz w:val="40"/>
          <w:szCs w:val="40"/>
          <w:u w:val="single"/>
          <w:lang w:val="en-IN"/>
        </w:rPr>
      </w:pPr>
    </w:p>
    <w:p w14:paraId="26CB1B0F" w14:textId="1B36A88D" w:rsidR="008D5E97" w:rsidRDefault="00FF26CD" w:rsidP="00FF26CD">
      <w:pPr>
        <w:spacing w:line="240" w:lineRule="auto"/>
        <w:jc w:val="center"/>
        <w:rPr>
          <w:rFonts w:ascii="Arial" w:hAnsi="Arial" w:cs="Arial"/>
          <w:b/>
          <w:bCs/>
          <w:sz w:val="40"/>
          <w:szCs w:val="40"/>
          <w:u w:val="single"/>
          <w:lang w:val="en-IN"/>
        </w:rPr>
      </w:pPr>
      <w:r>
        <w:rPr>
          <w:rFonts w:ascii="Arial" w:hAnsi="Arial" w:cs="Arial"/>
          <w:b/>
          <w:bCs/>
          <w:sz w:val="40"/>
          <w:szCs w:val="40"/>
          <w:u w:val="single"/>
          <w:lang w:val="en-IN"/>
        </w:rPr>
        <w:t>TABLE OF CONTENTS</w:t>
      </w:r>
    </w:p>
    <w:p w14:paraId="35EE6764" w14:textId="4B7B87C3" w:rsidR="008D5E97" w:rsidRPr="00DA4BE2" w:rsidRDefault="009C760A" w:rsidP="005E2E70">
      <w:pPr>
        <w:pStyle w:val="ListParagraph"/>
        <w:numPr>
          <w:ilvl w:val="0"/>
          <w:numId w:val="47"/>
        </w:numPr>
        <w:spacing w:line="240" w:lineRule="auto"/>
        <w:rPr>
          <w:rFonts w:ascii="Arial" w:hAnsi="Arial" w:cs="Arial"/>
          <w:sz w:val="26"/>
          <w:szCs w:val="26"/>
          <w:u w:val="single"/>
          <w:lang w:val="en-IN"/>
        </w:rPr>
      </w:pPr>
      <w:r w:rsidRPr="00DA4BE2">
        <w:rPr>
          <w:rFonts w:ascii="Arial" w:hAnsi="Arial" w:cs="Arial"/>
          <w:sz w:val="26"/>
          <w:szCs w:val="26"/>
          <w:lang w:val="en-IN"/>
        </w:rPr>
        <w:t>Introduction</w:t>
      </w:r>
    </w:p>
    <w:p w14:paraId="6847A7EF" w14:textId="20756E72" w:rsidR="009C760A" w:rsidRPr="00DA4BE2" w:rsidRDefault="005830F2" w:rsidP="005E2E70">
      <w:pPr>
        <w:pStyle w:val="ListParagraph"/>
        <w:numPr>
          <w:ilvl w:val="0"/>
          <w:numId w:val="47"/>
        </w:numPr>
        <w:spacing w:line="240" w:lineRule="auto"/>
        <w:rPr>
          <w:rFonts w:ascii="Arial" w:hAnsi="Arial" w:cs="Arial"/>
          <w:sz w:val="26"/>
          <w:szCs w:val="26"/>
          <w:lang w:val="en-IN"/>
        </w:rPr>
      </w:pPr>
      <w:r>
        <w:rPr>
          <w:rFonts w:ascii="Arial" w:hAnsi="Arial" w:cs="Arial"/>
          <w:sz w:val="26"/>
          <w:szCs w:val="26"/>
          <w:lang w:val="en-IN"/>
        </w:rPr>
        <w:t>Definition of chronic kidney disease</w:t>
      </w:r>
    </w:p>
    <w:p w14:paraId="51AD3222" w14:textId="53D0B85F" w:rsidR="000A5855" w:rsidRPr="00DA4BE2" w:rsidRDefault="005830F2" w:rsidP="005E2E70">
      <w:pPr>
        <w:pStyle w:val="ListParagraph"/>
        <w:numPr>
          <w:ilvl w:val="0"/>
          <w:numId w:val="47"/>
        </w:numPr>
        <w:spacing w:line="240" w:lineRule="auto"/>
        <w:rPr>
          <w:rFonts w:ascii="Arial" w:hAnsi="Arial" w:cs="Arial"/>
          <w:sz w:val="26"/>
          <w:szCs w:val="26"/>
          <w:lang w:val="en-IN"/>
        </w:rPr>
      </w:pPr>
      <w:r>
        <w:rPr>
          <w:rFonts w:ascii="Arial" w:hAnsi="Arial" w:cs="Arial"/>
          <w:sz w:val="26"/>
          <w:szCs w:val="26"/>
          <w:lang w:val="en-IN"/>
        </w:rPr>
        <w:t xml:space="preserve">Normal structure and </w:t>
      </w:r>
      <w:r w:rsidR="000A5855" w:rsidRPr="00DA4BE2">
        <w:rPr>
          <w:rFonts w:ascii="Arial" w:hAnsi="Arial" w:cs="Arial"/>
          <w:sz w:val="26"/>
          <w:szCs w:val="26"/>
          <w:lang w:val="en-IN"/>
        </w:rPr>
        <w:t xml:space="preserve">Pathophysiology of </w:t>
      </w:r>
      <w:r w:rsidR="00427D81">
        <w:rPr>
          <w:rFonts w:ascii="Arial" w:hAnsi="Arial" w:cs="Arial"/>
          <w:sz w:val="26"/>
          <w:szCs w:val="26"/>
          <w:lang w:val="en-IN"/>
        </w:rPr>
        <w:t>C</w:t>
      </w:r>
      <w:r w:rsidR="000A5855" w:rsidRPr="00DA4BE2">
        <w:rPr>
          <w:rFonts w:ascii="Arial" w:hAnsi="Arial" w:cs="Arial"/>
          <w:sz w:val="26"/>
          <w:szCs w:val="26"/>
          <w:lang w:val="en-IN"/>
        </w:rPr>
        <w:t xml:space="preserve">hronic </w:t>
      </w:r>
      <w:r w:rsidR="00427D81">
        <w:rPr>
          <w:rFonts w:ascii="Arial" w:hAnsi="Arial" w:cs="Arial"/>
          <w:sz w:val="26"/>
          <w:szCs w:val="26"/>
          <w:lang w:val="en-IN"/>
        </w:rPr>
        <w:t>K</w:t>
      </w:r>
      <w:r w:rsidR="000A5855" w:rsidRPr="00DA4BE2">
        <w:rPr>
          <w:rFonts w:ascii="Arial" w:hAnsi="Arial" w:cs="Arial"/>
          <w:sz w:val="26"/>
          <w:szCs w:val="26"/>
          <w:lang w:val="en-IN"/>
        </w:rPr>
        <w:t xml:space="preserve">idney </w:t>
      </w:r>
      <w:r w:rsidR="00427D81">
        <w:rPr>
          <w:rFonts w:ascii="Arial" w:hAnsi="Arial" w:cs="Arial"/>
          <w:sz w:val="26"/>
          <w:szCs w:val="26"/>
          <w:lang w:val="en-IN"/>
        </w:rPr>
        <w:t>D</w:t>
      </w:r>
      <w:r w:rsidR="000A5855" w:rsidRPr="00DA4BE2">
        <w:rPr>
          <w:rFonts w:ascii="Arial" w:hAnsi="Arial" w:cs="Arial"/>
          <w:sz w:val="26"/>
          <w:szCs w:val="26"/>
          <w:lang w:val="en-IN"/>
        </w:rPr>
        <w:t>isease</w:t>
      </w:r>
    </w:p>
    <w:p w14:paraId="4ABC2657" w14:textId="77777777" w:rsidR="000A5855" w:rsidRPr="00DA4BE2" w:rsidRDefault="000A5855" w:rsidP="005E2E70">
      <w:pPr>
        <w:pStyle w:val="ListParagraph"/>
        <w:numPr>
          <w:ilvl w:val="0"/>
          <w:numId w:val="47"/>
        </w:numPr>
        <w:spacing w:line="240" w:lineRule="auto"/>
        <w:rPr>
          <w:rFonts w:ascii="Arial" w:hAnsi="Arial" w:cs="Arial"/>
          <w:sz w:val="26"/>
          <w:szCs w:val="26"/>
        </w:rPr>
      </w:pPr>
      <w:r w:rsidRPr="00DA4BE2">
        <w:rPr>
          <w:rFonts w:ascii="Arial" w:hAnsi="Arial" w:cs="Arial"/>
          <w:sz w:val="26"/>
          <w:szCs w:val="26"/>
        </w:rPr>
        <w:t>Epidemiology and Burden of Disease</w:t>
      </w:r>
    </w:p>
    <w:p w14:paraId="149563E7" w14:textId="77777777" w:rsidR="00A90736" w:rsidRPr="00DA4BE2" w:rsidRDefault="006F53C8" w:rsidP="005E2E70">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rPr>
        <w:t>Aetiology and Risk Factors of Chronic Kidney Disease</w:t>
      </w:r>
    </w:p>
    <w:p w14:paraId="1BBFCC76" w14:textId="5307BA32" w:rsidR="00A90736" w:rsidRPr="00DA4BE2" w:rsidRDefault="009F658E"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Major Aetiological Causes</w:t>
      </w:r>
    </w:p>
    <w:p w14:paraId="3DCBB3C3" w14:textId="4805BDDF" w:rsidR="000A5855" w:rsidRPr="00DA4BE2" w:rsidRDefault="00A90736"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rPr>
        <w:t>Risk Factors</w:t>
      </w:r>
    </w:p>
    <w:p w14:paraId="27D7817E" w14:textId="69862A6D" w:rsidR="00D67C0B" w:rsidRPr="00DA4BE2" w:rsidRDefault="00047738" w:rsidP="005E2E70">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rPr>
        <w:t>Impact of Chronic Kidney Disease</w:t>
      </w:r>
    </w:p>
    <w:p w14:paraId="7FC08A04" w14:textId="77777777" w:rsidR="00256D62" w:rsidRPr="00DA4BE2" w:rsidRDefault="00D83FDF"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rPr>
        <w:t>Physical impact</w:t>
      </w:r>
    </w:p>
    <w:p w14:paraId="1B83ADFC" w14:textId="77777777" w:rsidR="00256D62" w:rsidRPr="00DA4BE2" w:rsidRDefault="00D83FDF"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Psychological Impact</w:t>
      </w:r>
    </w:p>
    <w:p w14:paraId="0FF94D77" w14:textId="79646500" w:rsidR="00D83FDF" w:rsidRPr="00DA4BE2" w:rsidRDefault="00611CF8"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Social and family impact</w:t>
      </w:r>
    </w:p>
    <w:p w14:paraId="715168A5" w14:textId="2CFD1A4C" w:rsidR="00047738" w:rsidRPr="00DA4BE2" w:rsidRDefault="00611CF8" w:rsidP="005E2E70">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lang w:val="en-IN"/>
        </w:rPr>
        <w:t>Evidence-Based Management in the UK</w:t>
      </w:r>
    </w:p>
    <w:p w14:paraId="2A28E526" w14:textId="25371C7D" w:rsidR="009215D2" w:rsidRPr="00DA4BE2" w:rsidRDefault="009215D2"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Early Stage Management (CKD 1–3)</w:t>
      </w:r>
    </w:p>
    <w:p w14:paraId="1CBABA88" w14:textId="42915C82" w:rsidR="009215D2" w:rsidRPr="00DA4BE2" w:rsidRDefault="009215D2"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Advanced CKD Management (CKD 4–5)</w:t>
      </w:r>
    </w:p>
    <w:p w14:paraId="07BE629A" w14:textId="77777777" w:rsidR="00800D08" w:rsidRPr="00DA4BE2" w:rsidRDefault="00F179D3" w:rsidP="005E2E70">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lang w:val="en-IN"/>
        </w:rPr>
        <w:t>Theoretical Perspectives and Models for Improved Long-Term Condition Outcomes</w:t>
      </w:r>
    </w:p>
    <w:p w14:paraId="427D0F53" w14:textId="6897CA20" w:rsidR="0087105B" w:rsidRPr="00DA4BE2" w:rsidRDefault="0087105B"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UK Model: House of Care Framework</w:t>
      </w:r>
    </w:p>
    <w:p w14:paraId="470FC172" w14:textId="03D51E33" w:rsidR="0087105B" w:rsidRPr="00DA4BE2" w:rsidRDefault="00800D08" w:rsidP="005E2E70">
      <w:pPr>
        <w:pStyle w:val="ListParagraph"/>
        <w:numPr>
          <w:ilvl w:val="0"/>
          <w:numId w:val="48"/>
        </w:numPr>
        <w:spacing w:line="240" w:lineRule="auto"/>
        <w:rPr>
          <w:rFonts w:ascii="Arial" w:hAnsi="Arial" w:cs="Arial"/>
          <w:sz w:val="26"/>
          <w:szCs w:val="26"/>
          <w:lang w:val="en-IN"/>
        </w:rPr>
      </w:pPr>
      <w:r w:rsidRPr="00DA4BE2">
        <w:rPr>
          <w:rFonts w:ascii="Arial" w:hAnsi="Arial" w:cs="Arial"/>
          <w:sz w:val="26"/>
          <w:szCs w:val="26"/>
          <w:lang w:val="en-IN"/>
        </w:rPr>
        <w:t>International Model: Chronic Care Model (CCM)</w:t>
      </w:r>
    </w:p>
    <w:p w14:paraId="4E3E037E" w14:textId="77777777" w:rsidR="005E2E70" w:rsidRDefault="0074135A" w:rsidP="005E2E70">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lang w:val="en-IN"/>
        </w:rPr>
        <w:t>National and Local Political Health and Social Care Agendas</w:t>
      </w:r>
    </w:p>
    <w:p w14:paraId="7BD2242B" w14:textId="730DFA70" w:rsidR="0074135A" w:rsidRPr="00416DA6" w:rsidRDefault="0074135A" w:rsidP="00416DA6">
      <w:pPr>
        <w:pStyle w:val="ListParagraph"/>
        <w:numPr>
          <w:ilvl w:val="0"/>
          <w:numId w:val="47"/>
        </w:numPr>
        <w:spacing w:line="240" w:lineRule="auto"/>
        <w:rPr>
          <w:rFonts w:ascii="Arial" w:hAnsi="Arial" w:cs="Arial"/>
          <w:sz w:val="26"/>
          <w:szCs w:val="26"/>
          <w:lang w:val="en-IN"/>
        </w:rPr>
      </w:pPr>
      <w:r w:rsidRPr="00416DA6">
        <w:rPr>
          <w:rFonts w:ascii="Arial" w:hAnsi="Arial" w:cs="Arial"/>
          <w:sz w:val="26"/>
          <w:szCs w:val="26"/>
          <w:lang w:val="en-IN"/>
        </w:rPr>
        <w:t>Recommendations for Improving Person-Centred Care</w:t>
      </w:r>
    </w:p>
    <w:p w14:paraId="3531B902" w14:textId="6A20BE44" w:rsidR="0074135A" w:rsidRPr="00DA4BE2" w:rsidRDefault="0074135A" w:rsidP="005E2E70">
      <w:pPr>
        <w:pStyle w:val="ListParagraph"/>
        <w:numPr>
          <w:ilvl w:val="0"/>
          <w:numId w:val="47"/>
        </w:numPr>
        <w:spacing w:line="240" w:lineRule="auto"/>
        <w:jc w:val="both"/>
        <w:rPr>
          <w:rFonts w:ascii="Arial" w:hAnsi="Arial" w:cs="Arial"/>
          <w:sz w:val="26"/>
          <w:szCs w:val="26"/>
          <w:lang w:val="en-IN"/>
        </w:rPr>
      </w:pPr>
      <w:r w:rsidRPr="00DA4BE2">
        <w:rPr>
          <w:rFonts w:ascii="Arial" w:hAnsi="Arial" w:cs="Arial"/>
          <w:sz w:val="26"/>
          <w:szCs w:val="26"/>
          <w:lang w:val="en-IN"/>
        </w:rPr>
        <w:t>Conclusion</w:t>
      </w:r>
    </w:p>
    <w:p w14:paraId="4681BF13" w14:textId="3E8E2AE0" w:rsidR="008D5E97" w:rsidRPr="00C8448C" w:rsidRDefault="0074135A" w:rsidP="00C8448C">
      <w:pPr>
        <w:pStyle w:val="ListParagraph"/>
        <w:numPr>
          <w:ilvl w:val="0"/>
          <w:numId w:val="47"/>
        </w:numPr>
        <w:spacing w:line="240" w:lineRule="auto"/>
        <w:rPr>
          <w:rFonts w:ascii="Arial" w:hAnsi="Arial" w:cs="Arial"/>
          <w:sz w:val="26"/>
          <w:szCs w:val="26"/>
          <w:lang w:val="en-IN"/>
        </w:rPr>
      </w:pPr>
      <w:r w:rsidRPr="00DA4BE2">
        <w:rPr>
          <w:rFonts w:ascii="Arial" w:hAnsi="Arial" w:cs="Arial"/>
          <w:sz w:val="26"/>
          <w:szCs w:val="26"/>
          <w:lang w:val="en-IN"/>
        </w:rPr>
        <w:t>Reference list</w:t>
      </w:r>
    </w:p>
    <w:p w14:paraId="2752CF28" w14:textId="6B8F9999" w:rsidR="00F27C87" w:rsidRPr="00F27C87" w:rsidRDefault="00F27C87" w:rsidP="00F27C87">
      <w:pPr>
        <w:spacing w:line="240" w:lineRule="auto"/>
        <w:jc w:val="both"/>
        <w:rPr>
          <w:rFonts w:ascii="Arial" w:hAnsi="Arial" w:cs="Arial"/>
          <w:b/>
          <w:bCs/>
          <w:sz w:val="40"/>
          <w:szCs w:val="40"/>
          <w:u w:val="single"/>
          <w:lang w:val="en-IN"/>
        </w:rPr>
      </w:pPr>
      <w:r w:rsidRPr="00F27C87">
        <w:rPr>
          <w:rFonts w:ascii="Arial" w:hAnsi="Arial" w:cs="Arial"/>
          <w:b/>
          <w:bCs/>
          <w:sz w:val="40"/>
          <w:szCs w:val="40"/>
          <w:u w:val="single"/>
          <w:lang w:val="en-IN"/>
        </w:rPr>
        <w:lastRenderedPageBreak/>
        <w:t>INTRODUCTION</w:t>
      </w:r>
    </w:p>
    <w:p w14:paraId="333EF681" w14:textId="77777777" w:rsidR="00A77F90" w:rsidRPr="00A77F90" w:rsidRDefault="00A77F90" w:rsidP="00A77F90">
      <w:pPr>
        <w:spacing w:line="360" w:lineRule="auto"/>
        <w:jc w:val="both"/>
        <w:rPr>
          <w:rFonts w:ascii="Arial" w:hAnsi="Arial" w:cs="Arial"/>
          <w:sz w:val="28"/>
          <w:szCs w:val="28"/>
          <w:lang w:val="en-IN"/>
        </w:rPr>
      </w:pPr>
      <w:r w:rsidRPr="00A77F90">
        <w:rPr>
          <w:rFonts w:ascii="Arial" w:hAnsi="Arial" w:cs="Arial"/>
          <w:sz w:val="28"/>
          <w:szCs w:val="28"/>
          <w:lang w:val="en-IN"/>
        </w:rPr>
        <w:t>Chronic kidney disease (CKD) is a long-term condition characterised by abnormalities in kidney structure or function that persist for more than three months and are associated with adverse health outcomes. The disease is classified according to the KDIGO CGA system, which considers the underlying cause, glomerular filtration rate (G1–G5), and albuminuria categories (A1–A3) (KDIGO, 2013).</w:t>
      </w:r>
    </w:p>
    <w:p w14:paraId="1183728E" w14:textId="77777777" w:rsidR="00A77F90" w:rsidRPr="00A77F90" w:rsidRDefault="00A77F90" w:rsidP="00A77F90">
      <w:pPr>
        <w:spacing w:line="360" w:lineRule="auto"/>
        <w:jc w:val="both"/>
        <w:rPr>
          <w:rFonts w:ascii="Arial" w:hAnsi="Arial" w:cs="Arial"/>
          <w:sz w:val="28"/>
          <w:szCs w:val="28"/>
          <w:lang w:val="en-IN"/>
        </w:rPr>
      </w:pPr>
      <w:r w:rsidRPr="00A77F90">
        <w:rPr>
          <w:rFonts w:ascii="Arial" w:hAnsi="Arial" w:cs="Arial"/>
          <w:sz w:val="28"/>
          <w:szCs w:val="28"/>
          <w:lang w:val="en-IN"/>
        </w:rPr>
        <w:t>CKD often develops gradually and may remain asymptomatic in its early stages. However, progressive loss of kidney function can lead to multiple systemic complications affecting cardiovascular, metabolic, and endocrine processes.</w:t>
      </w:r>
    </w:p>
    <w:p w14:paraId="7ACE7432" w14:textId="77777777" w:rsidR="00A77F90" w:rsidRPr="00A77F90" w:rsidRDefault="00A77F90" w:rsidP="00A77F90">
      <w:pPr>
        <w:spacing w:line="360" w:lineRule="auto"/>
        <w:jc w:val="both"/>
        <w:rPr>
          <w:rFonts w:ascii="Arial" w:hAnsi="Arial" w:cs="Arial"/>
          <w:sz w:val="28"/>
          <w:szCs w:val="28"/>
          <w:lang w:val="en-IN"/>
        </w:rPr>
      </w:pPr>
      <w:r w:rsidRPr="00A77F90">
        <w:rPr>
          <w:rFonts w:ascii="Arial" w:hAnsi="Arial" w:cs="Arial"/>
          <w:sz w:val="28"/>
          <w:szCs w:val="28"/>
          <w:lang w:val="en-IN"/>
        </w:rPr>
        <w:t xml:space="preserve">Globally, CKD affects approximately 10% of the adult population. In the United Kingdom, it is estimated that over seven million individuals live with some degree of </w:t>
      </w:r>
      <w:r w:rsidRPr="00A77F90">
        <w:rPr>
          <w:rFonts w:ascii="Arial" w:hAnsi="Arial" w:cs="Arial"/>
          <w:sz w:val="28"/>
          <w:szCs w:val="28"/>
          <w:lang w:val="en-IN"/>
        </w:rPr>
        <w:t>kidney disease, including around 3.25 million people with stages 3–5 CKD (Kidney Research UK, 2023). This represents a growing public health challenge and contributes to increasing healthcare costs within the NHS, particularly in relation to renal replacement therapy and cardiovascular disease management.</w:t>
      </w:r>
    </w:p>
    <w:p w14:paraId="5D4C8E5C" w14:textId="77777777" w:rsidR="00A77F90" w:rsidRPr="00A77F90" w:rsidRDefault="00A77F90" w:rsidP="00A77F90">
      <w:pPr>
        <w:spacing w:line="360" w:lineRule="auto"/>
        <w:jc w:val="both"/>
        <w:rPr>
          <w:rFonts w:ascii="Arial" w:hAnsi="Arial" w:cs="Arial"/>
          <w:sz w:val="28"/>
          <w:szCs w:val="28"/>
          <w:lang w:val="en-IN"/>
        </w:rPr>
      </w:pPr>
      <w:r w:rsidRPr="00A77F90">
        <w:rPr>
          <w:rFonts w:ascii="Arial" w:hAnsi="Arial" w:cs="Arial"/>
          <w:sz w:val="28"/>
          <w:szCs w:val="28"/>
          <w:lang w:val="en-IN"/>
        </w:rPr>
        <w:t>The most common causes of CKD include diabetes mellitus and hypertension, although factors such as ageing, obesity, genetic susceptibility, and social determinants of health also influence disease risk (Kazancioğlu, 2013).</w:t>
      </w:r>
    </w:p>
    <w:p w14:paraId="5CFE4459" w14:textId="77777777" w:rsidR="00A77F90" w:rsidRPr="00A77F90" w:rsidRDefault="00A77F90" w:rsidP="00A77F90">
      <w:pPr>
        <w:spacing w:line="360" w:lineRule="auto"/>
        <w:jc w:val="both"/>
        <w:rPr>
          <w:rFonts w:ascii="Arial" w:hAnsi="Arial" w:cs="Arial"/>
          <w:sz w:val="28"/>
          <w:szCs w:val="28"/>
          <w:lang w:val="en-IN"/>
        </w:rPr>
      </w:pPr>
      <w:r w:rsidRPr="00A77F90">
        <w:rPr>
          <w:rFonts w:ascii="Arial" w:hAnsi="Arial" w:cs="Arial"/>
          <w:sz w:val="28"/>
          <w:szCs w:val="28"/>
          <w:lang w:val="en-IN"/>
        </w:rPr>
        <w:t>This booklet aims to present an overview of CKD from both a clinical and public health perspective, exploring its pathophysiology, epidemiology, impact on patients, and evidence-based management strategies within the UK healthcare context.</w:t>
      </w:r>
    </w:p>
    <w:p w14:paraId="4B2045BF" w14:textId="1F0AB434" w:rsidR="00F870D1" w:rsidRPr="00BC1CBE" w:rsidRDefault="00F870D1" w:rsidP="00BC1CBE">
      <w:pPr>
        <w:spacing w:line="240" w:lineRule="auto"/>
        <w:jc w:val="both"/>
        <w:rPr>
          <w:rFonts w:ascii="Arial" w:hAnsi="Arial" w:cs="Arial"/>
          <w:b/>
          <w:bCs/>
          <w:sz w:val="40"/>
          <w:szCs w:val="40"/>
          <w:u w:val="single"/>
          <w:lang w:val="en-IN"/>
        </w:rPr>
      </w:pPr>
    </w:p>
    <w:p w14:paraId="30ABC481" w14:textId="408A4085" w:rsidR="005830F2" w:rsidRPr="005830F2" w:rsidRDefault="005830F2" w:rsidP="005830F2">
      <w:pPr>
        <w:pStyle w:val="ListParagraph"/>
        <w:numPr>
          <w:ilvl w:val="0"/>
          <w:numId w:val="8"/>
        </w:numPr>
        <w:spacing w:beforeAutospacing="1" w:after="100" w:afterAutospacing="1" w:line="360" w:lineRule="auto"/>
        <w:jc w:val="both"/>
        <w:rPr>
          <w:rFonts w:ascii="Arial" w:eastAsia="Times New Roman" w:hAnsi="Arial" w:cs="Arial"/>
          <w:b/>
          <w:bCs/>
          <w:sz w:val="36"/>
          <w:szCs w:val="36"/>
          <w:u w:val="single"/>
          <w:lang w:val="en-IN" w:eastAsia="en-IN"/>
        </w:rPr>
      </w:pPr>
      <w:r w:rsidRPr="005830F2">
        <w:rPr>
          <w:rFonts w:ascii="Arial" w:eastAsia="Times New Roman" w:hAnsi="Arial" w:cs="Arial"/>
          <w:b/>
          <w:bCs/>
          <w:sz w:val="36"/>
          <w:szCs w:val="36"/>
          <w:u w:val="single"/>
          <w:lang w:val="en-IN" w:eastAsia="en-IN"/>
        </w:rPr>
        <w:lastRenderedPageBreak/>
        <w:t>Definition of Chronic kidney disease</w:t>
      </w:r>
    </w:p>
    <w:p w14:paraId="25E625BF" w14:textId="77777777" w:rsidR="00BD283D" w:rsidRPr="00BD283D" w:rsidRDefault="00BD283D" w:rsidP="00BD283D">
      <w:pPr>
        <w:spacing w:line="360" w:lineRule="auto"/>
        <w:jc w:val="both"/>
        <w:rPr>
          <w:rFonts w:ascii="Arial" w:hAnsi="Arial" w:cs="Arial"/>
          <w:b/>
          <w:bCs/>
          <w:sz w:val="32"/>
          <w:szCs w:val="32"/>
          <w:u w:val="single"/>
          <w:lang w:val="en-IN"/>
        </w:rPr>
      </w:pPr>
      <w:r w:rsidRPr="00BD283D">
        <w:rPr>
          <w:rFonts w:ascii="Arial" w:eastAsia="Times New Roman" w:hAnsi="Arial" w:cs="Arial"/>
          <w:sz w:val="28"/>
          <w:szCs w:val="28"/>
          <w:lang w:eastAsia="en-IN"/>
        </w:rPr>
        <w:t>Chronic kidney disease (CKD) refers to abnormalities in kidney structure or function that persist for longer than three months and have implications for health outcomes. Diagnosis is made when markers of kidney damage such as albuminuria, electrolyte abnormalities, structural changes on imaging, or a history of kidney transplantation are present, or when the glomerular filtration rate (GFR) remains below 60 mL/min/1.73 m² for more than three months (KDIGO, 2013).</w:t>
      </w:r>
    </w:p>
    <w:p w14:paraId="1CE35DD0" w14:textId="75ADC186" w:rsidR="005830F2" w:rsidRPr="005830F2" w:rsidRDefault="005830F2" w:rsidP="005830F2">
      <w:pPr>
        <w:pStyle w:val="ListParagraph"/>
        <w:numPr>
          <w:ilvl w:val="0"/>
          <w:numId w:val="8"/>
        </w:numPr>
        <w:spacing w:line="360" w:lineRule="auto"/>
        <w:jc w:val="both"/>
        <w:rPr>
          <w:rFonts w:ascii="Arial" w:hAnsi="Arial" w:cs="Arial"/>
          <w:b/>
          <w:bCs/>
          <w:sz w:val="32"/>
          <w:szCs w:val="32"/>
          <w:u w:val="single"/>
          <w:lang w:val="en-IN"/>
        </w:rPr>
      </w:pPr>
      <w:r>
        <w:rPr>
          <w:rFonts w:ascii="Arial" w:hAnsi="Arial" w:cs="Arial"/>
          <w:b/>
          <w:bCs/>
          <w:sz w:val="32"/>
          <w:szCs w:val="32"/>
          <w:u w:val="single"/>
          <w:lang w:val="en-IN"/>
        </w:rPr>
        <w:t>Normal structure of kidney</w:t>
      </w:r>
      <w:r w:rsidR="006763FA">
        <w:rPr>
          <w:rFonts w:ascii="Arial" w:hAnsi="Arial" w:cs="Arial"/>
          <w:b/>
          <w:bCs/>
          <w:sz w:val="32"/>
          <w:szCs w:val="32"/>
          <w:u w:val="single"/>
          <w:lang w:val="en-IN"/>
        </w:rPr>
        <w:t xml:space="preserve"> and </w:t>
      </w:r>
      <w:r>
        <w:rPr>
          <w:rFonts w:ascii="Arial" w:hAnsi="Arial" w:cs="Arial"/>
          <w:b/>
          <w:bCs/>
          <w:sz w:val="32"/>
          <w:szCs w:val="32"/>
          <w:u w:val="single"/>
          <w:lang w:val="en-IN"/>
        </w:rPr>
        <w:t>Pathophysio</w:t>
      </w:r>
      <w:r w:rsidR="006763FA">
        <w:rPr>
          <w:rFonts w:ascii="Arial" w:hAnsi="Arial" w:cs="Arial"/>
          <w:b/>
          <w:bCs/>
          <w:sz w:val="32"/>
          <w:szCs w:val="32"/>
          <w:u w:val="single"/>
          <w:lang w:val="en-IN"/>
        </w:rPr>
        <w:t xml:space="preserve">logy of </w:t>
      </w:r>
      <w:r>
        <w:rPr>
          <w:rFonts w:ascii="Arial" w:hAnsi="Arial" w:cs="Arial"/>
          <w:b/>
          <w:bCs/>
          <w:sz w:val="32"/>
          <w:szCs w:val="32"/>
          <w:u w:val="single"/>
          <w:lang w:val="en-IN"/>
        </w:rPr>
        <w:t>CKD</w:t>
      </w:r>
    </w:p>
    <w:p w14:paraId="6E58CA5B" w14:textId="249CCFDE" w:rsidR="005830F2" w:rsidRPr="005830F2" w:rsidRDefault="005830F2" w:rsidP="005830F2">
      <w:pPr>
        <w:spacing w:beforeAutospacing="1" w:after="100" w:afterAutospacing="1" w:line="360" w:lineRule="auto"/>
        <w:jc w:val="both"/>
        <w:rPr>
          <w:rFonts w:ascii="Arial" w:hAnsi="Arial" w:cs="Arial"/>
          <w:sz w:val="28"/>
          <w:szCs w:val="28"/>
          <w:lang w:val="en-IN"/>
        </w:rPr>
      </w:pPr>
      <w:r w:rsidRPr="005830F2">
        <w:rPr>
          <w:rFonts w:ascii="Arial" w:hAnsi="Arial" w:cs="Arial"/>
          <w:sz w:val="28"/>
          <w:szCs w:val="28"/>
          <w:lang w:val="en-IN"/>
        </w:rPr>
        <w:t>The kidneys are paired retroperitoneal organs responsible for maintaining homeostasis through</w:t>
      </w:r>
      <w:r>
        <w:rPr>
          <w:rFonts w:ascii="Arial" w:hAnsi="Arial" w:cs="Arial"/>
          <w:sz w:val="28"/>
          <w:szCs w:val="28"/>
          <w:lang w:val="en-IN"/>
        </w:rPr>
        <w:t xml:space="preserve"> </w:t>
      </w:r>
      <w:r w:rsidRPr="005830F2">
        <w:rPr>
          <w:rFonts w:ascii="Arial" w:hAnsi="Arial" w:cs="Arial"/>
          <w:sz w:val="28"/>
          <w:szCs w:val="28"/>
          <w:lang w:val="en-IN"/>
        </w:rPr>
        <w:t xml:space="preserve">filtration, fluid balance, electrolyte regulation, and </w:t>
      </w:r>
      <w:r w:rsidRPr="005830F2">
        <w:rPr>
          <w:rFonts w:ascii="Arial" w:hAnsi="Arial" w:cs="Arial"/>
          <w:sz w:val="28"/>
          <w:szCs w:val="28"/>
          <w:lang w:val="en-IN"/>
        </w:rPr>
        <w:t>endocrine functions. Each kidney contains around one</w:t>
      </w:r>
      <w:r>
        <w:rPr>
          <w:rFonts w:ascii="Arial" w:hAnsi="Arial" w:cs="Arial"/>
          <w:sz w:val="28"/>
          <w:szCs w:val="28"/>
          <w:lang w:val="en-IN"/>
        </w:rPr>
        <w:t xml:space="preserve"> </w:t>
      </w:r>
      <w:r w:rsidRPr="005830F2">
        <w:rPr>
          <w:rFonts w:ascii="Arial" w:hAnsi="Arial" w:cs="Arial"/>
          <w:sz w:val="28"/>
          <w:szCs w:val="28"/>
          <w:lang w:val="en-IN"/>
        </w:rPr>
        <w:t xml:space="preserve">million nephrons, the functional units that form urine (Hall and Hall, 2021). </w:t>
      </w:r>
    </w:p>
    <w:p w14:paraId="35B0CE30" w14:textId="3E1FC2FF" w:rsidR="00924728" w:rsidRDefault="00924728" w:rsidP="008C2486">
      <w:pPr>
        <w:spacing w:line="360" w:lineRule="auto"/>
        <w:jc w:val="both"/>
        <w:rPr>
          <w:rFonts w:ascii="Arial" w:hAnsi="Arial" w:cs="Arial"/>
          <w:b/>
          <w:bCs/>
          <w:sz w:val="40"/>
          <w:szCs w:val="40"/>
          <w:u w:val="single"/>
          <w:lang w:val="en-IN"/>
        </w:rPr>
      </w:pPr>
      <w:r>
        <w:rPr>
          <w:noProof/>
        </w:rPr>
        <w:drawing>
          <wp:inline distT="0" distB="0" distL="0" distR="0" wp14:anchorId="3C0A3A58" wp14:editId="4E06D084">
            <wp:extent cx="4206875" cy="3891280"/>
            <wp:effectExtent l="0" t="0" r="3175" b="0"/>
            <wp:docPr id="387183174" name="Picture 2" descr="Kidney and nephron - Labeled - Media Asset - NID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dney and nephron - Labeled - Media Asset - NIDD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06875" cy="3891280"/>
                    </a:xfrm>
                    <a:prstGeom prst="rect">
                      <a:avLst/>
                    </a:prstGeom>
                    <a:noFill/>
                    <a:ln>
                      <a:noFill/>
                    </a:ln>
                  </pic:spPr>
                </pic:pic>
              </a:graphicData>
            </a:graphic>
          </wp:inline>
        </w:drawing>
      </w:r>
    </w:p>
    <w:p w14:paraId="2819DA5C" w14:textId="44E26680" w:rsidR="003A5715" w:rsidRPr="005830F2" w:rsidRDefault="008B1D2A" w:rsidP="002F0ABA">
      <w:pPr>
        <w:spacing w:line="360" w:lineRule="auto"/>
        <w:jc w:val="both"/>
        <w:rPr>
          <w:rFonts w:ascii="Arial" w:hAnsi="Arial" w:cs="Arial"/>
          <w:sz w:val="24"/>
          <w:szCs w:val="24"/>
          <w:lang w:val="en-IN"/>
        </w:rPr>
      </w:pPr>
      <w:r>
        <w:rPr>
          <w:rFonts w:ascii="Arial" w:hAnsi="Arial" w:cs="Arial"/>
          <w:sz w:val="24"/>
          <w:szCs w:val="24"/>
          <w:lang w:val="en-IN"/>
        </w:rPr>
        <w:t>Figure</w:t>
      </w:r>
      <w:r w:rsidR="00CC065D" w:rsidRPr="003A5715">
        <w:rPr>
          <w:rFonts w:ascii="Arial" w:hAnsi="Arial" w:cs="Arial"/>
          <w:sz w:val="24"/>
          <w:szCs w:val="24"/>
          <w:lang w:val="en-IN"/>
        </w:rPr>
        <w:t>:</w:t>
      </w:r>
      <w:r w:rsidR="00A97012">
        <w:rPr>
          <w:rFonts w:ascii="Arial" w:hAnsi="Arial" w:cs="Arial"/>
          <w:sz w:val="24"/>
          <w:szCs w:val="24"/>
          <w:lang w:val="en-IN"/>
        </w:rPr>
        <w:t>1</w:t>
      </w:r>
      <w:r w:rsidR="003A5715">
        <w:rPr>
          <w:rFonts w:ascii="Arial" w:hAnsi="Arial" w:cs="Arial"/>
          <w:sz w:val="24"/>
          <w:szCs w:val="24"/>
          <w:lang w:val="en-IN"/>
        </w:rPr>
        <w:t xml:space="preserve"> </w:t>
      </w:r>
      <w:r w:rsidR="003A5715" w:rsidRPr="003A5715">
        <w:rPr>
          <w:rFonts w:ascii="Arial" w:hAnsi="Arial" w:cs="Arial"/>
          <w:sz w:val="24"/>
          <w:szCs w:val="24"/>
          <w:lang w:val="en-IN"/>
        </w:rPr>
        <w:t xml:space="preserve">(Kidney and nephron </w:t>
      </w:r>
      <w:r w:rsidR="001D08C1">
        <w:rPr>
          <w:rFonts w:ascii="Arial" w:hAnsi="Arial" w:cs="Arial"/>
          <w:sz w:val="24"/>
          <w:szCs w:val="24"/>
          <w:lang w:val="en-IN"/>
        </w:rPr>
        <w:t>–</w:t>
      </w:r>
      <w:r w:rsidR="003A5715" w:rsidRPr="003A5715">
        <w:rPr>
          <w:rFonts w:ascii="Arial" w:hAnsi="Arial" w:cs="Arial"/>
          <w:sz w:val="24"/>
          <w:szCs w:val="24"/>
          <w:lang w:val="en-IN"/>
        </w:rPr>
        <w:t xml:space="preserve"> Labelled</w:t>
      </w:r>
      <w:r w:rsidR="001D08C1">
        <w:rPr>
          <w:rFonts w:ascii="Arial" w:hAnsi="Arial" w:cs="Arial"/>
          <w:sz w:val="24"/>
          <w:szCs w:val="24"/>
          <w:lang w:val="en-IN"/>
        </w:rPr>
        <w:t>, 2022</w:t>
      </w:r>
      <w:r w:rsidR="003A5715" w:rsidRPr="003A5715">
        <w:rPr>
          <w:rFonts w:ascii="Arial" w:hAnsi="Arial" w:cs="Arial"/>
          <w:sz w:val="24"/>
          <w:szCs w:val="24"/>
          <w:lang w:val="en-IN"/>
        </w:rPr>
        <w:t>)</w:t>
      </w:r>
    </w:p>
    <w:p w14:paraId="440E484C" w14:textId="4A3043D7" w:rsidR="005830F2" w:rsidRPr="005830F2" w:rsidRDefault="005830F2" w:rsidP="005830F2">
      <w:pPr>
        <w:spacing w:beforeAutospacing="1" w:after="100" w:afterAutospacing="1" w:line="360" w:lineRule="auto"/>
        <w:jc w:val="both"/>
        <w:rPr>
          <w:rFonts w:ascii="Arial" w:hAnsi="Arial" w:cs="Arial"/>
          <w:sz w:val="28"/>
          <w:szCs w:val="28"/>
          <w:lang w:val="en-IN"/>
        </w:rPr>
      </w:pPr>
      <w:r w:rsidRPr="005830F2">
        <w:rPr>
          <w:rFonts w:ascii="Arial" w:hAnsi="Arial" w:cs="Arial"/>
          <w:sz w:val="28"/>
          <w:szCs w:val="28"/>
          <w:lang w:val="en-IN"/>
        </w:rPr>
        <w:lastRenderedPageBreak/>
        <w:t>A nephron includes the glomerulus and Bowman’s capsule, followed by the proximal tubule, loop of Henle, distal tubule, and collecting duct. Glomerular filtration allows water and small solutes to pass into the filtrate while retaining proteins and blood cells, and the glomerular filtration rate (GFR) is a key indicator of kidney function used in CKD classification (KDIGO, 2013). The kidneys also produce erythropoietin for red blood cell production, regulate blood pressure through the renin–angiotensin–aldosterone system (RAAS), and activate vitamin D for calcium and bone metabolism (Hall and Hall, 2021).</w:t>
      </w:r>
    </w:p>
    <w:p w14:paraId="3A3624D8" w14:textId="0F41BDDB" w:rsidR="005830F2" w:rsidRPr="005830F2" w:rsidRDefault="005830F2" w:rsidP="00E51A60">
      <w:pPr>
        <w:spacing w:beforeAutospacing="1" w:after="100" w:afterAutospacing="1" w:line="360" w:lineRule="auto"/>
        <w:jc w:val="both"/>
        <w:rPr>
          <w:rFonts w:ascii="Arial" w:hAnsi="Arial" w:cs="Arial"/>
          <w:sz w:val="28"/>
          <w:szCs w:val="28"/>
          <w:lang w:val="en-IN"/>
        </w:rPr>
      </w:pPr>
      <w:r w:rsidRPr="005830F2">
        <w:rPr>
          <w:rFonts w:ascii="Arial" w:hAnsi="Arial" w:cs="Arial"/>
          <w:sz w:val="28"/>
          <w:szCs w:val="28"/>
          <w:lang w:val="en-IN"/>
        </w:rPr>
        <w:t xml:space="preserve">Chronic kidney disease (CKD) occurs due to progressive and irreversible nephron loss caused by sustained structural and haemodynamic injury, commonly related to diabetes, hypertension, or glomerulonephritis (KDIGO, 2012). Loss of nephrons leads to compensatory hyperfiltration in the remaining </w:t>
      </w:r>
      <w:r w:rsidRPr="005830F2">
        <w:rPr>
          <w:rFonts w:ascii="Arial" w:hAnsi="Arial" w:cs="Arial"/>
          <w:sz w:val="28"/>
          <w:szCs w:val="28"/>
          <w:lang w:val="en-IN"/>
        </w:rPr>
        <w:t>nephrons, increasing intraglomerular pressure and causing proteinuria and glomerulosclerosis. Proteinuria promotes tubular inflammation and fibrosis, accelerating disease progression (Kazancioğlu, 2013). Persistent activation of the RAAS further contributes to hypertension and renal fibrosis (Hall and Hall, 2021). As kidney function declines, uraemia and endocrine disturbances lead to complications such as anaemia, mineral and bone disorder, fluid overload, and increased cardiovascular risk.</w:t>
      </w:r>
    </w:p>
    <w:p w14:paraId="43C25837" w14:textId="1DED5BCC" w:rsidR="00757038" w:rsidRPr="00900537" w:rsidRDefault="00757038" w:rsidP="00900537">
      <w:pPr>
        <w:pStyle w:val="ListParagraph"/>
        <w:numPr>
          <w:ilvl w:val="0"/>
          <w:numId w:val="8"/>
        </w:numPr>
        <w:rPr>
          <w:rFonts w:ascii="Arial" w:hAnsi="Arial" w:cs="Arial"/>
          <w:b/>
          <w:bCs/>
          <w:sz w:val="36"/>
          <w:szCs w:val="36"/>
          <w:u w:val="single"/>
        </w:rPr>
      </w:pPr>
      <w:r w:rsidRPr="00900537">
        <w:rPr>
          <w:rFonts w:ascii="Arial" w:hAnsi="Arial" w:cs="Arial"/>
          <w:b/>
          <w:bCs/>
          <w:sz w:val="36"/>
          <w:szCs w:val="36"/>
          <w:u w:val="single"/>
        </w:rPr>
        <w:t>Epidemiology and Burden of Disease</w:t>
      </w:r>
    </w:p>
    <w:p w14:paraId="11BF0EA0" w14:textId="77777777" w:rsidR="00757038" w:rsidRPr="00900537" w:rsidRDefault="00757038" w:rsidP="00900537">
      <w:pPr>
        <w:pStyle w:val="NormalWeb"/>
        <w:spacing w:line="360" w:lineRule="auto"/>
        <w:jc w:val="both"/>
        <w:rPr>
          <w:rFonts w:ascii="Arial" w:hAnsi="Arial" w:cs="Arial"/>
          <w:sz w:val="28"/>
          <w:szCs w:val="28"/>
        </w:rPr>
      </w:pPr>
      <w:r w:rsidRPr="00900537">
        <w:rPr>
          <w:rFonts w:ascii="Arial" w:hAnsi="Arial" w:cs="Arial"/>
          <w:sz w:val="28"/>
          <w:szCs w:val="28"/>
        </w:rPr>
        <w:t xml:space="preserve">Chronic kidney disease (CKD) is a major global health concern driven by increasing rates of diabetes, hypertension, and population ageing. Globally, CKD affects approximately 9–13% of adults (around 800 million people) and was ranked the 12th leading cause </w:t>
      </w:r>
      <w:r w:rsidRPr="00900537">
        <w:rPr>
          <w:rFonts w:ascii="Arial" w:hAnsi="Arial" w:cs="Arial"/>
          <w:sz w:val="28"/>
          <w:szCs w:val="28"/>
        </w:rPr>
        <w:lastRenderedPageBreak/>
        <w:t>of death in 2017, with prevalence expected to rise further (Hill et al., 2016; Roth et al., 2018).</w:t>
      </w:r>
    </w:p>
    <w:p w14:paraId="69A0BF07" w14:textId="77777777" w:rsidR="00757038" w:rsidRPr="00900537" w:rsidRDefault="00757038" w:rsidP="00900537">
      <w:pPr>
        <w:pStyle w:val="NormalWeb"/>
        <w:spacing w:line="360" w:lineRule="auto"/>
        <w:jc w:val="both"/>
        <w:rPr>
          <w:rFonts w:ascii="Arial" w:hAnsi="Arial" w:cs="Arial"/>
          <w:sz w:val="28"/>
          <w:szCs w:val="28"/>
        </w:rPr>
      </w:pPr>
      <w:r w:rsidRPr="00900537">
        <w:rPr>
          <w:rFonts w:ascii="Arial" w:hAnsi="Arial" w:cs="Arial"/>
          <w:sz w:val="28"/>
          <w:szCs w:val="28"/>
        </w:rPr>
        <w:t>Marked regional disparities exist. Low- and middle-income countries often report later-stage presentation due to limited access to early detection and specialist services (Stanifer et al., 2014). Higher disease burden is also observed among Indigenous, ethnic minority, and socioeconomically deprived populations, reflecting wider social determinants of health (Luyckx, Tonelli and Stanifer, 2018; Wong et al., 2021).</w:t>
      </w:r>
    </w:p>
    <w:p w14:paraId="38A71AD8" w14:textId="77777777" w:rsidR="00427D81" w:rsidRDefault="00757038" w:rsidP="00427D81">
      <w:pPr>
        <w:pStyle w:val="NormalWeb"/>
        <w:spacing w:line="360" w:lineRule="auto"/>
        <w:jc w:val="both"/>
        <w:rPr>
          <w:rFonts w:ascii="Arial" w:hAnsi="Arial" w:cs="Arial"/>
          <w:sz w:val="28"/>
          <w:szCs w:val="28"/>
        </w:rPr>
      </w:pPr>
      <w:r w:rsidRPr="00900537">
        <w:rPr>
          <w:rFonts w:ascii="Arial" w:hAnsi="Arial" w:cs="Arial"/>
          <w:sz w:val="28"/>
          <w:szCs w:val="28"/>
        </w:rPr>
        <w:t xml:space="preserve">In the United Kingdom, around 10% of adults have CKD, most commonly stages 1–3 (NHS England, 2019; Kidney Research UK, 2023). Although fewer than 1% require renal replacement therapy (RRT), dialysis and transplantation account for approximately 2–3% of NHS expenditure (NHS England, 2019). Beyond direct healthcare costs, CKD is strongly associated with cardiovascular disease, </w:t>
      </w:r>
      <w:r w:rsidRPr="00900537">
        <w:rPr>
          <w:rFonts w:ascii="Arial" w:hAnsi="Arial" w:cs="Arial"/>
          <w:sz w:val="28"/>
          <w:szCs w:val="28"/>
        </w:rPr>
        <w:t>hospitalisation, and premature mortality, creating significant societal and economic impact (Honeycutt et al., 2013).</w:t>
      </w:r>
    </w:p>
    <w:p w14:paraId="6CCBD1F1" w14:textId="77777777" w:rsidR="00427D81" w:rsidRDefault="00427D81" w:rsidP="00427D81">
      <w:pPr>
        <w:pStyle w:val="NormalWeb"/>
        <w:spacing w:line="360" w:lineRule="auto"/>
        <w:jc w:val="both"/>
        <w:rPr>
          <w:rFonts w:ascii="Arial" w:hAnsi="Arial" w:cs="Arial"/>
          <w:sz w:val="28"/>
          <w:szCs w:val="28"/>
        </w:rPr>
      </w:pPr>
      <w:r w:rsidRPr="00427D81">
        <w:rPr>
          <w:rFonts w:ascii="Arial" w:hAnsi="Arial" w:cs="Arial"/>
          <w:sz w:val="28"/>
          <w:szCs w:val="28"/>
        </w:rPr>
        <w:t>These epidemiological trends highlight the importance of early identification and long-term management strategies to reduce disease progression and associated healthcare burdens.</w:t>
      </w:r>
    </w:p>
    <w:p w14:paraId="6E6F3E30" w14:textId="4E71ABC9" w:rsidR="00F03DAA" w:rsidRPr="00427D81" w:rsidRDefault="00427D81" w:rsidP="00427D81">
      <w:pPr>
        <w:pStyle w:val="NormalWeb"/>
        <w:spacing w:line="360" w:lineRule="auto"/>
        <w:jc w:val="both"/>
        <w:rPr>
          <w:rFonts w:ascii="Arial" w:hAnsi="Arial" w:cs="Arial"/>
          <w:sz w:val="28"/>
          <w:szCs w:val="28"/>
        </w:rPr>
      </w:pPr>
      <w:r w:rsidRPr="00427D81">
        <w:rPr>
          <w:rFonts w:ascii="Arial" w:hAnsi="Arial" w:cs="Arial"/>
          <w:b/>
          <w:bCs/>
          <w:sz w:val="28"/>
          <w:szCs w:val="28"/>
        </w:rPr>
        <w:t>4.</w:t>
      </w:r>
      <w:r w:rsidR="00F03DAA" w:rsidRPr="00427D81">
        <w:rPr>
          <w:rFonts w:ascii="Arial" w:hAnsi="Arial" w:cs="Arial"/>
          <w:b/>
          <w:bCs/>
          <w:sz w:val="32"/>
          <w:szCs w:val="32"/>
          <w:u w:val="single"/>
        </w:rPr>
        <w:t>Aetiology and Risk Factors of Chronic Kidney Disease</w:t>
      </w:r>
    </w:p>
    <w:p w14:paraId="55834228" w14:textId="2A2DFAE8" w:rsidR="00900537" w:rsidRPr="00900537" w:rsidRDefault="00900537" w:rsidP="00900537">
      <w:pPr>
        <w:spacing w:line="360" w:lineRule="auto"/>
        <w:jc w:val="both"/>
        <w:rPr>
          <w:rFonts w:ascii="Arial" w:hAnsi="Arial" w:cs="Arial"/>
          <w:sz w:val="28"/>
          <w:szCs w:val="28"/>
        </w:rPr>
      </w:pPr>
      <w:r w:rsidRPr="00662179">
        <w:rPr>
          <w:rFonts w:ascii="Arial" w:hAnsi="Arial" w:cs="Arial"/>
          <w:sz w:val="28"/>
          <w:szCs w:val="28"/>
        </w:rPr>
        <w:t>Chronic kidney disease (CKD) develops from a combination of underlying pathological conditions and modifiable and non-modifiable risk factors that contribute to the progressive loss of renal function.</w:t>
      </w:r>
      <w:r>
        <w:rPr>
          <w:rFonts w:ascii="Arial" w:hAnsi="Arial" w:cs="Arial"/>
          <w:sz w:val="28"/>
          <w:szCs w:val="28"/>
        </w:rPr>
        <w:t xml:space="preserve"> </w:t>
      </w:r>
      <w:r w:rsidRPr="00662179">
        <w:rPr>
          <w:rFonts w:ascii="Arial" w:hAnsi="Arial" w:cs="Arial"/>
          <w:sz w:val="28"/>
          <w:szCs w:val="28"/>
        </w:rPr>
        <w:t xml:space="preserve">Diabetes mellitus and hypertension are the most common global causes, responsible for the majority of CKD cases, particularly in high-income countries </w:t>
      </w:r>
      <w:r w:rsidRPr="00E464EC">
        <w:rPr>
          <w:rFonts w:ascii="Arial" w:hAnsi="Arial" w:cs="Arial"/>
          <w:sz w:val="28"/>
          <w:szCs w:val="28"/>
          <w:lang w:val="en-IN"/>
        </w:rPr>
        <w:lastRenderedPageBreak/>
        <w:t>(Centers for Disease Control and Prevention, 2024</w:t>
      </w:r>
      <w:r>
        <w:rPr>
          <w:rFonts w:ascii="Arial" w:hAnsi="Arial" w:cs="Arial"/>
          <w:sz w:val="28"/>
          <w:szCs w:val="28"/>
          <w:lang w:val="en-IN"/>
        </w:rPr>
        <w:t xml:space="preserve">; </w:t>
      </w:r>
      <w:r w:rsidRPr="00E05F00">
        <w:rPr>
          <w:rFonts w:ascii="Arial" w:hAnsi="Arial" w:cs="Arial"/>
          <w:sz w:val="28"/>
          <w:szCs w:val="28"/>
          <w:lang w:val="en-IN"/>
        </w:rPr>
        <w:t>NKF, 2025)</w:t>
      </w:r>
      <w:r w:rsidRPr="00662179">
        <w:rPr>
          <w:rFonts w:ascii="Arial" w:hAnsi="Arial" w:cs="Arial"/>
          <w:sz w:val="28"/>
          <w:szCs w:val="28"/>
        </w:rPr>
        <w:t>.</w:t>
      </w:r>
    </w:p>
    <w:p w14:paraId="4CD99F7B" w14:textId="2985B482" w:rsidR="00F9608B" w:rsidRDefault="00F9608B" w:rsidP="00F9608B">
      <w:pPr>
        <w:pStyle w:val="ListParagraph"/>
        <w:spacing w:line="360" w:lineRule="auto"/>
        <w:ind w:left="360"/>
        <w:jc w:val="both"/>
        <w:rPr>
          <w:rFonts w:ascii="Arial" w:hAnsi="Arial" w:cs="Arial"/>
          <w:b/>
          <w:bCs/>
          <w:sz w:val="32"/>
          <w:szCs w:val="32"/>
          <w:u w:val="single"/>
          <w:lang w:val="en-IN"/>
        </w:rPr>
      </w:pPr>
      <w:r>
        <w:rPr>
          <w:noProof/>
        </w:rPr>
        <w:drawing>
          <wp:inline distT="0" distB="0" distL="0" distR="0" wp14:anchorId="096AA969" wp14:editId="73009F6E">
            <wp:extent cx="3039533" cy="3039533"/>
            <wp:effectExtent l="0" t="0" r="8890" b="8890"/>
            <wp:docPr id="574487985" name="Picture 3" descr="Four risk factors of chronic kidney disease: diabetes, high blood pressure, heart disease, and family history of kidney fail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ur risk factors of chronic kidney disease: diabetes, high blood pressure, heart disease, and family history of kidney failur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2098" cy="3042098"/>
                    </a:xfrm>
                    <a:prstGeom prst="rect">
                      <a:avLst/>
                    </a:prstGeom>
                    <a:noFill/>
                    <a:ln>
                      <a:noFill/>
                    </a:ln>
                  </pic:spPr>
                </pic:pic>
              </a:graphicData>
            </a:graphic>
          </wp:inline>
        </w:drawing>
      </w:r>
    </w:p>
    <w:p w14:paraId="4D8D00EE" w14:textId="5E536D36" w:rsidR="00F9608B" w:rsidRDefault="008B1D2A" w:rsidP="00F9608B">
      <w:pPr>
        <w:spacing w:line="240" w:lineRule="auto"/>
        <w:rPr>
          <w:rFonts w:ascii="Arial" w:hAnsi="Arial" w:cs="Arial"/>
          <w:lang w:val="en-IN"/>
        </w:rPr>
      </w:pPr>
      <w:r>
        <w:rPr>
          <w:rFonts w:ascii="Arial" w:hAnsi="Arial" w:cs="Arial"/>
          <w:lang w:val="en-IN"/>
        </w:rPr>
        <w:t>Figure</w:t>
      </w:r>
      <w:r w:rsidR="00F9608B" w:rsidRPr="00351D1A">
        <w:rPr>
          <w:rFonts w:ascii="Arial" w:hAnsi="Arial" w:cs="Arial"/>
          <w:lang w:val="en-IN"/>
        </w:rPr>
        <w:t xml:space="preserve"> :</w:t>
      </w:r>
      <w:r w:rsidR="00F9608B">
        <w:rPr>
          <w:rFonts w:ascii="Arial" w:hAnsi="Arial" w:cs="Arial"/>
          <w:lang w:val="en-IN"/>
        </w:rPr>
        <w:t>2</w:t>
      </w:r>
      <w:r w:rsidR="00F9608B" w:rsidRPr="00351D1A">
        <w:rPr>
          <w:rFonts w:ascii="Times New Roman" w:eastAsia="Times New Roman" w:hAnsi="Times New Roman" w:cs="Times New Roman"/>
          <w:sz w:val="18"/>
          <w:szCs w:val="18"/>
          <w:lang w:val="en-IN" w:eastAsia="en-IN"/>
        </w:rPr>
        <w:t xml:space="preserve"> </w:t>
      </w:r>
      <w:r w:rsidR="00F9608B" w:rsidRPr="00351D1A">
        <w:rPr>
          <w:rFonts w:ascii="Arial" w:hAnsi="Arial" w:cs="Arial"/>
          <w:lang w:val="en-IN"/>
        </w:rPr>
        <w:t>(NIDDK, 2025)</w:t>
      </w:r>
    </w:p>
    <w:p w14:paraId="39D89557" w14:textId="77777777" w:rsidR="00EE1B96" w:rsidRPr="00F9608B" w:rsidRDefault="00EE1B96" w:rsidP="00F9608B">
      <w:pPr>
        <w:spacing w:line="240" w:lineRule="auto"/>
        <w:rPr>
          <w:rFonts w:ascii="Arial" w:hAnsi="Arial" w:cs="Arial"/>
          <w:lang w:val="en-IN"/>
        </w:rPr>
      </w:pPr>
    </w:p>
    <w:p w14:paraId="07DFF398" w14:textId="33A9843D" w:rsidR="00EE1B96" w:rsidRPr="00A77F90" w:rsidRDefault="00A77F90" w:rsidP="00F9608B">
      <w:pPr>
        <w:spacing w:line="360" w:lineRule="auto"/>
        <w:jc w:val="both"/>
        <w:rPr>
          <w:rFonts w:ascii="Arial" w:hAnsi="Arial" w:cs="Arial"/>
          <w:sz w:val="28"/>
          <w:szCs w:val="28"/>
        </w:rPr>
      </w:pPr>
      <w:r w:rsidRPr="00A77F90">
        <w:rPr>
          <w:rFonts w:ascii="Arial" w:hAnsi="Arial" w:cs="Arial"/>
          <w:sz w:val="28"/>
          <w:szCs w:val="28"/>
        </w:rPr>
        <w:t xml:space="preserve">From a clinical perspective, patients with CKD frequently present with multiple comorbid conditions such as hypertension and diabetes, which complicate treatment and increase the risk of cardiovascular </w:t>
      </w:r>
      <w:r w:rsidRPr="00A77F90">
        <w:rPr>
          <w:rFonts w:ascii="Arial" w:hAnsi="Arial" w:cs="Arial"/>
          <w:sz w:val="28"/>
          <w:szCs w:val="28"/>
        </w:rPr>
        <w:t>complications.</w:t>
      </w:r>
      <w:r>
        <w:rPr>
          <w:rFonts w:ascii="Arial" w:hAnsi="Arial" w:cs="Arial"/>
          <w:sz w:val="28"/>
          <w:szCs w:val="28"/>
        </w:rPr>
        <w:t xml:space="preserve"> </w:t>
      </w:r>
      <w:r w:rsidR="00E10E44" w:rsidRPr="00662179">
        <w:rPr>
          <w:rFonts w:ascii="Arial" w:hAnsi="Arial" w:cs="Arial"/>
          <w:sz w:val="28"/>
          <w:szCs w:val="28"/>
        </w:rPr>
        <w:t>However, a diverse range of biological, genetic, environmental, and social determinants also influence an individual’s risk of developing CKD.</w:t>
      </w:r>
    </w:p>
    <w:p w14:paraId="373817A1" w14:textId="2AC4BC7C" w:rsidR="001B208F" w:rsidRPr="005D50A5" w:rsidRDefault="001B208F" w:rsidP="005D50A5">
      <w:pPr>
        <w:pStyle w:val="ListParagraph"/>
        <w:numPr>
          <w:ilvl w:val="1"/>
          <w:numId w:val="12"/>
        </w:numPr>
        <w:spacing w:line="360" w:lineRule="auto"/>
        <w:jc w:val="both"/>
        <w:rPr>
          <w:rFonts w:ascii="Arial" w:hAnsi="Arial" w:cs="Arial"/>
          <w:b/>
          <w:bCs/>
          <w:sz w:val="32"/>
          <w:szCs w:val="32"/>
          <w:u w:val="single"/>
          <w:lang w:val="en-IN"/>
        </w:rPr>
      </w:pPr>
      <w:r w:rsidRPr="005D50A5">
        <w:rPr>
          <w:rFonts w:ascii="Arial" w:hAnsi="Arial" w:cs="Arial"/>
          <w:b/>
          <w:bCs/>
          <w:sz w:val="32"/>
          <w:szCs w:val="32"/>
          <w:u w:val="single"/>
          <w:lang w:val="en-IN"/>
        </w:rPr>
        <w:t>Major Aetiological Causes</w:t>
      </w:r>
    </w:p>
    <w:p w14:paraId="425BC001" w14:textId="3C5D9453" w:rsidR="00075EC6" w:rsidRPr="00AC441E" w:rsidRDefault="001B208F" w:rsidP="00AC441E">
      <w:pPr>
        <w:pStyle w:val="ListParagraph"/>
        <w:numPr>
          <w:ilvl w:val="0"/>
          <w:numId w:val="3"/>
        </w:numPr>
        <w:spacing w:line="360" w:lineRule="auto"/>
        <w:jc w:val="both"/>
        <w:rPr>
          <w:rFonts w:ascii="Arial" w:hAnsi="Arial" w:cs="Arial"/>
          <w:sz w:val="28"/>
          <w:szCs w:val="28"/>
          <w:lang w:val="en-IN"/>
        </w:rPr>
      </w:pPr>
      <w:r w:rsidRPr="009A04FD">
        <w:rPr>
          <w:rFonts w:ascii="Arial" w:hAnsi="Arial" w:cs="Arial"/>
          <w:b/>
          <w:bCs/>
          <w:sz w:val="28"/>
          <w:szCs w:val="28"/>
          <w:lang w:val="en-IN"/>
        </w:rPr>
        <w:t>Diabetes Mellitus</w:t>
      </w:r>
    </w:p>
    <w:p w14:paraId="53EE7341" w14:textId="5192D6F5" w:rsidR="00E61B2F" w:rsidRPr="00114762" w:rsidRDefault="00934024" w:rsidP="002F0ABA">
      <w:pPr>
        <w:spacing w:line="360" w:lineRule="auto"/>
        <w:jc w:val="both"/>
        <w:rPr>
          <w:rFonts w:ascii="Arial" w:hAnsi="Arial" w:cs="Arial"/>
          <w:sz w:val="28"/>
          <w:szCs w:val="28"/>
        </w:rPr>
      </w:pPr>
      <w:r w:rsidRPr="00934024">
        <w:rPr>
          <w:rFonts w:ascii="Arial" w:hAnsi="Arial" w:cs="Arial"/>
          <w:sz w:val="28"/>
          <w:szCs w:val="28"/>
        </w:rPr>
        <w:t>Diabetic kidney disease is the leading cause of CKD worldwide. Chronic hyperglycaemia damages glomerular capillaries, leading to microalbuminuria, increased glomerular pressure, and eventual nephron loss. By some estimates, diabetes accounts for 30–40% of CKD cases and contributes significantly to progression to end-stage kidney disease (CKD) in both type 1 and type 2 diabetes (CDC, 2024</w:t>
      </w:r>
      <w:r w:rsidR="0064374C">
        <w:rPr>
          <w:rFonts w:ascii="Arial" w:hAnsi="Arial" w:cs="Arial"/>
          <w:sz w:val="28"/>
          <w:szCs w:val="28"/>
        </w:rPr>
        <w:t>)</w:t>
      </w:r>
      <w:r w:rsidR="00E61B2F">
        <w:rPr>
          <w:rFonts w:ascii="Arial" w:hAnsi="Arial" w:cs="Arial"/>
          <w:sz w:val="28"/>
          <w:szCs w:val="28"/>
        </w:rPr>
        <w:t>.</w:t>
      </w:r>
    </w:p>
    <w:p w14:paraId="2A4CD539" w14:textId="21554922" w:rsidR="00D46224" w:rsidRPr="005D50A5" w:rsidRDefault="00E67D7E" w:rsidP="00F12F83">
      <w:pPr>
        <w:pStyle w:val="ListParagraph"/>
        <w:numPr>
          <w:ilvl w:val="0"/>
          <w:numId w:val="3"/>
        </w:numPr>
        <w:spacing w:line="360" w:lineRule="auto"/>
        <w:jc w:val="both"/>
        <w:rPr>
          <w:rFonts w:ascii="Arial" w:hAnsi="Arial" w:cs="Arial"/>
          <w:b/>
          <w:bCs/>
          <w:sz w:val="28"/>
          <w:szCs w:val="28"/>
        </w:rPr>
      </w:pPr>
      <w:r w:rsidRPr="005D50A5">
        <w:rPr>
          <w:rFonts w:ascii="Arial" w:hAnsi="Arial" w:cs="Arial"/>
          <w:b/>
          <w:bCs/>
          <w:sz w:val="28"/>
          <w:szCs w:val="28"/>
        </w:rPr>
        <w:t>Hypertension</w:t>
      </w:r>
    </w:p>
    <w:p w14:paraId="0D236138" w14:textId="38E12E75" w:rsidR="00F12F83" w:rsidRPr="005D50A5" w:rsidRDefault="00F12F83" w:rsidP="00F12F83">
      <w:pPr>
        <w:spacing w:line="360" w:lineRule="auto"/>
        <w:jc w:val="both"/>
        <w:rPr>
          <w:rFonts w:ascii="Arial" w:hAnsi="Arial" w:cs="Arial"/>
          <w:sz w:val="28"/>
          <w:szCs w:val="28"/>
        </w:rPr>
      </w:pPr>
      <w:r w:rsidRPr="005D50A5">
        <w:rPr>
          <w:rFonts w:ascii="Arial" w:hAnsi="Arial" w:cs="Arial"/>
          <w:sz w:val="28"/>
          <w:szCs w:val="28"/>
        </w:rPr>
        <w:t xml:space="preserve">Elevated systemic blood pressure induces structural changes in renal arterioles and glomeruli, reducing renal perfusion and enhancing glomerular injury. </w:t>
      </w:r>
      <w:r w:rsidRPr="005D50A5">
        <w:rPr>
          <w:rFonts w:ascii="Arial" w:hAnsi="Arial" w:cs="Arial"/>
          <w:sz w:val="28"/>
          <w:szCs w:val="28"/>
        </w:rPr>
        <w:lastRenderedPageBreak/>
        <w:t>Chronic hypertension is present in up to 20% of adults with CKD and acts both as a cause and a consequence of renal impairment (CDC, 2024).</w:t>
      </w:r>
    </w:p>
    <w:p w14:paraId="12DE7421" w14:textId="2E238CAA" w:rsidR="00294A87" w:rsidRPr="005D50A5" w:rsidRDefault="00294A87" w:rsidP="00226C02">
      <w:pPr>
        <w:pStyle w:val="ListParagraph"/>
        <w:numPr>
          <w:ilvl w:val="0"/>
          <w:numId w:val="3"/>
        </w:numPr>
        <w:spacing w:line="360" w:lineRule="auto"/>
        <w:jc w:val="both"/>
        <w:rPr>
          <w:rFonts w:ascii="Arial" w:hAnsi="Arial" w:cs="Arial"/>
          <w:b/>
          <w:bCs/>
          <w:sz w:val="28"/>
          <w:szCs w:val="28"/>
        </w:rPr>
      </w:pPr>
      <w:r w:rsidRPr="005D50A5">
        <w:rPr>
          <w:rFonts w:ascii="Arial" w:hAnsi="Arial" w:cs="Arial"/>
          <w:b/>
          <w:bCs/>
          <w:sz w:val="28"/>
          <w:szCs w:val="28"/>
        </w:rPr>
        <w:t>Glomerulonephritis and Autoimmune Diseases</w:t>
      </w:r>
    </w:p>
    <w:p w14:paraId="0A5AA3A0" w14:textId="5FA36C7E" w:rsidR="00E61B2F" w:rsidRPr="005D50A5" w:rsidRDefault="00226C02" w:rsidP="00226C02">
      <w:pPr>
        <w:spacing w:line="360" w:lineRule="auto"/>
        <w:jc w:val="both"/>
        <w:rPr>
          <w:rFonts w:ascii="Arial" w:hAnsi="Arial" w:cs="Arial"/>
          <w:sz w:val="28"/>
          <w:szCs w:val="28"/>
          <w:lang w:val="en-IN"/>
        </w:rPr>
      </w:pPr>
      <w:r w:rsidRPr="005D50A5">
        <w:rPr>
          <w:rFonts w:ascii="Arial" w:hAnsi="Arial" w:cs="Arial"/>
          <w:sz w:val="28"/>
          <w:szCs w:val="28"/>
        </w:rPr>
        <w:t>Inflammatory conditions such as glomerulonephritis, systemic lupus erythematosus, and vasculiti</w:t>
      </w:r>
      <w:r w:rsidR="008B0436" w:rsidRPr="005D50A5">
        <w:rPr>
          <w:rFonts w:ascii="Arial" w:hAnsi="Arial" w:cs="Arial"/>
          <w:sz w:val="28"/>
          <w:szCs w:val="28"/>
        </w:rPr>
        <w:t>s</w:t>
      </w:r>
      <w:r w:rsidRPr="005D50A5">
        <w:rPr>
          <w:rFonts w:ascii="Arial" w:hAnsi="Arial" w:cs="Arial"/>
          <w:sz w:val="28"/>
          <w:szCs w:val="28"/>
        </w:rPr>
        <w:t xml:space="preserve"> directly injure the glomerular filtration barrier, leading to chronic inflammation and scarring. These are less common than diabetes or hypertension but significant contributors to CKD in younger and middle-aged populations</w:t>
      </w:r>
      <w:r w:rsidR="00231C95" w:rsidRPr="005D50A5">
        <w:rPr>
          <w:rFonts w:ascii="Arial" w:eastAsia="Times New Roman" w:hAnsi="Arial" w:cs="Arial"/>
          <w:sz w:val="28"/>
          <w:szCs w:val="28"/>
          <w:lang w:val="en-IN" w:eastAsia="en-IN"/>
        </w:rPr>
        <w:t xml:space="preserve"> </w:t>
      </w:r>
      <w:r w:rsidR="00231C95" w:rsidRPr="005D50A5">
        <w:rPr>
          <w:rFonts w:ascii="Arial" w:hAnsi="Arial" w:cs="Arial"/>
          <w:sz w:val="28"/>
          <w:szCs w:val="28"/>
          <w:lang w:val="en-IN"/>
        </w:rPr>
        <w:t>(Mayo Clinic, 2023).</w:t>
      </w:r>
    </w:p>
    <w:p w14:paraId="766DBEE5" w14:textId="034C7A5E" w:rsidR="00D46224" w:rsidRPr="005D50A5" w:rsidRDefault="00DC33DF" w:rsidP="00DC33DF">
      <w:pPr>
        <w:pStyle w:val="ListParagraph"/>
        <w:numPr>
          <w:ilvl w:val="0"/>
          <w:numId w:val="3"/>
        </w:numPr>
        <w:spacing w:line="360" w:lineRule="auto"/>
        <w:jc w:val="both"/>
        <w:rPr>
          <w:rFonts w:ascii="Arial" w:hAnsi="Arial" w:cs="Arial"/>
          <w:b/>
          <w:bCs/>
          <w:sz w:val="28"/>
          <w:szCs w:val="28"/>
          <w:lang w:val="en-IN"/>
        </w:rPr>
      </w:pPr>
      <w:r w:rsidRPr="005D50A5">
        <w:rPr>
          <w:rFonts w:ascii="Arial" w:hAnsi="Arial" w:cs="Arial"/>
          <w:b/>
          <w:bCs/>
          <w:sz w:val="28"/>
          <w:szCs w:val="28"/>
        </w:rPr>
        <w:t>Genetic and Structural Disorders</w:t>
      </w:r>
    </w:p>
    <w:p w14:paraId="79B3D703" w14:textId="582D684C" w:rsidR="00DC33DF" w:rsidRPr="005D50A5" w:rsidRDefault="00710B46" w:rsidP="00DC33DF">
      <w:pPr>
        <w:spacing w:line="360" w:lineRule="auto"/>
        <w:jc w:val="both"/>
        <w:rPr>
          <w:rFonts w:ascii="Arial" w:hAnsi="Arial" w:cs="Arial"/>
          <w:sz w:val="28"/>
          <w:szCs w:val="28"/>
          <w:lang w:val="en-IN"/>
        </w:rPr>
      </w:pPr>
      <w:r w:rsidRPr="005D50A5">
        <w:rPr>
          <w:rFonts w:ascii="Arial" w:hAnsi="Arial" w:cs="Arial"/>
          <w:sz w:val="28"/>
          <w:szCs w:val="28"/>
        </w:rPr>
        <w:t xml:space="preserve">Hereditary conditions such as autosomal dominant polycystic kidney disease (ADPKD) cause multiple renal cysts that progressively replace healthy renal tissue, leading to CKD. Other genetic disorders like </w:t>
      </w:r>
      <w:r w:rsidRPr="005D50A5">
        <w:rPr>
          <w:rFonts w:ascii="Arial" w:hAnsi="Arial" w:cs="Arial"/>
          <w:sz w:val="28"/>
          <w:szCs w:val="28"/>
        </w:rPr>
        <w:t xml:space="preserve">Alport syndrome or congenital malformations of the urinary tract also contribute </w:t>
      </w:r>
      <w:r w:rsidR="003D2832" w:rsidRPr="005D50A5">
        <w:rPr>
          <w:rFonts w:ascii="Arial" w:hAnsi="Arial" w:cs="Arial"/>
          <w:sz w:val="28"/>
          <w:szCs w:val="28"/>
          <w:lang w:val="en-IN"/>
        </w:rPr>
        <w:t>(NHS, 2023).</w:t>
      </w:r>
    </w:p>
    <w:p w14:paraId="430DA319" w14:textId="51672DB1" w:rsidR="00D46224" w:rsidRDefault="000910DB" w:rsidP="000910DB">
      <w:pPr>
        <w:spacing w:line="360" w:lineRule="auto"/>
        <w:jc w:val="center"/>
        <w:rPr>
          <w:rFonts w:ascii="Arial" w:hAnsi="Arial" w:cs="Arial"/>
          <w:sz w:val="28"/>
          <w:szCs w:val="28"/>
        </w:rPr>
      </w:pPr>
      <w:r w:rsidRPr="005D50A5">
        <w:rPr>
          <w:rFonts w:ascii="Arial" w:hAnsi="Arial" w:cs="Arial"/>
          <w:noProof/>
          <w:sz w:val="28"/>
          <w:szCs w:val="28"/>
        </w:rPr>
        <w:drawing>
          <wp:inline distT="0" distB="0" distL="0" distR="0" wp14:anchorId="0F274E4B" wp14:editId="2974B2C8">
            <wp:extent cx="2997200" cy="2815785"/>
            <wp:effectExtent l="0" t="0" r="0" b="3810"/>
            <wp:docPr id="413701997" name="Picture 4" descr="A normal kidney compared to a kidney enlarged with cy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normal kidney compared to a kidney enlarged with cys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25928" cy="2842774"/>
                    </a:xfrm>
                    <a:prstGeom prst="rect">
                      <a:avLst/>
                    </a:prstGeom>
                    <a:noFill/>
                    <a:ln>
                      <a:noFill/>
                    </a:ln>
                  </pic:spPr>
                </pic:pic>
              </a:graphicData>
            </a:graphic>
          </wp:inline>
        </w:drawing>
      </w:r>
    </w:p>
    <w:p w14:paraId="05C14C87" w14:textId="04FC85C6" w:rsidR="005A7012" w:rsidRDefault="008B1D2A" w:rsidP="005A7012">
      <w:pPr>
        <w:spacing w:line="360" w:lineRule="auto"/>
        <w:jc w:val="both"/>
        <w:rPr>
          <w:rFonts w:ascii="Arial" w:hAnsi="Arial" w:cs="Arial"/>
          <w:lang w:val="en-IN"/>
        </w:rPr>
      </w:pPr>
      <w:r>
        <w:rPr>
          <w:rFonts w:ascii="Arial" w:hAnsi="Arial" w:cs="Arial"/>
        </w:rPr>
        <w:t>Figure</w:t>
      </w:r>
      <w:r w:rsidR="005A7012" w:rsidRPr="00E61B2F">
        <w:rPr>
          <w:rFonts w:ascii="Arial" w:hAnsi="Arial" w:cs="Arial"/>
        </w:rPr>
        <w:t>:</w:t>
      </w:r>
      <w:r w:rsidR="00452388">
        <w:rPr>
          <w:rFonts w:ascii="Arial" w:hAnsi="Arial" w:cs="Arial"/>
        </w:rPr>
        <w:t>3</w:t>
      </w:r>
      <w:r w:rsidR="005A7012" w:rsidRPr="00E61B2F">
        <w:rPr>
          <w:rFonts w:ascii="Arial" w:eastAsia="Times New Roman" w:hAnsi="Arial" w:cs="Arial"/>
          <w:lang w:val="en-IN" w:eastAsia="en-IN"/>
        </w:rPr>
        <w:t xml:space="preserve"> </w:t>
      </w:r>
      <w:r w:rsidR="005A7012" w:rsidRPr="00E61B2F">
        <w:rPr>
          <w:rFonts w:ascii="Arial" w:hAnsi="Arial" w:cs="Arial"/>
          <w:lang w:val="en-IN"/>
        </w:rPr>
        <w:t>(Cleveland Clinic, 2024)</w:t>
      </w:r>
    </w:p>
    <w:p w14:paraId="42A7129E" w14:textId="77777777" w:rsidR="00E61A80" w:rsidRPr="005A7012" w:rsidRDefault="00E61A80" w:rsidP="005A7012">
      <w:pPr>
        <w:spacing w:line="360" w:lineRule="auto"/>
        <w:jc w:val="both"/>
        <w:rPr>
          <w:rFonts w:ascii="Arial" w:hAnsi="Arial" w:cs="Arial"/>
          <w:lang w:val="en-IN"/>
        </w:rPr>
      </w:pPr>
    </w:p>
    <w:p w14:paraId="78241027" w14:textId="29BB88BB" w:rsidR="001A5E1E" w:rsidRPr="005D50A5" w:rsidRDefault="001A5E1E" w:rsidP="001A5E1E">
      <w:pPr>
        <w:pStyle w:val="ListParagraph"/>
        <w:numPr>
          <w:ilvl w:val="0"/>
          <w:numId w:val="3"/>
        </w:numPr>
        <w:spacing w:line="360" w:lineRule="auto"/>
        <w:jc w:val="both"/>
        <w:rPr>
          <w:rFonts w:ascii="Arial" w:hAnsi="Arial" w:cs="Arial"/>
          <w:b/>
          <w:bCs/>
          <w:sz w:val="28"/>
          <w:szCs w:val="28"/>
        </w:rPr>
      </w:pPr>
      <w:r w:rsidRPr="005D50A5">
        <w:rPr>
          <w:rFonts w:ascii="Arial" w:hAnsi="Arial" w:cs="Arial"/>
          <w:b/>
          <w:bCs/>
          <w:sz w:val="28"/>
          <w:szCs w:val="28"/>
        </w:rPr>
        <w:t>Obstructive Uropathy</w:t>
      </w:r>
    </w:p>
    <w:p w14:paraId="7FB6FAAC" w14:textId="7B1FE57F" w:rsidR="001A5E1E" w:rsidRPr="005D50A5" w:rsidRDefault="00F01105" w:rsidP="001A5E1E">
      <w:pPr>
        <w:spacing w:line="360" w:lineRule="auto"/>
        <w:jc w:val="both"/>
        <w:rPr>
          <w:rFonts w:ascii="Arial" w:hAnsi="Arial" w:cs="Arial"/>
          <w:sz w:val="28"/>
          <w:szCs w:val="28"/>
        </w:rPr>
      </w:pPr>
      <w:r w:rsidRPr="005D50A5">
        <w:rPr>
          <w:rFonts w:ascii="Arial" w:hAnsi="Arial" w:cs="Arial"/>
          <w:sz w:val="28"/>
          <w:szCs w:val="28"/>
        </w:rPr>
        <w:t xml:space="preserve">Long-standing blockages from recurrent kidney stones, benign prostatic hyperplasia, or tumours can </w:t>
      </w:r>
      <w:r w:rsidRPr="005D50A5">
        <w:rPr>
          <w:rFonts w:ascii="Arial" w:hAnsi="Arial" w:cs="Arial"/>
          <w:sz w:val="28"/>
          <w:szCs w:val="28"/>
        </w:rPr>
        <w:lastRenderedPageBreak/>
        <w:t>cause back-pressure on the kidneys, impairing function and promoting chronic damage. Early correction of these blockages can mitigate CKD risk (Mayo Clinic, 2023; NHS UK, 2023).</w:t>
      </w:r>
    </w:p>
    <w:p w14:paraId="213D67DC" w14:textId="60E261A9" w:rsidR="0038399A" w:rsidRPr="00E61A80" w:rsidRDefault="0038399A" w:rsidP="00E61A80">
      <w:pPr>
        <w:pStyle w:val="ListParagraph"/>
        <w:numPr>
          <w:ilvl w:val="1"/>
          <w:numId w:val="12"/>
        </w:numPr>
        <w:rPr>
          <w:rFonts w:ascii="Arial" w:hAnsi="Arial" w:cs="Arial"/>
          <w:b/>
          <w:bCs/>
          <w:sz w:val="32"/>
          <w:szCs w:val="32"/>
          <w:u w:val="single"/>
        </w:rPr>
      </w:pPr>
      <w:r w:rsidRPr="00E61A80">
        <w:rPr>
          <w:rFonts w:ascii="Arial" w:hAnsi="Arial" w:cs="Arial"/>
          <w:b/>
          <w:bCs/>
          <w:sz w:val="32"/>
          <w:szCs w:val="32"/>
          <w:u w:val="single"/>
        </w:rPr>
        <w:t>Risk Factors</w:t>
      </w:r>
    </w:p>
    <w:p w14:paraId="62E406B6" w14:textId="77777777" w:rsidR="00E61A80" w:rsidRPr="00E61A80" w:rsidRDefault="00E61A80" w:rsidP="00E61A80">
      <w:pPr>
        <w:pStyle w:val="ListParagraph"/>
        <w:rPr>
          <w:rFonts w:ascii="Arial" w:hAnsi="Arial" w:cs="Arial"/>
          <w:b/>
          <w:bCs/>
          <w:sz w:val="32"/>
          <w:szCs w:val="32"/>
          <w:u w:val="single"/>
        </w:rPr>
      </w:pPr>
    </w:p>
    <w:p w14:paraId="1A3E3879" w14:textId="50BBF8D4" w:rsidR="0028714A" w:rsidRPr="005D50A5" w:rsidRDefault="0028714A" w:rsidP="005D50A5">
      <w:pPr>
        <w:pStyle w:val="ListParagraph"/>
        <w:numPr>
          <w:ilvl w:val="0"/>
          <w:numId w:val="14"/>
        </w:numPr>
        <w:spacing w:line="360" w:lineRule="auto"/>
        <w:jc w:val="both"/>
        <w:rPr>
          <w:rFonts w:ascii="Arial" w:hAnsi="Arial" w:cs="Arial"/>
          <w:sz w:val="28"/>
          <w:szCs w:val="28"/>
          <w:u w:val="single"/>
          <w:lang w:val="en-IN"/>
        </w:rPr>
      </w:pPr>
      <w:r w:rsidRPr="005D50A5">
        <w:rPr>
          <w:rFonts w:ascii="Arial" w:hAnsi="Arial" w:cs="Arial"/>
          <w:b/>
          <w:bCs/>
          <w:sz w:val="28"/>
          <w:szCs w:val="28"/>
          <w:lang w:val="en-IN"/>
        </w:rPr>
        <w:t>Modifiable</w:t>
      </w:r>
      <w:r w:rsidR="009D61DC" w:rsidRPr="005D50A5">
        <w:rPr>
          <w:rFonts w:ascii="Arial" w:hAnsi="Arial" w:cs="Arial"/>
          <w:b/>
          <w:bCs/>
          <w:sz w:val="28"/>
          <w:szCs w:val="28"/>
          <w:lang w:val="en-IN"/>
        </w:rPr>
        <w:t xml:space="preserve"> risk factors</w:t>
      </w:r>
    </w:p>
    <w:p w14:paraId="4BC621B6" w14:textId="77777777" w:rsidR="0038399A" w:rsidRPr="0038399A" w:rsidRDefault="0038399A" w:rsidP="007E141F">
      <w:pPr>
        <w:numPr>
          <w:ilvl w:val="0"/>
          <w:numId w:val="4"/>
        </w:numPr>
        <w:spacing w:line="360" w:lineRule="auto"/>
        <w:jc w:val="both"/>
        <w:rPr>
          <w:rFonts w:ascii="Arial" w:hAnsi="Arial" w:cs="Arial"/>
          <w:sz w:val="28"/>
          <w:szCs w:val="28"/>
          <w:lang w:val="en-IN"/>
        </w:rPr>
      </w:pPr>
      <w:r w:rsidRPr="0038399A">
        <w:rPr>
          <w:rFonts w:ascii="Arial" w:hAnsi="Arial" w:cs="Arial"/>
          <w:b/>
          <w:bCs/>
          <w:sz w:val="28"/>
          <w:szCs w:val="28"/>
          <w:lang w:val="en-IN"/>
        </w:rPr>
        <w:t>Poor glycaemic control</w:t>
      </w:r>
      <w:r w:rsidRPr="0038399A">
        <w:rPr>
          <w:rFonts w:ascii="Arial" w:hAnsi="Arial" w:cs="Arial"/>
          <w:sz w:val="28"/>
          <w:szCs w:val="28"/>
          <w:lang w:val="en-IN"/>
        </w:rPr>
        <w:t xml:space="preserve"> in diabetes increases CKD risk and accelerates progression. </w:t>
      </w:r>
    </w:p>
    <w:p w14:paraId="0B082534" w14:textId="77777777" w:rsidR="0038399A" w:rsidRPr="0038399A" w:rsidRDefault="0038399A" w:rsidP="007E141F">
      <w:pPr>
        <w:numPr>
          <w:ilvl w:val="0"/>
          <w:numId w:val="4"/>
        </w:numPr>
        <w:spacing w:line="360" w:lineRule="auto"/>
        <w:jc w:val="both"/>
        <w:rPr>
          <w:rFonts w:ascii="Arial" w:hAnsi="Arial" w:cs="Arial"/>
          <w:sz w:val="28"/>
          <w:szCs w:val="28"/>
          <w:lang w:val="en-IN"/>
        </w:rPr>
      </w:pPr>
      <w:r w:rsidRPr="0038399A">
        <w:rPr>
          <w:rFonts w:ascii="Arial" w:hAnsi="Arial" w:cs="Arial"/>
          <w:b/>
          <w:bCs/>
          <w:sz w:val="28"/>
          <w:szCs w:val="28"/>
          <w:lang w:val="en-IN"/>
        </w:rPr>
        <w:t>Uncontrolled hypertension</w:t>
      </w:r>
      <w:r w:rsidRPr="0038399A">
        <w:rPr>
          <w:rFonts w:ascii="Arial" w:hAnsi="Arial" w:cs="Arial"/>
          <w:sz w:val="28"/>
          <w:szCs w:val="28"/>
          <w:lang w:val="en-IN"/>
        </w:rPr>
        <w:t xml:space="preserve"> worsens renal damage. </w:t>
      </w:r>
    </w:p>
    <w:p w14:paraId="5287E673" w14:textId="77777777" w:rsidR="0038399A" w:rsidRPr="0038399A" w:rsidRDefault="0038399A" w:rsidP="007E141F">
      <w:pPr>
        <w:numPr>
          <w:ilvl w:val="0"/>
          <w:numId w:val="4"/>
        </w:numPr>
        <w:spacing w:line="360" w:lineRule="auto"/>
        <w:jc w:val="both"/>
        <w:rPr>
          <w:rFonts w:ascii="Arial" w:hAnsi="Arial" w:cs="Arial"/>
          <w:sz w:val="28"/>
          <w:szCs w:val="28"/>
          <w:lang w:val="en-IN"/>
        </w:rPr>
      </w:pPr>
      <w:r w:rsidRPr="0038399A">
        <w:rPr>
          <w:rFonts w:ascii="Arial" w:hAnsi="Arial" w:cs="Arial"/>
          <w:b/>
          <w:bCs/>
          <w:sz w:val="28"/>
          <w:szCs w:val="28"/>
          <w:lang w:val="en-IN"/>
        </w:rPr>
        <w:t>Obesity and metabolic syndrome</w:t>
      </w:r>
      <w:r w:rsidRPr="0038399A">
        <w:rPr>
          <w:rFonts w:ascii="Arial" w:hAnsi="Arial" w:cs="Arial"/>
          <w:sz w:val="28"/>
          <w:szCs w:val="28"/>
          <w:lang w:val="en-IN"/>
        </w:rPr>
        <w:t xml:space="preserve">, which increase the risk of diabetes and hypertension, are important contributors to CKD risk. </w:t>
      </w:r>
    </w:p>
    <w:p w14:paraId="42A0AA36" w14:textId="77777777" w:rsidR="0038399A" w:rsidRDefault="0038399A" w:rsidP="007E141F">
      <w:pPr>
        <w:numPr>
          <w:ilvl w:val="0"/>
          <w:numId w:val="4"/>
        </w:numPr>
        <w:spacing w:line="360" w:lineRule="auto"/>
        <w:jc w:val="both"/>
        <w:rPr>
          <w:rFonts w:ascii="Arial" w:hAnsi="Arial" w:cs="Arial"/>
          <w:sz w:val="28"/>
          <w:szCs w:val="28"/>
          <w:lang w:val="en-IN"/>
        </w:rPr>
      </w:pPr>
      <w:r w:rsidRPr="0038399A">
        <w:rPr>
          <w:rFonts w:ascii="Arial" w:hAnsi="Arial" w:cs="Arial"/>
          <w:b/>
          <w:bCs/>
          <w:sz w:val="28"/>
          <w:szCs w:val="28"/>
          <w:lang w:val="en-IN"/>
        </w:rPr>
        <w:t>Smoking</w:t>
      </w:r>
      <w:r w:rsidRPr="0038399A">
        <w:rPr>
          <w:rFonts w:ascii="Arial" w:hAnsi="Arial" w:cs="Arial"/>
          <w:sz w:val="28"/>
          <w:szCs w:val="28"/>
          <w:lang w:val="en-IN"/>
        </w:rPr>
        <w:t xml:space="preserve"> is associated with increased renal vascular damage and worsened CKD outcomes. </w:t>
      </w:r>
    </w:p>
    <w:p w14:paraId="7CEAD934" w14:textId="77777777" w:rsidR="00E61A80" w:rsidRPr="0038399A" w:rsidRDefault="00E61A80" w:rsidP="00E61A80">
      <w:pPr>
        <w:spacing w:line="360" w:lineRule="auto"/>
        <w:ind w:left="720"/>
        <w:jc w:val="both"/>
        <w:rPr>
          <w:rFonts w:ascii="Arial" w:hAnsi="Arial" w:cs="Arial"/>
          <w:sz w:val="28"/>
          <w:szCs w:val="28"/>
          <w:lang w:val="en-IN"/>
        </w:rPr>
      </w:pPr>
    </w:p>
    <w:p w14:paraId="28AEAAB1" w14:textId="02AB4FC6" w:rsidR="0038399A" w:rsidRPr="005D50A5" w:rsidRDefault="0038399A" w:rsidP="005D50A5">
      <w:pPr>
        <w:pStyle w:val="ListParagraph"/>
        <w:numPr>
          <w:ilvl w:val="0"/>
          <w:numId w:val="14"/>
        </w:numPr>
        <w:spacing w:line="360" w:lineRule="auto"/>
        <w:jc w:val="both"/>
        <w:rPr>
          <w:rFonts w:ascii="Arial" w:hAnsi="Arial" w:cs="Arial"/>
          <w:sz w:val="28"/>
          <w:szCs w:val="28"/>
          <w:lang w:val="en-IN"/>
        </w:rPr>
      </w:pPr>
      <w:r w:rsidRPr="005D50A5">
        <w:rPr>
          <w:rFonts w:ascii="Arial" w:hAnsi="Arial" w:cs="Arial"/>
          <w:b/>
          <w:bCs/>
          <w:sz w:val="28"/>
          <w:szCs w:val="28"/>
          <w:lang w:val="en-IN"/>
        </w:rPr>
        <w:t>Non-modifiable Risk Factors</w:t>
      </w:r>
    </w:p>
    <w:p w14:paraId="4FD7104E" w14:textId="77777777" w:rsidR="0038399A" w:rsidRPr="0038399A" w:rsidRDefault="0038399A" w:rsidP="007E141F">
      <w:pPr>
        <w:numPr>
          <w:ilvl w:val="0"/>
          <w:numId w:val="5"/>
        </w:numPr>
        <w:spacing w:line="360" w:lineRule="auto"/>
        <w:jc w:val="both"/>
        <w:rPr>
          <w:rFonts w:ascii="Arial" w:hAnsi="Arial" w:cs="Arial"/>
          <w:sz w:val="28"/>
          <w:szCs w:val="28"/>
          <w:lang w:val="en-IN"/>
        </w:rPr>
      </w:pPr>
      <w:r w:rsidRPr="0038399A">
        <w:rPr>
          <w:rFonts w:ascii="Arial" w:hAnsi="Arial" w:cs="Arial"/>
          <w:b/>
          <w:bCs/>
          <w:sz w:val="28"/>
          <w:szCs w:val="28"/>
          <w:lang w:val="en-IN"/>
        </w:rPr>
        <w:t>Older age</w:t>
      </w:r>
      <w:r w:rsidRPr="0038399A">
        <w:rPr>
          <w:rFonts w:ascii="Arial" w:hAnsi="Arial" w:cs="Arial"/>
          <w:sz w:val="28"/>
          <w:szCs w:val="28"/>
          <w:lang w:val="en-IN"/>
        </w:rPr>
        <w:t xml:space="preserve">, with kidney function naturally declining over time due to nephron loss and cumulative exposure to stressors. </w:t>
      </w:r>
    </w:p>
    <w:p w14:paraId="08996F89" w14:textId="77777777" w:rsidR="0038399A" w:rsidRPr="0038399A" w:rsidRDefault="0038399A" w:rsidP="007E141F">
      <w:pPr>
        <w:numPr>
          <w:ilvl w:val="0"/>
          <w:numId w:val="5"/>
        </w:numPr>
        <w:spacing w:line="360" w:lineRule="auto"/>
        <w:jc w:val="both"/>
        <w:rPr>
          <w:rFonts w:ascii="Arial" w:hAnsi="Arial" w:cs="Arial"/>
          <w:sz w:val="28"/>
          <w:szCs w:val="28"/>
          <w:lang w:val="en-IN"/>
        </w:rPr>
      </w:pPr>
      <w:r w:rsidRPr="0038399A">
        <w:rPr>
          <w:rFonts w:ascii="Arial" w:hAnsi="Arial" w:cs="Arial"/>
          <w:b/>
          <w:bCs/>
          <w:sz w:val="28"/>
          <w:szCs w:val="28"/>
          <w:lang w:val="en-IN"/>
        </w:rPr>
        <w:t>Family history</w:t>
      </w:r>
      <w:r w:rsidRPr="0038399A">
        <w:rPr>
          <w:rFonts w:ascii="Arial" w:hAnsi="Arial" w:cs="Arial"/>
          <w:sz w:val="28"/>
          <w:szCs w:val="28"/>
          <w:lang w:val="en-IN"/>
        </w:rPr>
        <w:t xml:space="preserve"> of CKD or genetic kidney disease increases susceptibility. </w:t>
      </w:r>
    </w:p>
    <w:p w14:paraId="01587D2A" w14:textId="77777777" w:rsidR="0038399A" w:rsidRPr="0038399A" w:rsidRDefault="0038399A" w:rsidP="007E141F">
      <w:pPr>
        <w:numPr>
          <w:ilvl w:val="0"/>
          <w:numId w:val="5"/>
        </w:numPr>
        <w:spacing w:line="360" w:lineRule="auto"/>
        <w:jc w:val="both"/>
        <w:rPr>
          <w:rFonts w:ascii="Arial" w:hAnsi="Arial" w:cs="Arial"/>
          <w:sz w:val="28"/>
          <w:szCs w:val="28"/>
          <w:lang w:val="en-IN"/>
        </w:rPr>
      </w:pPr>
      <w:r w:rsidRPr="0038399A">
        <w:rPr>
          <w:rFonts w:ascii="Arial" w:hAnsi="Arial" w:cs="Arial"/>
          <w:b/>
          <w:bCs/>
          <w:sz w:val="28"/>
          <w:szCs w:val="28"/>
          <w:lang w:val="en-IN"/>
        </w:rPr>
        <w:t>Ethnicity</w:t>
      </w:r>
      <w:r w:rsidRPr="0038399A">
        <w:rPr>
          <w:rFonts w:ascii="Arial" w:hAnsi="Arial" w:cs="Arial"/>
          <w:sz w:val="28"/>
          <w:szCs w:val="28"/>
          <w:lang w:val="en-IN"/>
        </w:rPr>
        <w:t xml:space="preserve">, with some populations showing higher CKD prevalence, partly due to genetic and socioeconomic factors. </w:t>
      </w:r>
    </w:p>
    <w:p w14:paraId="3AC6760C" w14:textId="58097E25" w:rsidR="0038399A" w:rsidRPr="005D50A5" w:rsidRDefault="0038399A" w:rsidP="005D50A5">
      <w:pPr>
        <w:pStyle w:val="ListParagraph"/>
        <w:numPr>
          <w:ilvl w:val="0"/>
          <w:numId w:val="14"/>
        </w:numPr>
        <w:spacing w:line="360" w:lineRule="auto"/>
        <w:jc w:val="both"/>
        <w:rPr>
          <w:rFonts w:ascii="Arial" w:hAnsi="Arial" w:cs="Arial"/>
          <w:sz w:val="28"/>
          <w:szCs w:val="28"/>
          <w:lang w:val="en-IN"/>
        </w:rPr>
      </w:pPr>
      <w:r w:rsidRPr="005D50A5">
        <w:rPr>
          <w:rFonts w:ascii="Arial" w:hAnsi="Arial" w:cs="Arial"/>
          <w:b/>
          <w:bCs/>
          <w:sz w:val="28"/>
          <w:szCs w:val="28"/>
          <w:lang w:val="en-IN"/>
        </w:rPr>
        <w:t>Other Contributing Factors</w:t>
      </w:r>
    </w:p>
    <w:p w14:paraId="6AAB7044" w14:textId="77777777" w:rsidR="0038399A" w:rsidRPr="0038399A" w:rsidRDefault="0038399A" w:rsidP="007E141F">
      <w:pPr>
        <w:numPr>
          <w:ilvl w:val="0"/>
          <w:numId w:val="6"/>
        </w:numPr>
        <w:spacing w:line="360" w:lineRule="auto"/>
        <w:jc w:val="both"/>
        <w:rPr>
          <w:rFonts w:ascii="Arial" w:hAnsi="Arial" w:cs="Arial"/>
          <w:sz w:val="28"/>
          <w:szCs w:val="28"/>
          <w:lang w:val="en-IN"/>
        </w:rPr>
      </w:pPr>
      <w:r w:rsidRPr="0038399A">
        <w:rPr>
          <w:rFonts w:ascii="Arial" w:hAnsi="Arial" w:cs="Arial"/>
          <w:b/>
          <w:bCs/>
          <w:sz w:val="28"/>
          <w:szCs w:val="28"/>
          <w:lang w:val="en-IN"/>
        </w:rPr>
        <w:t>Cardiovascular disease</w:t>
      </w:r>
      <w:r w:rsidRPr="0038399A">
        <w:rPr>
          <w:rFonts w:ascii="Arial" w:hAnsi="Arial" w:cs="Arial"/>
          <w:sz w:val="28"/>
          <w:szCs w:val="28"/>
          <w:lang w:val="en-IN"/>
        </w:rPr>
        <w:t xml:space="preserve"> and heart failure impair renal perfusion, intensifying CKD risk. </w:t>
      </w:r>
    </w:p>
    <w:p w14:paraId="4DFED810" w14:textId="77777777" w:rsidR="0038399A" w:rsidRPr="0038399A" w:rsidRDefault="0038399A" w:rsidP="007E141F">
      <w:pPr>
        <w:numPr>
          <w:ilvl w:val="0"/>
          <w:numId w:val="6"/>
        </w:numPr>
        <w:spacing w:line="360" w:lineRule="auto"/>
        <w:jc w:val="both"/>
        <w:rPr>
          <w:rFonts w:ascii="Arial" w:hAnsi="Arial" w:cs="Arial"/>
          <w:sz w:val="28"/>
          <w:szCs w:val="28"/>
          <w:lang w:val="en-IN"/>
        </w:rPr>
      </w:pPr>
      <w:r w:rsidRPr="0038399A">
        <w:rPr>
          <w:rFonts w:ascii="Arial" w:hAnsi="Arial" w:cs="Arial"/>
          <w:b/>
          <w:bCs/>
          <w:sz w:val="28"/>
          <w:szCs w:val="28"/>
          <w:lang w:val="en-IN"/>
        </w:rPr>
        <w:t>Acute kidney injury (AKI)</w:t>
      </w:r>
      <w:r w:rsidRPr="0038399A">
        <w:rPr>
          <w:rFonts w:ascii="Arial" w:hAnsi="Arial" w:cs="Arial"/>
          <w:sz w:val="28"/>
          <w:szCs w:val="28"/>
          <w:lang w:val="en-IN"/>
        </w:rPr>
        <w:t xml:space="preserve"> can transition to CKD if recovery is incomplete. </w:t>
      </w:r>
    </w:p>
    <w:p w14:paraId="44B3C537" w14:textId="77777777" w:rsidR="0038399A" w:rsidRPr="0038399A" w:rsidRDefault="0038399A" w:rsidP="007E141F">
      <w:pPr>
        <w:numPr>
          <w:ilvl w:val="0"/>
          <w:numId w:val="6"/>
        </w:numPr>
        <w:spacing w:line="360" w:lineRule="auto"/>
        <w:jc w:val="both"/>
        <w:rPr>
          <w:rFonts w:ascii="Arial" w:hAnsi="Arial" w:cs="Arial"/>
          <w:sz w:val="28"/>
          <w:szCs w:val="28"/>
          <w:lang w:val="en-IN"/>
        </w:rPr>
      </w:pPr>
      <w:r w:rsidRPr="0038399A">
        <w:rPr>
          <w:rFonts w:ascii="Arial" w:hAnsi="Arial" w:cs="Arial"/>
          <w:b/>
          <w:bCs/>
          <w:sz w:val="28"/>
          <w:szCs w:val="28"/>
          <w:lang w:val="en-IN"/>
        </w:rPr>
        <w:lastRenderedPageBreak/>
        <w:t>Medications and toxins</w:t>
      </w:r>
      <w:r w:rsidRPr="0038399A">
        <w:rPr>
          <w:rFonts w:ascii="Arial" w:hAnsi="Arial" w:cs="Arial"/>
          <w:sz w:val="28"/>
          <w:szCs w:val="28"/>
          <w:lang w:val="en-IN"/>
        </w:rPr>
        <w:t xml:space="preserve">, including long-term NSAIDs and certain nephrotoxic drugs, have been implicated in accelerating kidney damage. </w:t>
      </w:r>
    </w:p>
    <w:p w14:paraId="41A07AB3" w14:textId="1EFF2130" w:rsidR="00EE1B96" w:rsidRDefault="005B040B" w:rsidP="00521A93">
      <w:pPr>
        <w:jc w:val="center"/>
        <w:rPr>
          <w:rFonts w:ascii="Arial" w:hAnsi="Arial" w:cs="Arial"/>
          <w:b/>
          <w:bCs/>
          <w:sz w:val="36"/>
          <w:szCs w:val="36"/>
        </w:rPr>
      </w:pPr>
      <w:r>
        <w:rPr>
          <w:noProof/>
        </w:rPr>
        <w:drawing>
          <wp:inline distT="0" distB="0" distL="0" distR="0" wp14:anchorId="62BE1564" wp14:editId="09C99A85">
            <wp:extent cx="4206875" cy="4249420"/>
            <wp:effectExtent l="0" t="0" r="3175" b="0"/>
            <wp:docPr id="962805690" name="Picture 3" descr="Chronic kidney disease - Medical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ronic kidney disease - Medical Independe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06875" cy="4249420"/>
                    </a:xfrm>
                    <a:prstGeom prst="rect">
                      <a:avLst/>
                    </a:prstGeom>
                    <a:noFill/>
                    <a:ln>
                      <a:noFill/>
                    </a:ln>
                  </pic:spPr>
                </pic:pic>
              </a:graphicData>
            </a:graphic>
          </wp:inline>
        </w:drawing>
      </w:r>
    </w:p>
    <w:p w14:paraId="7239B3BA" w14:textId="544AC25D" w:rsidR="00EE1B96" w:rsidRPr="006A44E3" w:rsidRDefault="008B1D2A" w:rsidP="006A44E3">
      <w:pPr>
        <w:spacing w:line="360" w:lineRule="auto"/>
        <w:jc w:val="both"/>
        <w:rPr>
          <w:rFonts w:ascii="Arial" w:hAnsi="Arial" w:cs="Arial"/>
          <w:lang w:val="en-IN"/>
        </w:rPr>
      </w:pPr>
      <w:r>
        <w:rPr>
          <w:rFonts w:ascii="Arial" w:hAnsi="Arial" w:cs="Arial"/>
        </w:rPr>
        <w:t>Figure</w:t>
      </w:r>
      <w:r w:rsidR="00521A93" w:rsidRPr="00E61B2F">
        <w:rPr>
          <w:rFonts w:ascii="Arial" w:hAnsi="Arial" w:cs="Arial"/>
        </w:rPr>
        <w:t>:</w:t>
      </w:r>
      <w:r w:rsidR="00521A93">
        <w:rPr>
          <w:rFonts w:ascii="Arial" w:hAnsi="Arial" w:cs="Arial"/>
        </w:rPr>
        <w:t>4</w:t>
      </w:r>
      <w:r w:rsidR="00521A93" w:rsidRPr="00E61B2F">
        <w:rPr>
          <w:rFonts w:ascii="Arial" w:eastAsia="Times New Roman" w:hAnsi="Arial" w:cs="Arial"/>
          <w:lang w:val="en-IN" w:eastAsia="en-IN"/>
        </w:rPr>
        <w:t xml:space="preserve"> </w:t>
      </w:r>
      <w:r w:rsidR="006A44E3" w:rsidRPr="006A44E3">
        <w:rPr>
          <w:rFonts w:ascii="Arial" w:hAnsi="Arial" w:cs="Arial"/>
          <w:lang w:val="en-IN"/>
        </w:rPr>
        <w:t>(Mindo, 2022)</w:t>
      </w:r>
    </w:p>
    <w:p w14:paraId="008B2043" w14:textId="598F86F8" w:rsidR="00693370" w:rsidRPr="00766FAE" w:rsidRDefault="009C41A1" w:rsidP="009C41A1">
      <w:pPr>
        <w:rPr>
          <w:rFonts w:ascii="Arial" w:hAnsi="Arial" w:cs="Arial"/>
          <w:b/>
          <w:bCs/>
          <w:sz w:val="36"/>
          <w:szCs w:val="36"/>
          <w:u w:val="single"/>
        </w:rPr>
      </w:pPr>
      <w:r w:rsidRPr="00766FAE">
        <w:rPr>
          <w:rFonts w:ascii="Arial" w:hAnsi="Arial" w:cs="Arial"/>
          <w:b/>
          <w:bCs/>
          <w:sz w:val="36"/>
          <w:szCs w:val="36"/>
        </w:rPr>
        <w:t xml:space="preserve">5. </w:t>
      </w:r>
      <w:r w:rsidR="00693370" w:rsidRPr="00766FAE">
        <w:rPr>
          <w:rFonts w:ascii="Arial" w:hAnsi="Arial" w:cs="Arial"/>
          <w:b/>
          <w:bCs/>
          <w:sz w:val="36"/>
          <w:szCs w:val="36"/>
          <w:u w:val="single"/>
        </w:rPr>
        <w:t>Impact of Chronic Kidney Disease</w:t>
      </w:r>
    </w:p>
    <w:p w14:paraId="74616634" w14:textId="77777777" w:rsidR="00693370" w:rsidRDefault="00693370" w:rsidP="00F24D45">
      <w:pPr>
        <w:pStyle w:val="NormalWeb"/>
        <w:spacing w:line="360" w:lineRule="auto"/>
        <w:jc w:val="both"/>
        <w:rPr>
          <w:rFonts w:ascii="Arial" w:hAnsi="Arial" w:cs="Arial"/>
          <w:sz w:val="28"/>
          <w:szCs w:val="28"/>
        </w:rPr>
      </w:pPr>
      <w:r w:rsidRPr="00F24D45">
        <w:rPr>
          <w:rFonts w:ascii="Arial" w:hAnsi="Arial" w:cs="Arial"/>
          <w:sz w:val="28"/>
          <w:szCs w:val="28"/>
        </w:rPr>
        <w:t>Chronic kidney disease (CKD) exerts multidimensional effects extending beyond renal impairment. The progressive decline in kidney function results in systemic physiological complications while simultaneously affecting psychological wellbeing, social participation, and family dynamics. The burden is particularly pronounced in advanced stages and among individuals requiring renal replacement therapy.</w:t>
      </w:r>
    </w:p>
    <w:p w14:paraId="18166036" w14:textId="77777777" w:rsidR="005A7012" w:rsidRDefault="005A7012" w:rsidP="00F24D45">
      <w:pPr>
        <w:pStyle w:val="NormalWeb"/>
        <w:spacing w:line="360" w:lineRule="auto"/>
        <w:jc w:val="both"/>
        <w:rPr>
          <w:rFonts w:ascii="Arial" w:hAnsi="Arial" w:cs="Arial"/>
          <w:sz w:val="28"/>
          <w:szCs w:val="28"/>
        </w:rPr>
      </w:pPr>
    </w:p>
    <w:p w14:paraId="4CE3C519" w14:textId="1C298152" w:rsidR="00762432" w:rsidRDefault="00762432" w:rsidP="00472424">
      <w:pPr>
        <w:pStyle w:val="NormalWeb"/>
        <w:numPr>
          <w:ilvl w:val="1"/>
          <w:numId w:val="3"/>
        </w:numPr>
        <w:spacing w:line="360" w:lineRule="auto"/>
        <w:jc w:val="both"/>
        <w:rPr>
          <w:rFonts w:ascii="Arial" w:hAnsi="Arial" w:cs="Arial"/>
          <w:b/>
          <w:bCs/>
          <w:sz w:val="36"/>
          <w:szCs w:val="36"/>
          <w:u w:val="single"/>
        </w:rPr>
      </w:pPr>
      <w:r w:rsidRPr="00394AB9">
        <w:rPr>
          <w:rFonts w:ascii="Arial" w:hAnsi="Arial" w:cs="Arial"/>
          <w:b/>
          <w:bCs/>
          <w:sz w:val="36"/>
          <w:szCs w:val="36"/>
          <w:u w:val="single"/>
        </w:rPr>
        <w:t>Physical impact</w:t>
      </w:r>
    </w:p>
    <w:p w14:paraId="29F38AAA" w14:textId="0EBDAD3B" w:rsidR="00766FAE" w:rsidRDefault="00766FAE" w:rsidP="00151CD1">
      <w:pPr>
        <w:pStyle w:val="ListParagraph"/>
        <w:numPr>
          <w:ilvl w:val="0"/>
          <w:numId w:val="15"/>
        </w:numPr>
        <w:spacing w:line="360" w:lineRule="auto"/>
        <w:jc w:val="both"/>
        <w:rPr>
          <w:rFonts w:ascii="Arial" w:hAnsi="Arial" w:cs="Arial"/>
          <w:b/>
          <w:bCs/>
          <w:sz w:val="28"/>
          <w:szCs w:val="28"/>
        </w:rPr>
      </w:pPr>
      <w:r w:rsidRPr="006065F1">
        <w:rPr>
          <w:rFonts w:ascii="Arial" w:hAnsi="Arial" w:cs="Arial"/>
          <w:b/>
          <w:bCs/>
          <w:sz w:val="28"/>
          <w:szCs w:val="28"/>
        </w:rPr>
        <w:t>Anaemia</w:t>
      </w:r>
    </w:p>
    <w:p w14:paraId="5536DC2F" w14:textId="4EDDD1F1" w:rsidR="00EE1B96" w:rsidRPr="00EE1B96" w:rsidRDefault="00EE1B96" w:rsidP="00EE1B96">
      <w:pPr>
        <w:spacing w:line="360" w:lineRule="auto"/>
        <w:jc w:val="both"/>
        <w:rPr>
          <w:rFonts w:ascii="Arial" w:hAnsi="Arial" w:cs="Arial"/>
          <w:b/>
          <w:bCs/>
          <w:sz w:val="28"/>
          <w:szCs w:val="28"/>
        </w:rPr>
      </w:pPr>
      <w:r w:rsidRPr="00766FAE">
        <w:rPr>
          <w:rFonts w:ascii="Arial" w:hAnsi="Arial" w:cs="Arial"/>
          <w:sz w:val="28"/>
          <w:szCs w:val="28"/>
        </w:rPr>
        <w:t>Anaemia is a common complication of CKD, primarily resulting from reduced erythropoietin production by the diseased kidneys.</w:t>
      </w:r>
    </w:p>
    <w:p w14:paraId="3F478664" w14:textId="4D0BCB3C" w:rsidR="00B57144" w:rsidRDefault="00B57144" w:rsidP="0031474D">
      <w:pPr>
        <w:spacing w:line="360" w:lineRule="auto"/>
        <w:ind w:left="360"/>
        <w:jc w:val="both"/>
        <w:rPr>
          <w:rFonts w:ascii="Arial" w:hAnsi="Arial" w:cs="Arial"/>
          <w:b/>
          <w:bCs/>
          <w:sz w:val="28"/>
          <w:szCs w:val="28"/>
        </w:rPr>
      </w:pPr>
      <w:r>
        <w:rPr>
          <w:noProof/>
        </w:rPr>
        <w:lastRenderedPageBreak/>
        <w:drawing>
          <wp:inline distT="0" distB="0" distL="0" distR="0" wp14:anchorId="1958F95E" wp14:editId="580A7C74">
            <wp:extent cx="4259580" cy="3297075"/>
            <wp:effectExtent l="0" t="0" r="7620" b="0"/>
            <wp:docPr id="8148868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2243" cy="3314617"/>
                    </a:xfrm>
                    <a:prstGeom prst="rect">
                      <a:avLst/>
                    </a:prstGeom>
                    <a:noFill/>
                    <a:ln>
                      <a:noFill/>
                    </a:ln>
                  </pic:spPr>
                </pic:pic>
              </a:graphicData>
            </a:graphic>
          </wp:inline>
        </w:drawing>
      </w:r>
    </w:p>
    <w:p w14:paraId="181EBAEF" w14:textId="35EE289B" w:rsidR="00842AD8" w:rsidRPr="00842AD8" w:rsidRDefault="008B1D2A" w:rsidP="00842AD8">
      <w:pPr>
        <w:spacing w:line="360" w:lineRule="auto"/>
        <w:jc w:val="both"/>
        <w:rPr>
          <w:rFonts w:ascii="Arial" w:eastAsia="Times New Roman" w:hAnsi="Arial" w:cs="Arial"/>
          <w:lang w:val="en-IN" w:eastAsia="en-IN"/>
        </w:rPr>
      </w:pPr>
      <w:r>
        <w:rPr>
          <w:rFonts w:ascii="Arial" w:hAnsi="Arial" w:cs="Arial"/>
        </w:rPr>
        <w:t>Figure</w:t>
      </w:r>
      <w:r w:rsidR="005109DC" w:rsidRPr="00E61B2F">
        <w:rPr>
          <w:rFonts w:ascii="Arial" w:hAnsi="Arial" w:cs="Arial"/>
        </w:rPr>
        <w:t>:</w:t>
      </w:r>
      <w:r w:rsidR="00587469">
        <w:rPr>
          <w:rFonts w:ascii="Arial" w:hAnsi="Arial" w:cs="Arial"/>
        </w:rPr>
        <w:t>5</w:t>
      </w:r>
      <w:r w:rsidR="00842AD8" w:rsidRPr="00842AD8">
        <w:rPr>
          <w:rFonts w:ascii="Times New Roman" w:eastAsia="Times New Roman" w:hAnsi="Times New Roman" w:cs="Times New Roman"/>
          <w:sz w:val="24"/>
          <w:szCs w:val="24"/>
          <w:lang w:val="en-IN" w:eastAsia="en-IN"/>
        </w:rPr>
        <w:t xml:space="preserve"> </w:t>
      </w:r>
      <w:r w:rsidR="00842AD8" w:rsidRPr="00842AD8">
        <w:rPr>
          <w:rFonts w:ascii="Arial" w:eastAsia="Times New Roman" w:hAnsi="Arial" w:cs="Arial"/>
          <w:lang w:val="en-IN" w:eastAsia="en-IN"/>
        </w:rPr>
        <w:t>(NAKHOUL and SIMON, 2016)</w:t>
      </w:r>
    </w:p>
    <w:p w14:paraId="2FE2F911" w14:textId="6DF62CED" w:rsidR="005109DC" w:rsidRPr="005109DC" w:rsidRDefault="005109DC" w:rsidP="005109DC">
      <w:pPr>
        <w:spacing w:line="360" w:lineRule="auto"/>
        <w:jc w:val="both"/>
        <w:rPr>
          <w:rFonts w:ascii="Arial" w:hAnsi="Arial" w:cs="Arial"/>
          <w:lang w:val="en-IN"/>
        </w:rPr>
      </w:pPr>
    </w:p>
    <w:p w14:paraId="10C50551" w14:textId="4F7AB1E0" w:rsidR="004A36F3" w:rsidRDefault="00766FAE" w:rsidP="004A36F3">
      <w:pPr>
        <w:pStyle w:val="NormalWeb"/>
        <w:spacing w:line="360" w:lineRule="auto"/>
        <w:jc w:val="both"/>
        <w:rPr>
          <w:rFonts w:ascii="Arial" w:hAnsi="Arial" w:cs="Arial"/>
          <w:sz w:val="28"/>
          <w:szCs w:val="28"/>
          <w:lang w:val="en-IN"/>
        </w:rPr>
      </w:pPr>
      <w:r w:rsidRPr="00766FAE">
        <w:rPr>
          <w:rFonts w:ascii="Arial" w:hAnsi="Arial" w:cs="Arial"/>
          <w:sz w:val="28"/>
          <w:szCs w:val="28"/>
        </w:rPr>
        <w:t>As renal function declines, insufficient stimulation of bone marrow leads to decreased haemoglobin levels, contributing to fatigue, reduced exercise tolerance, and impaired cognitive function (KDIGO, 201</w:t>
      </w:r>
      <w:r w:rsidR="008E4678">
        <w:rPr>
          <w:rFonts w:ascii="Arial" w:hAnsi="Arial" w:cs="Arial"/>
          <w:sz w:val="28"/>
          <w:szCs w:val="28"/>
        </w:rPr>
        <w:t>3</w:t>
      </w:r>
      <w:r w:rsidRPr="00766FAE">
        <w:rPr>
          <w:rFonts w:ascii="Arial" w:hAnsi="Arial" w:cs="Arial"/>
          <w:sz w:val="28"/>
          <w:szCs w:val="28"/>
        </w:rPr>
        <w:t xml:space="preserve">). Anaemia is associated with increased hospitalisation </w:t>
      </w:r>
      <w:r w:rsidRPr="00766FAE">
        <w:rPr>
          <w:rFonts w:ascii="Arial" w:hAnsi="Arial" w:cs="Arial"/>
          <w:sz w:val="28"/>
          <w:szCs w:val="28"/>
        </w:rPr>
        <w:t xml:space="preserve">and mortality risk, particularly in advanced CKD stages. Although erythropoiesis-stimulating agents (ESAs) and iron supplementation are effective treatments, access and adherence may vary, and overtreatment carries cardiovascular risks, necessitating careful monitoring </w:t>
      </w:r>
      <w:r w:rsidR="004A36F3" w:rsidRPr="004A36F3">
        <w:rPr>
          <w:rFonts w:ascii="Arial" w:hAnsi="Arial" w:cs="Arial"/>
          <w:sz w:val="28"/>
          <w:szCs w:val="28"/>
          <w:lang w:val="en-IN"/>
        </w:rPr>
        <w:t>(NICE, 2021)</w:t>
      </w:r>
      <w:r w:rsidR="004A36F3">
        <w:rPr>
          <w:rFonts w:ascii="Arial" w:hAnsi="Arial" w:cs="Arial"/>
          <w:sz w:val="28"/>
          <w:szCs w:val="28"/>
          <w:lang w:val="en-IN"/>
        </w:rPr>
        <w:t>.</w:t>
      </w:r>
    </w:p>
    <w:p w14:paraId="7E3EFC05" w14:textId="40CB5BB3" w:rsidR="006065F1" w:rsidRDefault="006065F1" w:rsidP="006065F1">
      <w:pPr>
        <w:pStyle w:val="NormalWeb"/>
        <w:numPr>
          <w:ilvl w:val="0"/>
          <w:numId w:val="15"/>
        </w:numPr>
        <w:spacing w:line="360" w:lineRule="auto"/>
        <w:jc w:val="both"/>
        <w:rPr>
          <w:rFonts w:ascii="Arial" w:hAnsi="Arial" w:cs="Arial"/>
          <w:b/>
          <w:bCs/>
          <w:sz w:val="28"/>
          <w:szCs w:val="28"/>
          <w:lang w:val="en-IN"/>
        </w:rPr>
      </w:pPr>
      <w:r w:rsidRPr="006065F1">
        <w:rPr>
          <w:rFonts w:ascii="Arial" w:hAnsi="Arial" w:cs="Arial"/>
          <w:b/>
          <w:bCs/>
          <w:sz w:val="28"/>
          <w:szCs w:val="28"/>
          <w:lang w:val="en-IN"/>
        </w:rPr>
        <w:t>Chronic Kidney Disease–Mineral and Bone Disorder (CKD-MBD)</w:t>
      </w:r>
    </w:p>
    <w:p w14:paraId="2AA8C4EE" w14:textId="6F47AFC4" w:rsidR="00EC2A20" w:rsidRDefault="00EC2A20" w:rsidP="00EC2A20">
      <w:pPr>
        <w:pStyle w:val="NormalWeb"/>
        <w:spacing w:line="360" w:lineRule="auto"/>
        <w:ind w:left="360"/>
        <w:jc w:val="both"/>
        <w:rPr>
          <w:rFonts w:ascii="Arial" w:hAnsi="Arial" w:cs="Arial"/>
          <w:b/>
          <w:bCs/>
          <w:sz w:val="28"/>
          <w:szCs w:val="28"/>
          <w:lang w:val="en-IN"/>
        </w:rPr>
      </w:pPr>
      <w:r w:rsidRPr="006065F1">
        <w:rPr>
          <w:rFonts w:ascii="Arial" w:hAnsi="Arial" w:cs="Arial"/>
          <w:sz w:val="28"/>
          <w:szCs w:val="28"/>
          <w:lang w:val="en-IN"/>
        </w:rPr>
        <w:t>Disturbances in calcium, phosphate, parathyroid hormone, and vitamin D metabolism contribute to CKD-MBD.</w:t>
      </w:r>
      <w:r w:rsidR="00BB2BB0">
        <w:rPr>
          <w:rFonts w:ascii="Arial" w:hAnsi="Arial" w:cs="Arial"/>
          <w:sz w:val="28"/>
          <w:szCs w:val="28"/>
          <w:lang w:val="en-IN"/>
        </w:rPr>
        <w:t xml:space="preserve"> </w:t>
      </w:r>
      <w:r w:rsidR="00BB2BB0" w:rsidRPr="006065F1">
        <w:rPr>
          <w:rFonts w:ascii="Arial" w:hAnsi="Arial" w:cs="Arial"/>
          <w:sz w:val="28"/>
          <w:szCs w:val="28"/>
          <w:lang w:val="en-IN"/>
        </w:rPr>
        <w:t>Impaired activation of vitamin D and phosphate retention promote secondary hyperparathyroidism, leading to bone fragility and vascular calcification. This not only increases fracture risk but also contributes to cardiovascular morbidity, illustrating the systemic consequences of renal endocrine dysfunction</w:t>
      </w:r>
      <w:r w:rsidR="00BB2BB0" w:rsidRPr="00AF5CAF">
        <w:rPr>
          <w:rFonts w:eastAsia="Times New Roman"/>
          <w:lang w:val="en-IN" w:eastAsia="en-IN"/>
        </w:rPr>
        <w:t xml:space="preserve"> </w:t>
      </w:r>
      <w:r w:rsidR="00BB2BB0" w:rsidRPr="00AF5CAF">
        <w:rPr>
          <w:rFonts w:ascii="Arial" w:hAnsi="Arial" w:cs="Arial"/>
          <w:sz w:val="28"/>
          <w:szCs w:val="28"/>
          <w:lang w:val="en-IN"/>
        </w:rPr>
        <w:t>(Moe et al., 2006)</w:t>
      </w:r>
      <w:r w:rsidR="00BB2BB0" w:rsidRPr="006065F1">
        <w:rPr>
          <w:rFonts w:ascii="Arial" w:hAnsi="Arial" w:cs="Arial"/>
          <w:sz w:val="28"/>
          <w:szCs w:val="28"/>
          <w:lang w:val="en-IN"/>
        </w:rPr>
        <w:t>.</w:t>
      </w:r>
    </w:p>
    <w:p w14:paraId="417A1F1B" w14:textId="4422CFC6" w:rsidR="008A4852" w:rsidRDefault="008A4852" w:rsidP="00452388">
      <w:pPr>
        <w:pStyle w:val="NormalWeb"/>
        <w:spacing w:line="360" w:lineRule="auto"/>
        <w:ind w:left="720"/>
        <w:rPr>
          <w:rFonts w:ascii="Arial" w:hAnsi="Arial" w:cs="Arial"/>
          <w:b/>
          <w:bCs/>
          <w:sz w:val="28"/>
          <w:szCs w:val="28"/>
          <w:lang w:val="en-IN"/>
        </w:rPr>
      </w:pPr>
      <w:r>
        <w:rPr>
          <w:noProof/>
        </w:rPr>
        <w:lastRenderedPageBreak/>
        <w:drawing>
          <wp:inline distT="0" distB="0" distL="0" distR="0" wp14:anchorId="0689C955" wp14:editId="093DF88B">
            <wp:extent cx="3516042" cy="2345267"/>
            <wp:effectExtent l="0" t="0" r="8255" b="0"/>
            <wp:docPr id="941750101" name="Picture 2" descr="What is Rickets: Symptoms, Causes, and How to Manag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Rickets: Symptoms, Causes, and How to Manage i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45958" cy="2365222"/>
                    </a:xfrm>
                    <a:prstGeom prst="rect">
                      <a:avLst/>
                    </a:prstGeom>
                    <a:noFill/>
                    <a:ln>
                      <a:noFill/>
                    </a:ln>
                  </pic:spPr>
                </pic:pic>
              </a:graphicData>
            </a:graphic>
          </wp:inline>
        </w:drawing>
      </w:r>
    </w:p>
    <w:p w14:paraId="74A729A0" w14:textId="2CF210E8" w:rsidR="00452388" w:rsidRPr="00452388" w:rsidRDefault="008B1D2A" w:rsidP="00452388">
      <w:pPr>
        <w:spacing w:line="360" w:lineRule="auto"/>
        <w:jc w:val="both"/>
        <w:rPr>
          <w:rFonts w:ascii="Arial" w:hAnsi="Arial" w:cs="Arial"/>
          <w:lang w:val="en-IN"/>
        </w:rPr>
      </w:pPr>
      <w:r>
        <w:rPr>
          <w:rFonts w:ascii="Arial" w:hAnsi="Arial" w:cs="Arial"/>
        </w:rPr>
        <w:t>Figure</w:t>
      </w:r>
      <w:r w:rsidR="00452388" w:rsidRPr="00E61B2F">
        <w:rPr>
          <w:rFonts w:ascii="Arial" w:hAnsi="Arial" w:cs="Arial"/>
        </w:rPr>
        <w:t>:</w:t>
      </w:r>
      <w:r w:rsidR="00587469">
        <w:rPr>
          <w:rFonts w:ascii="Arial" w:hAnsi="Arial" w:cs="Arial"/>
        </w:rPr>
        <w:t>6</w:t>
      </w:r>
      <w:r w:rsidR="00B0612E" w:rsidRPr="00B0612E">
        <w:rPr>
          <w:rFonts w:ascii="Times New Roman" w:eastAsia="Times New Roman" w:hAnsi="Times New Roman" w:cs="Times New Roman"/>
          <w:sz w:val="24"/>
          <w:szCs w:val="24"/>
          <w:lang w:val="en-IN" w:eastAsia="en-IN"/>
        </w:rPr>
        <w:t xml:space="preserve"> </w:t>
      </w:r>
      <w:r w:rsidR="00B0612E" w:rsidRPr="00B0612E">
        <w:rPr>
          <w:rFonts w:ascii="Arial" w:hAnsi="Arial" w:cs="Arial"/>
          <w:lang w:val="en-IN"/>
        </w:rPr>
        <w:t>(Agarwal, 2023)</w:t>
      </w:r>
    </w:p>
    <w:p w14:paraId="1ED118E9" w14:textId="607DBFAA" w:rsidR="008A4852" w:rsidRDefault="006065F1" w:rsidP="006065F1">
      <w:pPr>
        <w:pStyle w:val="NormalWeb"/>
        <w:spacing w:line="360" w:lineRule="auto"/>
        <w:jc w:val="both"/>
        <w:rPr>
          <w:rFonts w:ascii="Arial" w:hAnsi="Arial" w:cs="Arial"/>
          <w:sz w:val="28"/>
          <w:szCs w:val="28"/>
          <w:lang w:val="en-IN"/>
        </w:rPr>
      </w:pPr>
      <w:r w:rsidRPr="006065F1">
        <w:rPr>
          <w:rFonts w:ascii="Arial" w:hAnsi="Arial" w:cs="Arial"/>
          <w:sz w:val="28"/>
          <w:szCs w:val="28"/>
          <w:lang w:val="en-IN"/>
        </w:rPr>
        <w:t>Management is complex and requires dietary restriction, phosphate binders, and vitamin D analogues, yet adherence can be challenging due to pill burden and dietary limitations.</w:t>
      </w:r>
    </w:p>
    <w:p w14:paraId="20EEC64F" w14:textId="004F9DD4" w:rsidR="00FF71B9" w:rsidRPr="00FF71B9" w:rsidRDefault="00FF71B9" w:rsidP="00FF71B9">
      <w:pPr>
        <w:pStyle w:val="NormalWeb"/>
        <w:numPr>
          <w:ilvl w:val="0"/>
          <w:numId w:val="15"/>
        </w:numPr>
        <w:spacing w:line="360" w:lineRule="auto"/>
        <w:jc w:val="both"/>
        <w:rPr>
          <w:rFonts w:ascii="Arial" w:hAnsi="Arial" w:cs="Arial"/>
          <w:b/>
          <w:bCs/>
          <w:sz w:val="28"/>
          <w:szCs w:val="28"/>
          <w:lang w:val="en-IN"/>
        </w:rPr>
      </w:pPr>
      <w:r w:rsidRPr="00FF71B9">
        <w:rPr>
          <w:rFonts w:ascii="Arial" w:hAnsi="Arial" w:cs="Arial"/>
          <w:b/>
          <w:bCs/>
          <w:sz w:val="28"/>
          <w:szCs w:val="28"/>
          <w:lang w:val="en-IN"/>
        </w:rPr>
        <w:t>Cardiovascular Disease</w:t>
      </w:r>
    </w:p>
    <w:p w14:paraId="033A84FE" w14:textId="60D1429C" w:rsidR="00FF71B9" w:rsidRDefault="00FF71B9" w:rsidP="00FF71B9">
      <w:pPr>
        <w:pStyle w:val="NormalWeb"/>
        <w:spacing w:line="360" w:lineRule="auto"/>
        <w:jc w:val="both"/>
        <w:rPr>
          <w:rFonts w:ascii="Arial" w:hAnsi="Arial" w:cs="Arial"/>
          <w:sz w:val="28"/>
          <w:szCs w:val="28"/>
          <w:lang w:val="en-IN"/>
        </w:rPr>
      </w:pPr>
      <w:r w:rsidRPr="00FF71B9">
        <w:rPr>
          <w:rFonts w:ascii="Arial" w:hAnsi="Arial" w:cs="Arial"/>
          <w:sz w:val="28"/>
          <w:szCs w:val="28"/>
          <w:lang w:val="en-IN"/>
        </w:rPr>
        <w:t xml:space="preserve">Cardiovascular disease (CVD) remains the leading cause of death in individuals with CKD. Even early-stage CKD independently increases the risk of </w:t>
      </w:r>
      <w:r w:rsidRPr="00FF71B9">
        <w:rPr>
          <w:rFonts w:ascii="Arial" w:hAnsi="Arial" w:cs="Arial"/>
          <w:sz w:val="28"/>
          <w:szCs w:val="28"/>
          <w:lang w:val="en-IN"/>
        </w:rPr>
        <w:t xml:space="preserve">myocardial infarction, stroke, and heart </w:t>
      </w:r>
      <w:r w:rsidR="008D75A3" w:rsidRPr="008D75A3">
        <w:rPr>
          <w:rFonts w:ascii="Arial" w:hAnsi="Arial" w:cs="Arial"/>
          <w:sz w:val="28"/>
          <w:szCs w:val="28"/>
          <w:lang w:val="en-IN"/>
        </w:rPr>
        <w:t>(Go et al., 2004)</w:t>
      </w:r>
      <w:r w:rsidR="00B46101">
        <w:rPr>
          <w:rFonts w:ascii="Arial" w:hAnsi="Arial" w:cs="Arial"/>
          <w:sz w:val="28"/>
          <w:szCs w:val="28"/>
          <w:lang w:val="en-IN"/>
        </w:rPr>
        <w:t xml:space="preserve">. </w:t>
      </w:r>
      <w:r w:rsidRPr="00FF71B9">
        <w:rPr>
          <w:rFonts w:ascii="Arial" w:hAnsi="Arial" w:cs="Arial"/>
          <w:sz w:val="28"/>
          <w:szCs w:val="28"/>
          <w:lang w:val="en-IN"/>
        </w:rPr>
        <w:t>Pathophysiological mechanisms include hypertension, endothelial dysfunction, inflammation, and vascular calcification. Importantly, traditional cardiovascular risk models may underestimate risk in CKD populations, highlighting the need for proactive risk modification within primary and secondary care settings.</w:t>
      </w:r>
    </w:p>
    <w:p w14:paraId="72987496" w14:textId="1FB2A72B" w:rsidR="00B46101" w:rsidRPr="00B46101" w:rsidRDefault="00B46101" w:rsidP="00B46101">
      <w:pPr>
        <w:pStyle w:val="NormalWeb"/>
        <w:numPr>
          <w:ilvl w:val="0"/>
          <w:numId w:val="15"/>
        </w:numPr>
        <w:spacing w:line="360" w:lineRule="auto"/>
        <w:jc w:val="both"/>
        <w:rPr>
          <w:rFonts w:ascii="Arial" w:hAnsi="Arial" w:cs="Arial"/>
          <w:b/>
          <w:bCs/>
          <w:sz w:val="28"/>
          <w:szCs w:val="28"/>
          <w:lang w:val="en-IN"/>
        </w:rPr>
      </w:pPr>
      <w:r w:rsidRPr="00B46101">
        <w:rPr>
          <w:rFonts w:ascii="Arial" w:hAnsi="Arial" w:cs="Arial"/>
          <w:b/>
          <w:bCs/>
          <w:sz w:val="28"/>
          <w:szCs w:val="28"/>
          <w:lang w:val="en-IN"/>
        </w:rPr>
        <w:t>Dialysis-Related Complications</w:t>
      </w:r>
    </w:p>
    <w:p w14:paraId="5DBD975A" w14:textId="4CF1CA7B" w:rsidR="00B46101" w:rsidRDefault="00B46101" w:rsidP="00B46101">
      <w:pPr>
        <w:pStyle w:val="NormalWeb"/>
        <w:spacing w:line="360" w:lineRule="auto"/>
        <w:jc w:val="both"/>
        <w:rPr>
          <w:rFonts w:ascii="Arial" w:hAnsi="Arial" w:cs="Arial"/>
          <w:sz w:val="28"/>
          <w:szCs w:val="28"/>
          <w:lang w:val="en-IN"/>
        </w:rPr>
      </w:pPr>
      <w:r w:rsidRPr="00B46101">
        <w:rPr>
          <w:rFonts w:ascii="Arial" w:hAnsi="Arial" w:cs="Arial"/>
          <w:sz w:val="28"/>
          <w:szCs w:val="28"/>
          <w:lang w:val="en-IN"/>
        </w:rPr>
        <w:t xml:space="preserve">For patients requiring haemodialysis or peritoneal dialysis, treatment itself introduces additional morbidity. Haemodialysis is associated with hypotension, vascular access complications, and infection risk, while peritoneal dialysis carries risk of peritonitis and catheter malfunction </w:t>
      </w:r>
      <w:r w:rsidR="007F2E30" w:rsidRPr="007F2E30">
        <w:rPr>
          <w:rFonts w:ascii="Arial" w:hAnsi="Arial" w:cs="Arial"/>
          <w:sz w:val="28"/>
          <w:szCs w:val="28"/>
          <w:lang w:val="en-IN"/>
        </w:rPr>
        <w:t>(UK kidney foundation, 2022)</w:t>
      </w:r>
      <w:r w:rsidRPr="00B46101">
        <w:rPr>
          <w:rFonts w:ascii="Arial" w:hAnsi="Arial" w:cs="Arial"/>
          <w:sz w:val="28"/>
          <w:szCs w:val="28"/>
          <w:lang w:val="en-IN"/>
        </w:rPr>
        <w:t xml:space="preserve">. Beyond physical complications, dialysis schedules impose significant lifestyle restrictions. Thus, while renal replacement therapy is </w:t>
      </w:r>
      <w:r w:rsidRPr="00B46101">
        <w:rPr>
          <w:rFonts w:ascii="Arial" w:hAnsi="Arial" w:cs="Arial"/>
          <w:sz w:val="28"/>
          <w:szCs w:val="28"/>
          <w:lang w:val="en-IN"/>
        </w:rPr>
        <w:lastRenderedPageBreak/>
        <w:t>life-sustaining, it is not curative and contributes to ongoing physical and psychosocial burden.</w:t>
      </w:r>
    </w:p>
    <w:p w14:paraId="417EB50D" w14:textId="77777777" w:rsidR="00F703F8" w:rsidRPr="00F703F8" w:rsidRDefault="00F703F8" w:rsidP="00F703F8">
      <w:pPr>
        <w:pStyle w:val="NormalWeb"/>
        <w:spacing w:line="360" w:lineRule="auto"/>
        <w:jc w:val="both"/>
        <w:rPr>
          <w:rFonts w:ascii="Arial" w:hAnsi="Arial" w:cs="Arial"/>
          <w:b/>
          <w:bCs/>
          <w:sz w:val="36"/>
          <w:szCs w:val="36"/>
          <w:lang w:val="en-IN"/>
        </w:rPr>
      </w:pPr>
      <w:r w:rsidRPr="00F703F8">
        <w:rPr>
          <w:rFonts w:ascii="Arial" w:hAnsi="Arial" w:cs="Arial"/>
          <w:b/>
          <w:bCs/>
          <w:sz w:val="36"/>
          <w:szCs w:val="36"/>
          <w:lang w:val="en-IN"/>
        </w:rPr>
        <w:t xml:space="preserve">5.2 </w:t>
      </w:r>
      <w:r w:rsidRPr="00F703F8">
        <w:rPr>
          <w:rFonts w:ascii="Arial" w:hAnsi="Arial" w:cs="Arial"/>
          <w:b/>
          <w:bCs/>
          <w:sz w:val="36"/>
          <w:szCs w:val="36"/>
          <w:u w:val="single"/>
          <w:lang w:val="en-IN"/>
        </w:rPr>
        <w:t>Psychological Impact</w:t>
      </w:r>
    </w:p>
    <w:p w14:paraId="34F49A60" w14:textId="77777777" w:rsidR="00F703F8" w:rsidRPr="00F703F8" w:rsidRDefault="00F703F8" w:rsidP="00F703F8">
      <w:pPr>
        <w:pStyle w:val="NormalWeb"/>
        <w:spacing w:line="360" w:lineRule="auto"/>
        <w:jc w:val="both"/>
        <w:rPr>
          <w:rFonts w:ascii="Arial" w:hAnsi="Arial" w:cs="Arial"/>
          <w:sz w:val="28"/>
          <w:szCs w:val="28"/>
          <w:lang w:val="en-IN"/>
        </w:rPr>
      </w:pPr>
      <w:r w:rsidRPr="00F703F8">
        <w:rPr>
          <w:rFonts w:ascii="Arial" w:hAnsi="Arial" w:cs="Arial"/>
          <w:sz w:val="28"/>
          <w:szCs w:val="28"/>
          <w:lang w:val="en-IN"/>
        </w:rPr>
        <w:t>The psychological consequences of CKD are frequently under-recognised yet clinically significant.</w:t>
      </w:r>
    </w:p>
    <w:p w14:paraId="26D328DF" w14:textId="3E8A9B1F" w:rsidR="00F703F8" w:rsidRPr="00F703F8" w:rsidRDefault="00F703F8" w:rsidP="0009235E">
      <w:pPr>
        <w:pStyle w:val="NormalWeb"/>
        <w:numPr>
          <w:ilvl w:val="1"/>
          <w:numId w:val="5"/>
        </w:numPr>
        <w:spacing w:line="360" w:lineRule="auto"/>
        <w:jc w:val="both"/>
        <w:rPr>
          <w:rFonts w:ascii="Arial" w:hAnsi="Arial" w:cs="Arial"/>
          <w:b/>
          <w:bCs/>
          <w:sz w:val="28"/>
          <w:szCs w:val="28"/>
          <w:lang w:val="en-IN"/>
        </w:rPr>
      </w:pPr>
      <w:r w:rsidRPr="00F703F8">
        <w:rPr>
          <w:rFonts w:ascii="Arial" w:hAnsi="Arial" w:cs="Arial"/>
          <w:b/>
          <w:bCs/>
          <w:sz w:val="28"/>
          <w:szCs w:val="28"/>
          <w:lang w:val="en-IN"/>
        </w:rPr>
        <w:t>Depression and Anxiety</w:t>
      </w:r>
    </w:p>
    <w:p w14:paraId="0E156B54" w14:textId="2CFB1E16" w:rsidR="00891E41" w:rsidRDefault="00F703F8" w:rsidP="00F703F8">
      <w:pPr>
        <w:pStyle w:val="NormalWeb"/>
        <w:spacing w:line="360" w:lineRule="auto"/>
        <w:jc w:val="both"/>
        <w:rPr>
          <w:rFonts w:ascii="Arial" w:hAnsi="Arial" w:cs="Arial"/>
          <w:sz w:val="28"/>
          <w:szCs w:val="28"/>
          <w:lang w:val="en-IN"/>
        </w:rPr>
      </w:pPr>
      <w:r w:rsidRPr="00F703F8">
        <w:rPr>
          <w:rFonts w:ascii="Arial" w:hAnsi="Arial" w:cs="Arial"/>
          <w:sz w:val="28"/>
          <w:szCs w:val="28"/>
          <w:lang w:val="en-IN"/>
        </w:rPr>
        <w:t xml:space="preserve">Depression prevalence in CKD is substantially higher than in the general population, affecting approximately 20–30% of individuals with advanced disease </w:t>
      </w:r>
      <w:r w:rsidR="0053119E" w:rsidRPr="0053119E">
        <w:rPr>
          <w:rFonts w:ascii="Arial" w:hAnsi="Arial" w:cs="Arial"/>
          <w:sz w:val="28"/>
          <w:szCs w:val="28"/>
          <w:lang w:val="en-IN"/>
        </w:rPr>
        <w:t>(Palmer et al., 2013)</w:t>
      </w:r>
      <w:r w:rsidRPr="00F703F8">
        <w:rPr>
          <w:rFonts w:ascii="Arial" w:hAnsi="Arial" w:cs="Arial"/>
          <w:sz w:val="28"/>
          <w:szCs w:val="28"/>
          <w:lang w:val="en-IN"/>
        </w:rPr>
        <w:t>. Depression is associated with poorer treatment adherence, increased hospitalisation, and reduced survival. Despite this, routine psychological screening is inconsistently implemented across renal services, reflecting gaps in holistic care provision.</w:t>
      </w:r>
    </w:p>
    <w:p w14:paraId="3C08F1DF" w14:textId="77777777" w:rsidR="00BB2BB0" w:rsidRDefault="00BB2BB0" w:rsidP="00F703F8">
      <w:pPr>
        <w:pStyle w:val="NormalWeb"/>
        <w:spacing w:line="360" w:lineRule="auto"/>
        <w:jc w:val="both"/>
        <w:rPr>
          <w:rFonts w:ascii="Arial" w:hAnsi="Arial" w:cs="Arial"/>
          <w:sz w:val="28"/>
          <w:szCs w:val="28"/>
          <w:lang w:val="en-IN"/>
        </w:rPr>
      </w:pPr>
    </w:p>
    <w:p w14:paraId="6400D5A2" w14:textId="77777777" w:rsidR="00BB2BB0" w:rsidRPr="00F703F8" w:rsidRDefault="00BB2BB0" w:rsidP="00F703F8">
      <w:pPr>
        <w:pStyle w:val="NormalWeb"/>
        <w:spacing w:line="360" w:lineRule="auto"/>
        <w:jc w:val="both"/>
        <w:rPr>
          <w:rFonts w:ascii="Arial" w:hAnsi="Arial" w:cs="Arial"/>
          <w:sz w:val="28"/>
          <w:szCs w:val="28"/>
          <w:lang w:val="en-IN"/>
        </w:rPr>
      </w:pPr>
    </w:p>
    <w:p w14:paraId="0F361217" w14:textId="1993C369" w:rsidR="00F703F8" w:rsidRDefault="00F703F8" w:rsidP="0053119E">
      <w:pPr>
        <w:pStyle w:val="NormalWeb"/>
        <w:numPr>
          <w:ilvl w:val="1"/>
          <w:numId w:val="5"/>
        </w:numPr>
        <w:spacing w:line="360" w:lineRule="auto"/>
        <w:jc w:val="both"/>
        <w:rPr>
          <w:rFonts w:ascii="Arial" w:hAnsi="Arial" w:cs="Arial"/>
          <w:b/>
          <w:bCs/>
          <w:sz w:val="28"/>
          <w:szCs w:val="28"/>
          <w:lang w:val="en-IN"/>
        </w:rPr>
      </w:pPr>
      <w:r w:rsidRPr="00F703F8">
        <w:rPr>
          <w:rFonts w:ascii="Arial" w:hAnsi="Arial" w:cs="Arial"/>
          <w:b/>
          <w:bCs/>
          <w:sz w:val="28"/>
          <w:szCs w:val="28"/>
          <w:lang w:val="en-IN"/>
        </w:rPr>
        <w:t>Illness Uncertainty</w:t>
      </w:r>
    </w:p>
    <w:p w14:paraId="38BDF3C8" w14:textId="77777777" w:rsidR="00891E41" w:rsidRPr="00891E41" w:rsidRDefault="00891E41" w:rsidP="00891E41">
      <w:pPr>
        <w:pStyle w:val="NormalWeb"/>
        <w:spacing w:line="360" w:lineRule="auto"/>
        <w:jc w:val="both"/>
        <w:rPr>
          <w:rFonts w:ascii="Arial" w:hAnsi="Arial" w:cs="Arial"/>
          <w:sz w:val="28"/>
          <w:szCs w:val="28"/>
          <w:lang w:val="en-IN"/>
        </w:rPr>
      </w:pPr>
      <w:r w:rsidRPr="00891E41">
        <w:rPr>
          <w:rFonts w:ascii="Arial" w:hAnsi="Arial" w:cs="Arial"/>
          <w:sz w:val="28"/>
          <w:szCs w:val="28"/>
          <w:lang w:val="en-IN"/>
        </w:rPr>
        <w:t>CKD is often asymptomatic in early stages but progressive and unpredictable in trajectory. This uncertainty contributes to chronic stress and anxiety, particularly surrounding potential dialysis initiation or transplantation. Patients frequently report feelings of loss of control and fear regarding disease progression. Such psychological distress may influence decision-making and engagement with self-management strategies.</w:t>
      </w:r>
    </w:p>
    <w:p w14:paraId="6A3E0590" w14:textId="026F1B86" w:rsidR="00891E41" w:rsidRPr="00891E41" w:rsidRDefault="00891E41" w:rsidP="00891E41">
      <w:pPr>
        <w:pStyle w:val="NormalWeb"/>
        <w:numPr>
          <w:ilvl w:val="1"/>
          <w:numId w:val="5"/>
        </w:numPr>
        <w:spacing w:line="360" w:lineRule="auto"/>
        <w:jc w:val="both"/>
        <w:rPr>
          <w:rFonts w:ascii="Arial" w:hAnsi="Arial" w:cs="Arial"/>
          <w:b/>
          <w:bCs/>
          <w:sz w:val="28"/>
          <w:szCs w:val="28"/>
          <w:lang w:val="en-IN"/>
        </w:rPr>
      </w:pPr>
      <w:r w:rsidRPr="00891E41">
        <w:rPr>
          <w:rFonts w:ascii="Arial" w:hAnsi="Arial" w:cs="Arial"/>
          <w:b/>
          <w:bCs/>
          <w:sz w:val="28"/>
          <w:szCs w:val="28"/>
          <w:lang w:val="en-IN"/>
        </w:rPr>
        <w:t>Reduced Quality of Life</w:t>
      </w:r>
    </w:p>
    <w:p w14:paraId="4EAB54DE" w14:textId="39BB32F8" w:rsidR="00891E41" w:rsidRDefault="00891E41" w:rsidP="001F7880">
      <w:pPr>
        <w:pStyle w:val="NormalWeb"/>
        <w:spacing w:line="360" w:lineRule="auto"/>
        <w:ind w:left="360"/>
        <w:jc w:val="both"/>
        <w:rPr>
          <w:rFonts w:ascii="Arial" w:hAnsi="Arial" w:cs="Arial"/>
          <w:sz w:val="28"/>
          <w:szCs w:val="28"/>
          <w:lang w:val="en-IN"/>
        </w:rPr>
      </w:pPr>
      <w:r w:rsidRPr="00891E41">
        <w:rPr>
          <w:rFonts w:ascii="Arial" w:hAnsi="Arial" w:cs="Arial"/>
          <w:sz w:val="28"/>
          <w:szCs w:val="28"/>
          <w:lang w:val="en-IN"/>
        </w:rPr>
        <w:t xml:space="preserve">Health-related quality of life (HRQoL) declines as CKD advances, particularly in patients receiving dialysis. Fatigue, dietary restrictions, and treatment schedules limit daily functioning and social participation. Studies demonstrate significantly lower HRQoL scores in dialysis populations </w:t>
      </w:r>
      <w:r w:rsidRPr="00891E41">
        <w:rPr>
          <w:rFonts w:ascii="Arial" w:hAnsi="Arial" w:cs="Arial"/>
          <w:sz w:val="28"/>
          <w:szCs w:val="28"/>
          <w:lang w:val="en-IN"/>
        </w:rPr>
        <w:lastRenderedPageBreak/>
        <w:t xml:space="preserve">compared to those with other chronic illnesses </w:t>
      </w:r>
      <w:r w:rsidR="001F7880" w:rsidRPr="001F7880">
        <w:rPr>
          <w:rFonts w:ascii="Arial" w:hAnsi="Arial" w:cs="Arial"/>
          <w:sz w:val="28"/>
          <w:szCs w:val="28"/>
          <w:lang w:val="en-IN"/>
        </w:rPr>
        <w:t>(Pagels et al., 2012)</w:t>
      </w:r>
      <w:r w:rsidR="001F7880">
        <w:rPr>
          <w:rFonts w:ascii="Arial" w:hAnsi="Arial" w:cs="Arial"/>
          <w:sz w:val="28"/>
          <w:szCs w:val="28"/>
          <w:lang w:val="en-IN"/>
        </w:rPr>
        <w:t xml:space="preserve">. </w:t>
      </w:r>
      <w:r w:rsidRPr="00891E41">
        <w:rPr>
          <w:rFonts w:ascii="Arial" w:hAnsi="Arial" w:cs="Arial"/>
          <w:sz w:val="28"/>
          <w:szCs w:val="28"/>
          <w:lang w:val="en-IN"/>
        </w:rPr>
        <w:t>Addressing quality of life requires multidisciplinary intervention beyond biomedical management alone.</w:t>
      </w:r>
    </w:p>
    <w:p w14:paraId="772F78B5" w14:textId="77777777" w:rsidR="00314717" w:rsidRPr="00314717" w:rsidRDefault="00314717" w:rsidP="00314717">
      <w:pPr>
        <w:pStyle w:val="NormalWeb"/>
        <w:spacing w:line="360" w:lineRule="auto"/>
        <w:ind w:left="360"/>
        <w:jc w:val="both"/>
        <w:rPr>
          <w:rFonts w:ascii="Arial" w:hAnsi="Arial" w:cs="Arial"/>
          <w:b/>
          <w:bCs/>
          <w:sz w:val="36"/>
          <w:szCs w:val="36"/>
          <w:lang w:val="en-IN"/>
        </w:rPr>
      </w:pPr>
      <w:r w:rsidRPr="00314717">
        <w:rPr>
          <w:rFonts w:ascii="Arial" w:hAnsi="Arial" w:cs="Arial"/>
          <w:b/>
          <w:bCs/>
          <w:sz w:val="36"/>
          <w:szCs w:val="36"/>
          <w:lang w:val="en-IN"/>
        </w:rPr>
        <w:t xml:space="preserve">5.3 </w:t>
      </w:r>
      <w:r w:rsidRPr="00314717">
        <w:rPr>
          <w:rFonts w:ascii="Arial" w:hAnsi="Arial" w:cs="Arial"/>
          <w:b/>
          <w:bCs/>
          <w:sz w:val="36"/>
          <w:szCs w:val="36"/>
          <w:u w:val="single"/>
          <w:lang w:val="en-IN"/>
        </w:rPr>
        <w:t>Social and Family Impact</w:t>
      </w:r>
    </w:p>
    <w:p w14:paraId="7336A84B" w14:textId="77777777" w:rsidR="00314717" w:rsidRPr="00314717" w:rsidRDefault="00314717" w:rsidP="00314717">
      <w:pPr>
        <w:pStyle w:val="NormalWeb"/>
        <w:spacing w:line="360" w:lineRule="auto"/>
        <w:ind w:left="360"/>
        <w:jc w:val="both"/>
        <w:rPr>
          <w:rFonts w:ascii="Arial" w:hAnsi="Arial" w:cs="Arial"/>
          <w:sz w:val="28"/>
          <w:szCs w:val="28"/>
          <w:lang w:val="en-IN"/>
        </w:rPr>
      </w:pPr>
      <w:r w:rsidRPr="00314717">
        <w:rPr>
          <w:rFonts w:ascii="Arial" w:hAnsi="Arial" w:cs="Arial"/>
          <w:sz w:val="28"/>
          <w:szCs w:val="28"/>
          <w:lang w:val="en-IN"/>
        </w:rPr>
        <w:t>CKD extends its impact beyond the individual, affecting families, carers, and wider social networks.</w:t>
      </w:r>
    </w:p>
    <w:p w14:paraId="12E33EDC" w14:textId="43B3A832" w:rsidR="00314717" w:rsidRPr="00314717" w:rsidRDefault="00314717" w:rsidP="00314717">
      <w:pPr>
        <w:pStyle w:val="NormalWeb"/>
        <w:numPr>
          <w:ilvl w:val="1"/>
          <w:numId w:val="4"/>
        </w:numPr>
        <w:spacing w:line="360" w:lineRule="auto"/>
        <w:jc w:val="both"/>
        <w:rPr>
          <w:rFonts w:ascii="Arial" w:hAnsi="Arial" w:cs="Arial"/>
          <w:b/>
          <w:bCs/>
          <w:sz w:val="28"/>
          <w:szCs w:val="28"/>
          <w:lang w:val="en-IN"/>
        </w:rPr>
      </w:pPr>
      <w:r w:rsidRPr="00314717">
        <w:rPr>
          <w:rFonts w:ascii="Arial" w:hAnsi="Arial" w:cs="Arial"/>
          <w:b/>
          <w:bCs/>
          <w:sz w:val="28"/>
          <w:szCs w:val="28"/>
          <w:lang w:val="en-IN"/>
        </w:rPr>
        <w:t>Carer Burden</w:t>
      </w:r>
    </w:p>
    <w:p w14:paraId="32EF29E8" w14:textId="0D46011D" w:rsidR="00314717" w:rsidRDefault="00314717" w:rsidP="004F421F">
      <w:pPr>
        <w:pStyle w:val="NormalWeb"/>
        <w:spacing w:line="360" w:lineRule="auto"/>
        <w:ind w:left="360"/>
        <w:jc w:val="both"/>
        <w:rPr>
          <w:rFonts w:ascii="Arial" w:hAnsi="Arial" w:cs="Arial"/>
          <w:sz w:val="28"/>
          <w:szCs w:val="28"/>
          <w:lang w:val="en-IN"/>
        </w:rPr>
      </w:pPr>
      <w:r w:rsidRPr="00314717">
        <w:rPr>
          <w:rFonts w:ascii="Arial" w:hAnsi="Arial" w:cs="Arial"/>
          <w:sz w:val="28"/>
          <w:szCs w:val="28"/>
          <w:lang w:val="en-IN"/>
        </w:rPr>
        <w:t xml:space="preserve">Family members often assume responsibility for medication management, transport to dialysis appointments, and emotional support. Caregiver strain is associated with increased psychological distress and reduced quality of life among carers themselves </w:t>
      </w:r>
      <w:r w:rsidR="004F421F" w:rsidRPr="004F421F">
        <w:rPr>
          <w:rFonts w:ascii="Arial" w:hAnsi="Arial" w:cs="Arial"/>
          <w:sz w:val="28"/>
          <w:szCs w:val="28"/>
          <w:lang w:val="en-IN"/>
        </w:rPr>
        <w:t>(Belasco and Sesso, 2002)</w:t>
      </w:r>
      <w:r w:rsidRPr="00314717">
        <w:rPr>
          <w:rFonts w:ascii="Arial" w:hAnsi="Arial" w:cs="Arial"/>
          <w:sz w:val="28"/>
          <w:szCs w:val="28"/>
          <w:lang w:val="en-IN"/>
        </w:rPr>
        <w:t>. Despite this, structured support for informal carers within renal pathways remains limited.</w:t>
      </w:r>
    </w:p>
    <w:p w14:paraId="7D5E6F2D" w14:textId="54B15954" w:rsidR="00F50E51" w:rsidRPr="00F50E51" w:rsidRDefault="00F50E51" w:rsidP="00F50E51">
      <w:pPr>
        <w:pStyle w:val="NormalWeb"/>
        <w:numPr>
          <w:ilvl w:val="1"/>
          <w:numId w:val="4"/>
        </w:numPr>
        <w:spacing w:line="360" w:lineRule="auto"/>
        <w:jc w:val="both"/>
        <w:rPr>
          <w:rFonts w:ascii="Arial" w:hAnsi="Arial" w:cs="Arial"/>
          <w:b/>
          <w:bCs/>
          <w:sz w:val="28"/>
          <w:szCs w:val="28"/>
          <w:lang w:val="en-IN"/>
        </w:rPr>
      </w:pPr>
      <w:r w:rsidRPr="00F50E51">
        <w:rPr>
          <w:rFonts w:ascii="Arial" w:hAnsi="Arial" w:cs="Arial"/>
          <w:b/>
          <w:bCs/>
          <w:sz w:val="28"/>
          <w:szCs w:val="28"/>
          <w:lang w:val="en-IN"/>
        </w:rPr>
        <w:t>Employment Disruption</w:t>
      </w:r>
    </w:p>
    <w:p w14:paraId="2ADBFB13" w14:textId="77777777" w:rsidR="00F50E51" w:rsidRPr="00F50E51" w:rsidRDefault="00F50E51" w:rsidP="00F50E51">
      <w:pPr>
        <w:pStyle w:val="NormalWeb"/>
        <w:spacing w:line="360" w:lineRule="auto"/>
        <w:ind w:left="360"/>
        <w:jc w:val="both"/>
        <w:rPr>
          <w:rFonts w:ascii="Arial" w:hAnsi="Arial" w:cs="Arial"/>
          <w:sz w:val="28"/>
          <w:szCs w:val="28"/>
          <w:lang w:val="en-IN"/>
        </w:rPr>
      </w:pPr>
      <w:r w:rsidRPr="00F50E51">
        <w:rPr>
          <w:rFonts w:ascii="Arial" w:hAnsi="Arial" w:cs="Arial"/>
          <w:sz w:val="28"/>
          <w:szCs w:val="28"/>
          <w:lang w:val="en-IN"/>
        </w:rPr>
        <w:t>Frequent medical appointments, fatigue, and dialysis schedules can reduce work capacity or necessitate early retirement. This loss of employment contributes not only to financial instability but also to diminished self-identity and social engagement. Younger adults with CKD may experience particularly profound occupational disruption.</w:t>
      </w:r>
    </w:p>
    <w:p w14:paraId="543BC6C4" w14:textId="7EFFA61D" w:rsidR="00F50E51" w:rsidRPr="00F50E51" w:rsidRDefault="00F50E51" w:rsidP="00180C37">
      <w:pPr>
        <w:pStyle w:val="NormalWeb"/>
        <w:numPr>
          <w:ilvl w:val="1"/>
          <w:numId w:val="4"/>
        </w:numPr>
        <w:spacing w:line="360" w:lineRule="auto"/>
        <w:jc w:val="both"/>
        <w:rPr>
          <w:rFonts w:ascii="Arial" w:hAnsi="Arial" w:cs="Arial"/>
          <w:b/>
          <w:bCs/>
          <w:sz w:val="28"/>
          <w:szCs w:val="28"/>
          <w:lang w:val="en-IN"/>
        </w:rPr>
      </w:pPr>
      <w:r w:rsidRPr="00F50E51">
        <w:rPr>
          <w:rFonts w:ascii="Arial" w:hAnsi="Arial" w:cs="Arial"/>
          <w:b/>
          <w:bCs/>
          <w:sz w:val="28"/>
          <w:szCs w:val="28"/>
          <w:lang w:val="en-IN"/>
        </w:rPr>
        <w:t>Financial Strain</w:t>
      </w:r>
    </w:p>
    <w:p w14:paraId="14453641" w14:textId="77777777" w:rsidR="00F50E51" w:rsidRDefault="00F50E51" w:rsidP="00F50E51">
      <w:pPr>
        <w:pStyle w:val="NormalWeb"/>
        <w:spacing w:line="360" w:lineRule="auto"/>
        <w:ind w:left="360"/>
        <w:jc w:val="both"/>
        <w:rPr>
          <w:rFonts w:ascii="Arial" w:hAnsi="Arial" w:cs="Arial"/>
          <w:sz w:val="28"/>
          <w:szCs w:val="28"/>
          <w:lang w:val="en-IN"/>
        </w:rPr>
      </w:pPr>
      <w:r w:rsidRPr="00F50E51">
        <w:rPr>
          <w:rFonts w:ascii="Arial" w:hAnsi="Arial" w:cs="Arial"/>
          <w:sz w:val="28"/>
          <w:szCs w:val="28"/>
          <w:lang w:val="en-IN"/>
        </w:rPr>
        <w:t>Although dialysis treatment is funded by the NHS, indirect costs — including transport, dietary requirements, and reduced income — impose financial pressure. Socioeconomic deprivation is both a risk factor for CKD and a consequence of its progression, reinforcing health inequalities.</w:t>
      </w:r>
    </w:p>
    <w:p w14:paraId="4796F6B2" w14:textId="77777777" w:rsidR="00587469" w:rsidRDefault="00587469" w:rsidP="00F50E51">
      <w:pPr>
        <w:pStyle w:val="NormalWeb"/>
        <w:spacing w:line="360" w:lineRule="auto"/>
        <w:ind w:left="360"/>
        <w:jc w:val="both"/>
        <w:rPr>
          <w:rFonts w:ascii="Arial" w:hAnsi="Arial" w:cs="Arial"/>
          <w:sz w:val="28"/>
          <w:szCs w:val="28"/>
          <w:lang w:val="en-IN"/>
        </w:rPr>
      </w:pPr>
    </w:p>
    <w:p w14:paraId="29616718" w14:textId="44922CF9" w:rsidR="00180C37" w:rsidRPr="00180C37" w:rsidRDefault="00180C37" w:rsidP="00180C37">
      <w:pPr>
        <w:pStyle w:val="NormalWeb"/>
        <w:numPr>
          <w:ilvl w:val="1"/>
          <w:numId w:val="4"/>
        </w:numPr>
        <w:spacing w:line="360" w:lineRule="auto"/>
        <w:jc w:val="both"/>
        <w:rPr>
          <w:rFonts w:ascii="Arial" w:hAnsi="Arial" w:cs="Arial"/>
          <w:b/>
          <w:bCs/>
          <w:sz w:val="28"/>
          <w:szCs w:val="28"/>
          <w:lang w:val="en-IN"/>
        </w:rPr>
      </w:pPr>
      <w:r w:rsidRPr="00180C37">
        <w:rPr>
          <w:rFonts w:ascii="Arial" w:hAnsi="Arial" w:cs="Arial"/>
          <w:b/>
          <w:bCs/>
          <w:sz w:val="28"/>
          <w:szCs w:val="28"/>
          <w:lang w:val="en-IN"/>
        </w:rPr>
        <w:lastRenderedPageBreak/>
        <w:t>Cultural and Social Considerations</w:t>
      </w:r>
    </w:p>
    <w:p w14:paraId="5984B174" w14:textId="67E99190" w:rsidR="00EE1B96" w:rsidRPr="0009235E" w:rsidRDefault="00180C37" w:rsidP="0009235E">
      <w:pPr>
        <w:pStyle w:val="NormalWeb"/>
        <w:spacing w:line="360" w:lineRule="auto"/>
        <w:ind w:left="360"/>
        <w:jc w:val="both"/>
        <w:rPr>
          <w:rFonts w:ascii="Arial" w:hAnsi="Arial" w:cs="Arial"/>
          <w:sz w:val="28"/>
          <w:szCs w:val="28"/>
          <w:lang w:val="en-IN"/>
        </w:rPr>
      </w:pPr>
      <w:r w:rsidRPr="00180C37">
        <w:rPr>
          <w:rFonts w:ascii="Arial" w:hAnsi="Arial" w:cs="Arial"/>
          <w:sz w:val="28"/>
          <w:szCs w:val="28"/>
          <w:lang w:val="en-IN"/>
        </w:rPr>
        <w:t>Cultural beliefs influence health-seeking behaviours, dietary adherence, and attitudes towards transplantation or end-of-life care. Minority ethnic communities in the UK experience higher rates of CKD progression and reduced transplant access, reflecting structural and systemic inequities (</w:t>
      </w:r>
      <w:r w:rsidR="00552EC7" w:rsidRPr="00552EC7">
        <w:rPr>
          <w:rFonts w:ascii="Arial" w:hAnsi="Arial" w:cs="Arial"/>
          <w:sz w:val="28"/>
          <w:szCs w:val="28"/>
          <w:lang w:val="en-IN"/>
        </w:rPr>
        <w:t>NHSBT, 2024)</w:t>
      </w:r>
      <w:r w:rsidRPr="00180C37">
        <w:rPr>
          <w:rFonts w:ascii="Arial" w:hAnsi="Arial" w:cs="Arial"/>
          <w:sz w:val="28"/>
          <w:szCs w:val="28"/>
          <w:lang w:val="en-IN"/>
        </w:rPr>
        <w:t>. Addressing cultural competence within renal services is therefore essential to equitable care delivery.</w:t>
      </w:r>
    </w:p>
    <w:p w14:paraId="73091339" w14:textId="1FC16677" w:rsidR="008D7EB4" w:rsidRPr="008D7EB4" w:rsidRDefault="008D7EB4" w:rsidP="008D7EB4">
      <w:pPr>
        <w:pStyle w:val="NormalWeb"/>
        <w:spacing w:line="360" w:lineRule="auto"/>
        <w:ind w:left="360"/>
        <w:jc w:val="both"/>
        <w:rPr>
          <w:rFonts w:ascii="Arial" w:hAnsi="Arial" w:cs="Arial"/>
          <w:b/>
          <w:bCs/>
          <w:sz w:val="36"/>
          <w:szCs w:val="36"/>
          <w:u w:val="single"/>
          <w:lang w:val="en-IN"/>
        </w:rPr>
      </w:pPr>
      <w:r w:rsidRPr="008D7EB4">
        <w:rPr>
          <w:rFonts w:ascii="Arial" w:hAnsi="Arial" w:cs="Arial"/>
          <w:b/>
          <w:bCs/>
          <w:sz w:val="36"/>
          <w:szCs w:val="36"/>
          <w:lang w:val="en-IN"/>
        </w:rPr>
        <w:t xml:space="preserve">6. </w:t>
      </w:r>
      <w:r w:rsidRPr="008D7EB4">
        <w:rPr>
          <w:rFonts w:ascii="Arial" w:hAnsi="Arial" w:cs="Arial"/>
          <w:b/>
          <w:bCs/>
          <w:sz w:val="36"/>
          <w:szCs w:val="36"/>
          <w:u w:val="single"/>
          <w:lang w:val="en-IN"/>
        </w:rPr>
        <w:t>Evidence-Based Management in the UK</w:t>
      </w:r>
    </w:p>
    <w:p w14:paraId="3E3364A6" w14:textId="77777777" w:rsidR="008D7EB4" w:rsidRPr="008D7EB4" w:rsidRDefault="008D7EB4" w:rsidP="008D7EB4">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 xml:space="preserve">Management of chronic kidney disease (CKD) in the UK is guided by NICE within the NHS framework. Contemporary care prioritises early detection, cardiovascular risk reduction, and </w:t>
      </w:r>
      <w:r w:rsidRPr="008D7EB4">
        <w:rPr>
          <w:rFonts w:ascii="Arial" w:hAnsi="Arial" w:cs="Arial"/>
          <w:sz w:val="28"/>
          <w:szCs w:val="28"/>
          <w:lang w:val="en-IN"/>
        </w:rPr>
        <w:t>multidisciplinary management rather than late-stage dialysis intervention.</w:t>
      </w:r>
    </w:p>
    <w:p w14:paraId="54A9005B" w14:textId="77777777" w:rsidR="008D7EB4" w:rsidRPr="008D7EB4" w:rsidRDefault="008D7EB4" w:rsidP="008D7EB4">
      <w:pPr>
        <w:pStyle w:val="NormalWeb"/>
        <w:spacing w:line="360" w:lineRule="auto"/>
        <w:ind w:left="360"/>
        <w:jc w:val="both"/>
        <w:rPr>
          <w:rFonts w:ascii="Arial" w:hAnsi="Arial" w:cs="Arial"/>
          <w:sz w:val="28"/>
          <w:szCs w:val="28"/>
          <w:lang w:val="en-IN"/>
        </w:rPr>
      </w:pPr>
      <w:r w:rsidRPr="008D7EB4">
        <w:rPr>
          <w:rFonts w:ascii="Arial" w:hAnsi="Arial" w:cs="Arial"/>
          <w:b/>
          <w:bCs/>
          <w:sz w:val="28"/>
          <w:szCs w:val="28"/>
          <w:lang w:val="en-IN"/>
        </w:rPr>
        <w:t>6.1</w:t>
      </w:r>
      <w:r w:rsidRPr="008D7EB4">
        <w:rPr>
          <w:rFonts w:ascii="Arial" w:hAnsi="Arial" w:cs="Arial"/>
          <w:sz w:val="28"/>
          <w:szCs w:val="28"/>
          <w:lang w:val="en-IN"/>
        </w:rPr>
        <w:t xml:space="preserve"> </w:t>
      </w:r>
      <w:r w:rsidRPr="008D7EB4">
        <w:rPr>
          <w:rFonts w:ascii="Arial" w:hAnsi="Arial" w:cs="Arial"/>
          <w:b/>
          <w:bCs/>
          <w:sz w:val="28"/>
          <w:szCs w:val="28"/>
          <w:lang w:val="en-IN"/>
        </w:rPr>
        <w:t>Early Stage Management (CKD 1–3)</w:t>
      </w:r>
    </w:p>
    <w:p w14:paraId="727F8AE8" w14:textId="77777777" w:rsidR="008D7EB4" w:rsidRPr="008D7EB4" w:rsidRDefault="008D7EB4" w:rsidP="008D7EB4">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Early management focuses on slowing progression and reducing cardiovascular risk.</w:t>
      </w:r>
    </w:p>
    <w:p w14:paraId="2200DD0B" w14:textId="090E0489" w:rsidR="008D7EB4" w:rsidRPr="008D7EB4" w:rsidRDefault="008D7EB4" w:rsidP="00A31A9B">
      <w:pPr>
        <w:pStyle w:val="NormalWeb"/>
        <w:numPr>
          <w:ilvl w:val="0"/>
          <w:numId w:val="38"/>
        </w:numPr>
        <w:spacing w:line="360" w:lineRule="auto"/>
        <w:rPr>
          <w:rFonts w:ascii="Arial" w:hAnsi="Arial" w:cs="Arial"/>
          <w:sz w:val="28"/>
          <w:szCs w:val="28"/>
          <w:lang w:val="en-IN"/>
        </w:rPr>
      </w:pPr>
      <w:r w:rsidRPr="008D7EB4">
        <w:rPr>
          <w:rFonts w:ascii="Arial" w:hAnsi="Arial" w:cs="Arial"/>
          <w:b/>
          <w:bCs/>
          <w:sz w:val="28"/>
          <w:szCs w:val="28"/>
          <w:lang w:val="en-IN"/>
        </w:rPr>
        <w:t>Blood Pressure Control</w:t>
      </w:r>
      <w:r w:rsidRPr="008D7EB4">
        <w:rPr>
          <w:rFonts w:ascii="Arial" w:hAnsi="Arial" w:cs="Arial"/>
          <w:sz w:val="28"/>
          <w:szCs w:val="28"/>
          <w:lang w:val="en-IN"/>
        </w:rPr>
        <w:br/>
        <w:t>Hypertension accelerates nephron loss. NICE (2021) recommends:</w:t>
      </w:r>
    </w:p>
    <w:p w14:paraId="162CC517" w14:textId="77777777" w:rsidR="008D7EB4" w:rsidRPr="008D7EB4" w:rsidRDefault="008D7EB4" w:rsidP="008D7EB4">
      <w:pPr>
        <w:pStyle w:val="NormalWeb"/>
        <w:numPr>
          <w:ilvl w:val="0"/>
          <w:numId w:val="36"/>
        </w:numPr>
        <w:spacing w:line="360" w:lineRule="auto"/>
        <w:jc w:val="both"/>
        <w:rPr>
          <w:rFonts w:ascii="Arial" w:hAnsi="Arial" w:cs="Arial"/>
          <w:sz w:val="28"/>
          <w:szCs w:val="28"/>
          <w:lang w:val="en-IN"/>
        </w:rPr>
      </w:pPr>
      <w:r w:rsidRPr="008D7EB4">
        <w:rPr>
          <w:rFonts w:ascii="Arial" w:hAnsi="Arial" w:cs="Arial"/>
          <w:sz w:val="28"/>
          <w:szCs w:val="28"/>
          <w:lang w:val="en-IN"/>
        </w:rPr>
        <w:t>&lt;140/90 mmHg (without significant proteinuria)</w:t>
      </w:r>
    </w:p>
    <w:p w14:paraId="4E91D1E1" w14:textId="77777777" w:rsidR="008D7EB4" w:rsidRPr="008D7EB4" w:rsidRDefault="008D7EB4" w:rsidP="008D7EB4">
      <w:pPr>
        <w:pStyle w:val="NormalWeb"/>
        <w:numPr>
          <w:ilvl w:val="0"/>
          <w:numId w:val="36"/>
        </w:numPr>
        <w:spacing w:line="360" w:lineRule="auto"/>
        <w:jc w:val="both"/>
        <w:rPr>
          <w:rFonts w:ascii="Arial" w:hAnsi="Arial" w:cs="Arial"/>
          <w:sz w:val="28"/>
          <w:szCs w:val="28"/>
          <w:lang w:val="en-IN"/>
        </w:rPr>
      </w:pPr>
      <w:r w:rsidRPr="008D7EB4">
        <w:rPr>
          <w:rFonts w:ascii="Arial" w:hAnsi="Arial" w:cs="Arial"/>
          <w:sz w:val="28"/>
          <w:szCs w:val="28"/>
          <w:lang w:val="en-IN"/>
        </w:rPr>
        <w:t>&lt;130/80 mmHg (ACR ≥70 mg/mmol)</w:t>
      </w:r>
    </w:p>
    <w:p w14:paraId="4B2D8C5D" w14:textId="77777777" w:rsidR="008D7EB4" w:rsidRDefault="008D7EB4" w:rsidP="008D7EB4">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Tight control reduces CKD progression and cardiovascular events (KDIGO, 2021). Targets should be individualised in frail or older patients to avoid adverse effects.</w:t>
      </w:r>
    </w:p>
    <w:p w14:paraId="0BA44219" w14:textId="77777777" w:rsidR="00587469" w:rsidRPr="008D7EB4" w:rsidRDefault="00587469" w:rsidP="008D7EB4">
      <w:pPr>
        <w:pStyle w:val="NormalWeb"/>
        <w:spacing w:line="360" w:lineRule="auto"/>
        <w:ind w:left="360"/>
        <w:jc w:val="both"/>
        <w:rPr>
          <w:rFonts w:ascii="Arial" w:hAnsi="Arial" w:cs="Arial"/>
          <w:sz w:val="28"/>
          <w:szCs w:val="28"/>
          <w:lang w:val="en-IN"/>
        </w:rPr>
      </w:pPr>
    </w:p>
    <w:p w14:paraId="6C303799" w14:textId="624A81F4" w:rsidR="00554670" w:rsidRDefault="008D7EB4" w:rsidP="00A51200">
      <w:pPr>
        <w:pStyle w:val="NormalWeb"/>
        <w:numPr>
          <w:ilvl w:val="0"/>
          <w:numId w:val="38"/>
        </w:numPr>
        <w:spacing w:line="360" w:lineRule="auto"/>
        <w:jc w:val="both"/>
        <w:rPr>
          <w:rFonts w:ascii="Arial" w:hAnsi="Arial" w:cs="Arial"/>
          <w:b/>
          <w:bCs/>
          <w:sz w:val="28"/>
          <w:szCs w:val="28"/>
          <w:lang w:val="en-IN"/>
        </w:rPr>
      </w:pPr>
      <w:r w:rsidRPr="008D7EB4">
        <w:rPr>
          <w:rFonts w:ascii="Arial" w:hAnsi="Arial" w:cs="Arial"/>
          <w:b/>
          <w:bCs/>
          <w:sz w:val="28"/>
          <w:szCs w:val="28"/>
          <w:lang w:val="en-IN"/>
        </w:rPr>
        <w:lastRenderedPageBreak/>
        <w:t>ACE Inhibitors / ARBs</w:t>
      </w:r>
    </w:p>
    <w:p w14:paraId="2D6EADA5" w14:textId="002F4F13" w:rsidR="008D7EB4" w:rsidRDefault="008D7EB4" w:rsidP="00313626">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RAAS blockade reduces intraglomerular pressure, proteinuria, and disease progression. Evidence supports benefit in both diabetic and non-diabetic proteinuric CKD</w:t>
      </w:r>
      <w:r w:rsidR="00A06912" w:rsidRPr="00A06912">
        <w:rPr>
          <w:rFonts w:eastAsia="Times New Roman"/>
          <w:lang w:val="en-IN" w:eastAsia="en-IN"/>
        </w:rPr>
        <w:t xml:space="preserve"> </w:t>
      </w:r>
      <w:r w:rsidR="00A06912" w:rsidRPr="00A06912">
        <w:rPr>
          <w:rFonts w:ascii="Arial" w:hAnsi="Arial" w:cs="Arial"/>
          <w:sz w:val="28"/>
          <w:szCs w:val="28"/>
          <w:lang w:val="en-IN"/>
        </w:rPr>
        <w:t>(Brenner et al., 2001</w:t>
      </w:r>
      <w:r w:rsidR="00313626">
        <w:rPr>
          <w:rFonts w:ascii="Arial" w:hAnsi="Arial" w:cs="Arial"/>
          <w:sz w:val="28"/>
          <w:szCs w:val="28"/>
          <w:lang w:val="en-IN"/>
        </w:rPr>
        <w:t xml:space="preserve">; </w:t>
      </w:r>
      <w:r w:rsidR="00313626" w:rsidRPr="00313626">
        <w:rPr>
          <w:rFonts w:ascii="Arial" w:hAnsi="Arial" w:cs="Arial"/>
          <w:sz w:val="28"/>
          <w:szCs w:val="28"/>
          <w:lang w:val="en-IN"/>
        </w:rPr>
        <w:t>Lewis et al., 1993)</w:t>
      </w:r>
      <w:r w:rsidR="00313626">
        <w:rPr>
          <w:rFonts w:ascii="Arial" w:hAnsi="Arial" w:cs="Arial"/>
          <w:sz w:val="28"/>
          <w:szCs w:val="28"/>
          <w:lang w:val="en-IN"/>
        </w:rPr>
        <w:t xml:space="preserve">. </w:t>
      </w:r>
      <w:r w:rsidRPr="008D7EB4">
        <w:rPr>
          <w:rFonts w:ascii="Arial" w:hAnsi="Arial" w:cs="Arial"/>
          <w:sz w:val="28"/>
          <w:szCs w:val="28"/>
          <w:lang w:val="en-IN"/>
        </w:rPr>
        <w:t>Monitoring is essential due to risks of hyperkalaemia and acute kidney injury.</w:t>
      </w:r>
    </w:p>
    <w:p w14:paraId="141E7632" w14:textId="0E34BC40" w:rsidR="009D37DB" w:rsidRDefault="009D37DB" w:rsidP="00A51200">
      <w:pPr>
        <w:pStyle w:val="NormalWeb"/>
        <w:numPr>
          <w:ilvl w:val="0"/>
          <w:numId w:val="38"/>
        </w:numPr>
        <w:spacing w:line="360" w:lineRule="auto"/>
        <w:jc w:val="both"/>
        <w:rPr>
          <w:rFonts w:ascii="Arial" w:hAnsi="Arial" w:cs="Arial"/>
          <w:b/>
          <w:bCs/>
          <w:sz w:val="28"/>
          <w:szCs w:val="28"/>
          <w:lang w:val="en-IN"/>
        </w:rPr>
      </w:pPr>
      <w:r w:rsidRPr="008D7EB4">
        <w:rPr>
          <w:rFonts w:ascii="Arial" w:hAnsi="Arial" w:cs="Arial"/>
          <w:b/>
          <w:bCs/>
          <w:sz w:val="28"/>
          <w:szCs w:val="28"/>
          <w:lang w:val="en-IN"/>
        </w:rPr>
        <w:t>SGLT2 Inhibitors</w:t>
      </w:r>
    </w:p>
    <w:p w14:paraId="365E481D" w14:textId="6A9D8018" w:rsidR="009D37DB" w:rsidRDefault="009D37DB" w:rsidP="00B77161">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Recent trials (DAPA-CKD; EMPA-KIDNEY) demonstrate reduced CKD progression, dialysis risk, and cardiovascular mortality, including in non-diabetic CKD</w:t>
      </w:r>
      <w:r w:rsidR="00F71A15" w:rsidRPr="00F71A15">
        <w:rPr>
          <w:rFonts w:eastAsia="Times New Roman"/>
          <w:lang w:val="en-IN" w:eastAsia="en-IN"/>
        </w:rPr>
        <w:t xml:space="preserve"> </w:t>
      </w:r>
      <w:r w:rsidR="00F71A15" w:rsidRPr="00F71A15">
        <w:rPr>
          <w:rFonts w:ascii="Arial" w:hAnsi="Arial" w:cs="Arial"/>
          <w:sz w:val="28"/>
          <w:szCs w:val="28"/>
          <w:lang w:val="en-IN"/>
        </w:rPr>
        <w:t>(Heerspink et al., 2020</w:t>
      </w:r>
      <w:r w:rsidR="00B77161">
        <w:rPr>
          <w:rFonts w:ascii="Arial" w:hAnsi="Arial" w:cs="Arial"/>
          <w:sz w:val="28"/>
          <w:szCs w:val="28"/>
          <w:lang w:val="en-IN"/>
        </w:rPr>
        <w:t xml:space="preserve">; </w:t>
      </w:r>
      <w:r w:rsidR="00B77161" w:rsidRPr="00B77161">
        <w:rPr>
          <w:rFonts w:ascii="Arial" w:hAnsi="Arial" w:cs="Arial"/>
          <w:sz w:val="28"/>
          <w:szCs w:val="28"/>
          <w:lang w:val="en-IN"/>
        </w:rPr>
        <w:t>The EMPA-KIDNEY Collaborative Group, 2022)</w:t>
      </w:r>
      <w:r w:rsidRPr="008D7EB4">
        <w:rPr>
          <w:rFonts w:ascii="Arial" w:hAnsi="Arial" w:cs="Arial"/>
          <w:sz w:val="28"/>
          <w:szCs w:val="28"/>
          <w:lang w:val="en-IN"/>
        </w:rPr>
        <w:t>. NICE (2023) recommends their use in albuminuric CKD where eGFR</w:t>
      </w:r>
      <w:r w:rsidR="002A5B76">
        <w:rPr>
          <w:rFonts w:ascii="Arial" w:hAnsi="Arial" w:cs="Arial"/>
          <w:sz w:val="28"/>
          <w:szCs w:val="28"/>
          <w:lang w:val="en-IN"/>
        </w:rPr>
        <w:t xml:space="preserve"> </w:t>
      </w:r>
      <w:r w:rsidRPr="008D7EB4">
        <w:rPr>
          <w:rFonts w:ascii="Arial" w:hAnsi="Arial" w:cs="Arial"/>
          <w:sz w:val="28"/>
          <w:szCs w:val="28"/>
          <w:lang w:val="en-IN"/>
        </w:rPr>
        <w:t>permits.</w:t>
      </w:r>
      <w:r w:rsidR="003A366A">
        <w:rPr>
          <w:rFonts w:ascii="Arial" w:hAnsi="Arial" w:cs="Arial"/>
          <w:sz w:val="28"/>
          <w:szCs w:val="28"/>
          <w:lang w:val="en-IN"/>
        </w:rPr>
        <w:t xml:space="preserve"> </w:t>
      </w:r>
      <w:r w:rsidRPr="008D7EB4">
        <w:rPr>
          <w:rFonts w:ascii="Arial" w:hAnsi="Arial" w:cs="Arial"/>
          <w:sz w:val="28"/>
          <w:szCs w:val="28"/>
          <w:lang w:val="en-IN"/>
        </w:rPr>
        <w:t>While practice</w:t>
      </w:r>
      <w:r w:rsidR="003A366A">
        <w:rPr>
          <w:rFonts w:ascii="Arial" w:hAnsi="Arial" w:cs="Arial"/>
          <w:sz w:val="28"/>
          <w:szCs w:val="28"/>
          <w:lang w:val="en-IN"/>
        </w:rPr>
        <w:t xml:space="preserve"> </w:t>
      </w:r>
      <w:r w:rsidRPr="008D7EB4">
        <w:rPr>
          <w:rFonts w:ascii="Arial" w:hAnsi="Arial" w:cs="Arial"/>
          <w:sz w:val="28"/>
          <w:szCs w:val="28"/>
          <w:lang w:val="en-IN"/>
        </w:rPr>
        <w:t xml:space="preserve">changing, implementation varies and cost-effectiveness </w:t>
      </w:r>
      <w:r w:rsidRPr="008D7EB4">
        <w:rPr>
          <w:rFonts w:ascii="Arial" w:hAnsi="Arial" w:cs="Arial"/>
          <w:sz w:val="28"/>
          <w:szCs w:val="28"/>
          <w:lang w:val="en-IN"/>
        </w:rPr>
        <w:t>considerations remain relevant within NHS prescribing.</w:t>
      </w:r>
    </w:p>
    <w:p w14:paraId="14E116FF" w14:textId="7D07CE43" w:rsidR="009D37DB" w:rsidRDefault="009D37DB" w:rsidP="00A51200">
      <w:pPr>
        <w:pStyle w:val="NormalWeb"/>
        <w:numPr>
          <w:ilvl w:val="0"/>
          <w:numId w:val="38"/>
        </w:numPr>
        <w:spacing w:line="360" w:lineRule="auto"/>
        <w:jc w:val="both"/>
        <w:rPr>
          <w:rFonts w:ascii="Arial" w:hAnsi="Arial" w:cs="Arial"/>
          <w:b/>
          <w:bCs/>
          <w:sz w:val="28"/>
          <w:szCs w:val="28"/>
          <w:lang w:val="en-IN"/>
        </w:rPr>
      </w:pPr>
      <w:r w:rsidRPr="008D7EB4">
        <w:rPr>
          <w:rFonts w:ascii="Arial" w:hAnsi="Arial" w:cs="Arial"/>
          <w:b/>
          <w:bCs/>
          <w:sz w:val="28"/>
          <w:szCs w:val="28"/>
          <w:lang w:val="en-IN"/>
        </w:rPr>
        <w:t>Lifestyle Intervention</w:t>
      </w:r>
      <w:r>
        <w:rPr>
          <w:rFonts w:ascii="Arial" w:hAnsi="Arial" w:cs="Arial"/>
          <w:b/>
          <w:bCs/>
          <w:sz w:val="28"/>
          <w:szCs w:val="28"/>
          <w:lang w:val="en-IN"/>
        </w:rPr>
        <w:t>s</w:t>
      </w:r>
    </w:p>
    <w:p w14:paraId="0C2C8EFE" w14:textId="6AF22137" w:rsidR="00C738E7" w:rsidRDefault="00C738E7" w:rsidP="00C738E7">
      <w:pPr>
        <w:pStyle w:val="NormalWeb"/>
        <w:spacing w:line="360" w:lineRule="auto"/>
        <w:ind w:left="360"/>
        <w:jc w:val="both"/>
        <w:rPr>
          <w:rFonts w:ascii="Arial" w:hAnsi="Arial" w:cs="Arial"/>
          <w:sz w:val="28"/>
          <w:szCs w:val="28"/>
          <w:lang w:val="en-IN"/>
        </w:rPr>
      </w:pPr>
      <w:r w:rsidRPr="008D7EB4">
        <w:rPr>
          <w:rFonts w:ascii="Arial" w:hAnsi="Arial" w:cs="Arial"/>
          <w:sz w:val="28"/>
          <w:szCs w:val="28"/>
          <w:lang w:val="en-IN"/>
        </w:rPr>
        <w:t>Key measures include sodium restriction, weight management, smoking cessation, physical activity, and glycaemic control. However, adherence is influenced by socioeconomic factors, contributing to health inequalities.</w:t>
      </w:r>
    </w:p>
    <w:p w14:paraId="28B7E2D4" w14:textId="77777777" w:rsidR="00C738E7" w:rsidRPr="00C738E7" w:rsidRDefault="00C738E7" w:rsidP="00C738E7">
      <w:pPr>
        <w:pStyle w:val="NormalWeb"/>
        <w:spacing w:line="360" w:lineRule="auto"/>
        <w:ind w:left="360"/>
        <w:jc w:val="both"/>
        <w:rPr>
          <w:rFonts w:ascii="Arial" w:hAnsi="Arial" w:cs="Arial"/>
          <w:b/>
          <w:bCs/>
          <w:sz w:val="28"/>
          <w:szCs w:val="28"/>
          <w:lang w:val="en-IN"/>
        </w:rPr>
      </w:pPr>
      <w:r w:rsidRPr="00C738E7">
        <w:rPr>
          <w:rFonts w:ascii="Arial" w:hAnsi="Arial" w:cs="Arial"/>
          <w:b/>
          <w:bCs/>
          <w:sz w:val="28"/>
          <w:szCs w:val="28"/>
          <w:lang w:val="en-IN"/>
        </w:rPr>
        <w:t>6.2 Advanced CKD Management (CKD 4–5)</w:t>
      </w:r>
    </w:p>
    <w:p w14:paraId="3185A9DF" w14:textId="77777777" w:rsidR="00C738E7" w:rsidRPr="00C738E7" w:rsidRDefault="00C738E7" w:rsidP="00C738E7">
      <w:pPr>
        <w:pStyle w:val="NormalWeb"/>
        <w:spacing w:line="360" w:lineRule="auto"/>
        <w:ind w:left="360"/>
        <w:jc w:val="both"/>
        <w:rPr>
          <w:rFonts w:ascii="Arial" w:hAnsi="Arial" w:cs="Arial"/>
          <w:sz w:val="28"/>
          <w:szCs w:val="28"/>
          <w:lang w:val="en-IN"/>
        </w:rPr>
      </w:pPr>
      <w:r w:rsidRPr="00C738E7">
        <w:rPr>
          <w:rFonts w:ascii="Arial" w:hAnsi="Arial" w:cs="Arial"/>
          <w:sz w:val="28"/>
          <w:szCs w:val="28"/>
          <w:lang w:val="en-IN"/>
        </w:rPr>
        <w:t>Management shifts towards preparation for kidney replacement therapy (KRT) or conservative care.</w:t>
      </w:r>
    </w:p>
    <w:p w14:paraId="6FD29518" w14:textId="0A591F6F" w:rsidR="00C738E7" w:rsidRDefault="00A35EC6" w:rsidP="00C738E7">
      <w:pPr>
        <w:pStyle w:val="NormalWeb"/>
        <w:spacing w:line="360" w:lineRule="auto"/>
        <w:ind w:left="360"/>
        <w:jc w:val="both"/>
        <w:rPr>
          <w:rFonts w:ascii="Arial" w:hAnsi="Arial" w:cs="Arial"/>
          <w:sz w:val="28"/>
          <w:szCs w:val="28"/>
          <w:lang w:val="en-IN"/>
        </w:rPr>
      </w:pPr>
      <w:r>
        <w:rPr>
          <w:rFonts w:ascii="Arial" w:hAnsi="Arial" w:cs="Arial"/>
          <w:b/>
          <w:bCs/>
          <w:sz w:val="28"/>
          <w:szCs w:val="28"/>
          <w:lang w:val="en-IN"/>
        </w:rPr>
        <w:t>1.</w:t>
      </w:r>
      <w:r w:rsidR="00C738E7" w:rsidRPr="00C738E7">
        <w:rPr>
          <w:rFonts w:ascii="Arial" w:hAnsi="Arial" w:cs="Arial"/>
          <w:b/>
          <w:bCs/>
          <w:sz w:val="28"/>
          <w:szCs w:val="28"/>
          <w:lang w:val="en-IN"/>
        </w:rPr>
        <w:t>Dialysis</w:t>
      </w:r>
      <w:r w:rsidR="00C738E7" w:rsidRPr="00C738E7">
        <w:rPr>
          <w:rFonts w:ascii="Arial" w:hAnsi="Arial" w:cs="Arial"/>
          <w:sz w:val="28"/>
          <w:szCs w:val="28"/>
          <w:lang w:val="en-IN"/>
        </w:rPr>
        <w:br/>
        <w:t xml:space="preserve">Haemodialysis (HD) and peritoneal dialysis (PD) offer comparable early survival. PD provides greater autonomy but carries peritonitis risk; HD is associated with vascular access complications. </w:t>
      </w:r>
      <w:r w:rsidR="00C738E7" w:rsidRPr="00C738E7">
        <w:rPr>
          <w:rFonts w:ascii="Arial" w:hAnsi="Arial" w:cs="Arial"/>
          <w:sz w:val="28"/>
          <w:szCs w:val="28"/>
          <w:lang w:val="en-IN"/>
        </w:rPr>
        <w:lastRenderedPageBreak/>
        <w:t>Modality choice should be patient-centred, although disparities in access persist.</w:t>
      </w:r>
    </w:p>
    <w:p w14:paraId="7315D39D" w14:textId="79CD746D" w:rsidR="00587469" w:rsidRPr="006C6687" w:rsidRDefault="00FB5A98" w:rsidP="006C6687">
      <w:pPr>
        <w:pStyle w:val="NormalWeb"/>
        <w:spacing w:line="360" w:lineRule="auto"/>
        <w:ind w:left="360"/>
        <w:rPr>
          <w:rFonts w:ascii="Arial" w:hAnsi="Arial" w:cs="Arial"/>
          <w:lang w:val="en-IN"/>
        </w:rPr>
      </w:pPr>
      <w:r>
        <w:rPr>
          <w:noProof/>
        </w:rPr>
        <w:drawing>
          <wp:inline distT="0" distB="0" distL="0" distR="0" wp14:anchorId="3C223BBA" wp14:editId="6793E83C">
            <wp:extent cx="3973286" cy="2602502"/>
            <wp:effectExtent l="0" t="0" r="8255" b="7620"/>
            <wp:docPr id="10490013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02353" cy="2621541"/>
                    </a:xfrm>
                    <a:prstGeom prst="rect">
                      <a:avLst/>
                    </a:prstGeom>
                    <a:noFill/>
                  </pic:spPr>
                </pic:pic>
              </a:graphicData>
            </a:graphic>
          </wp:inline>
        </w:drawing>
      </w:r>
      <w:r w:rsidR="008B1D2A">
        <w:rPr>
          <w:rFonts w:ascii="Arial" w:hAnsi="Arial" w:cs="Arial"/>
        </w:rPr>
        <w:t>Figure</w:t>
      </w:r>
      <w:r w:rsidR="00587469" w:rsidRPr="00E61B2F">
        <w:rPr>
          <w:rFonts w:ascii="Arial" w:hAnsi="Arial" w:cs="Arial"/>
        </w:rPr>
        <w:t>:</w:t>
      </w:r>
      <w:r w:rsidR="006C6687">
        <w:rPr>
          <w:rFonts w:ascii="Arial" w:hAnsi="Arial" w:cs="Arial"/>
        </w:rPr>
        <w:t>7</w:t>
      </w:r>
      <w:r w:rsidR="00587469" w:rsidRPr="00587469">
        <w:rPr>
          <w:rFonts w:ascii="Arial" w:hAnsi="Arial" w:cs="Arial"/>
          <w:sz w:val="20"/>
          <w:szCs w:val="20"/>
          <w:lang w:val="en-IN"/>
        </w:rPr>
        <w:t>(</w:t>
      </w:r>
      <w:r w:rsidR="006C6687" w:rsidRPr="006C6687">
        <w:rPr>
          <w:rFonts w:ascii="Arial" w:hAnsi="Arial" w:cs="Arial"/>
          <w:lang w:val="en-IN"/>
        </w:rPr>
        <w:t>(Medway hospitals, 2025)</w:t>
      </w:r>
    </w:p>
    <w:p w14:paraId="7CAEA5B0" w14:textId="5A11BBE1" w:rsidR="00C738E7" w:rsidRPr="00C738E7" w:rsidRDefault="00A35EC6" w:rsidP="005C0CCB">
      <w:pPr>
        <w:pStyle w:val="NormalWeb"/>
        <w:spacing w:line="360" w:lineRule="auto"/>
        <w:ind w:left="360"/>
        <w:rPr>
          <w:rFonts w:ascii="Arial" w:hAnsi="Arial" w:cs="Arial"/>
          <w:sz w:val="28"/>
          <w:szCs w:val="28"/>
          <w:lang w:val="en-IN"/>
        </w:rPr>
      </w:pPr>
      <w:r>
        <w:rPr>
          <w:rFonts w:ascii="Arial" w:hAnsi="Arial" w:cs="Arial"/>
          <w:b/>
          <w:bCs/>
          <w:sz w:val="28"/>
          <w:szCs w:val="28"/>
          <w:lang w:val="en-IN"/>
        </w:rPr>
        <w:t>2.</w:t>
      </w:r>
      <w:r w:rsidR="003F4486" w:rsidRPr="00C738E7">
        <w:rPr>
          <w:rFonts w:ascii="Arial" w:hAnsi="Arial" w:cs="Arial"/>
          <w:b/>
          <w:bCs/>
          <w:sz w:val="28"/>
          <w:szCs w:val="28"/>
          <w:lang w:val="en-IN"/>
        </w:rPr>
        <w:t>Kidney Transplantation</w:t>
      </w:r>
      <w:r w:rsidR="00C738E7" w:rsidRPr="00C738E7">
        <w:rPr>
          <w:rFonts w:ascii="Arial" w:hAnsi="Arial" w:cs="Arial"/>
          <w:sz w:val="28"/>
          <w:szCs w:val="28"/>
          <w:lang w:val="en-IN"/>
        </w:rPr>
        <w:br/>
        <w:t>Transplantation offers superior survival, quality of life, and long-term cost-effectiveness compared to dialysis. Barriers include organ shortage and ethnic inequities in donor matching. UK services are coordinated via NHS Blood and Transplant.</w:t>
      </w:r>
    </w:p>
    <w:p w14:paraId="2F440AEC" w14:textId="70A67A82" w:rsidR="005C0CCB" w:rsidRDefault="00E16603" w:rsidP="002D6182">
      <w:pPr>
        <w:pStyle w:val="NormalWeb"/>
        <w:spacing w:line="360" w:lineRule="auto"/>
        <w:ind w:left="360"/>
        <w:jc w:val="both"/>
        <w:rPr>
          <w:rFonts w:ascii="Arial" w:hAnsi="Arial" w:cs="Arial"/>
          <w:sz w:val="28"/>
          <w:szCs w:val="28"/>
          <w:lang w:val="en-IN"/>
        </w:rPr>
      </w:pPr>
      <w:r>
        <w:rPr>
          <w:rFonts w:ascii="Arial" w:hAnsi="Arial" w:cs="Arial"/>
          <w:b/>
          <w:bCs/>
          <w:sz w:val="28"/>
          <w:szCs w:val="28"/>
          <w:lang w:val="en-IN"/>
        </w:rPr>
        <w:t>3.</w:t>
      </w:r>
      <w:r w:rsidR="00C738E7" w:rsidRPr="00C738E7">
        <w:rPr>
          <w:rFonts w:ascii="Arial" w:hAnsi="Arial" w:cs="Arial"/>
          <w:b/>
          <w:bCs/>
          <w:sz w:val="28"/>
          <w:szCs w:val="28"/>
          <w:lang w:val="en-IN"/>
        </w:rPr>
        <w:t>Conservative Kidney Management (CKM)</w:t>
      </w:r>
      <w:r w:rsidR="00C738E7" w:rsidRPr="00C738E7">
        <w:rPr>
          <w:rFonts w:ascii="Arial" w:hAnsi="Arial" w:cs="Arial"/>
          <w:sz w:val="28"/>
          <w:szCs w:val="28"/>
          <w:lang w:val="en-IN"/>
        </w:rPr>
        <w:br/>
        <w:t>For frail or highly comorbid patients, conservative management focuses on symptom control and advance care planning. Evidence suggests limited survival benefit from dialysis in very elderly multimorbid patients</w:t>
      </w:r>
      <w:r w:rsidR="008E318F">
        <w:rPr>
          <w:rFonts w:ascii="Arial" w:hAnsi="Arial" w:cs="Arial"/>
          <w:sz w:val="28"/>
          <w:szCs w:val="28"/>
          <w:lang w:val="en-IN"/>
        </w:rPr>
        <w:t xml:space="preserve"> </w:t>
      </w:r>
      <w:r w:rsidR="008E318F" w:rsidRPr="008E318F">
        <w:rPr>
          <w:rFonts w:ascii="Arial" w:hAnsi="Arial" w:cs="Arial"/>
          <w:sz w:val="28"/>
          <w:szCs w:val="28"/>
          <w:lang w:val="en-IN"/>
        </w:rPr>
        <w:t>(Murtagh et al., 2007)</w:t>
      </w:r>
      <w:r w:rsidR="00C738E7" w:rsidRPr="00C738E7">
        <w:rPr>
          <w:rFonts w:ascii="Arial" w:hAnsi="Arial" w:cs="Arial"/>
          <w:sz w:val="28"/>
          <w:szCs w:val="28"/>
          <w:lang w:val="en-IN"/>
        </w:rPr>
        <w:t>, emphasising shared decision-making.</w:t>
      </w:r>
    </w:p>
    <w:p w14:paraId="7E436B3B" w14:textId="77777777" w:rsidR="005C0CCB" w:rsidRPr="005C0CCB" w:rsidRDefault="005C0CCB" w:rsidP="005C0CCB">
      <w:pPr>
        <w:pStyle w:val="NormalWeb"/>
        <w:spacing w:line="360" w:lineRule="auto"/>
        <w:ind w:left="360"/>
        <w:jc w:val="both"/>
        <w:rPr>
          <w:rFonts w:ascii="Arial" w:hAnsi="Arial" w:cs="Arial"/>
          <w:b/>
          <w:bCs/>
          <w:sz w:val="28"/>
          <w:szCs w:val="28"/>
          <w:lang w:val="en-IN"/>
        </w:rPr>
      </w:pPr>
      <w:r w:rsidRPr="005C0CCB">
        <w:rPr>
          <w:rFonts w:ascii="Arial" w:hAnsi="Arial" w:cs="Arial"/>
          <w:b/>
          <w:bCs/>
          <w:sz w:val="28"/>
          <w:szCs w:val="28"/>
          <w:lang w:val="en-IN"/>
        </w:rPr>
        <w:t>6.3 Multidisciplinary Care</w:t>
      </w:r>
    </w:p>
    <w:p w14:paraId="7B75A9D2" w14:textId="77777777" w:rsidR="005C0CCB" w:rsidRPr="005C0CCB" w:rsidRDefault="005C0CCB" w:rsidP="005C0CCB">
      <w:pPr>
        <w:pStyle w:val="NormalWeb"/>
        <w:spacing w:line="360" w:lineRule="auto"/>
        <w:ind w:left="360"/>
        <w:jc w:val="both"/>
        <w:rPr>
          <w:rFonts w:ascii="Arial" w:hAnsi="Arial" w:cs="Arial"/>
          <w:sz w:val="28"/>
          <w:szCs w:val="28"/>
          <w:lang w:val="en-IN"/>
        </w:rPr>
      </w:pPr>
      <w:r w:rsidRPr="005C0CCB">
        <w:rPr>
          <w:rFonts w:ascii="Arial" w:hAnsi="Arial" w:cs="Arial"/>
          <w:sz w:val="28"/>
          <w:szCs w:val="28"/>
          <w:lang w:val="en-IN"/>
        </w:rPr>
        <w:t>CKD requires integrated, biopsychosocial management. Core team members include nephrologists, specialist nurses, dietitians, pharmacists, GPs, social workers, and psychologists.</w:t>
      </w:r>
    </w:p>
    <w:p w14:paraId="6C00D300" w14:textId="77777777" w:rsidR="005C0CCB" w:rsidRPr="005C0CCB" w:rsidRDefault="005C0CCB" w:rsidP="005C0CCB">
      <w:pPr>
        <w:pStyle w:val="NormalWeb"/>
        <w:spacing w:line="360" w:lineRule="auto"/>
        <w:ind w:left="360"/>
        <w:jc w:val="both"/>
        <w:rPr>
          <w:rFonts w:ascii="Arial" w:hAnsi="Arial" w:cs="Arial"/>
          <w:sz w:val="28"/>
          <w:szCs w:val="28"/>
          <w:lang w:val="en-IN"/>
        </w:rPr>
      </w:pPr>
      <w:r w:rsidRPr="005C0CCB">
        <w:rPr>
          <w:rFonts w:ascii="Arial" w:hAnsi="Arial" w:cs="Arial"/>
          <w:sz w:val="28"/>
          <w:szCs w:val="28"/>
          <w:lang w:val="en-IN"/>
        </w:rPr>
        <w:t>NICE emphasises:</w:t>
      </w:r>
    </w:p>
    <w:p w14:paraId="76AB8E9F" w14:textId="77777777" w:rsidR="005C0CCB" w:rsidRPr="005C0CCB" w:rsidRDefault="005C0CCB" w:rsidP="005C0CCB">
      <w:pPr>
        <w:pStyle w:val="NormalWeb"/>
        <w:numPr>
          <w:ilvl w:val="0"/>
          <w:numId w:val="37"/>
        </w:numPr>
        <w:spacing w:line="360" w:lineRule="auto"/>
        <w:jc w:val="both"/>
        <w:rPr>
          <w:rFonts w:ascii="Arial" w:hAnsi="Arial" w:cs="Arial"/>
          <w:sz w:val="28"/>
          <w:szCs w:val="28"/>
          <w:lang w:val="en-IN"/>
        </w:rPr>
      </w:pPr>
      <w:r w:rsidRPr="005C0CCB">
        <w:rPr>
          <w:rFonts w:ascii="Arial" w:hAnsi="Arial" w:cs="Arial"/>
          <w:sz w:val="28"/>
          <w:szCs w:val="28"/>
          <w:lang w:val="en-IN"/>
        </w:rPr>
        <w:t>Risk stratification</w:t>
      </w:r>
    </w:p>
    <w:p w14:paraId="2E8B720F" w14:textId="77777777" w:rsidR="005C0CCB" w:rsidRPr="005C0CCB" w:rsidRDefault="005C0CCB" w:rsidP="005C0CCB">
      <w:pPr>
        <w:pStyle w:val="NormalWeb"/>
        <w:numPr>
          <w:ilvl w:val="0"/>
          <w:numId w:val="37"/>
        </w:numPr>
        <w:spacing w:line="360" w:lineRule="auto"/>
        <w:jc w:val="both"/>
        <w:rPr>
          <w:rFonts w:ascii="Arial" w:hAnsi="Arial" w:cs="Arial"/>
          <w:sz w:val="28"/>
          <w:szCs w:val="28"/>
          <w:lang w:val="en-IN"/>
        </w:rPr>
      </w:pPr>
      <w:r w:rsidRPr="005C0CCB">
        <w:rPr>
          <w:rFonts w:ascii="Arial" w:hAnsi="Arial" w:cs="Arial"/>
          <w:sz w:val="28"/>
          <w:szCs w:val="28"/>
          <w:lang w:val="en-IN"/>
        </w:rPr>
        <w:t>Regular ACR and eGFR monitoring</w:t>
      </w:r>
    </w:p>
    <w:p w14:paraId="36A36C83" w14:textId="77777777" w:rsidR="005C0CCB" w:rsidRPr="005C0CCB" w:rsidRDefault="005C0CCB" w:rsidP="005C0CCB">
      <w:pPr>
        <w:pStyle w:val="NormalWeb"/>
        <w:numPr>
          <w:ilvl w:val="0"/>
          <w:numId w:val="37"/>
        </w:numPr>
        <w:spacing w:line="360" w:lineRule="auto"/>
        <w:jc w:val="both"/>
        <w:rPr>
          <w:rFonts w:ascii="Arial" w:hAnsi="Arial" w:cs="Arial"/>
          <w:sz w:val="28"/>
          <w:szCs w:val="28"/>
          <w:lang w:val="en-IN"/>
        </w:rPr>
      </w:pPr>
      <w:r w:rsidRPr="005C0CCB">
        <w:rPr>
          <w:rFonts w:ascii="Arial" w:hAnsi="Arial" w:cs="Arial"/>
          <w:sz w:val="28"/>
          <w:szCs w:val="28"/>
          <w:lang w:val="en-IN"/>
        </w:rPr>
        <w:lastRenderedPageBreak/>
        <w:t>Medication review</w:t>
      </w:r>
    </w:p>
    <w:p w14:paraId="3686A6DF" w14:textId="77777777" w:rsidR="005C0CCB" w:rsidRPr="005C0CCB" w:rsidRDefault="005C0CCB" w:rsidP="005C0CCB">
      <w:pPr>
        <w:pStyle w:val="NormalWeb"/>
        <w:numPr>
          <w:ilvl w:val="0"/>
          <w:numId w:val="37"/>
        </w:numPr>
        <w:spacing w:line="360" w:lineRule="auto"/>
        <w:jc w:val="both"/>
        <w:rPr>
          <w:rFonts w:ascii="Arial" w:hAnsi="Arial" w:cs="Arial"/>
          <w:sz w:val="28"/>
          <w:szCs w:val="28"/>
          <w:lang w:val="en-IN"/>
        </w:rPr>
      </w:pPr>
      <w:r w:rsidRPr="005C0CCB">
        <w:rPr>
          <w:rFonts w:ascii="Arial" w:hAnsi="Arial" w:cs="Arial"/>
          <w:sz w:val="28"/>
          <w:szCs w:val="28"/>
          <w:lang w:val="en-IN"/>
        </w:rPr>
        <w:t>Structured patient education</w:t>
      </w:r>
    </w:p>
    <w:p w14:paraId="70935A19" w14:textId="7AD9A7FF" w:rsidR="005C0CCB" w:rsidRPr="00C738E7" w:rsidRDefault="005C0CCB" w:rsidP="00EE1B96">
      <w:pPr>
        <w:pStyle w:val="NormalWeb"/>
        <w:spacing w:line="360" w:lineRule="auto"/>
        <w:ind w:left="360"/>
        <w:jc w:val="both"/>
        <w:rPr>
          <w:rFonts w:ascii="Arial" w:hAnsi="Arial" w:cs="Arial"/>
          <w:sz w:val="28"/>
          <w:szCs w:val="28"/>
          <w:lang w:val="en-IN"/>
        </w:rPr>
      </w:pPr>
      <w:r w:rsidRPr="005C0CCB">
        <w:rPr>
          <w:rFonts w:ascii="Arial" w:hAnsi="Arial" w:cs="Arial"/>
          <w:sz w:val="28"/>
          <w:szCs w:val="28"/>
          <w:lang w:val="en-IN"/>
        </w:rPr>
        <w:t>Multidisciplinary care reduces hospitalisation, improves dialysis preparedness, and supports psychological and end-of-life planning. However, workforce pressures and fragmented care transitions remain ongoing NHS challenges.</w:t>
      </w:r>
    </w:p>
    <w:p w14:paraId="0EAF1714" w14:textId="18FC5723" w:rsidR="007A0C3E" w:rsidRPr="008F7BAC" w:rsidRDefault="00811760" w:rsidP="007A0C3E">
      <w:pPr>
        <w:pStyle w:val="NormalWeb"/>
        <w:spacing w:line="360" w:lineRule="auto"/>
        <w:jc w:val="both"/>
        <w:rPr>
          <w:rFonts w:ascii="Arial" w:hAnsi="Arial" w:cs="Arial"/>
          <w:b/>
          <w:bCs/>
          <w:sz w:val="32"/>
          <w:szCs w:val="32"/>
          <w:u w:val="single"/>
          <w:lang w:val="en-IN"/>
        </w:rPr>
      </w:pPr>
      <w:r w:rsidRPr="00811760">
        <w:rPr>
          <w:rFonts w:ascii="Arial" w:hAnsi="Arial" w:cs="Arial"/>
          <w:b/>
          <w:bCs/>
          <w:sz w:val="32"/>
          <w:szCs w:val="32"/>
          <w:lang w:val="en-IN"/>
        </w:rPr>
        <w:t>7.</w:t>
      </w:r>
      <w:r w:rsidRPr="00811760">
        <w:rPr>
          <w:rFonts w:ascii="Arial" w:hAnsi="Arial" w:cs="Arial"/>
          <w:b/>
          <w:bCs/>
          <w:sz w:val="32"/>
          <w:szCs w:val="32"/>
          <w:u w:val="single"/>
          <w:lang w:val="en-IN"/>
        </w:rPr>
        <w:t>Theoretical Perspectives and Models for Improved Long-Term Condition Outcomes</w:t>
      </w:r>
    </w:p>
    <w:p w14:paraId="6E150A4B" w14:textId="77F2BE16" w:rsidR="007A0C3E" w:rsidRPr="007A0C3E" w:rsidRDefault="008F7BAC" w:rsidP="007A0C3E">
      <w:pPr>
        <w:pStyle w:val="NormalWeb"/>
        <w:spacing w:line="360" w:lineRule="auto"/>
        <w:jc w:val="both"/>
        <w:rPr>
          <w:rFonts w:ascii="Arial" w:hAnsi="Arial" w:cs="Arial"/>
          <w:b/>
          <w:bCs/>
          <w:sz w:val="28"/>
          <w:szCs w:val="28"/>
          <w:lang w:val="en-IN"/>
        </w:rPr>
      </w:pPr>
      <w:r>
        <w:rPr>
          <w:rFonts w:ascii="Arial" w:hAnsi="Arial" w:cs="Arial"/>
          <w:b/>
          <w:bCs/>
          <w:sz w:val="28"/>
          <w:szCs w:val="28"/>
          <w:lang w:val="en-IN"/>
        </w:rPr>
        <w:t>7.1</w:t>
      </w:r>
      <w:r w:rsidR="007A0C3E">
        <w:rPr>
          <w:rFonts w:ascii="Arial" w:hAnsi="Arial" w:cs="Arial"/>
          <w:b/>
          <w:bCs/>
          <w:sz w:val="28"/>
          <w:szCs w:val="28"/>
          <w:lang w:val="en-IN"/>
        </w:rPr>
        <w:t xml:space="preserve"> </w:t>
      </w:r>
      <w:r w:rsidR="007A0C3E" w:rsidRPr="007A0C3E">
        <w:rPr>
          <w:rFonts w:ascii="Arial" w:hAnsi="Arial" w:cs="Arial"/>
          <w:b/>
          <w:bCs/>
          <w:sz w:val="28"/>
          <w:szCs w:val="28"/>
          <w:lang w:val="en-IN"/>
        </w:rPr>
        <w:t>UK Model: House of Care Framework</w:t>
      </w:r>
    </w:p>
    <w:p w14:paraId="759C9614" w14:textId="11908483" w:rsidR="007A0C3E" w:rsidRPr="007A0C3E" w:rsidRDefault="007A0C3E" w:rsidP="007A0C3E">
      <w:pPr>
        <w:pStyle w:val="NormalWeb"/>
        <w:spacing w:line="360" w:lineRule="auto"/>
        <w:jc w:val="both"/>
        <w:rPr>
          <w:rFonts w:ascii="Arial" w:hAnsi="Arial" w:cs="Arial"/>
          <w:sz w:val="28"/>
          <w:szCs w:val="28"/>
          <w:lang w:val="en-IN"/>
        </w:rPr>
      </w:pPr>
      <w:r w:rsidRPr="007A0C3E">
        <w:rPr>
          <w:rFonts w:ascii="Arial" w:hAnsi="Arial" w:cs="Arial"/>
          <w:sz w:val="28"/>
          <w:szCs w:val="28"/>
          <w:lang w:val="en-IN"/>
        </w:rPr>
        <w:t xml:space="preserve">The House of Care framework underpins long-term condition management within the NHS. It promotes a shift from reactive treatment to proactive, person-centred care planning. The model is built on four interconnected components: an informed and activated patient, a prepared multidisciplinary team, </w:t>
      </w:r>
      <w:r w:rsidRPr="007A0C3E">
        <w:rPr>
          <w:rFonts w:ascii="Arial" w:hAnsi="Arial" w:cs="Arial"/>
          <w:sz w:val="28"/>
          <w:szCs w:val="28"/>
          <w:lang w:val="en-IN"/>
        </w:rPr>
        <w:t>supportive organisational systems, and community resources</w:t>
      </w:r>
      <w:r w:rsidR="003A726A">
        <w:rPr>
          <w:rFonts w:ascii="Arial" w:hAnsi="Arial" w:cs="Arial"/>
          <w:sz w:val="28"/>
          <w:szCs w:val="28"/>
          <w:lang w:val="en-IN"/>
        </w:rPr>
        <w:t xml:space="preserve"> </w:t>
      </w:r>
      <w:r w:rsidR="007A7FF7" w:rsidRPr="007A7FF7">
        <w:rPr>
          <w:rFonts w:ascii="Arial" w:hAnsi="Arial" w:cs="Arial"/>
          <w:sz w:val="28"/>
          <w:szCs w:val="28"/>
          <w:lang w:val="en-IN"/>
        </w:rPr>
        <w:t>(Coulter et al., 2016)</w:t>
      </w:r>
      <w:r w:rsidRPr="007A0C3E">
        <w:rPr>
          <w:rFonts w:ascii="Arial" w:hAnsi="Arial" w:cs="Arial"/>
          <w:sz w:val="28"/>
          <w:szCs w:val="28"/>
          <w:lang w:val="en-IN"/>
        </w:rPr>
        <w:t>.</w:t>
      </w:r>
      <w:r w:rsidR="00EE1B96">
        <w:rPr>
          <w:rFonts w:ascii="Arial" w:hAnsi="Arial" w:cs="Arial"/>
          <w:sz w:val="28"/>
          <w:szCs w:val="28"/>
          <w:lang w:val="en-IN"/>
        </w:rPr>
        <w:t xml:space="preserve"> </w:t>
      </w:r>
      <w:r w:rsidRPr="007A0C3E">
        <w:rPr>
          <w:rFonts w:ascii="Arial" w:hAnsi="Arial" w:cs="Arial"/>
          <w:sz w:val="28"/>
          <w:szCs w:val="28"/>
          <w:lang w:val="en-IN"/>
        </w:rPr>
        <w:t>Evidence suggests that structured care planning and patient activation improve clinical outcomes and reduce unplanned admissions. In CKD management, this supports early intervention, medication optimisation, and shared decision-making.</w:t>
      </w:r>
    </w:p>
    <w:p w14:paraId="30B44054" w14:textId="575CDFFC" w:rsidR="00202B8E" w:rsidRPr="00EE1B96" w:rsidRDefault="00202B8E" w:rsidP="00024954">
      <w:pPr>
        <w:pStyle w:val="NormalWeb"/>
        <w:spacing w:line="360" w:lineRule="auto"/>
        <w:jc w:val="both"/>
        <w:rPr>
          <w:rFonts w:ascii="Arial" w:hAnsi="Arial" w:cs="Arial"/>
          <w:sz w:val="28"/>
          <w:szCs w:val="28"/>
          <w:lang w:val="en-IN"/>
        </w:rPr>
      </w:pPr>
      <w:r>
        <w:rPr>
          <w:noProof/>
        </w:rPr>
        <w:drawing>
          <wp:inline distT="0" distB="0" distL="0" distR="0" wp14:anchorId="24086834" wp14:editId="1B0E1735">
            <wp:extent cx="3200400" cy="2699447"/>
            <wp:effectExtent l="0" t="0" r="0" b="5715"/>
            <wp:docPr id="549650570" name="Picture 4" descr="House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use of Ca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11951" cy="2709190"/>
                    </a:xfrm>
                    <a:prstGeom prst="rect">
                      <a:avLst/>
                    </a:prstGeom>
                    <a:noFill/>
                    <a:ln>
                      <a:noFill/>
                    </a:ln>
                  </pic:spPr>
                </pic:pic>
              </a:graphicData>
            </a:graphic>
          </wp:inline>
        </w:drawing>
      </w:r>
    </w:p>
    <w:p w14:paraId="38DC6440" w14:textId="0DD433E6" w:rsidR="00EE1B96" w:rsidRPr="00F15959" w:rsidRDefault="008B1D2A" w:rsidP="00B77964">
      <w:pPr>
        <w:pStyle w:val="NormalWeb"/>
        <w:spacing w:line="360" w:lineRule="auto"/>
        <w:jc w:val="both"/>
        <w:rPr>
          <w:rFonts w:ascii="Arial" w:hAnsi="Arial" w:cs="Arial"/>
          <w:sz w:val="20"/>
          <w:szCs w:val="20"/>
          <w:lang w:val="en-IN"/>
        </w:rPr>
      </w:pPr>
      <w:r>
        <w:rPr>
          <w:rFonts w:ascii="Arial" w:hAnsi="Arial" w:cs="Arial"/>
          <w:sz w:val="20"/>
          <w:szCs w:val="20"/>
          <w:lang w:val="en-IN"/>
        </w:rPr>
        <w:t>Figure</w:t>
      </w:r>
      <w:r w:rsidR="00F15959">
        <w:rPr>
          <w:rFonts w:ascii="Arial" w:hAnsi="Arial" w:cs="Arial"/>
          <w:sz w:val="20"/>
          <w:szCs w:val="20"/>
          <w:lang w:val="en-IN"/>
        </w:rPr>
        <w:t>:</w:t>
      </w:r>
      <w:r w:rsidR="006C6687">
        <w:rPr>
          <w:rFonts w:ascii="Arial" w:hAnsi="Arial" w:cs="Arial"/>
          <w:sz w:val="20"/>
          <w:szCs w:val="20"/>
          <w:lang w:val="en-IN"/>
        </w:rPr>
        <w:t xml:space="preserve">8 </w:t>
      </w:r>
      <w:r w:rsidR="00F15959" w:rsidRPr="00F15959">
        <w:rPr>
          <w:rFonts w:ascii="Arial" w:hAnsi="Arial" w:cs="Arial"/>
          <w:sz w:val="20"/>
          <w:szCs w:val="20"/>
          <w:lang w:val="en-IN"/>
        </w:rPr>
        <w:t>(NHS, 2023)</w:t>
      </w:r>
    </w:p>
    <w:p w14:paraId="13D7E431" w14:textId="77777777" w:rsidR="006C6687" w:rsidRPr="007A0C3E" w:rsidRDefault="006C6687" w:rsidP="006C6687">
      <w:pPr>
        <w:pStyle w:val="NormalWeb"/>
        <w:spacing w:line="360" w:lineRule="auto"/>
        <w:jc w:val="both"/>
        <w:rPr>
          <w:rFonts w:ascii="Arial" w:hAnsi="Arial" w:cs="Arial"/>
          <w:b/>
          <w:bCs/>
          <w:sz w:val="28"/>
          <w:szCs w:val="28"/>
          <w:lang w:val="en-IN"/>
        </w:rPr>
      </w:pPr>
      <w:r w:rsidRPr="007A0C3E">
        <w:rPr>
          <w:rFonts w:ascii="Arial" w:hAnsi="Arial" w:cs="Arial"/>
          <w:sz w:val="28"/>
          <w:szCs w:val="28"/>
          <w:lang w:val="en-IN"/>
        </w:rPr>
        <w:lastRenderedPageBreak/>
        <w:t>However, implementation varies across Integrated Care Systems due to workforce pressures and digital system fragmentation, which may limit consistency of delivery</w:t>
      </w:r>
      <w:r w:rsidRPr="007A0C3E">
        <w:rPr>
          <w:rFonts w:ascii="Arial" w:hAnsi="Arial" w:cs="Arial"/>
          <w:b/>
          <w:bCs/>
          <w:sz w:val="28"/>
          <w:szCs w:val="28"/>
          <w:lang w:val="en-IN"/>
        </w:rPr>
        <w:t>.</w:t>
      </w:r>
    </w:p>
    <w:p w14:paraId="5A301727" w14:textId="2A17CA57" w:rsidR="00B77964" w:rsidRPr="00B77964" w:rsidRDefault="008F7BAC" w:rsidP="00B77964">
      <w:pPr>
        <w:pStyle w:val="NormalWeb"/>
        <w:spacing w:line="360" w:lineRule="auto"/>
        <w:jc w:val="both"/>
        <w:rPr>
          <w:rFonts w:ascii="Arial" w:hAnsi="Arial" w:cs="Arial"/>
          <w:b/>
          <w:bCs/>
          <w:sz w:val="28"/>
          <w:szCs w:val="28"/>
          <w:lang w:val="en-IN"/>
        </w:rPr>
      </w:pPr>
      <w:r w:rsidRPr="0087105B">
        <w:rPr>
          <w:rFonts w:ascii="Arial" w:hAnsi="Arial" w:cs="Arial"/>
          <w:b/>
          <w:bCs/>
          <w:lang w:val="en-IN"/>
        </w:rPr>
        <w:t>7.2</w:t>
      </w:r>
      <w:r w:rsidR="0087105B" w:rsidRPr="0087105B">
        <w:rPr>
          <w:rFonts w:ascii="Arial" w:hAnsi="Arial" w:cs="Arial"/>
          <w:b/>
          <w:bCs/>
          <w:lang w:val="en-IN"/>
        </w:rPr>
        <w:t xml:space="preserve"> </w:t>
      </w:r>
      <w:r w:rsidR="00B77964" w:rsidRPr="00B77964">
        <w:rPr>
          <w:rFonts w:ascii="Arial" w:hAnsi="Arial" w:cs="Arial"/>
          <w:b/>
          <w:bCs/>
          <w:sz w:val="28"/>
          <w:szCs w:val="28"/>
          <w:lang w:val="en-IN"/>
        </w:rPr>
        <w:t>International Model: Chronic Care Model (CCM)</w:t>
      </w:r>
    </w:p>
    <w:p w14:paraId="01F52A3C" w14:textId="4E46364A" w:rsidR="00B77964" w:rsidRPr="00B77964" w:rsidRDefault="00B77964" w:rsidP="00B77964">
      <w:pPr>
        <w:pStyle w:val="NormalWeb"/>
        <w:spacing w:line="360" w:lineRule="auto"/>
        <w:jc w:val="both"/>
        <w:rPr>
          <w:rFonts w:ascii="Arial" w:hAnsi="Arial" w:cs="Arial"/>
          <w:sz w:val="28"/>
          <w:szCs w:val="28"/>
          <w:lang w:val="en-IN"/>
        </w:rPr>
      </w:pPr>
      <w:r w:rsidRPr="00B77964">
        <w:rPr>
          <w:rFonts w:ascii="Arial" w:hAnsi="Arial" w:cs="Arial"/>
          <w:sz w:val="28"/>
          <w:szCs w:val="28"/>
          <w:lang w:val="en-IN"/>
        </w:rPr>
        <w:t xml:space="preserve">The Chronic Care Model (CCM), developed by Wagner et al., provides an internationally recognised framework for improving chronic disease outcomes. It emphasises system redesign, decision support, clinical information systems, self-management support, and community partnerships </w:t>
      </w:r>
      <w:r w:rsidR="00B27EFE" w:rsidRPr="00B27EFE">
        <w:rPr>
          <w:rFonts w:ascii="Arial" w:hAnsi="Arial" w:cs="Arial"/>
          <w:sz w:val="28"/>
          <w:szCs w:val="28"/>
          <w:lang w:val="en-IN"/>
        </w:rPr>
        <w:t>(Wagner, Austin and Von Korff, 1996)</w:t>
      </w:r>
      <w:r w:rsidRPr="00B77964">
        <w:rPr>
          <w:rFonts w:ascii="Arial" w:hAnsi="Arial" w:cs="Arial"/>
          <w:sz w:val="28"/>
          <w:szCs w:val="28"/>
          <w:lang w:val="en-IN"/>
        </w:rPr>
        <w:t>.</w:t>
      </w:r>
    </w:p>
    <w:p w14:paraId="3561E4F6" w14:textId="4DB117F2" w:rsidR="00B77964" w:rsidRPr="00B77964" w:rsidRDefault="00B77964" w:rsidP="00B77964">
      <w:pPr>
        <w:pStyle w:val="NormalWeb"/>
        <w:spacing w:line="360" w:lineRule="auto"/>
        <w:jc w:val="both"/>
        <w:rPr>
          <w:rFonts w:ascii="Arial" w:hAnsi="Arial" w:cs="Arial"/>
          <w:sz w:val="28"/>
          <w:szCs w:val="28"/>
          <w:lang w:val="en-IN"/>
        </w:rPr>
      </w:pPr>
      <w:r w:rsidRPr="00B77964">
        <w:rPr>
          <w:rFonts w:ascii="Arial" w:hAnsi="Arial" w:cs="Arial"/>
          <w:sz w:val="28"/>
          <w:szCs w:val="28"/>
          <w:lang w:val="en-IN"/>
        </w:rPr>
        <w:t xml:space="preserve">The CCM has been associated with improved care processes and clinical indicators across multiple long-term conditions globally </w:t>
      </w:r>
      <w:r w:rsidR="00014F5B" w:rsidRPr="00014F5B">
        <w:rPr>
          <w:rFonts w:ascii="Arial" w:hAnsi="Arial" w:cs="Arial"/>
          <w:sz w:val="28"/>
          <w:szCs w:val="28"/>
          <w:lang w:val="en-IN"/>
        </w:rPr>
        <w:t>(Coleman et al., 2019)</w:t>
      </w:r>
      <w:r w:rsidRPr="00B77964">
        <w:rPr>
          <w:rFonts w:ascii="Arial" w:hAnsi="Arial" w:cs="Arial"/>
          <w:sz w:val="28"/>
          <w:szCs w:val="28"/>
          <w:lang w:val="en-IN"/>
        </w:rPr>
        <w:t>. In CKD, it supports structured monitoring (eGFR, ACR), risk stratification, and multidisciplinary coordination.</w:t>
      </w:r>
    </w:p>
    <w:p w14:paraId="55B69DF0" w14:textId="440B1BD5" w:rsidR="00906941" w:rsidRDefault="009A722E" w:rsidP="00630F15">
      <w:pPr>
        <w:pStyle w:val="NormalWeb"/>
        <w:spacing w:line="360" w:lineRule="auto"/>
        <w:jc w:val="center"/>
        <w:rPr>
          <w:rFonts w:ascii="Arial" w:hAnsi="Arial" w:cs="Arial"/>
          <w:sz w:val="28"/>
          <w:szCs w:val="28"/>
          <w:lang w:val="en-IN"/>
        </w:rPr>
      </w:pPr>
      <w:r>
        <w:rPr>
          <w:noProof/>
        </w:rPr>
        <w:drawing>
          <wp:inline distT="0" distB="0" distL="0" distR="0" wp14:anchorId="2B97A5DE" wp14:editId="66C0D449">
            <wp:extent cx="3940629" cy="2600178"/>
            <wp:effectExtent l="0" t="0" r="3175" b="0"/>
            <wp:docPr id="682571048" name="Picture 15" descr="Diabetology 03 0003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Diabetology 03 00031 g00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53454" cy="2608641"/>
                    </a:xfrm>
                    <a:prstGeom prst="rect">
                      <a:avLst/>
                    </a:prstGeom>
                    <a:noFill/>
                    <a:ln>
                      <a:noFill/>
                    </a:ln>
                  </pic:spPr>
                </pic:pic>
              </a:graphicData>
            </a:graphic>
          </wp:inline>
        </w:drawing>
      </w:r>
    </w:p>
    <w:p w14:paraId="05EDBDFD" w14:textId="43048FD5" w:rsidR="00630F15" w:rsidRDefault="008B1D2A" w:rsidP="00534A71">
      <w:pPr>
        <w:pStyle w:val="NormalWeb"/>
        <w:spacing w:line="360" w:lineRule="auto"/>
        <w:jc w:val="both"/>
        <w:rPr>
          <w:rFonts w:ascii="Arial" w:hAnsi="Arial" w:cs="Arial"/>
          <w:sz w:val="28"/>
          <w:szCs w:val="28"/>
          <w:lang w:val="en-IN"/>
        </w:rPr>
      </w:pPr>
      <w:r>
        <w:rPr>
          <w:rFonts w:ascii="Arial" w:hAnsi="Arial" w:cs="Arial"/>
          <w:sz w:val="20"/>
          <w:szCs w:val="20"/>
          <w:lang w:val="en-IN"/>
        </w:rPr>
        <w:t>Figure</w:t>
      </w:r>
      <w:r w:rsidR="00630F15">
        <w:rPr>
          <w:rFonts w:ascii="Arial" w:hAnsi="Arial" w:cs="Arial"/>
          <w:sz w:val="20"/>
          <w:szCs w:val="20"/>
          <w:lang w:val="en-IN"/>
        </w:rPr>
        <w:t>:</w:t>
      </w:r>
      <w:r>
        <w:rPr>
          <w:rFonts w:ascii="Arial" w:hAnsi="Arial" w:cs="Arial"/>
          <w:sz w:val="20"/>
          <w:szCs w:val="20"/>
          <w:lang w:val="en-IN"/>
        </w:rPr>
        <w:t>9</w:t>
      </w:r>
      <w:r w:rsidR="00534A71" w:rsidRPr="00534A71">
        <w:rPr>
          <w:rFonts w:eastAsia="Times New Roman"/>
          <w:lang w:val="en-IN" w:eastAsia="en-IN"/>
        </w:rPr>
        <w:t xml:space="preserve"> </w:t>
      </w:r>
      <w:r w:rsidR="00534A71" w:rsidRPr="00534A71">
        <w:rPr>
          <w:rFonts w:ascii="Arial" w:hAnsi="Arial" w:cs="Arial"/>
          <w:lang w:val="en-IN"/>
        </w:rPr>
        <w:t>(Ansari et al., 2022)</w:t>
      </w:r>
    </w:p>
    <w:p w14:paraId="2550AA19" w14:textId="66C580E8" w:rsidR="00024954" w:rsidRPr="007B167E" w:rsidRDefault="00B77964" w:rsidP="00024954">
      <w:pPr>
        <w:pStyle w:val="NormalWeb"/>
        <w:spacing w:line="360" w:lineRule="auto"/>
        <w:jc w:val="both"/>
        <w:rPr>
          <w:rFonts w:ascii="Arial" w:hAnsi="Arial" w:cs="Arial"/>
          <w:sz w:val="28"/>
          <w:szCs w:val="28"/>
          <w:lang w:val="en-IN"/>
        </w:rPr>
      </w:pPr>
      <w:r w:rsidRPr="00B77964">
        <w:rPr>
          <w:rFonts w:ascii="Arial" w:hAnsi="Arial" w:cs="Arial"/>
          <w:sz w:val="28"/>
          <w:szCs w:val="28"/>
          <w:lang w:val="en-IN"/>
        </w:rPr>
        <w:t>While widely adopted, successful implementation depends on organisational capacity and sustained investment, which can vary between health systems.</w:t>
      </w:r>
    </w:p>
    <w:p w14:paraId="182413D8" w14:textId="15106C87" w:rsidR="009731CD" w:rsidRPr="009731CD" w:rsidRDefault="009731CD" w:rsidP="00534A71">
      <w:pPr>
        <w:pStyle w:val="NormalWeb"/>
        <w:spacing w:line="360" w:lineRule="auto"/>
        <w:jc w:val="both"/>
        <w:rPr>
          <w:rFonts w:ascii="Arial" w:hAnsi="Arial" w:cs="Arial"/>
          <w:b/>
          <w:bCs/>
          <w:sz w:val="32"/>
          <w:szCs w:val="32"/>
          <w:u w:val="single"/>
          <w:lang w:val="en-IN"/>
        </w:rPr>
      </w:pPr>
      <w:r w:rsidRPr="009731CD">
        <w:rPr>
          <w:rFonts w:ascii="Arial" w:hAnsi="Arial" w:cs="Arial"/>
          <w:b/>
          <w:bCs/>
          <w:sz w:val="32"/>
          <w:szCs w:val="32"/>
          <w:lang w:val="en-IN"/>
        </w:rPr>
        <w:t>8.</w:t>
      </w:r>
      <w:r>
        <w:rPr>
          <w:rFonts w:ascii="Arial" w:hAnsi="Arial" w:cs="Arial"/>
          <w:b/>
          <w:bCs/>
          <w:sz w:val="32"/>
          <w:szCs w:val="32"/>
          <w:u w:val="single"/>
          <w:lang w:val="en-IN"/>
        </w:rPr>
        <w:t xml:space="preserve"> </w:t>
      </w:r>
      <w:r w:rsidRPr="009731CD">
        <w:rPr>
          <w:rFonts w:ascii="Arial" w:hAnsi="Arial" w:cs="Arial"/>
          <w:b/>
          <w:bCs/>
          <w:sz w:val="32"/>
          <w:szCs w:val="32"/>
          <w:u w:val="single"/>
          <w:lang w:val="en-IN"/>
        </w:rPr>
        <w:t>National and Local Political Health and Social Care Agendas</w:t>
      </w:r>
    </w:p>
    <w:p w14:paraId="3B1A0C6D" w14:textId="3A9D1B9E" w:rsidR="009731CD" w:rsidRPr="009731CD" w:rsidRDefault="009731CD" w:rsidP="009731CD">
      <w:pPr>
        <w:pStyle w:val="NormalWeb"/>
        <w:spacing w:line="360" w:lineRule="auto"/>
        <w:ind w:left="360"/>
        <w:jc w:val="both"/>
        <w:rPr>
          <w:rFonts w:ascii="Arial" w:hAnsi="Arial" w:cs="Arial"/>
          <w:b/>
          <w:bCs/>
          <w:sz w:val="28"/>
          <w:szCs w:val="28"/>
          <w:lang w:val="en-IN"/>
        </w:rPr>
      </w:pPr>
      <w:r>
        <w:rPr>
          <w:rFonts w:ascii="Arial" w:hAnsi="Arial" w:cs="Arial"/>
          <w:b/>
          <w:bCs/>
          <w:sz w:val="28"/>
          <w:szCs w:val="28"/>
          <w:lang w:val="en-IN"/>
        </w:rPr>
        <w:t xml:space="preserve">1. </w:t>
      </w:r>
      <w:r w:rsidRPr="009731CD">
        <w:rPr>
          <w:rFonts w:ascii="Arial" w:hAnsi="Arial" w:cs="Arial"/>
          <w:b/>
          <w:bCs/>
          <w:sz w:val="28"/>
          <w:szCs w:val="28"/>
          <w:lang w:val="en-IN"/>
        </w:rPr>
        <w:t>NHS Long Term Plan (2019)</w:t>
      </w:r>
    </w:p>
    <w:p w14:paraId="715B8BF5" w14:textId="77777777" w:rsidR="009731CD" w:rsidRPr="009731CD" w:rsidRDefault="009731CD" w:rsidP="009731CD">
      <w:pPr>
        <w:pStyle w:val="NormalWeb"/>
        <w:spacing w:line="360" w:lineRule="auto"/>
        <w:ind w:left="360"/>
        <w:jc w:val="both"/>
        <w:rPr>
          <w:rFonts w:ascii="Arial" w:hAnsi="Arial" w:cs="Arial"/>
          <w:sz w:val="28"/>
          <w:szCs w:val="28"/>
          <w:lang w:val="en-IN"/>
        </w:rPr>
      </w:pPr>
      <w:r w:rsidRPr="009731CD">
        <w:rPr>
          <w:rFonts w:ascii="Arial" w:hAnsi="Arial" w:cs="Arial"/>
          <w:sz w:val="28"/>
          <w:szCs w:val="28"/>
          <w:lang w:val="en-IN"/>
        </w:rPr>
        <w:lastRenderedPageBreak/>
        <w:t>The NHS Long Term Plan prioritises prevention, integrated care systems (ICS), personalised care, and improved management of long-term conditions. It supports earlier diagnosis, risk stratification, and enhanced primary care involvement (NHS England, 2019).</w:t>
      </w:r>
    </w:p>
    <w:p w14:paraId="60153874" w14:textId="77777777" w:rsidR="009731CD" w:rsidRPr="009731CD" w:rsidRDefault="009731CD" w:rsidP="009731CD">
      <w:pPr>
        <w:pStyle w:val="NormalWeb"/>
        <w:spacing w:line="360" w:lineRule="auto"/>
        <w:ind w:left="360"/>
        <w:jc w:val="both"/>
        <w:rPr>
          <w:rFonts w:ascii="Arial" w:hAnsi="Arial" w:cs="Arial"/>
          <w:sz w:val="28"/>
          <w:szCs w:val="28"/>
          <w:lang w:val="en-IN"/>
        </w:rPr>
      </w:pPr>
      <w:r w:rsidRPr="009731CD">
        <w:rPr>
          <w:rFonts w:ascii="Arial" w:hAnsi="Arial" w:cs="Arial"/>
          <w:sz w:val="28"/>
          <w:szCs w:val="28"/>
          <w:lang w:val="en-IN"/>
        </w:rPr>
        <w:t>For CKD, this aligns with improved screening, cardiovascular risk reduction, and multidisciplinary review. However, regional variation in resources and workforce capacity affects consistent implementation.</w:t>
      </w:r>
    </w:p>
    <w:p w14:paraId="29239D1F" w14:textId="79DE27D0" w:rsidR="009731CD" w:rsidRPr="009731CD" w:rsidRDefault="009731CD" w:rsidP="009731CD">
      <w:pPr>
        <w:pStyle w:val="NormalWeb"/>
        <w:spacing w:line="360" w:lineRule="auto"/>
        <w:ind w:left="360"/>
        <w:jc w:val="both"/>
        <w:rPr>
          <w:rFonts w:ascii="Arial" w:hAnsi="Arial" w:cs="Arial"/>
          <w:b/>
          <w:bCs/>
          <w:sz w:val="28"/>
          <w:szCs w:val="28"/>
          <w:lang w:val="en-IN"/>
        </w:rPr>
      </w:pPr>
      <w:r>
        <w:rPr>
          <w:rFonts w:ascii="Arial" w:hAnsi="Arial" w:cs="Arial"/>
          <w:b/>
          <w:bCs/>
          <w:sz w:val="28"/>
          <w:szCs w:val="28"/>
          <w:lang w:val="en-IN"/>
        </w:rPr>
        <w:t xml:space="preserve">2. </w:t>
      </w:r>
      <w:r w:rsidRPr="009731CD">
        <w:rPr>
          <w:rFonts w:ascii="Arial" w:hAnsi="Arial" w:cs="Arial"/>
          <w:b/>
          <w:bCs/>
          <w:sz w:val="28"/>
          <w:szCs w:val="28"/>
          <w:lang w:val="en-IN"/>
        </w:rPr>
        <w:t>Kidney Health: Delivering Excellence (20</w:t>
      </w:r>
      <w:r w:rsidR="002E41D1">
        <w:rPr>
          <w:rFonts w:ascii="Arial" w:hAnsi="Arial" w:cs="Arial"/>
          <w:b/>
          <w:bCs/>
          <w:sz w:val="28"/>
          <w:szCs w:val="28"/>
          <w:lang w:val="en-IN"/>
        </w:rPr>
        <w:t>13</w:t>
      </w:r>
      <w:r w:rsidRPr="009731CD">
        <w:rPr>
          <w:rFonts w:ascii="Arial" w:hAnsi="Arial" w:cs="Arial"/>
          <w:b/>
          <w:bCs/>
          <w:sz w:val="28"/>
          <w:szCs w:val="28"/>
          <w:lang w:val="en-IN"/>
        </w:rPr>
        <w:t>)</w:t>
      </w:r>
    </w:p>
    <w:p w14:paraId="564F8614" w14:textId="4DC3149C" w:rsidR="009731CD" w:rsidRPr="009731CD" w:rsidRDefault="009731CD" w:rsidP="009E01B5">
      <w:pPr>
        <w:pStyle w:val="NormalWeb"/>
        <w:spacing w:line="360" w:lineRule="auto"/>
        <w:ind w:left="360"/>
        <w:jc w:val="both"/>
        <w:rPr>
          <w:rFonts w:ascii="Arial" w:hAnsi="Arial" w:cs="Arial"/>
          <w:sz w:val="28"/>
          <w:szCs w:val="28"/>
          <w:lang w:val="en-IN"/>
        </w:rPr>
      </w:pPr>
      <w:r w:rsidRPr="009731CD">
        <w:rPr>
          <w:rFonts w:ascii="Arial" w:hAnsi="Arial" w:cs="Arial"/>
          <w:sz w:val="28"/>
          <w:szCs w:val="28"/>
          <w:lang w:val="en-IN"/>
        </w:rPr>
        <w:t>This national framework outlines standards for early detection, equitable access, and patient-centred kidney care across England. It promotes shared decision-making and improved transplantation pathways</w:t>
      </w:r>
      <w:r w:rsidR="009E01B5">
        <w:rPr>
          <w:rFonts w:ascii="Arial" w:hAnsi="Arial" w:cs="Arial"/>
          <w:sz w:val="28"/>
          <w:szCs w:val="28"/>
          <w:lang w:val="en-IN"/>
        </w:rPr>
        <w:t xml:space="preserve"> </w:t>
      </w:r>
      <w:r w:rsidR="009E01B5" w:rsidRPr="009E01B5">
        <w:rPr>
          <w:rFonts w:ascii="Arial" w:hAnsi="Arial" w:cs="Arial"/>
          <w:sz w:val="28"/>
          <w:szCs w:val="28"/>
          <w:lang w:val="en-IN"/>
        </w:rPr>
        <w:t>(jamesmccann, 2017)</w:t>
      </w:r>
      <w:r w:rsidR="009E01B5">
        <w:rPr>
          <w:rFonts w:ascii="Arial" w:hAnsi="Arial" w:cs="Arial"/>
          <w:sz w:val="28"/>
          <w:szCs w:val="28"/>
          <w:lang w:val="en-IN"/>
        </w:rPr>
        <w:t>.</w:t>
      </w:r>
    </w:p>
    <w:p w14:paraId="43D7829C" w14:textId="77777777" w:rsidR="009731CD" w:rsidRPr="009731CD" w:rsidRDefault="009731CD" w:rsidP="009731CD">
      <w:pPr>
        <w:pStyle w:val="NormalWeb"/>
        <w:spacing w:line="360" w:lineRule="auto"/>
        <w:ind w:left="360"/>
        <w:jc w:val="both"/>
        <w:rPr>
          <w:rFonts w:ascii="Arial" w:hAnsi="Arial" w:cs="Arial"/>
          <w:sz w:val="28"/>
          <w:szCs w:val="28"/>
          <w:lang w:val="en-IN"/>
        </w:rPr>
      </w:pPr>
      <w:r w:rsidRPr="009731CD">
        <w:rPr>
          <w:rFonts w:ascii="Arial" w:hAnsi="Arial" w:cs="Arial"/>
          <w:sz w:val="28"/>
          <w:szCs w:val="28"/>
          <w:lang w:val="en-IN"/>
        </w:rPr>
        <w:t>Despite clear policy direction, disparities in access to specialist services and transplantation remain, particularly among socioeconomically deprived and ethnic minority populations.</w:t>
      </w:r>
    </w:p>
    <w:p w14:paraId="3DBA703E" w14:textId="057ADA9F" w:rsidR="009731CD" w:rsidRPr="009731CD" w:rsidRDefault="009731CD" w:rsidP="009731CD">
      <w:pPr>
        <w:pStyle w:val="NormalWeb"/>
        <w:spacing w:line="360" w:lineRule="auto"/>
        <w:ind w:left="360"/>
        <w:jc w:val="both"/>
        <w:rPr>
          <w:rFonts w:ascii="Arial" w:hAnsi="Arial" w:cs="Arial"/>
          <w:b/>
          <w:bCs/>
          <w:sz w:val="28"/>
          <w:szCs w:val="28"/>
          <w:lang w:val="en-IN"/>
        </w:rPr>
      </w:pPr>
      <w:r>
        <w:rPr>
          <w:rFonts w:ascii="Arial" w:hAnsi="Arial" w:cs="Arial"/>
          <w:b/>
          <w:bCs/>
          <w:sz w:val="28"/>
          <w:szCs w:val="28"/>
          <w:lang w:val="en-IN"/>
        </w:rPr>
        <w:t xml:space="preserve">3. </w:t>
      </w:r>
      <w:r w:rsidRPr="009731CD">
        <w:rPr>
          <w:rFonts w:ascii="Arial" w:hAnsi="Arial" w:cs="Arial"/>
          <w:b/>
          <w:bCs/>
          <w:sz w:val="28"/>
          <w:szCs w:val="28"/>
          <w:lang w:val="en-IN"/>
        </w:rPr>
        <w:t>WHO Integrated People-Centred Health Services Framework (2016)</w:t>
      </w:r>
    </w:p>
    <w:p w14:paraId="10289710" w14:textId="085EFE82" w:rsidR="008019FD" w:rsidRDefault="009731CD" w:rsidP="003E6E99">
      <w:pPr>
        <w:pStyle w:val="NormalWeb"/>
        <w:spacing w:line="360" w:lineRule="auto"/>
        <w:ind w:left="360"/>
        <w:jc w:val="both"/>
        <w:rPr>
          <w:rFonts w:ascii="Arial" w:hAnsi="Arial" w:cs="Arial"/>
          <w:sz w:val="28"/>
          <w:szCs w:val="28"/>
          <w:lang w:val="en-IN"/>
        </w:rPr>
      </w:pPr>
      <w:r w:rsidRPr="009731CD">
        <w:rPr>
          <w:rFonts w:ascii="Arial" w:hAnsi="Arial" w:cs="Arial"/>
          <w:sz w:val="28"/>
          <w:szCs w:val="28"/>
          <w:lang w:val="en-IN"/>
        </w:rPr>
        <w:t>Internationally, the WHO framework promotes coordinated, person-centred systems focused on long-term condition management and continuity of care. It reinforces the principles underpinning both the House of Care and CCM</w:t>
      </w:r>
      <w:r w:rsidR="00CA501D">
        <w:rPr>
          <w:rFonts w:ascii="Arial" w:hAnsi="Arial" w:cs="Arial"/>
          <w:sz w:val="28"/>
          <w:szCs w:val="28"/>
          <w:lang w:val="en-IN"/>
        </w:rPr>
        <w:t xml:space="preserve"> </w:t>
      </w:r>
      <w:r w:rsidR="00CA501D" w:rsidRPr="00CA501D">
        <w:rPr>
          <w:rFonts w:ascii="Arial" w:hAnsi="Arial" w:cs="Arial"/>
          <w:sz w:val="28"/>
          <w:szCs w:val="28"/>
          <w:lang w:val="en-IN"/>
        </w:rPr>
        <w:t>(WHO, 2023)</w:t>
      </w:r>
      <w:r w:rsidRPr="009731CD">
        <w:rPr>
          <w:rFonts w:ascii="Arial" w:hAnsi="Arial" w:cs="Arial"/>
          <w:sz w:val="28"/>
          <w:szCs w:val="28"/>
          <w:lang w:val="en-IN"/>
        </w:rPr>
        <w:t>.</w:t>
      </w:r>
    </w:p>
    <w:p w14:paraId="13914B79" w14:textId="33D6976B" w:rsidR="002531F3" w:rsidRPr="002531F3" w:rsidRDefault="00543CF1" w:rsidP="002531F3">
      <w:pPr>
        <w:pStyle w:val="NormalWeb"/>
        <w:spacing w:line="360" w:lineRule="auto"/>
        <w:jc w:val="both"/>
        <w:rPr>
          <w:rFonts w:ascii="Arial" w:hAnsi="Arial" w:cs="Arial"/>
          <w:b/>
          <w:bCs/>
          <w:sz w:val="32"/>
          <w:szCs w:val="32"/>
          <w:u w:val="single"/>
          <w:lang w:val="en-IN"/>
        </w:rPr>
      </w:pPr>
      <w:r w:rsidRPr="00543CF1">
        <w:rPr>
          <w:rFonts w:ascii="Arial" w:hAnsi="Arial" w:cs="Arial"/>
          <w:b/>
          <w:bCs/>
          <w:sz w:val="32"/>
          <w:szCs w:val="32"/>
          <w:lang w:val="en-IN"/>
        </w:rPr>
        <w:t>9.</w:t>
      </w:r>
      <w:r w:rsidR="002531F3" w:rsidRPr="002531F3">
        <w:rPr>
          <w:rFonts w:ascii="Arial" w:hAnsi="Arial" w:cs="Arial"/>
          <w:b/>
          <w:bCs/>
          <w:sz w:val="32"/>
          <w:szCs w:val="32"/>
          <w:u w:val="single"/>
          <w:lang w:val="en-IN"/>
        </w:rPr>
        <w:t>Recommendations for Improving Person-Centred Care</w:t>
      </w:r>
    </w:p>
    <w:p w14:paraId="4809163C" w14:textId="70FC03C0" w:rsidR="002531F3" w:rsidRPr="002531F3" w:rsidRDefault="003E6E99" w:rsidP="002531F3">
      <w:pPr>
        <w:pStyle w:val="NormalWeb"/>
        <w:spacing w:line="360" w:lineRule="auto"/>
        <w:jc w:val="both"/>
        <w:rPr>
          <w:rFonts w:ascii="Arial" w:hAnsi="Arial" w:cs="Arial"/>
          <w:b/>
          <w:bCs/>
          <w:sz w:val="28"/>
          <w:szCs w:val="28"/>
          <w:lang w:val="en-IN"/>
        </w:rPr>
      </w:pPr>
      <w:r>
        <w:rPr>
          <w:rFonts w:ascii="Arial" w:hAnsi="Arial" w:cs="Arial"/>
          <w:b/>
          <w:bCs/>
          <w:sz w:val="28"/>
          <w:szCs w:val="28"/>
          <w:lang w:val="en-IN"/>
        </w:rPr>
        <w:t>1.</w:t>
      </w:r>
      <w:r w:rsidR="002531F3" w:rsidRPr="002531F3">
        <w:rPr>
          <w:rFonts w:ascii="Arial" w:hAnsi="Arial" w:cs="Arial"/>
          <w:b/>
          <w:bCs/>
          <w:sz w:val="28"/>
          <w:szCs w:val="28"/>
          <w:lang w:val="en-IN"/>
        </w:rPr>
        <w:t>Strengthening Self-Management</w:t>
      </w:r>
    </w:p>
    <w:p w14:paraId="1FA6CBE6" w14:textId="4E3406AB" w:rsidR="002531F3" w:rsidRPr="002531F3" w:rsidRDefault="002531F3" w:rsidP="002531F3">
      <w:pPr>
        <w:pStyle w:val="NormalWeb"/>
        <w:spacing w:line="360" w:lineRule="auto"/>
        <w:jc w:val="both"/>
        <w:rPr>
          <w:rFonts w:ascii="Arial" w:hAnsi="Arial" w:cs="Arial"/>
          <w:sz w:val="28"/>
          <w:szCs w:val="28"/>
          <w:lang w:val="en-IN"/>
        </w:rPr>
      </w:pPr>
      <w:r w:rsidRPr="002531F3">
        <w:rPr>
          <w:rFonts w:ascii="Arial" w:hAnsi="Arial" w:cs="Arial"/>
          <w:sz w:val="28"/>
          <w:szCs w:val="28"/>
          <w:lang w:val="en-IN"/>
        </w:rPr>
        <w:t xml:space="preserve">Structured education, personalised care plans, </w:t>
      </w:r>
      <w:r w:rsidR="00C8448C">
        <w:rPr>
          <w:rFonts w:ascii="Arial" w:hAnsi="Arial" w:cs="Arial"/>
          <w:sz w:val="28"/>
          <w:szCs w:val="28"/>
          <w:lang w:val="en-IN"/>
        </w:rPr>
        <w:t xml:space="preserve">diet </w:t>
      </w:r>
      <w:r w:rsidRPr="002531F3">
        <w:rPr>
          <w:rFonts w:ascii="Arial" w:hAnsi="Arial" w:cs="Arial"/>
          <w:sz w:val="28"/>
          <w:szCs w:val="28"/>
          <w:lang w:val="en-IN"/>
        </w:rPr>
        <w:t xml:space="preserve">and motivational support improve patient activation </w:t>
      </w:r>
      <w:r w:rsidRPr="002531F3">
        <w:rPr>
          <w:rFonts w:ascii="Arial" w:hAnsi="Arial" w:cs="Arial"/>
          <w:sz w:val="28"/>
          <w:szCs w:val="28"/>
          <w:lang w:val="en-IN"/>
        </w:rPr>
        <w:lastRenderedPageBreak/>
        <w:t xml:space="preserve">and clinical outcomes </w:t>
      </w:r>
      <w:r w:rsidR="0032772B" w:rsidRPr="0032772B">
        <w:rPr>
          <w:rFonts w:ascii="Arial" w:hAnsi="Arial" w:cs="Arial"/>
          <w:sz w:val="28"/>
          <w:szCs w:val="28"/>
          <w:lang w:val="en-IN"/>
        </w:rPr>
        <w:t>(Lorig and Holman, 2003)</w:t>
      </w:r>
      <w:r w:rsidRPr="002531F3">
        <w:rPr>
          <w:rFonts w:ascii="Arial" w:hAnsi="Arial" w:cs="Arial"/>
          <w:sz w:val="28"/>
          <w:szCs w:val="28"/>
          <w:lang w:val="en-IN"/>
        </w:rPr>
        <w:t>. For CKD, this includes medication adherence, dietary modification, and blood pressure monitoring. Digital tools and culturally tailored resources should be expanded to reduce inequalities.</w:t>
      </w:r>
    </w:p>
    <w:p w14:paraId="5CE8F0B3" w14:textId="2EB402C0" w:rsidR="002531F3" w:rsidRPr="002531F3" w:rsidRDefault="003E6E99" w:rsidP="002531F3">
      <w:pPr>
        <w:pStyle w:val="NormalWeb"/>
        <w:spacing w:line="360" w:lineRule="auto"/>
        <w:jc w:val="both"/>
        <w:rPr>
          <w:rFonts w:ascii="Arial" w:hAnsi="Arial" w:cs="Arial"/>
          <w:b/>
          <w:bCs/>
          <w:sz w:val="28"/>
          <w:szCs w:val="28"/>
          <w:lang w:val="en-IN"/>
        </w:rPr>
      </w:pPr>
      <w:r>
        <w:rPr>
          <w:rFonts w:ascii="Arial" w:hAnsi="Arial" w:cs="Arial"/>
          <w:b/>
          <w:bCs/>
          <w:sz w:val="28"/>
          <w:szCs w:val="28"/>
          <w:lang w:val="en-IN"/>
        </w:rPr>
        <w:t>2.</w:t>
      </w:r>
      <w:r w:rsidR="002531F3" w:rsidRPr="002531F3">
        <w:rPr>
          <w:rFonts w:ascii="Arial" w:hAnsi="Arial" w:cs="Arial"/>
          <w:b/>
          <w:bCs/>
          <w:sz w:val="28"/>
          <w:szCs w:val="28"/>
          <w:lang w:val="en-IN"/>
        </w:rPr>
        <w:t>Enhancing Multidisciplinary Care</w:t>
      </w:r>
    </w:p>
    <w:p w14:paraId="6F66DB11" w14:textId="77777777" w:rsidR="002531F3" w:rsidRPr="002531F3" w:rsidRDefault="002531F3" w:rsidP="002531F3">
      <w:pPr>
        <w:pStyle w:val="NormalWeb"/>
        <w:spacing w:line="360" w:lineRule="auto"/>
        <w:jc w:val="both"/>
        <w:rPr>
          <w:rFonts w:ascii="Arial" w:hAnsi="Arial" w:cs="Arial"/>
          <w:sz w:val="28"/>
          <w:szCs w:val="28"/>
          <w:lang w:val="en-IN"/>
        </w:rPr>
      </w:pPr>
      <w:r w:rsidRPr="002531F3">
        <w:rPr>
          <w:rFonts w:ascii="Arial" w:hAnsi="Arial" w:cs="Arial"/>
          <w:sz w:val="28"/>
          <w:szCs w:val="28"/>
          <w:lang w:val="en-IN"/>
        </w:rPr>
        <w:t>Integrated MDT working improves medication optimisation, dialysis preparedness, and psychosocial support. Workforce development and shared electronic records are essential to improve continuity across primary and secondary care.</w:t>
      </w:r>
    </w:p>
    <w:p w14:paraId="57EF056C" w14:textId="112D4AFE" w:rsidR="002531F3" w:rsidRPr="002531F3" w:rsidRDefault="003E6E99" w:rsidP="003E6E99">
      <w:pPr>
        <w:pStyle w:val="NormalWeb"/>
        <w:spacing w:line="360" w:lineRule="auto"/>
        <w:rPr>
          <w:rFonts w:ascii="Arial" w:hAnsi="Arial" w:cs="Arial"/>
          <w:b/>
          <w:bCs/>
          <w:sz w:val="28"/>
          <w:szCs w:val="28"/>
          <w:lang w:val="en-IN"/>
        </w:rPr>
      </w:pPr>
      <w:r>
        <w:rPr>
          <w:rFonts w:ascii="Arial" w:hAnsi="Arial" w:cs="Arial"/>
          <w:b/>
          <w:bCs/>
          <w:sz w:val="28"/>
          <w:szCs w:val="28"/>
          <w:lang w:val="en-IN"/>
        </w:rPr>
        <w:t>3.</w:t>
      </w:r>
      <w:r w:rsidR="002531F3" w:rsidRPr="002531F3">
        <w:rPr>
          <w:rFonts w:ascii="Arial" w:hAnsi="Arial" w:cs="Arial"/>
          <w:b/>
          <w:bCs/>
          <w:sz w:val="28"/>
          <w:szCs w:val="28"/>
          <w:lang w:val="en-IN"/>
        </w:rPr>
        <w:t xml:space="preserve">Promoting Advance Care Planning and </w:t>
      </w:r>
      <w:r w:rsidR="00EC3292">
        <w:rPr>
          <w:rFonts w:ascii="Arial" w:hAnsi="Arial" w:cs="Arial"/>
          <w:b/>
          <w:bCs/>
          <w:sz w:val="28"/>
          <w:szCs w:val="28"/>
          <w:lang w:val="en-IN"/>
        </w:rPr>
        <w:t>End of life</w:t>
      </w:r>
      <w:r w:rsidR="002531F3" w:rsidRPr="002531F3">
        <w:rPr>
          <w:rFonts w:ascii="Arial" w:hAnsi="Arial" w:cs="Arial"/>
          <w:b/>
          <w:bCs/>
          <w:sz w:val="28"/>
          <w:szCs w:val="28"/>
          <w:lang w:val="en-IN"/>
        </w:rPr>
        <w:t xml:space="preserve"> Care</w:t>
      </w:r>
    </w:p>
    <w:p w14:paraId="196680F5" w14:textId="17A82B55" w:rsidR="00EC3292" w:rsidRPr="00EC3292" w:rsidRDefault="00EC3292" w:rsidP="00EC3292">
      <w:pPr>
        <w:pStyle w:val="NormalWeb"/>
        <w:spacing w:line="360" w:lineRule="auto"/>
        <w:jc w:val="both"/>
        <w:rPr>
          <w:rFonts w:ascii="Arial" w:hAnsi="Arial" w:cs="Arial"/>
          <w:sz w:val="28"/>
          <w:szCs w:val="28"/>
          <w:lang w:val="en-IN"/>
        </w:rPr>
      </w:pPr>
      <w:r w:rsidRPr="00EC3292">
        <w:rPr>
          <w:rFonts w:ascii="Arial" w:hAnsi="Arial" w:cs="Arial"/>
          <w:sz w:val="28"/>
          <w:szCs w:val="28"/>
          <w:lang w:val="en-IN"/>
        </w:rPr>
        <w:t>Some patients continue to decline in spite of dialysis and supportive treatment, and they will eventually require end-of-life (EOL) care</w:t>
      </w:r>
      <w:r>
        <w:rPr>
          <w:rFonts w:ascii="Arial" w:hAnsi="Arial" w:cs="Arial"/>
          <w:sz w:val="28"/>
          <w:szCs w:val="28"/>
          <w:lang w:val="en-IN"/>
        </w:rPr>
        <w:t xml:space="preserve"> or </w:t>
      </w:r>
      <w:r w:rsidRPr="00EC3292">
        <w:rPr>
          <w:rFonts w:ascii="Arial" w:hAnsi="Arial" w:cs="Arial"/>
          <w:sz w:val="28"/>
          <w:szCs w:val="28"/>
          <w:lang w:val="en-IN"/>
        </w:rPr>
        <w:t>Palliative care</w:t>
      </w:r>
      <w:r>
        <w:rPr>
          <w:rFonts w:ascii="Arial" w:hAnsi="Arial" w:cs="Arial"/>
          <w:sz w:val="28"/>
          <w:szCs w:val="28"/>
          <w:lang w:val="en-IN"/>
        </w:rPr>
        <w:t xml:space="preserve"> </w:t>
      </w:r>
      <w:r w:rsidRPr="00EC3292">
        <w:rPr>
          <w:rFonts w:ascii="Arial" w:hAnsi="Arial" w:cs="Arial"/>
          <w:sz w:val="28"/>
          <w:szCs w:val="28"/>
          <w:lang w:val="en-IN"/>
        </w:rPr>
        <w:t>(National Kidney Federation, 2023)</w:t>
      </w:r>
      <w:r>
        <w:rPr>
          <w:rFonts w:ascii="Arial" w:hAnsi="Arial" w:cs="Arial"/>
          <w:sz w:val="28"/>
          <w:szCs w:val="28"/>
          <w:lang w:val="en-IN"/>
        </w:rPr>
        <w:t>.</w:t>
      </w:r>
    </w:p>
    <w:p w14:paraId="07AFEFF5" w14:textId="02A1E3AE" w:rsidR="002531F3" w:rsidRPr="002531F3" w:rsidRDefault="002531F3" w:rsidP="002531F3">
      <w:pPr>
        <w:pStyle w:val="NormalWeb"/>
        <w:spacing w:line="360" w:lineRule="auto"/>
        <w:jc w:val="both"/>
        <w:rPr>
          <w:rFonts w:ascii="Arial" w:hAnsi="Arial" w:cs="Arial"/>
          <w:sz w:val="28"/>
          <w:szCs w:val="28"/>
          <w:lang w:val="en-IN"/>
        </w:rPr>
      </w:pPr>
      <w:r w:rsidRPr="002531F3">
        <w:rPr>
          <w:rFonts w:ascii="Arial" w:hAnsi="Arial" w:cs="Arial"/>
          <w:sz w:val="28"/>
          <w:szCs w:val="28"/>
          <w:lang w:val="en-IN"/>
        </w:rPr>
        <w:t>Early discussions regarding treatment preferences, including conservative kidney management, support informed decision-making. Evidence suggests dialysis may not significantly improve survival in very elderly multimorbid patients, reinforcing the importance of shared decision-making and palliative integration (Murtagh et al., 2007).</w:t>
      </w:r>
    </w:p>
    <w:p w14:paraId="55778847" w14:textId="4977995C" w:rsidR="00381375" w:rsidRPr="00381375" w:rsidRDefault="00381375" w:rsidP="00381375">
      <w:pPr>
        <w:pStyle w:val="NormalWeb"/>
        <w:spacing w:line="360" w:lineRule="auto"/>
        <w:jc w:val="both"/>
        <w:rPr>
          <w:rFonts w:ascii="Arial" w:hAnsi="Arial" w:cs="Arial"/>
          <w:b/>
          <w:bCs/>
          <w:sz w:val="36"/>
          <w:szCs w:val="36"/>
          <w:u w:val="single"/>
          <w:lang w:val="en-IN"/>
        </w:rPr>
      </w:pPr>
      <w:r w:rsidRPr="00381375">
        <w:rPr>
          <w:rFonts w:ascii="Arial" w:hAnsi="Arial" w:cs="Arial"/>
          <w:b/>
          <w:bCs/>
          <w:sz w:val="36"/>
          <w:szCs w:val="36"/>
          <w:u w:val="single"/>
          <w:lang w:val="en-IN"/>
        </w:rPr>
        <w:t>Conclusion</w:t>
      </w:r>
    </w:p>
    <w:p w14:paraId="67BF519C" w14:textId="77777777" w:rsidR="00BD283D" w:rsidRPr="00BD283D" w:rsidRDefault="00BD283D" w:rsidP="00BD283D">
      <w:pPr>
        <w:pStyle w:val="NormalWeb"/>
        <w:spacing w:line="360" w:lineRule="auto"/>
        <w:jc w:val="both"/>
        <w:rPr>
          <w:rFonts w:ascii="Arial" w:hAnsi="Arial" w:cs="Arial"/>
          <w:sz w:val="28"/>
          <w:szCs w:val="28"/>
          <w:lang w:val="en-IN"/>
        </w:rPr>
      </w:pPr>
      <w:r w:rsidRPr="00BD283D">
        <w:rPr>
          <w:rFonts w:ascii="Arial" w:hAnsi="Arial" w:cs="Arial"/>
          <w:sz w:val="28"/>
          <w:szCs w:val="28"/>
          <w:lang w:val="en-IN"/>
        </w:rPr>
        <w:t>Chronic kidney disease (CKD) is a common and progressive long-term condition that has significant clinical and public health implications. As kidney function declines, patients may experience multiple complications including cardiovascular disease, metabolic disturbances, and reduced quality of life. Early identification and effective management are therefore essential in slowing disease progression.</w:t>
      </w:r>
    </w:p>
    <w:p w14:paraId="31AAB6CC" w14:textId="77777777" w:rsidR="00BD283D" w:rsidRPr="00BD283D" w:rsidRDefault="00BD283D" w:rsidP="00BD283D">
      <w:pPr>
        <w:pStyle w:val="NormalWeb"/>
        <w:spacing w:line="360" w:lineRule="auto"/>
        <w:jc w:val="both"/>
        <w:rPr>
          <w:rFonts w:ascii="Arial" w:hAnsi="Arial" w:cs="Arial"/>
          <w:sz w:val="28"/>
          <w:szCs w:val="28"/>
          <w:lang w:val="en-IN"/>
        </w:rPr>
      </w:pPr>
      <w:r w:rsidRPr="00BD283D">
        <w:rPr>
          <w:rFonts w:ascii="Arial" w:hAnsi="Arial" w:cs="Arial"/>
          <w:sz w:val="28"/>
          <w:szCs w:val="28"/>
          <w:lang w:val="en-IN"/>
        </w:rPr>
        <w:lastRenderedPageBreak/>
        <w:t>Within the UK healthcare system, evidence-based interventions such as blood pressure control, RAAS blockade, and the use of SGLT2 inhibitors play an important role in reducing disease progression and improving patient outcomes. In addition, multidisciplinary care and patient education are key components of long-term CKD management.</w:t>
      </w:r>
    </w:p>
    <w:p w14:paraId="7D3383E0" w14:textId="77777777" w:rsidR="00BD283D" w:rsidRPr="00BD283D" w:rsidRDefault="00BD283D" w:rsidP="00BD283D">
      <w:pPr>
        <w:pStyle w:val="NormalWeb"/>
        <w:spacing w:line="360" w:lineRule="auto"/>
        <w:jc w:val="both"/>
        <w:rPr>
          <w:rFonts w:ascii="Arial" w:hAnsi="Arial" w:cs="Arial"/>
          <w:sz w:val="28"/>
          <w:szCs w:val="28"/>
          <w:lang w:val="en-IN"/>
        </w:rPr>
      </w:pPr>
      <w:r w:rsidRPr="00BD283D">
        <w:rPr>
          <w:rFonts w:ascii="Arial" w:hAnsi="Arial" w:cs="Arial"/>
          <w:sz w:val="28"/>
          <w:szCs w:val="28"/>
          <w:lang w:val="en-IN"/>
        </w:rPr>
        <w:t>Although national policies and care models support a more integrated and person-centred approach to chronic disease management, challenges such as workforce pressures and health inequalities continue to affect service delivery. Strengthening prevention strategies, supporting patient self-management, and improving access to multidisciplinary care will be essential to improving long-term outcomes for individuals living with CKD.</w:t>
      </w:r>
    </w:p>
    <w:p w14:paraId="24739DEF" w14:textId="77777777" w:rsidR="00381375" w:rsidRPr="00543CF1" w:rsidRDefault="00381375" w:rsidP="007F5FA9">
      <w:pPr>
        <w:pStyle w:val="NormalWeb"/>
        <w:spacing w:line="360" w:lineRule="auto"/>
        <w:jc w:val="both"/>
        <w:rPr>
          <w:rFonts w:ascii="Arial" w:hAnsi="Arial" w:cs="Arial"/>
          <w:sz w:val="28"/>
          <w:szCs w:val="28"/>
          <w:lang w:val="en-IN"/>
        </w:rPr>
      </w:pPr>
    </w:p>
    <w:p w14:paraId="094E63D6" w14:textId="77777777" w:rsidR="008E2A38" w:rsidRPr="00BA28B9" w:rsidRDefault="008E2A38" w:rsidP="008E2A38">
      <w:pPr>
        <w:widowControl w:val="0"/>
        <w:autoSpaceDE w:val="0"/>
        <w:autoSpaceDN w:val="0"/>
        <w:adjustRightInd w:val="0"/>
        <w:spacing w:after="240" w:line="360" w:lineRule="auto"/>
        <w:rPr>
          <w:rFonts w:ascii="Arial" w:hAnsi="Arial" w:cs="Arial"/>
          <w:b/>
          <w:bCs/>
          <w:sz w:val="22"/>
          <w:szCs w:val="22"/>
          <w:u w:val="single"/>
          <w:lang w:val="en-US"/>
        </w:rPr>
      </w:pPr>
      <w:r w:rsidRPr="00BA28B9">
        <w:rPr>
          <w:rFonts w:ascii="Arial" w:hAnsi="Arial" w:cs="Arial"/>
          <w:b/>
          <w:bCs/>
          <w:sz w:val="36"/>
          <w:szCs w:val="36"/>
          <w:u w:val="single"/>
          <w:lang w:val="en-US"/>
        </w:rPr>
        <w:t>Reference list</w:t>
      </w:r>
    </w:p>
    <w:p w14:paraId="1F58C19D"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Agarwal, A. (2023). </w:t>
      </w:r>
      <w:r>
        <w:rPr>
          <w:rFonts w:ascii="Arial" w:hAnsi="Arial" w:cs="Arial"/>
          <w:i/>
          <w:iCs/>
          <w:sz w:val="28"/>
          <w:szCs w:val="28"/>
          <w:lang w:val="en-US"/>
        </w:rPr>
        <w:t>What is Rickets: Symptoms, Causes, and How to Manage it</w:t>
      </w:r>
      <w:r>
        <w:rPr>
          <w:rFonts w:ascii="Arial" w:hAnsi="Arial" w:cs="Arial"/>
          <w:sz w:val="28"/>
          <w:szCs w:val="28"/>
          <w:lang w:val="en-US"/>
        </w:rPr>
        <w:t xml:space="preserve">. [online] Medkart Pharmacy Blogs. Available at: </w:t>
      </w:r>
      <w:hyperlink r:id="rId21" w:history="1">
        <w:r>
          <w:rPr>
            <w:rFonts w:ascii="Arial" w:hAnsi="Arial" w:cs="Arial"/>
            <w:sz w:val="28"/>
            <w:szCs w:val="28"/>
            <w:lang w:val="en-US"/>
          </w:rPr>
          <w:t>https://www.medkart.in/blog/what-is-rickets-symptoms-causes-and-how-to-manage?srsltid=AfmBOopqzwwOwO-NWArrTsHWuGVMhE9cv-hkZ4UbflsXwHSk3qOkd-8-</w:t>
        </w:r>
      </w:hyperlink>
      <w:r>
        <w:rPr>
          <w:rFonts w:ascii="Arial" w:hAnsi="Arial" w:cs="Arial"/>
          <w:sz w:val="28"/>
          <w:szCs w:val="28"/>
          <w:lang w:val="en-US"/>
        </w:rPr>
        <w:t xml:space="preserve"> [Accessed 3 Mar. 2026].</w:t>
      </w:r>
    </w:p>
    <w:p w14:paraId="2B0878B5"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Ansari, R.M., Harris, M.F., Hosseinzadeh, H. and Zwar, N. (2022). Implementation of Chronic Care Model for Diabetes Self-Management: A Quantitative Analysis. </w:t>
      </w:r>
      <w:r>
        <w:rPr>
          <w:rFonts w:ascii="Arial" w:hAnsi="Arial" w:cs="Arial"/>
          <w:i/>
          <w:iCs/>
          <w:sz w:val="28"/>
          <w:szCs w:val="28"/>
          <w:lang w:val="en-US"/>
        </w:rPr>
        <w:t>Diabetology</w:t>
      </w:r>
      <w:r>
        <w:rPr>
          <w:rFonts w:ascii="Arial" w:hAnsi="Arial" w:cs="Arial"/>
          <w:sz w:val="28"/>
          <w:szCs w:val="28"/>
          <w:lang w:val="en-US"/>
        </w:rPr>
        <w:t>, [online] 3(3), pp.407–422. doi:</w:t>
      </w:r>
      <w:hyperlink r:id="rId22" w:history="1">
        <w:r>
          <w:rPr>
            <w:rFonts w:ascii="Arial" w:hAnsi="Arial" w:cs="Arial"/>
            <w:sz w:val="28"/>
            <w:szCs w:val="28"/>
            <w:lang w:val="en-US"/>
          </w:rPr>
          <w:t>https://doi.org/10.3390/diabetology3030031</w:t>
        </w:r>
      </w:hyperlink>
      <w:r>
        <w:rPr>
          <w:rFonts w:ascii="Arial" w:hAnsi="Arial" w:cs="Arial"/>
          <w:sz w:val="28"/>
          <w:szCs w:val="28"/>
          <w:lang w:val="en-US"/>
        </w:rPr>
        <w:t>.</w:t>
      </w:r>
    </w:p>
    <w:p w14:paraId="7F0B74F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lastRenderedPageBreak/>
        <w:t xml:space="preserve">Belasco, A.G. and Sesso, R. (2002). Burden and quality of life of caregivers for hemodialysis patients. </w:t>
      </w:r>
      <w:r>
        <w:rPr>
          <w:rFonts w:ascii="Arial" w:hAnsi="Arial" w:cs="Arial"/>
          <w:i/>
          <w:iCs/>
          <w:sz w:val="28"/>
          <w:szCs w:val="28"/>
          <w:lang w:val="en-US"/>
        </w:rPr>
        <w:t>American Journal of Kidney Diseases</w:t>
      </w:r>
      <w:r>
        <w:rPr>
          <w:rFonts w:ascii="Arial" w:hAnsi="Arial" w:cs="Arial"/>
          <w:sz w:val="28"/>
          <w:szCs w:val="28"/>
          <w:lang w:val="en-US"/>
        </w:rPr>
        <w:t>, [online] 39(4), pp.805–812. doi:</w:t>
      </w:r>
      <w:hyperlink r:id="rId23" w:history="1">
        <w:r>
          <w:rPr>
            <w:rFonts w:ascii="Arial" w:hAnsi="Arial" w:cs="Arial"/>
            <w:sz w:val="28"/>
            <w:szCs w:val="28"/>
            <w:lang w:val="en-US"/>
          </w:rPr>
          <w:t>https://doi.org/10.1053/ajkd.2002.32001</w:t>
        </w:r>
      </w:hyperlink>
      <w:r>
        <w:rPr>
          <w:rFonts w:ascii="Arial" w:hAnsi="Arial" w:cs="Arial"/>
          <w:sz w:val="28"/>
          <w:szCs w:val="28"/>
          <w:lang w:val="en-US"/>
        </w:rPr>
        <w:t>.</w:t>
      </w:r>
    </w:p>
    <w:p w14:paraId="7593374A"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Bowling, C.B., Inker, L.A., Gutiérrez, O.M., Allman, R.M., Warnock, D.G., McClellan, W. and Muntner, P. (2011). Age-Specific Associations of Reduced Estimated Glomerular Filtration Rate with Concurrent Chronic Kidney Disease Complications. </w:t>
      </w:r>
      <w:r>
        <w:rPr>
          <w:rFonts w:ascii="Arial" w:hAnsi="Arial" w:cs="Arial"/>
          <w:i/>
          <w:iCs/>
          <w:sz w:val="28"/>
          <w:szCs w:val="28"/>
          <w:lang w:val="en-US"/>
        </w:rPr>
        <w:t>Clinical Journal of the American Society of Nephrology : CJASN</w:t>
      </w:r>
      <w:r>
        <w:rPr>
          <w:rFonts w:ascii="Arial" w:hAnsi="Arial" w:cs="Arial"/>
          <w:sz w:val="28"/>
          <w:szCs w:val="28"/>
          <w:lang w:val="en-US"/>
        </w:rPr>
        <w:t>, [online] 6(12), pp.2822–2828. doi:</w:t>
      </w:r>
      <w:hyperlink r:id="rId24" w:history="1">
        <w:r>
          <w:rPr>
            <w:rFonts w:ascii="Arial" w:hAnsi="Arial" w:cs="Arial"/>
            <w:sz w:val="28"/>
            <w:szCs w:val="28"/>
            <w:lang w:val="en-US"/>
          </w:rPr>
          <w:t>https://doi.org/10.2215/CJN.06770711</w:t>
        </w:r>
      </w:hyperlink>
      <w:r>
        <w:rPr>
          <w:rFonts w:ascii="Arial" w:hAnsi="Arial" w:cs="Arial"/>
          <w:sz w:val="28"/>
          <w:szCs w:val="28"/>
          <w:lang w:val="en-US"/>
        </w:rPr>
        <w:t>.</w:t>
      </w:r>
    </w:p>
    <w:p w14:paraId="2BBD12FC"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Brenner, B.M., Cooper, M.E., de Zeeuw, D., Keane, W.F., Mitch, W.E., Parving, H.-H., Remuzzi, G., Snapinn, S.M., Zhang, Z. and </w:t>
      </w:r>
      <w:r>
        <w:rPr>
          <w:rFonts w:ascii="Arial" w:hAnsi="Arial" w:cs="Arial"/>
          <w:sz w:val="28"/>
          <w:szCs w:val="28"/>
          <w:lang w:val="en-US"/>
        </w:rPr>
        <w:t xml:space="preserve">Shahinfar, S. (2001). Effects of Losartan on Renal and Cardiovascular Outcomes in Patients with Type 2 Diabetes and Nephropathy. </w:t>
      </w:r>
      <w:r>
        <w:rPr>
          <w:rFonts w:ascii="Arial" w:hAnsi="Arial" w:cs="Arial"/>
          <w:i/>
          <w:iCs/>
          <w:sz w:val="28"/>
          <w:szCs w:val="28"/>
          <w:lang w:val="en-US"/>
        </w:rPr>
        <w:t>New England Journal of Medicine</w:t>
      </w:r>
      <w:r>
        <w:rPr>
          <w:rFonts w:ascii="Arial" w:hAnsi="Arial" w:cs="Arial"/>
          <w:sz w:val="28"/>
          <w:szCs w:val="28"/>
          <w:lang w:val="en-US"/>
        </w:rPr>
        <w:t>, [online] 345(12), pp.861–869. doi:</w:t>
      </w:r>
      <w:hyperlink r:id="rId25" w:history="1">
        <w:r>
          <w:rPr>
            <w:rFonts w:ascii="Arial" w:hAnsi="Arial" w:cs="Arial"/>
            <w:sz w:val="28"/>
            <w:szCs w:val="28"/>
            <w:lang w:val="en-US"/>
          </w:rPr>
          <w:t>https://doi.org/10.1056/nejmoa011161</w:t>
        </w:r>
      </w:hyperlink>
      <w:r>
        <w:rPr>
          <w:rFonts w:ascii="Arial" w:hAnsi="Arial" w:cs="Arial"/>
          <w:sz w:val="28"/>
          <w:szCs w:val="28"/>
          <w:lang w:val="en-US"/>
        </w:rPr>
        <w:t>.</w:t>
      </w:r>
    </w:p>
    <w:p w14:paraId="0F8E2631"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Centers for Disease Control and Prevention (2024). </w:t>
      </w:r>
      <w:r>
        <w:rPr>
          <w:rFonts w:ascii="Arial" w:hAnsi="Arial" w:cs="Arial"/>
          <w:i/>
          <w:iCs/>
          <w:sz w:val="28"/>
          <w:szCs w:val="28"/>
          <w:lang w:val="en-US"/>
        </w:rPr>
        <w:t>Risk Factors for Chronic Kidney Disease</w:t>
      </w:r>
      <w:r>
        <w:rPr>
          <w:rFonts w:ascii="Arial" w:hAnsi="Arial" w:cs="Arial"/>
          <w:sz w:val="28"/>
          <w:szCs w:val="28"/>
          <w:lang w:val="en-US"/>
        </w:rPr>
        <w:t xml:space="preserve">. [online] Chronic Kidney Disease Initiative. Available at: </w:t>
      </w:r>
      <w:hyperlink r:id="rId26" w:history="1">
        <w:r>
          <w:rPr>
            <w:rFonts w:ascii="Arial" w:hAnsi="Arial" w:cs="Arial"/>
            <w:sz w:val="28"/>
            <w:szCs w:val="28"/>
            <w:lang w:val="en-US"/>
          </w:rPr>
          <w:t>https://www.cdc.gov/kidney-disease/risk-factors/index.html</w:t>
        </w:r>
      </w:hyperlink>
      <w:r>
        <w:rPr>
          <w:rFonts w:ascii="Arial" w:hAnsi="Arial" w:cs="Arial"/>
          <w:sz w:val="28"/>
          <w:szCs w:val="28"/>
          <w:lang w:val="en-US"/>
        </w:rPr>
        <w:t>.</w:t>
      </w:r>
    </w:p>
    <w:p w14:paraId="5B5BD4B4"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Cleveland Clinic (2024). </w:t>
      </w:r>
      <w:r>
        <w:rPr>
          <w:rFonts w:ascii="Arial" w:hAnsi="Arial" w:cs="Arial"/>
          <w:i/>
          <w:iCs/>
          <w:sz w:val="28"/>
          <w:szCs w:val="28"/>
          <w:lang w:val="en-US"/>
        </w:rPr>
        <w:t>Polycystic Kidney Disease (PKD): Signs, Symptoms &amp; Treatment</w:t>
      </w:r>
      <w:r>
        <w:rPr>
          <w:rFonts w:ascii="Arial" w:hAnsi="Arial" w:cs="Arial"/>
          <w:sz w:val="28"/>
          <w:szCs w:val="28"/>
          <w:lang w:val="en-US"/>
        </w:rPr>
        <w:t xml:space="preserve">. [online] Cleveland Clinic. Available at: </w:t>
      </w:r>
      <w:hyperlink r:id="rId27" w:history="1">
        <w:r>
          <w:rPr>
            <w:rFonts w:ascii="Arial" w:hAnsi="Arial" w:cs="Arial"/>
            <w:sz w:val="28"/>
            <w:szCs w:val="28"/>
            <w:lang w:val="en-US"/>
          </w:rPr>
          <w:t>https://my.clevelandclinic.org/health/diseases/5791-polycystic-kidney-disease</w:t>
        </w:r>
      </w:hyperlink>
      <w:r>
        <w:rPr>
          <w:rFonts w:ascii="Arial" w:hAnsi="Arial" w:cs="Arial"/>
          <w:sz w:val="28"/>
          <w:szCs w:val="28"/>
          <w:lang w:val="en-US"/>
        </w:rPr>
        <w:t>.</w:t>
      </w:r>
    </w:p>
    <w:p w14:paraId="6CFBF25A"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lastRenderedPageBreak/>
        <w:t xml:space="preserve">Coleman, K., Austin, B.T., Brach, C. and Wagner, E.H. (2019). Evidence On The Chronic Care Model In The New Millennium. </w:t>
      </w:r>
      <w:r>
        <w:rPr>
          <w:rFonts w:ascii="Arial" w:hAnsi="Arial" w:cs="Arial"/>
          <w:i/>
          <w:iCs/>
          <w:sz w:val="28"/>
          <w:szCs w:val="28"/>
          <w:lang w:val="en-US"/>
        </w:rPr>
        <w:t>Health Affairs</w:t>
      </w:r>
      <w:r>
        <w:rPr>
          <w:rFonts w:ascii="Arial" w:hAnsi="Arial" w:cs="Arial"/>
          <w:sz w:val="28"/>
          <w:szCs w:val="28"/>
          <w:lang w:val="en-US"/>
        </w:rPr>
        <w:t>, [online] 28(1), pp.75–85. doi:</w:t>
      </w:r>
      <w:hyperlink r:id="rId28" w:history="1">
        <w:r>
          <w:rPr>
            <w:rFonts w:ascii="Arial" w:hAnsi="Arial" w:cs="Arial"/>
            <w:sz w:val="28"/>
            <w:szCs w:val="28"/>
            <w:lang w:val="en-US"/>
          </w:rPr>
          <w:t>https://doi.org/10.1377/hlthaff.28.1.75</w:t>
        </w:r>
      </w:hyperlink>
      <w:r>
        <w:rPr>
          <w:rFonts w:ascii="Arial" w:hAnsi="Arial" w:cs="Arial"/>
          <w:sz w:val="28"/>
          <w:szCs w:val="28"/>
          <w:lang w:val="en-US"/>
        </w:rPr>
        <w:t>.</w:t>
      </w:r>
    </w:p>
    <w:p w14:paraId="188D554B"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Coulter, A., Kramer, G., Warren, T. and Salisbury, C. (2016). Building the House of Care for People with long-term conditions: the Foundation of the House of Care Framework. </w:t>
      </w:r>
      <w:r>
        <w:rPr>
          <w:rFonts w:ascii="Arial" w:hAnsi="Arial" w:cs="Arial"/>
          <w:i/>
          <w:iCs/>
          <w:sz w:val="28"/>
          <w:szCs w:val="28"/>
          <w:lang w:val="en-US"/>
        </w:rPr>
        <w:t>British Journal of General Practice</w:t>
      </w:r>
      <w:r>
        <w:rPr>
          <w:rFonts w:ascii="Arial" w:hAnsi="Arial" w:cs="Arial"/>
          <w:sz w:val="28"/>
          <w:szCs w:val="28"/>
          <w:lang w:val="en-US"/>
        </w:rPr>
        <w:t>, [online] 66(645), pp.288–290. doi:</w:t>
      </w:r>
      <w:hyperlink r:id="rId29" w:history="1">
        <w:r>
          <w:rPr>
            <w:rFonts w:ascii="Arial" w:hAnsi="Arial" w:cs="Arial"/>
            <w:sz w:val="28"/>
            <w:szCs w:val="28"/>
            <w:lang w:val="en-US"/>
          </w:rPr>
          <w:t>https://doi.org/10.3399/bjgp16x684745</w:t>
        </w:r>
      </w:hyperlink>
      <w:r>
        <w:rPr>
          <w:rFonts w:ascii="Arial" w:hAnsi="Arial" w:cs="Arial"/>
          <w:sz w:val="28"/>
          <w:szCs w:val="28"/>
          <w:lang w:val="en-US"/>
        </w:rPr>
        <w:t>.</w:t>
      </w:r>
    </w:p>
    <w:p w14:paraId="010DD59F"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Foreman, K.J., Marquez, N., Dolgert, A., Fukutaki, K., Fullman, N., McGaughey, M., Pletcher, M.A., Smith, A.E., Tang, K., Yuan, C.-W., Brown, J.C., Friedman, J., He, J., Heuton, K.R., Holmberg, M., Patel, D.J., Reidy, P., </w:t>
      </w:r>
      <w:r>
        <w:rPr>
          <w:rFonts w:ascii="Arial" w:hAnsi="Arial" w:cs="Arial"/>
          <w:sz w:val="28"/>
          <w:szCs w:val="28"/>
          <w:lang w:val="en-US"/>
        </w:rPr>
        <w:t xml:space="preserve">Carter, A., Cercy, K. and Chapin, A. (2018). Forecasting life expectancy, years of life lost, and all-cause and cause-specific mortality for 250 causes of death: reference and alternative scenarios for 2016–40 for 195 countries and territories. </w:t>
      </w:r>
      <w:r>
        <w:rPr>
          <w:rFonts w:ascii="Arial" w:hAnsi="Arial" w:cs="Arial"/>
          <w:i/>
          <w:iCs/>
          <w:sz w:val="28"/>
          <w:szCs w:val="28"/>
          <w:lang w:val="en-US"/>
        </w:rPr>
        <w:t>The Lancet</w:t>
      </w:r>
      <w:r>
        <w:rPr>
          <w:rFonts w:ascii="Arial" w:hAnsi="Arial" w:cs="Arial"/>
          <w:sz w:val="28"/>
          <w:szCs w:val="28"/>
          <w:lang w:val="en-US"/>
        </w:rPr>
        <w:t>, [online] 392(10159), pp.2052–2090. doi:</w:t>
      </w:r>
      <w:hyperlink r:id="rId30" w:history="1">
        <w:r>
          <w:rPr>
            <w:rFonts w:ascii="Arial" w:hAnsi="Arial" w:cs="Arial"/>
            <w:sz w:val="28"/>
            <w:szCs w:val="28"/>
            <w:lang w:val="en-US"/>
          </w:rPr>
          <w:t>https://doi.org/10.1016/s0140-6736(18)31694-5</w:t>
        </w:r>
      </w:hyperlink>
      <w:r>
        <w:rPr>
          <w:rFonts w:ascii="Arial" w:hAnsi="Arial" w:cs="Arial"/>
          <w:sz w:val="28"/>
          <w:szCs w:val="28"/>
          <w:lang w:val="en-US"/>
        </w:rPr>
        <w:t>.</w:t>
      </w:r>
    </w:p>
    <w:p w14:paraId="0AC8F12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Go, A.S., Chertow, G.M., Fan, D., McCulloch, C.E. and Hsu, C. (2004). Chronic Kidney Disease and the Risks of Death, Cardiovascular Events, and Hospitalization. </w:t>
      </w:r>
      <w:r>
        <w:rPr>
          <w:rFonts w:ascii="Arial" w:hAnsi="Arial" w:cs="Arial"/>
          <w:i/>
          <w:iCs/>
          <w:sz w:val="28"/>
          <w:szCs w:val="28"/>
          <w:lang w:val="en-US"/>
        </w:rPr>
        <w:t>New England Journal of Medicine</w:t>
      </w:r>
      <w:r>
        <w:rPr>
          <w:rFonts w:ascii="Arial" w:hAnsi="Arial" w:cs="Arial"/>
          <w:sz w:val="28"/>
          <w:szCs w:val="28"/>
          <w:lang w:val="en-US"/>
        </w:rPr>
        <w:t>, 351(13), pp.1296–1305. doi:</w:t>
      </w:r>
      <w:hyperlink r:id="rId31" w:history="1">
        <w:r>
          <w:rPr>
            <w:rFonts w:ascii="Arial" w:hAnsi="Arial" w:cs="Arial"/>
            <w:sz w:val="28"/>
            <w:szCs w:val="28"/>
            <w:lang w:val="en-US"/>
          </w:rPr>
          <w:t>https://doi.org/10.1056/nejmoa041031</w:t>
        </w:r>
      </w:hyperlink>
      <w:r>
        <w:rPr>
          <w:rFonts w:ascii="Arial" w:hAnsi="Arial" w:cs="Arial"/>
          <w:sz w:val="28"/>
          <w:szCs w:val="28"/>
          <w:lang w:val="en-US"/>
        </w:rPr>
        <w:t>.</w:t>
      </w:r>
    </w:p>
    <w:p w14:paraId="59D84E71"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Hall, J.E. and Hall, M.E. (2021). </w:t>
      </w:r>
      <w:r>
        <w:rPr>
          <w:rFonts w:ascii="Arial" w:hAnsi="Arial" w:cs="Arial"/>
          <w:i/>
          <w:iCs/>
          <w:sz w:val="28"/>
          <w:szCs w:val="28"/>
          <w:lang w:val="en-US"/>
        </w:rPr>
        <w:t xml:space="preserve">Guyton and </w:t>
      </w:r>
      <w:r>
        <w:rPr>
          <w:rFonts w:ascii="Arial" w:hAnsi="Arial" w:cs="Arial"/>
          <w:i/>
          <w:iCs/>
          <w:sz w:val="28"/>
          <w:szCs w:val="28"/>
          <w:lang w:val="en-US"/>
        </w:rPr>
        <w:lastRenderedPageBreak/>
        <w:t>Hall Textbook of Medical Physiology</w:t>
      </w:r>
      <w:r>
        <w:rPr>
          <w:rFonts w:ascii="Arial" w:hAnsi="Arial" w:cs="Arial"/>
          <w:sz w:val="28"/>
          <w:szCs w:val="28"/>
          <w:lang w:val="en-US"/>
        </w:rPr>
        <w:t>. 14th ed. S.L.: Elsevier - Health Science.</w:t>
      </w:r>
    </w:p>
    <w:p w14:paraId="5A463242"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Heerspink, H.J.L., Stefánsson, B.V., Correa-Rotter, R., Chertow, G.M., Greene, T., Hou, F.-F., Mann, J.F.E., McMurray, J.J.V., Lindberg, M., Rossing, P., Sjöström, C.D., Toto, R.D., Langkilde, A.-M. and Wheeler, D.C. (2020). Dapagliflozin in Patients with Chronic Kidney Disease. </w:t>
      </w:r>
      <w:r>
        <w:rPr>
          <w:rFonts w:ascii="Arial" w:hAnsi="Arial" w:cs="Arial"/>
          <w:i/>
          <w:iCs/>
          <w:sz w:val="28"/>
          <w:szCs w:val="28"/>
          <w:lang w:val="en-US"/>
        </w:rPr>
        <w:t>New England Journal of Medicine</w:t>
      </w:r>
      <w:r>
        <w:rPr>
          <w:rFonts w:ascii="Arial" w:hAnsi="Arial" w:cs="Arial"/>
          <w:sz w:val="28"/>
          <w:szCs w:val="28"/>
          <w:lang w:val="en-US"/>
        </w:rPr>
        <w:t>, 383(15). doi:</w:t>
      </w:r>
      <w:hyperlink r:id="rId32" w:history="1">
        <w:r>
          <w:rPr>
            <w:rFonts w:ascii="Arial" w:hAnsi="Arial" w:cs="Arial"/>
            <w:sz w:val="28"/>
            <w:szCs w:val="28"/>
            <w:lang w:val="en-US"/>
          </w:rPr>
          <w:t>https://doi.org/10.1056/nejmoa2024816</w:t>
        </w:r>
      </w:hyperlink>
      <w:r>
        <w:rPr>
          <w:rFonts w:ascii="Arial" w:hAnsi="Arial" w:cs="Arial"/>
          <w:sz w:val="28"/>
          <w:szCs w:val="28"/>
          <w:lang w:val="en-US"/>
        </w:rPr>
        <w:t>.</w:t>
      </w:r>
    </w:p>
    <w:p w14:paraId="5202F10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Hill, N.R., Fatoba, S.T., Oke, J.L., Hirst, J.A., O’Callaghan, C.A., Lasserson, D.S. and Hobbs, F.D.R. (2016). Global Prevalence of Chronic Kidney Disease – A Systematic Review and Meta-Analysis. </w:t>
      </w:r>
      <w:r>
        <w:rPr>
          <w:rFonts w:ascii="Arial" w:hAnsi="Arial" w:cs="Arial"/>
          <w:i/>
          <w:iCs/>
          <w:sz w:val="28"/>
          <w:szCs w:val="28"/>
          <w:lang w:val="en-US"/>
        </w:rPr>
        <w:t>PLOS ONE</w:t>
      </w:r>
      <w:r>
        <w:rPr>
          <w:rFonts w:ascii="Arial" w:hAnsi="Arial" w:cs="Arial"/>
          <w:sz w:val="28"/>
          <w:szCs w:val="28"/>
          <w:lang w:val="en-US"/>
        </w:rPr>
        <w:t>, [online] 11(7). doi:</w:t>
      </w:r>
      <w:hyperlink r:id="rId33" w:history="1">
        <w:r>
          <w:rPr>
            <w:rFonts w:ascii="Arial" w:hAnsi="Arial" w:cs="Arial"/>
            <w:sz w:val="28"/>
            <w:szCs w:val="28"/>
            <w:lang w:val="en-US"/>
          </w:rPr>
          <w:t>https://doi.org/10.1371/journal.pone.015876</w:t>
        </w:r>
        <w:r>
          <w:rPr>
            <w:rFonts w:ascii="Arial" w:hAnsi="Arial" w:cs="Arial"/>
            <w:sz w:val="28"/>
            <w:szCs w:val="28"/>
            <w:lang w:val="en-US"/>
          </w:rPr>
          <w:t>5</w:t>
        </w:r>
      </w:hyperlink>
      <w:r>
        <w:rPr>
          <w:rFonts w:ascii="Arial" w:hAnsi="Arial" w:cs="Arial"/>
          <w:sz w:val="28"/>
          <w:szCs w:val="28"/>
          <w:lang w:val="en-US"/>
        </w:rPr>
        <w:t>.</w:t>
      </w:r>
    </w:p>
    <w:p w14:paraId="55E59EB1"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Honeycutt, A.A., Segel, J.E., Zhuo, X., Hoerger, T.J., Imai, K. and Williams, D. (2013). Medical Costs of CKD in the Medicare Population. </w:t>
      </w:r>
      <w:r>
        <w:rPr>
          <w:rFonts w:ascii="Arial" w:hAnsi="Arial" w:cs="Arial"/>
          <w:i/>
          <w:iCs/>
          <w:sz w:val="28"/>
          <w:szCs w:val="28"/>
          <w:lang w:val="en-US"/>
        </w:rPr>
        <w:t>Journal of the American Society of Nephrology</w:t>
      </w:r>
      <w:r>
        <w:rPr>
          <w:rFonts w:ascii="Arial" w:hAnsi="Arial" w:cs="Arial"/>
          <w:sz w:val="28"/>
          <w:szCs w:val="28"/>
          <w:lang w:val="en-US"/>
        </w:rPr>
        <w:t>, 24(9), pp.1478–1483. doi:</w:t>
      </w:r>
      <w:hyperlink r:id="rId34" w:history="1">
        <w:r>
          <w:rPr>
            <w:rFonts w:ascii="Arial" w:hAnsi="Arial" w:cs="Arial"/>
            <w:sz w:val="28"/>
            <w:szCs w:val="28"/>
            <w:lang w:val="en-US"/>
          </w:rPr>
          <w:t>https://doi.org/10.1681/asn.2012040392</w:t>
        </w:r>
      </w:hyperlink>
      <w:r>
        <w:rPr>
          <w:rFonts w:ascii="Arial" w:hAnsi="Arial" w:cs="Arial"/>
          <w:sz w:val="28"/>
          <w:szCs w:val="28"/>
          <w:lang w:val="en-US"/>
        </w:rPr>
        <w:t>.</w:t>
      </w:r>
    </w:p>
    <w:p w14:paraId="6505BD85"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jamesmccann (2017). </w:t>
      </w:r>
      <w:r>
        <w:rPr>
          <w:rFonts w:ascii="Arial" w:hAnsi="Arial" w:cs="Arial"/>
          <w:i/>
          <w:iCs/>
          <w:sz w:val="28"/>
          <w:szCs w:val="28"/>
          <w:lang w:val="en-US"/>
        </w:rPr>
        <w:t>Kidney Health: Delivering Excellence - Progress report for 2017 is launched - The Kidney Quality Improvement Partnership</w:t>
      </w:r>
      <w:r>
        <w:rPr>
          <w:rFonts w:ascii="Arial" w:hAnsi="Arial" w:cs="Arial"/>
          <w:sz w:val="28"/>
          <w:szCs w:val="28"/>
          <w:lang w:val="en-US"/>
        </w:rPr>
        <w:t xml:space="preserve">. [online] The Kidney Quality Improvement Partnership. Available at: </w:t>
      </w:r>
      <w:hyperlink r:id="rId35" w:history="1">
        <w:r>
          <w:rPr>
            <w:rFonts w:ascii="Arial" w:hAnsi="Arial" w:cs="Arial"/>
            <w:sz w:val="28"/>
            <w:szCs w:val="28"/>
            <w:lang w:val="en-US"/>
          </w:rPr>
          <w:t>https://www.thinkkidneys.nhs.uk/kquip/blog/kidney-health-delivering-excellence-progress-report-2017-launched/</w:t>
        </w:r>
      </w:hyperlink>
      <w:r>
        <w:rPr>
          <w:rFonts w:ascii="Arial" w:hAnsi="Arial" w:cs="Arial"/>
          <w:sz w:val="28"/>
          <w:szCs w:val="28"/>
          <w:lang w:val="en-US"/>
        </w:rPr>
        <w:t xml:space="preserve"> [Accessed 3 Mar. 2026].</w:t>
      </w:r>
    </w:p>
    <w:p w14:paraId="284493A0"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Jha, V., Saeed Al-Ghamdi, Li, G., Wu, M.-S., Panagiotis Stafylas, Retat, L., Card-Gowers, J., </w:t>
      </w:r>
      <w:r>
        <w:rPr>
          <w:rFonts w:ascii="Arial" w:hAnsi="Arial" w:cs="Arial"/>
          <w:sz w:val="28"/>
          <w:szCs w:val="28"/>
          <w:lang w:val="en-US"/>
        </w:rPr>
        <w:lastRenderedPageBreak/>
        <w:t xml:space="preserve">Barone, S., Cabrera, C. and Jose, J. (2023). Global Economic Burden Associated with Chronic Kidney disease: a Pragmatic Review of Medical Costs for the inside CKD Research Programme. </w:t>
      </w:r>
      <w:r>
        <w:rPr>
          <w:rFonts w:ascii="Arial" w:hAnsi="Arial" w:cs="Arial"/>
          <w:i/>
          <w:iCs/>
          <w:sz w:val="28"/>
          <w:szCs w:val="28"/>
          <w:lang w:val="en-US"/>
        </w:rPr>
        <w:t>Advances in Therapy</w:t>
      </w:r>
      <w:r>
        <w:rPr>
          <w:rFonts w:ascii="Arial" w:hAnsi="Arial" w:cs="Arial"/>
          <w:sz w:val="28"/>
          <w:szCs w:val="28"/>
          <w:lang w:val="en-US"/>
        </w:rPr>
        <w:t>, 40(10). doi:</w:t>
      </w:r>
      <w:hyperlink r:id="rId36" w:history="1">
        <w:r>
          <w:rPr>
            <w:rFonts w:ascii="Arial" w:hAnsi="Arial" w:cs="Arial"/>
            <w:sz w:val="28"/>
            <w:szCs w:val="28"/>
            <w:lang w:val="en-US"/>
          </w:rPr>
          <w:t>https://doi.org/10.1007/s12325-023-02608-9</w:t>
        </w:r>
      </w:hyperlink>
      <w:r>
        <w:rPr>
          <w:rFonts w:ascii="Arial" w:hAnsi="Arial" w:cs="Arial"/>
          <w:sz w:val="28"/>
          <w:szCs w:val="28"/>
          <w:lang w:val="en-US"/>
        </w:rPr>
        <w:t>.</w:t>
      </w:r>
    </w:p>
    <w:p w14:paraId="69E021B6"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Kazancioğlu, R. (2013). Risk factors for chronic kidney disease: an update. </w:t>
      </w:r>
      <w:r>
        <w:rPr>
          <w:rFonts w:ascii="Arial" w:hAnsi="Arial" w:cs="Arial"/>
          <w:i/>
          <w:iCs/>
          <w:sz w:val="28"/>
          <w:szCs w:val="28"/>
          <w:lang w:val="en-US"/>
        </w:rPr>
        <w:t>Kidney International Supplements</w:t>
      </w:r>
      <w:r>
        <w:rPr>
          <w:rFonts w:ascii="Arial" w:hAnsi="Arial" w:cs="Arial"/>
          <w:sz w:val="28"/>
          <w:szCs w:val="28"/>
          <w:lang w:val="en-US"/>
        </w:rPr>
        <w:t>, [online] 3(4), pp.368–371. doi:</w:t>
      </w:r>
      <w:hyperlink r:id="rId37" w:history="1">
        <w:r>
          <w:rPr>
            <w:rFonts w:ascii="Arial" w:hAnsi="Arial" w:cs="Arial"/>
            <w:sz w:val="28"/>
            <w:szCs w:val="28"/>
            <w:lang w:val="en-US"/>
          </w:rPr>
          <w:t>https://doi.org/10.1038/kisup.2013.79</w:t>
        </w:r>
      </w:hyperlink>
      <w:r>
        <w:rPr>
          <w:rFonts w:ascii="Arial" w:hAnsi="Arial" w:cs="Arial"/>
          <w:sz w:val="28"/>
          <w:szCs w:val="28"/>
          <w:lang w:val="en-US"/>
        </w:rPr>
        <w:t>.</w:t>
      </w:r>
    </w:p>
    <w:p w14:paraId="567A32FC"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KDIGO (2012). </w:t>
      </w:r>
      <w:r>
        <w:rPr>
          <w:rFonts w:ascii="Arial" w:hAnsi="Arial" w:cs="Arial"/>
          <w:i/>
          <w:iCs/>
          <w:sz w:val="28"/>
          <w:szCs w:val="28"/>
          <w:lang w:val="en-US"/>
        </w:rPr>
        <w:t>Blood Pressure in CKD – KDIGO</w:t>
      </w:r>
      <w:r>
        <w:rPr>
          <w:rFonts w:ascii="Arial" w:hAnsi="Arial" w:cs="Arial"/>
          <w:sz w:val="28"/>
          <w:szCs w:val="28"/>
          <w:lang w:val="en-US"/>
        </w:rPr>
        <w:t xml:space="preserve">. [online] Kdigo.org. Available at: </w:t>
      </w:r>
      <w:hyperlink r:id="rId38" w:history="1">
        <w:r>
          <w:rPr>
            <w:rFonts w:ascii="Arial" w:hAnsi="Arial" w:cs="Arial"/>
            <w:sz w:val="28"/>
            <w:szCs w:val="28"/>
            <w:lang w:val="en-US"/>
          </w:rPr>
          <w:t>https://kdigo.org/guidelines/blood-pressure-in-ckd/</w:t>
        </w:r>
      </w:hyperlink>
      <w:r>
        <w:rPr>
          <w:rFonts w:ascii="Arial" w:hAnsi="Arial" w:cs="Arial"/>
          <w:sz w:val="28"/>
          <w:szCs w:val="28"/>
          <w:lang w:val="en-US"/>
        </w:rPr>
        <w:t>.</w:t>
      </w:r>
    </w:p>
    <w:p w14:paraId="2902CEA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KDIGO (2013). </w:t>
      </w:r>
      <w:r>
        <w:rPr>
          <w:rFonts w:ascii="Arial" w:hAnsi="Arial" w:cs="Arial"/>
          <w:i/>
          <w:iCs/>
          <w:sz w:val="28"/>
          <w:szCs w:val="28"/>
          <w:lang w:val="en-US"/>
        </w:rPr>
        <w:t xml:space="preserve">Official Journal of the International Society of Nephrology KDIGO </w:t>
      </w:r>
      <w:r>
        <w:rPr>
          <w:rFonts w:ascii="Arial" w:hAnsi="Arial" w:cs="Arial"/>
          <w:i/>
          <w:iCs/>
          <w:sz w:val="28"/>
          <w:szCs w:val="28"/>
          <w:lang w:val="en-US"/>
        </w:rPr>
        <w:t>2012 Clinical Practice Guideline for the Evaluation and Management of Chronic Kidney Disease</w:t>
      </w:r>
      <w:r>
        <w:rPr>
          <w:rFonts w:ascii="Arial" w:hAnsi="Arial" w:cs="Arial"/>
          <w:sz w:val="28"/>
          <w:szCs w:val="28"/>
          <w:lang w:val="en-US"/>
        </w:rPr>
        <w:t xml:space="preserve">. [online] Available at: </w:t>
      </w:r>
      <w:hyperlink r:id="rId39" w:history="1">
        <w:r>
          <w:rPr>
            <w:rFonts w:ascii="Arial" w:hAnsi="Arial" w:cs="Arial"/>
            <w:sz w:val="28"/>
            <w:szCs w:val="28"/>
            <w:lang w:val="en-US"/>
          </w:rPr>
          <w:t>https://kdigo.org/wp-content/uploads/2017/02/KDIGO_2012_CKD_GL.pdf</w:t>
        </w:r>
      </w:hyperlink>
      <w:r>
        <w:rPr>
          <w:rFonts w:ascii="Arial" w:hAnsi="Arial" w:cs="Arial"/>
          <w:sz w:val="28"/>
          <w:szCs w:val="28"/>
          <w:lang w:val="en-US"/>
        </w:rPr>
        <w:t>.</w:t>
      </w:r>
    </w:p>
    <w:p w14:paraId="6BBEC617"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kidney and nephron labeled (2022). </w:t>
      </w:r>
      <w:r>
        <w:rPr>
          <w:rFonts w:ascii="Arial" w:hAnsi="Arial" w:cs="Arial"/>
          <w:i/>
          <w:iCs/>
          <w:sz w:val="28"/>
          <w:szCs w:val="28"/>
          <w:lang w:val="en-US"/>
        </w:rPr>
        <w:t>Kidney and nephron - Labeled</w:t>
      </w:r>
      <w:r>
        <w:rPr>
          <w:rFonts w:ascii="Arial" w:hAnsi="Arial" w:cs="Arial"/>
          <w:sz w:val="28"/>
          <w:szCs w:val="28"/>
          <w:lang w:val="en-US"/>
        </w:rPr>
        <w:t xml:space="preserve">. [online] National Institute of Diabetes and Digestive and Kidney Diseases. Available at: </w:t>
      </w:r>
      <w:hyperlink r:id="rId40" w:history="1">
        <w:r>
          <w:rPr>
            <w:rFonts w:ascii="Arial" w:hAnsi="Arial" w:cs="Arial"/>
            <w:sz w:val="28"/>
            <w:szCs w:val="28"/>
            <w:lang w:val="en-US"/>
          </w:rPr>
          <w:t>https://www.niddk.nih.gov/news/media-library/11236?utm</w:t>
        </w:r>
      </w:hyperlink>
      <w:r>
        <w:rPr>
          <w:rFonts w:ascii="Arial" w:hAnsi="Arial" w:cs="Arial"/>
          <w:sz w:val="28"/>
          <w:szCs w:val="28"/>
          <w:lang w:val="en-US"/>
        </w:rPr>
        <w:t xml:space="preserve"> [Accessed 2 Mar. 2026].</w:t>
      </w:r>
    </w:p>
    <w:p w14:paraId="10C25000"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Kidney Research UK (2023). </w:t>
      </w:r>
      <w:r>
        <w:rPr>
          <w:rFonts w:ascii="Arial" w:hAnsi="Arial" w:cs="Arial"/>
          <w:i/>
          <w:iCs/>
          <w:sz w:val="28"/>
          <w:szCs w:val="28"/>
          <w:lang w:val="en-US"/>
        </w:rPr>
        <w:t>Kidney disease: A UK public health emergency The health economics of kidney disease to 2033</w:t>
      </w:r>
      <w:r>
        <w:rPr>
          <w:rFonts w:ascii="Arial" w:hAnsi="Arial" w:cs="Arial"/>
          <w:sz w:val="28"/>
          <w:szCs w:val="28"/>
          <w:lang w:val="en-US"/>
        </w:rPr>
        <w:t xml:space="preserve">. [online] Available at: </w:t>
      </w:r>
      <w:hyperlink r:id="rId41" w:history="1">
        <w:r>
          <w:rPr>
            <w:rFonts w:ascii="Arial" w:hAnsi="Arial" w:cs="Arial"/>
            <w:sz w:val="28"/>
            <w:szCs w:val="28"/>
            <w:lang w:val="en-US"/>
          </w:rPr>
          <w:t>https://www.kidneyresearchuk.org/wp-</w:t>
        </w:r>
        <w:r>
          <w:rPr>
            <w:rFonts w:ascii="Arial" w:hAnsi="Arial" w:cs="Arial"/>
            <w:sz w:val="28"/>
            <w:szCs w:val="28"/>
            <w:lang w:val="en-US"/>
          </w:rPr>
          <w:lastRenderedPageBreak/>
          <w:t>content/uploads/2023/06/Economics-of-Kidney-Disease-full-report_accessible.pdf</w:t>
        </w:r>
      </w:hyperlink>
      <w:r>
        <w:rPr>
          <w:rFonts w:ascii="Arial" w:hAnsi="Arial" w:cs="Arial"/>
          <w:sz w:val="28"/>
          <w:szCs w:val="28"/>
          <w:lang w:val="en-US"/>
        </w:rPr>
        <w:t>.</w:t>
      </w:r>
    </w:p>
    <w:p w14:paraId="0983DC5B"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Kidney research UK (2023). </w:t>
      </w:r>
      <w:r>
        <w:rPr>
          <w:rFonts w:ascii="Arial" w:hAnsi="Arial" w:cs="Arial"/>
          <w:i/>
          <w:iCs/>
          <w:sz w:val="28"/>
          <w:szCs w:val="28"/>
          <w:lang w:val="en-US"/>
        </w:rPr>
        <w:t>Kidney disease is a public health emergency that threatens to overwhelm the NHS, major new report reveals</w:t>
      </w:r>
      <w:r>
        <w:rPr>
          <w:rFonts w:ascii="Arial" w:hAnsi="Arial" w:cs="Arial"/>
          <w:sz w:val="28"/>
          <w:szCs w:val="28"/>
          <w:lang w:val="en-US"/>
        </w:rPr>
        <w:t xml:space="preserve">. [online] Kidney Research UK. Available at: </w:t>
      </w:r>
      <w:hyperlink r:id="rId42" w:history="1">
        <w:r>
          <w:rPr>
            <w:rFonts w:ascii="Arial" w:hAnsi="Arial" w:cs="Arial"/>
            <w:sz w:val="28"/>
            <w:szCs w:val="28"/>
            <w:lang w:val="en-US"/>
          </w:rPr>
          <w:t>https://www.kidneyresearchuk.org/2023/06/05/kidney-disease-is-a-public-health-emergency-that-threatens-to-overwhelm-the-nhs-major-new-report-reveals/</w:t>
        </w:r>
      </w:hyperlink>
      <w:r>
        <w:rPr>
          <w:rFonts w:ascii="Arial" w:hAnsi="Arial" w:cs="Arial"/>
          <w:sz w:val="28"/>
          <w:szCs w:val="28"/>
          <w:lang w:val="en-US"/>
        </w:rPr>
        <w:t>.</w:t>
      </w:r>
    </w:p>
    <w:p w14:paraId="22A9460F"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Lewis, E.J., Hunsicker, L.G., Bain, R.P. and Rohde, R.D. (1993). The Effect of Angiotensin-Converting-Enzyme Inhibition on Diabetic Nephropathy. </w:t>
      </w:r>
      <w:r>
        <w:rPr>
          <w:rFonts w:ascii="Arial" w:hAnsi="Arial" w:cs="Arial"/>
          <w:i/>
          <w:iCs/>
          <w:sz w:val="28"/>
          <w:szCs w:val="28"/>
          <w:lang w:val="en-US"/>
        </w:rPr>
        <w:t>New England Journal of Medicine</w:t>
      </w:r>
      <w:r>
        <w:rPr>
          <w:rFonts w:ascii="Arial" w:hAnsi="Arial" w:cs="Arial"/>
          <w:sz w:val="28"/>
          <w:szCs w:val="28"/>
          <w:lang w:val="en-US"/>
        </w:rPr>
        <w:t>, 329(20), pp.1456–1462. doi:</w:t>
      </w:r>
      <w:hyperlink r:id="rId43" w:history="1">
        <w:r>
          <w:rPr>
            <w:rFonts w:ascii="Arial" w:hAnsi="Arial" w:cs="Arial"/>
            <w:sz w:val="28"/>
            <w:szCs w:val="28"/>
            <w:lang w:val="en-US"/>
          </w:rPr>
          <w:t>https://doi.org/10.1056/nejm199311113292004</w:t>
        </w:r>
      </w:hyperlink>
      <w:r>
        <w:rPr>
          <w:rFonts w:ascii="Arial" w:hAnsi="Arial" w:cs="Arial"/>
          <w:sz w:val="28"/>
          <w:szCs w:val="28"/>
          <w:lang w:val="en-US"/>
        </w:rPr>
        <w:t>.</w:t>
      </w:r>
    </w:p>
    <w:p w14:paraId="52F16D5D"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Lorig, K.R. and Holman, H.R. (2003). Self-management Education: History, Definition, Outcomes, and Mechanisms. </w:t>
      </w:r>
      <w:r>
        <w:rPr>
          <w:rFonts w:ascii="Arial" w:hAnsi="Arial" w:cs="Arial"/>
          <w:i/>
          <w:iCs/>
          <w:sz w:val="28"/>
          <w:szCs w:val="28"/>
          <w:lang w:val="en-US"/>
        </w:rPr>
        <w:t>Annals of Behavioral Medicine</w:t>
      </w:r>
      <w:r>
        <w:rPr>
          <w:rFonts w:ascii="Arial" w:hAnsi="Arial" w:cs="Arial"/>
          <w:sz w:val="28"/>
          <w:szCs w:val="28"/>
          <w:lang w:val="en-US"/>
        </w:rPr>
        <w:t>, [online] 26(1), pp.1–7. doi:</w:t>
      </w:r>
      <w:hyperlink r:id="rId44" w:history="1">
        <w:r>
          <w:rPr>
            <w:rFonts w:ascii="Arial" w:hAnsi="Arial" w:cs="Arial"/>
            <w:sz w:val="28"/>
            <w:szCs w:val="28"/>
            <w:lang w:val="en-US"/>
          </w:rPr>
          <w:t>https://doi.org/10.1207/s15324796abm2601_01</w:t>
        </w:r>
      </w:hyperlink>
      <w:r>
        <w:rPr>
          <w:rFonts w:ascii="Arial" w:hAnsi="Arial" w:cs="Arial"/>
          <w:sz w:val="28"/>
          <w:szCs w:val="28"/>
          <w:lang w:val="en-US"/>
        </w:rPr>
        <w:t>.</w:t>
      </w:r>
    </w:p>
    <w:p w14:paraId="12FD604E"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Luyckx, V.A., Tonelli, M. and Stanifer, J.W. (2018). The global burden of kidney disease and the sustainable development goals. </w:t>
      </w:r>
      <w:r>
        <w:rPr>
          <w:rFonts w:ascii="Arial" w:hAnsi="Arial" w:cs="Arial"/>
          <w:i/>
          <w:iCs/>
          <w:sz w:val="28"/>
          <w:szCs w:val="28"/>
          <w:lang w:val="en-US"/>
        </w:rPr>
        <w:t>Bulletin of the World Health Organization</w:t>
      </w:r>
      <w:r>
        <w:rPr>
          <w:rFonts w:ascii="Arial" w:hAnsi="Arial" w:cs="Arial"/>
          <w:sz w:val="28"/>
          <w:szCs w:val="28"/>
          <w:lang w:val="en-US"/>
        </w:rPr>
        <w:t>, 96(6), pp.414–422D. doi:</w:t>
      </w:r>
      <w:hyperlink r:id="rId45" w:history="1">
        <w:r>
          <w:rPr>
            <w:rFonts w:ascii="Arial" w:hAnsi="Arial" w:cs="Arial"/>
            <w:sz w:val="28"/>
            <w:szCs w:val="28"/>
            <w:lang w:val="en-US"/>
          </w:rPr>
          <w:t>https://doi.org/10.2471/blt.17.206441</w:t>
        </w:r>
      </w:hyperlink>
      <w:r>
        <w:rPr>
          <w:rFonts w:ascii="Arial" w:hAnsi="Arial" w:cs="Arial"/>
          <w:sz w:val="28"/>
          <w:szCs w:val="28"/>
          <w:lang w:val="en-US"/>
        </w:rPr>
        <w:t>.</w:t>
      </w:r>
    </w:p>
    <w:p w14:paraId="1D6449CF"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Mayo Clinic (2023). </w:t>
      </w:r>
      <w:r>
        <w:rPr>
          <w:rFonts w:ascii="Arial" w:hAnsi="Arial" w:cs="Arial"/>
          <w:i/>
          <w:iCs/>
          <w:sz w:val="28"/>
          <w:szCs w:val="28"/>
          <w:lang w:val="en-US"/>
        </w:rPr>
        <w:t>Chronic Kidney Disease</w:t>
      </w:r>
      <w:r>
        <w:rPr>
          <w:rFonts w:ascii="Arial" w:hAnsi="Arial" w:cs="Arial"/>
          <w:sz w:val="28"/>
          <w:szCs w:val="28"/>
          <w:lang w:val="en-US"/>
        </w:rPr>
        <w:t xml:space="preserve">. [online] mayo clinic. Available at: </w:t>
      </w:r>
      <w:hyperlink r:id="rId46" w:history="1">
        <w:r>
          <w:rPr>
            <w:rFonts w:ascii="Arial" w:hAnsi="Arial" w:cs="Arial"/>
            <w:sz w:val="28"/>
            <w:szCs w:val="28"/>
            <w:lang w:val="en-US"/>
          </w:rPr>
          <w:t>https://www.mayoclinic.org/diseases-conditions/chronic-kidney-disease/symptoms-causes/syc-20354521</w:t>
        </w:r>
      </w:hyperlink>
      <w:r>
        <w:rPr>
          <w:rFonts w:ascii="Arial" w:hAnsi="Arial" w:cs="Arial"/>
          <w:sz w:val="28"/>
          <w:szCs w:val="28"/>
          <w:lang w:val="en-US"/>
        </w:rPr>
        <w:t>.</w:t>
      </w:r>
    </w:p>
    <w:p w14:paraId="2B7049E4"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lastRenderedPageBreak/>
        <w:t xml:space="preserve">Medway hospitals (2025). </w:t>
      </w:r>
      <w:r>
        <w:rPr>
          <w:rFonts w:ascii="Arial" w:hAnsi="Arial" w:cs="Arial"/>
          <w:i/>
          <w:iCs/>
          <w:sz w:val="28"/>
          <w:szCs w:val="28"/>
          <w:lang w:val="en-US"/>
        </w:rPr>
        <w:t>2 Types of Dialysis | Expert Care at Medway Hospital</w:t>
      </w:r>
      <w:r>
        <w:rPr>
          <w:rFonts w:ascii="Arial" w:hAnsi="Arial" w:cs="Arial"/>
          <w:sz w:val="28"/>
          <w:szCs w:val="28"/>
          <w:lang w:val="en-US"/>
        </w:rPr>
        <w:t xml:space="preserve">. [online] medway hospitals. Available at: </w:t>
      </w:r>
      <w:hyperlink r:id="rId47" w:history="1">
        <w:r>
          <w:rPr>
            <w:rFonts w:ascii="Arial" w:hAnsi="Arial" w:cs="Arial"/>
            <w:sz w:val="28"/>
            <w:szCs w:val="28"/>
            <w:lang w:val="en-US"/>
          </w:rPr>
          <w:t>https://medwayhospitals.com/2-types-of-dialysis/</w:t>
        </w:r>
      </w:hyperlink>
      <w:r>
        <w:rPr>
          <w:rFonts w:ascii="Arial" w:hAnsi="Arial" w:cs="Arial"/>
          <w:sz w:val="28"/>
          <w:szCs w:val="28"/>
          <w:lang w:val="en-US"/>
        </w:rPr>
        <w:t>.</w:t>
      </w:r>
    </w:p>
    <w:p w14:paraId="0DCF7271"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Mindo (2022). </w:t>
      </w:r>
      <w:r>
        <w:rPr>
          <w:rFonts w:ascii="Arial" w:hAnsi="Arial" w:cs="Arial"/>
          <w:i/>
          <w:iCs/>
          <w:sz w:val="28"/>
          <w:szCs w:val="28"/>
          <w:lang w:val="en-US"/>
        </w:rPr>
        <w:t>Chronic kidney disease</w:t>
      </w:r>
      <w:r>
        <w:rPr>
          <w:rFonts w:ascii="Arial" w:hAnsi="Arial" w:cs="Arial"/>
          <w:sz w:val="28"/>
          <w:szCs w:val="28"/>
          <w:lang w:val="en-US"/>
        </w:rPr>
        <w:t xml:space="preserve">. [online] Medical Independent. Available at: </w:t>
      </w:r>
      <w:hyperlink r:id="rId48" w:history="1">
        <w:r>
          <w:rPr>
            <w:rFonts w:ascii="Arial" w:hAnsi="Arial" w:cs="Arial"/>
            <w:sz w:val="28"/>
            <w:szCs w:val="28"/>
            <w:lang w:val="en-US"/>
          </w:rPr>
          <w:t>https://www.medicalindependent.ie/clinical-news/chronic-kidney-disease/</w:t>
        </w:r>
      </w:hyperlink>
      <w:r>
        <w:rPr>
          <w:rFonts w:ascii="Arial" w:hAnsi="Arial" w:cs="Arial"/>
          <w:sz w:val="28"/>
          <w:szCs w:val="28"/>
          <w:lang w:val="en-US"/>
        </w:rPr>
        <w:t>.</w:t>
      </w:r>
    </w:p>
    <w:p w14:paraId="6A661EE2"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Moe, S., Drüeke, T., Cunningham, J., Goodman, W., Martin, K., Olgaard, K., Ott, S., Sprague, S., Lameire, N. and Eknoyan, G. (2006). Definition, evaluation, and classification of renal osteodystrophy: A position statement from Kidney Disease: Improving Global Outcomes (KDIGO). </w:t>
      </w:r>
      <w:r>
        <w:rPr>
          <w:rFonts w:ascii="Arial" w:hAnsi="Arial" w:cs="Arial"/>
          <w:i/>
          <w:iCs/>
          <w:sz w:val="28"/>
          <w:szCs w:val="28"/>
          <w:lang w:val="en-US"/>
        </w:rPr>
        <w:t>Kidney International</w:t>
      </w:r>
      <w:r>
        <w:rPr>
          <w:rFonts w:ascii="Arial" w:hAnsi="Arial" w:cs="Arial"/>
          <w:sz w:val="28"/>
          <w:szCs w:val="28"/>
          <w:lang w:val="en-US"/>
        </w:rPr>
        <w:t xml:space="preserve">, [online] 69(11), pp.1945–1953. </w:t>
      </w:r>
      <w:r>
        <w:rPr>
          <w:rFonts w:ascii="Arial" w:hAnsi="Arial" w:cs="Arial"/>
          <w:sz w:val="28"/>
          <w:szCs w:val="28"/>
          <w:lang w:val="en-US"/>
        </w:rPr>
        <w:t>doi:</w:t>
      </w:r>
      <w:hyperlink r:id="rId49" w:history="1">
        <w:r>
          <w:rPr>
            <w:rFonts w:ascii="Arial" w:hAnsi="Arial" w:cs="Arial"/>
            <w:sz w:val="28"/>
            <w:szCs w:val="28"/>
            <w:lang w:val="en-US"/>
          </w:rPr>
          <w:t>https://doi.org/10.1038/sj.ki.5000414</w:t>
        </w:r>
      </w:hyperlink>
      <w:r>
        <w:rPr>
          <w:rFonts w:ascii="Arial" w:hAnsi="Arial" w:cs="Arial"/>
          <w:sz w:val="28"/>
          <w:szCs w:val="28"/>
          <w:lang w:val="en-US"/>
        </w:rPr>
        <w:t>.</w:t>
      </w:r>
    </w:p>
    <w:p w14:paraId="6ABBA907"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Murtagh, F.E.M., Marsh, J.E., Donohoe, P., Ekbal, N.J., Sheerin, N.S. and Harris, F.E. (2007). Dialysis or not? A comparative survival study of patients over 75 years with chronic kidney disease stage 5. </w:t>
      </w:r>
      <w:r>
        <w:rPr>
          <w:rFonts w:ascii="Arial" w:hAnsi="Arial" w:cs="Arial"/>
          <w:i/>
          <w:iCs/>
          <w:sz w:val="28"/>
          <w:szCs w:val="28"/>
          <w:lang w:val="en-US"/>
        </w:rPr>
        <w:t>Nephrology Dialysis Transplantation</w:t>
      </w:r>
      <w:r>
        <w:rPr>
          <w:rFonts w:ascii="Arial" w:hAnsi="Arial" w:cs="Arial"/>
          <w:sz w:val="28"/>
          <w:szCs w:val="28"/>
          <w:lang w:val="en-US"/>
        </w:rPr>
        <w:t>, [online] 22(7), pp.1955–1962. doi:</w:t>
      </w:r>
      <w:hyperlink r:id="rId50" w:history="1">
        <w:r>
          <w:rPr>
            <w:rFonts w:ascii="Arial" w:hAnsi="Arial" w:cs="Arial"/>
            <w:sz w:val="28"/>
            <w:szCs w:val="28"/>
            <w:lang w:val="en-US"/>
          </w:rPr>
          <w:t>https://doi.org/10.1093/ndt/gfm153</w:t>
        </w:r>
      </w:hyperlink>
      <w:r>
        <w:rPr>
          <w:rFonts w:ascii="Arial" w:hAnsi="Arial" w:cs="Arial"/>
          <w:sz w:val="28"/>
          <w:szCs w:val="28"/>
          <w:lang w:val="en-US"/>
        </w:rPr>
        <w:t>.</w:t>
      </w:r>
    </w:p>
    <w:p w14:paraId="3C506515"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NAKHOUL, G. and SIMON, J.F. (2016). Anemia of chronic kidney disease: Treat it, but not too aggressively. </w:t>
      </w:r>
      <w:r>
        <w:rPr>
          <w:rFonts w:ascii="Arial" w:hAnsi="Arial" w:cs="Arial"/>
          <w:i/>
          <w:iCs/>
          <w:sz w:val="28"/>
          <w:szCs w:val="28"/>
          <w:lang w:val="en-US"/>
        </w:rPr>
        <w:t>Cleveland Clinic Journal of Medicine</w:t>
      </w:r>
      <w:r>
        <w:rPr>
          <w:rFonts w:ascii="Arial" w:hAnsi="Arial" w:cs="Arial"/>
          <w:sz w:val="28"/>
          <w:szCs w:val="28"/>
          <w:lang w:val="en-US"/>
        </w:rPr>
        <w:t>, 83(8), pp.613–624. doi:</w:t>
      </w:r>
      <w:hyperlink r:id="rId51" w:history="1">
        <w:r>
          <w:rPr>
            <w:rFonts w:ascii="Arial" w:hAnsi="Arial" w:cs="Arial"/>
            <w:sz w:val="28"/>
            <w:szCs w:val="28"/>
            <w:lang w:val="en-US"/>
          </w:rPr>
          <w:t>https://doi.org/10.3949/ccjm.83a.15065</w:t>
        </w:r>
      </w:hyperlink>
      <w:r>
        <w:rPr>
          <w:rFonts w:ascii="Arial" w:hAnsi="Arial" w:cs="Arial"/>
          <w:sz w:val="28"/>
          <w:szCs w:val="28"/>
          <w:lang w:val="en-US"/>
        </w:rPr>
        <w:t>.</w:t>
      </w:r>
    </w:p>
    <w:p w14:paraId="66F60D73" w14:textId="7C0E3B57" w:rsidR="00EC3292" w:rsidRPr="00EC3292" w:rsidRDefault="00EC3292" w:rsidP="00EC3292">
      <w:pPr>
        <w:pStyle w:val="ListParagraph"/>
        <w:numPr>
          <w:ilvl w:val="0"/>
          <w:numId w:val="46"/>
        </w:numPr>
        <w:spacing w:before="0" w:after="240" w:line="360" w:lineRule="auto"/>
        <w:rPr>
          <w:rFonts w:ascii="Arial" w:eastAsia="Times New Roman" w:hAnsi="Arial" w:cs="Arial"/>
          <w:sz w:val="28"/>
          <w:szCs w:val="28"/>
          <w:lang w:val="en-IN" w:eastAsia="en-IN"/>
        </w:rPr>
      </w:pPr>
      <w:r w:rsidRPr="00EC3292">
        <w:rPr>
          <w:rFonts w:ascii="Arial" w:eastAsia="Times New Roman" w:hAnsi="Arial" w:cs="Arial"/>
          <w:sz w:val="28"/>
          <w:szCs w:val="28"/>
          <w:lang w:val="en-IN" w:eastAsia="en-IN"/>
        </w:rPr>
        <w:t xml:space="preserve">National Kidney Federation (2023). </w:t>
      </w:r>
      <w:r w:rsidRPr="00EC3292">
        <w:rPr>
          <w:rFonts w:ascii="Arial" w:eastAsia="Times New Roman" w:hAnsi="Arial" w:cs="Arial"/>
          <w:i/>
          <w:iCs/>
          <w:sz w:val="28"/>
          <w:szCs w:val="28"/>
          <w:lang w:val="en-IN" w:eastAsia="en-IN"/>
        </w:rPr>
        <w:t>End of Life Care for Renal Patients</w:t>
      </w:r>
      <w:r w:rsidRPr="00EC3292">
        <w:rPr>
          <w:rFonts w:ascii="Arial" w:eastAsia="Times New Roman" w:hAnsi="Arial" w:cs="Arial"/>
          <w:sz w:val="28"/>
          <w:szCs w:val="28"/>
          <w:lang w:val="en-IN" w:eastAsia="en-IN"/>
        </w:rPr>
        <w:t xml:space="preserve">. [online] National Kidney Federation. Available at: </w:t>
      </w:r>
      <w:r w:rsidRPr="00EC3292">
        <w:rPr>
          <w:rFonts w:ascii="Arial" w:eastAsia="Times New Roman" w:hAnsi="Arial" w:cs="Arial"/>
          <w:sz w:val="28"/>
          <w:szCs w:val="28"/>
          <w:lang w:val="en-IN" w:eastAsia="en-IN"/>
        </w:rPr>
        <w:lastRenderedPageBreak/>
        <w:t>https://www.kidney.org.uk/end-of-life-care-for-renal-patients.</w:t>
      </w:r>
    </w:p>
    <w:p w14:paraId="7342B3E9"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NHS (2023). </w:t>
      </w:r>
      <w:r>
        <w:rPr>
          <w:rFonts w:ascii="Arial" w:hAnsi="Arial" w:cs="Arial"/>
          <w:i/>
          <w:iCs/>
          <w:sz w:val="28"/>
          <w:szCs w:val="28"/>
          <w:lang w:val="en-US"/>
        </w:rPr>
        <w:t>House of Care</w:t>
      </w:r>
      <w:r>
        <w:rPr>
          <w:rFonts w:ascii="Arial" w:hAnsi="Arial" w:cs="Arial"/>
          <w:sz w:val="28"/>
          <w:szCs w:val="28"/>
          <w:lang w:val="en-US"/>
        </w:rPr>
        <w:t xml:space="preserve">. [online] www.whittington.nhs.uk. Available at: </w:t>
      </w:r>
      <w:hyperlink r:id="rId52" w:history="1">
        <w:r>
          <w:rPr>
            <w:rFonts w:ascii="Arial" w:hAnsi="Arial" w:cs="Arial"/>
            <w:sz w:val="28"/>
            <w:szCs w:val="28"/>
            <w:lang w:val="en-US"/>
          </w:rPr>
          <w:t>https://www.whittington.nhs.uk/default.asp?c=31000</w:t>
        </w:r>
      </w:hyperlink>
      <w:r>
        <w:rPr>
          <w:rFonts w:ascii="Arial" w:hAnsi="Arial" w:cs="Arial"/>
          <w:sz w:val="28"/>
          <w:szCs w:val="28"/>
          <w:lang w:val="en-US"/>
        </w:rPr>
        <w:t>.</w:t>
      </w:r>
    </w:p>
    <w:p w14:paraId="60FCF751"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NHS (2023). </w:t>
      </w:r>
      <w:r>
        <w:rPr>
          <w:rFonts w:ascii="Arial" w:hAnsi="Arial" w:cs="Arial"/>
          <w:i/>
          <w:iCs/>
          <w:sz w:val="28"/>
          <w:szCs w:val="28"/>
          <w:lang w:val="en-US"/>
        </w:rPr>
        <w:t xml:space="preserve"> Chronic kidney disease</w:t>
      </w:r>
      <w:r>
        <w:rPr>
          <w:rFonts w:ascii="Arial" w:hAnsi="Arial" w:cs="Arial"/>
          <w:sz w:val="28"/>
          <w:szCs w:val="28"/>
          <w:lang w:val="en-US"/>
        </w:rPr>
        <w:t xml:space="preserve">. [online] NHS. Available at: </w:t>
      </w:r>
      <w:hyperlink r:id="rId53" w:history="1">
        <w:r>
          <w:rPr>
            <w:rFonts w:ascii="Arial" w:hAnsi="Arial" w:cs="Arial"/>
            <w:sz w:val="28"/>
            <w:szCs w:val="28"/>
            <w:lang w:val="en-US"/>
          </w:rPr>
          <w:t>https://www.nhs.uk/conditions/kidney-disease/</w:t>
        </w:r>
      </w:hyperlink>
      <w:r>
        <w:rPr>
          <w:rFonts w:ascii="Arial" w:hAnsi="Arial" w:cs="Arial"/>
          <w:sz w:val="28"/>
          <w:szCs w:val="28"/>
          <w:lang w:val="en-US"/>
        </w:rPr>
        <w:t>.</w:t>
      </w:r>
    </w:p>
    <w:p w14:paraId="63A8BA10"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NHS England (2019). </w:t>
      </w:r>
      <w:r>
        <w:rPr>
          <w:rFonts w:ascii="Arial" w:hAnsi="Arial" w:cs="Arial"/>
          <w:i/>
          <w:iCs/>
          <w:sz w:val="28"/>
          <w:szCs w:val="28"/>
          <w:lang w:val="en-US"/>
        </w:rPr>
        <w:t>NHS Long Term Plan</w:t>
      </w:r>
      <w:r>
        <w:rPr>
          <w:rFonts w:ascii="Arial" w:hAnsi="Arial" w:cs="Arial"/>
          <w:sz w:val="28"/>
          <w:szCs w:val="28"/>
          <w:lang w:val="en-US"/>
        </w:rPr>
        <w:t xml:space="preserve">. [online] NHS. Available at: </w:t>
      </w:r>
      <w:hyperlink r:id="rId54" w:history="1">
        <w:r>
          <w:rPr>
            <w:rFonts w:ascii="Arial" w:hAnsi="Arial" w:cs="Arial"/>
            <w:sz w:val="28"/>
            <w:szCs w:val="28"/>
            <w:lang w:val="en-US"/>
          </w:rPr>
          <w:t>https://www.england.nhs.uk/long-term-plan/</w:t>
        </w:r>
      </w:hyperlink>
      <w:r>
        <w:rPr>
          <w:rFonts w:ascii="Arial" w:hAnsi="Arial" w:cs="Arial"/>
          <w:sz w:val="28"/>
          <w:szCs w:val="28"/>
          <w:lang w:val="en-US"/>
        </w:rPr>
        <w:t>.</w:t>
      </w:r>
    </w:p>
    <w:p w14:paraId="5AF6D745"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NHSBT (2024). </w:t>
      </w:r>
      <w:r>
        <w:rPr>
          <w:rFonts w:ascii="Arial" w:hAnsi="Arial" w:cs="Arial"/>
          <w:i/>
          <w:iCs/>
          <w:sz w:val="28"/>
          <w:szCs w:val="28"/>
          <w:lang w:val="en-US"/>
        </w:rPr>
        <w:t>Annual Report and Accounts 2023-24</w:t>
      </w:r>
      <w:r>
        <w:rPr>
          <w:rFonts w:ascii="Arial" w:hAnsi="Arial" w:cs="Arial"/>
          <w:sz w:val="28"/>
          <w:szCs w:val="28"/>
          <w:lang w:val="en-US"/>
        </w:rPr>
        <w:t xml:space="preserve">. [online] Available at: </w:t>
      </w:r>
      <w:hyperlink r:id="rId55" w:history="1">
        <w:r>
          <w:rPr>
            <w:rFonts w:ascii="Arial" w:hAnsi="Arial" w:cs="Arial"/>
            <w:sz w:val="28"/>
            <w:szCs w:val="28"/>
            <w:lang w:val="en-US"/>
          </w:rPr>
          <w:t>https://assets.publishing.service.gov.uk/media/66df23b99210ba34a3ebabdc/nhsbt-annual-</w:t>
        </w:r>
        <w:r>
          <w:rPr>
            <w:rFonts w:ascii="Arial" w:hAnsi="Arial" w:cs="Arial"/>
            <w:sz w:val="28"/>
            <w:szCs w:val="28"/>
            <w:lang w:val="en-US"/>
          </w:rPr>
          <w:t>report-and-accounts-2023-to-2024-accessible-version.pdf</w:t>
        </w:r>
      </w:hyperlink>
      <w:r>
        <w:rPr>
          <w:rFonts w:ascii="Arial" w:hAnsi="Arial" w:cs="Arial"/>
          <w:sz w:val="28"/>
          <w:szCs w:val="28"/>
          <w:lang w:val="en-US"/>
        </w:rPr>
        <w:t>.</w:t>
      </w:r>
    </w:p>
    <w:p w14:paraId="4AAD5BA4"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NICE (2021). </w:t>
      </w:r>
      <w:r>
        <w:rPr>
          <w:rFonts w:ascii="Arial" w:hAnsi="Arial" w:cs="Arial"/>
          <w:i/>
          <w:iCs/>
          <w:sz w:val="28"/>
          <w:szCs w:val="28"/>
          <w:lang w:val="en-US"/>
        </w:rPr>
        <w:t>Chronic Kidney disease: Assessment and Management | Guidance | NICE</w:t>
      </w:r>
      <w:r>
        <w:rPr>
          <w:rFonts w:ascii="Arial" w:hAnsi="Arial" w:cs="Arial"/>
          <w:sz w:val="28"/>
          <w:szCs w:val="28"/>
          <w:lang w:val="en-US"/>
        </w:rPr>
        <w:t xml:space="preserve">. [online] www.nice.org.uk. Available at: </w:t>
      </w:r>
      <w:hyperlink r:id="rId56" w:history="1">
        <w:r>
          <w:rPr>
            <w:rFonts w:ascii="Arial" w:hAnsi="Arial" w:cs="Arial"/>
            <w:sz w:val="28"/>
            <w:szCs w:val="28"/>
            <w:lang w:val="en-US"/>
          </w:rPr>
          <w:t>https://www.nice.org.uk/guidance/ng203</w:t>
        </w:r>
      </w:hyperlink>
      <w:r>
        <w:rPr>
          <w:rFonts w:ascii="Arial" w:hAnsi="Arial" w:cs="Arial"/>
          <w:sz w:val="28"/>
          <w:szCs w:val="28"/>
          <w:lang w:val="en-US"/>
        </w:rPr>
        <w:t>.</w:t>
      </w:r>
    </w:p>
    <w:p w14:paraId="77A179CB"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NIDDK (2025). </w:t>
      </w:r>
      <w:r>
        <w:rPr>
          <w:rFonts w:ascii="Arial" w:hAnsi="Arial" w:cs="Arial"/>
          <w:i/>
          <w:iCs/>
          <w:sz w:val="28"/>
          <w:szCs w:val="28"/>
          <w:lang w:val="en-US"/>
        </w:rPr>
        <w:t>Risk Factors for Chronic Kidney Disease</w:t>
      </w:r>
      <w:r>
        <w:rPr>
          <w:rFonts w:ascii="Arial" w:hAnsi="Arial" w:cs="Arial"/>
          <w:sz w:val="28"/>
          <w:szCs w:val="28"/>
          <w:lang w:val="en-US"/>
        </w:rPr>
        <w:t xml:space="preserve">. [online] National Institute of Diabetes and Digestive and Kidney Diseases. Available at: </w:t>
      </w:r>
      <w:hyperlink r:id="rId57" w:history="1">
        <w:r>
          <w:rPr>
            <w:rFonts w:ascii="Arial" w:hAnsi="Arial" w:cs="Arial"/>
            <w:sz w:val="28"/>
            <w:szCs w:val="28"/>
            <w:lang w:val="en-US"/>
          </w:rPr>
          <w:t>https://www.niddk.nih.gov/news/media-library/22694</w:t>
        </w:r>
      </w:hyperlink>
      <w:r>
        <w:rPr>
          <w:rFonts w:ascii="Arial" w:hAnsi="Arial" w:cs="Arial"/>
          <w:sz w:val="28"/>
          <w:szCs w:val="28"/>
          <w:lang w:val="en-US"/>
        </w:rPr>
        <w:t>.</w:t>
      </w:r>
    </w:p>
    <w:p w14:paraId="08CA4B13"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NKF (2025). </w:t>
      </w:r>
      <w:r>
        <w:rPr>
          <w:rFonts w:ascii="Arial" w:hAnsi="Arial" w:cs="Arial"/>
          <w:i/>
          <w:iCs/>
          <w:sz w:val="28"/>
          <w:szCs w:val="28"/>
          <w:lang w:val="en-US"/>
        </w:rPr>
        <w:t>Risk Factors for Chronic Kidney Disease</w:t>
      </w:r>
      <w:r>
        <w:rPr>
          <w:rFonts w:ascii="Arial" w:hAnsi="Arial" w:cs="Arial"/>
          <w:sz w:val="28"/>
          <w:szCs w:val="28"/>
          <w:lang w:val="en-US"/>
        </w:rPr>
        <w:t xml:space="preserve">. [online] National Kidney Foundation. Available at: </w:t>
      </w:r>
      <w:hyperlink r:id="rId58" w:history="1">
        <w:r>
          <w:rPr>
            <w:rFonts w:ascii="Arial" w:hAnsi="Arial" w:cs="Arial"/>
            <w:sz w:val="28"/>
            <w:szCs w:val="28"/>
            <w:lang w:val="en-US"/>
          </w:rPr>
          <w:t>https://www.kidney.org/kidney-topics/risk-factors-chronic-kidney-disease</w:t>
        </w:r>
      </w:hyperlink>
      <w:r>
        <w:rPr>
          <w:rFonts w:ascii="Arial" w:hAnsi="Arial" w:cs="Arial"/>
          <w:sz w:val="28"/>
          <w:szCs w:val="28"/>
          <w:lang w:val="en-US"/>
        </w:rPr>
        <w:t>.</w:t>
      </w:r>
    </w:p>
    <w:p w14:paraId="53AEC1C9"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Pagels, A.A., Söderkvist, B., Medin, C., </w:t>
      </w:r>
      <w:r>
        <w:rPr>
          <w:rFonts w:ascii="Arial" w:hAnsi="Arial" w:cs="Arial"/>
          <w:sz w:val="28"/>
          <w:szCs w:val="28"/>
          <w:lang w:val="en-US"/>
        </w:rPr>
        <w:lastRenderedPageBreak/>
        <w:t xml:space="preserve">Hylander, B. and Heiwe, S. (2012). Health-related quality of life in different stages of chronic kidney disease and at initiation of dialysis treatment. </w:t>
      </w:r>
      <w:r>
        <w:rPr>
          <w:rFonts w:ascii="Arial" w:hAnsi="Arial" w:cs="Arial"/>
          <w:i/>
          <w:iCs/>
          <w:sz w:val="28"/>
          <w:szCs w:val="28"/>
          <w:lang w:val="en-US"/>
        </w:rPr>
        <w:t>Health and Quality of Life Outcomes</w:t>
      </w:r>
      <w:r>
        <w:rPr>
          <w:rFonts w:ascii="Arial" w:hAnsi="Arial" w:cs="Arial"/>
          <w:sz w:val="28"/>
          <w:szCs w:val="28"/>
          <w:lang w:val="en-US"/>
        </w:rPr>
        <w:t>, 10(1), p.71. doi:</w:t>
      </w:r>
      <w:hyperlink r:id="rId59" w:history="1">
        <w:r>
          <w:rPr>
            <w:rFonts w:ascii="Arial" w:hAnsi="Arial" w:cs="Arial"/>
            <w:sz w:val="28"/>
            <w:szCs w:val="28"/>
            <w:lang w:val="en-US"/>
          </w:rPr>
          <w:t>https://doi.org/10.1186/1477-7525-10-71</w:t>
        </w:r>
      </w:hyperlink>
      <w:r>
        <w:rPr>
          <w:rFonts w:ascii="Arial" w:hAnsi="Arial" w:cs="Arial"/>
          <w:sz w:val="28"/>
          <w:szCs w:val="28"/>
          <w:lang w:val="en-US"/>
        </w:rPr>
        <w:t>.</w:t>
      </w:r>
    </w:p>
    <w:p w14:paraId="724D2A76"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Palmer, S., Vecchio, M., Craig, J.C., Tonelli, M., Johnson, D.W., Nicolucci, A., Pellegrini, F., Saglimbene, V., Logroscino, G., Fishbane, S. and Strippoli, G.F.M. (2013). Prevalence of depression in chronic kidney disease: systematic review and meta-analysis of observational studies. </w:t>
      </w:r>
      <w:r>
        <w:rPr>
          <w:rFonts w:ascii="Arial" w:hAnsi="Arial" w:cs="Arial"/>
          <w:i/>
          <w:iCs/>
          <w:sz w:val="28"/>
          <w:szCs w:val="28"/>
          <w:lang w:val="en-US"/>
        </w:rPr>
        <w:t>Kidney International</w:t>
      </w:r>
      <w:r>
        <w:rPr>
          <w:rFonts w:ascii="Arial" w:hAnsi="Arial" w:cs="Arial"/>
          <w:sz w:val="28"/>
          <w:szCs w:val="28"/>
          <w:lang w:val="en-US"/>
        </w:rPr>
        <w:t>, [online] 84(1), pp.179–191. doi:</w:t>
      </w:r>
      <w:hyperlink r:id="rId60" w:history="1">
        <w:r>
          <w:rPr>
            <w:rFonts w:ascii="Arial" w:hAnsi="Arial" w:cs="Arial"/>
            <w:sz w:val="28"/>
            <w:szCs w:val="28"/>
            <w:lang w:val="en-US"/>
          </w:rPr>
          <w:t>https://doi.org/10.1038/ki.2013.77</w:t>
        </w:r>
      </w:hyperlink>
      <w:r>
        <w:rPr>
          <w:rFonts w:ascii="Arial" w:hAnsi="Arial" w:cs="Arial"/>
          <w:sz w:val="28"/>
          <w:szCs w:val="28"/>
          <w:lang w:val="en-US"/>
        </w:rPr>
        <w:t>.</w:t>
      </w:r>
    </w:p>
    <w:p w14:paraId="1562E70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Roth, G.A., Abate, D., Abate, K.H., Abay, S.M., Abbafati, C., Abbasi, N., Abbastabar, H., Abd-</w:t>
      </w:r>
      <w:r>
        <w:rPr>
          <w:rFonts w:ascii="Arial" w:hAnsi="Arial" w:cs="Arial"/>
          <w:sz w:val="28"/>
          <w:szCs w:val="28"/>
          <w:lang w:val="en-US"/>
        </w:rPr>
        <w:t xml:space="preserve">Allah, F., Abdela, J., Abdelalim, A., Abdollahpour, I., Abdulkader, R.S., Abebe, H.T., Abebe, M., Abebe, Z., Abejie, A.N., Abera, S.F., Abil, O.Z., Abraha, H.N. and Abrham, A.R. (2018). Global, regional, and national age-sex-specific mortality for 282 causes of death in 195 countries and territories, 1980–2017: a systematic analysis for the Global Burden of Disease Study 2017. </w:t>
      </w:r>
      <w:r>
        <w:rPr>
          <w:rFonts w:ascii="Arial" w:hAnsi="Arial" w:cs="Arial"/>
          <w:i/>
          <w:iCs/>
          <w:sz w:val="28"/>
          <w:szCs w:val="28"/>
          <w:lang w:val="en-US"/>
        </w:rPr>
        <w:t>The Lancet</w:t>
      </w:r>
      <w:r>
        <w:rPr>
          <w:rFonts w:ascii="Arial" w:hAnsi="Arial" w:cs="Arial"/>
          <w:sz w:val="28"/>
          <w:szCs w:val="28"/>
          <w:lang w:val="en-US"/>
        </w:rPr>
        <w:t>, [online] 392(10159), pp.1736–1788. doi:</w:t>
      </w:r>
      <w:hyperlink r:id="rId61" w:history="1">
        <w:r>
          <w:rPr>
            <w:rFonts w:ascii="Arial" w:hAnsi="Arial" w:cs="Arial"/>
            <w:sz w:val="28"/>
            <w:szCs w:val="28"/>
            <w:lang w:val="en-US"/>
          </w:rPr>
          <w:t>https://doi.org/10.1016/s0140-6736(18)32203-7</w:t>
        </w:r>
      </w:hyperlink>
      <w:r>
        <w:rPr>
          <w:rFonts w:ascii="Arial" w:hAnsi="Arial" w:cs="Arial"/>
          <w:sz w:val="28"/>
          <w:szCs w:val="28"/>
          <w:lang w:val="en-US"/>
        </w:rPr>
        <w:t>.</w:t>
      </w:r>
    </w:p>
    <w:p w14:paraId="0E45E29E"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Ruggenenti, P., Perna, A., Gherardi, G., Gaspari, F., Benini, R. and Remuzzi, G. (1998). Renal function and requirement for dialysis in chronic nephropathy patients on long-term ramipril: REIN follow-up trial. </w:t>
      </w:r>
      <w:r>
        <w:rPr>
          <w:rFonts w:ascii="Arial" w:hAnsi="Arial" w:cs="Arial"/>
          <w:i/>
          <w:iCs/>
          <w:sz w:val="28"/>
          <w:szCs w:val="28"/>
          <w:lang w:val="en-US"/>
        </w:rPr>
        <w:t>The Lancet</w:t>
      </w:r>
      <w:r>
        <w:rPr>
          <w:rFonts w:ascii="Arial" w:hAnsi="Arial" w:cs="Arial"/>
          <w:sz w:val="28"/>
          <w:szCs w:val="28"/>
          <w:lang w:val="en-US"/>
        </w:rPr>
        <w:t xml:space="preserve">, 352(9136), pp.1252–1256. </w:t>
      </w:r>
      <w:r>
        <w:rPr>
          <w:rFonts w:ascii="Arial" w:hAnsi="Arial" w:cs="Arial"/>
          <w:sz w:val="28"/>
          <w:szCs w:val="28"/>
          <w:lang w:val="en-US"/>
        </w:rPr>
        <w:lastRenderedPageBreak/>
        <w:t>doi:</w:t>
      </w:r>
      <w:hyperlink r:id="rId62" w:history="1">
        <w:r>
          <w:rPr>
            <w:rFonts w:ascii="Arial" w:hAnsi="Arial" w:cs="Arial"/>
            <w:sz w:val="28"/>
            <w:szCs w:val="28"/>
            <w:lang w:val="en-US"/>
          </w:rPr>
          <w:t>https://doi.org/10.1016/s0140-6736(98)04433-x</w:t>
        </w:r>
      </w:hyperlink>
      <w:r>
        <w:rPr>
          <w:rFonts w:ascii="Arial" w:hAnsi="Arial" w:cs="Arial"/>
          <w:sz w:val="28"/>
          <w:szCs w:val="28"/>
          <w:lang w:val="en-US"/>
        </w:rPr>
        <w:t>.</w:t>
      </w:r>
    </w:p>
    <w:p w14:paraId="2A139088"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Stanifer, J.W., Jing, B., Tolan, S., Helmke, N., Mukerjee, R., Naicker, S. and Patel, U. (2014). The epidemiology of chronic kidney disease in sub-Saharan Africa: a systematic review and meta-analysis. </w:t>
      </w:r>
      <w:r>
        <w:rPr>
          <w:rFonts w:ascii="Arial" w:hAnsi="Arial" w:cs="Arial"/>
          <w:i/>
          <w:iCs/>
          <w:sz w:val="28"/>
          <w:szCs w:val="28"/>
          <w:lang w:val="en-US"/>
        </w:rPr>
        <w:t>The Lancet Global Health</w:t>
      </w:r>
      <w:r>
        <w:rPr>
          <w:rFonts w:ascii="Arial" w:hAnsi="Arial" w:cs="Arial"/>
          <w:sz w:val="28"/>
          <w:szCs w:val="28"/>
          <w:lang w:val="en-US"/>
        </w:rPr>
        <w:t>, 2(3), pp.e174–e181. doi:</w:t>
      </w:r>
      <w:hyperlink r:id="rId63" w:history="1">
        <w:r>
          <w:rPr>
            <w:rFonts w:ascii="Arial" w:hAnsi="Arial" w:cs="Arial"/>
            <w:sz w:val="28"/>
            <w:szCs w:val="28"/>
            <w:lang w:val="en-US"/>
          </w:rPr>
          <w:t>https://doi.org/10.1016/s2214-109x(14)70002-6</w:t>
        </w:r>
      </w:hyperlink>
      <w:r>
        <w:rPr>
          <w:rFonts w:ascii="Arial" w:hAnsi="Arial" w:cs="Arial"/>
          <w:sz w:val="28"/>
          <w:szCs w:val="28"/>
          <w:lang w:val="en-US"/>
        </w:rPr>
        <w:t>.</w:t>
      </w:r>
    </w:p>
    <w:p w14:paraId="4B9C6FAC"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Sumaili, E.K., Krzesinski, J.-M. ., Zinga, C.V., Cohen, E.P., Delanaye, P., Munyanga, S.M. and Nseka, N.M. (2008). Prevalence of chronic kidney disease in Kinshasa: results of a pilot study from the Democratic Republic of Congo. </w:t>
      </w:r>
      <w:r>
        <w:rPr>
          <w:rFonts w:ascii="Arial" w:hAnsi="Arial" w:cs="Arial"/>
          <w:i/>
          <w:iCs/>
          <w:sz w:val="28"/>
          <w:szCs w:val="28"/>
          <w:lang w:val="en-US"/>
        </w:rPr>
        <w:t>Nephrology Dialysis Transplantation</w:t>
      </w:r>
      <w:r>
        <w:rPr>
          <w:rFonts w:ascii="Arial" w:hAnsi="Arial" w:cs="Arial"/>
          <w:sz w:val="28"/>
          <w:szCs w:val="28"/>
          <w:lang w:val="en-US"/>
        </w:rPr>
        <w:t xml:space="preserve">, 24(1), pp.117–122. </w:t>
      </w:r>
      <w:r>
        <w:rPr>
          <w:rFonts w:ascii="Arial" w:hAnsi="Arial" w:cs="Arial"/>
          <w:sz w:val="28"/>
          <w:szCs w:val="28"/>
          <w:lang w:val="en-US"/>
        </w:rPr>
        <w:t>doi:</w:t>
      </w:r>
      <w:hyperlink r:id="rId64" w:history="1">
        <w:r>
          <w:rPr>
            <w:rFonts w:ascii="Arial" w:hAnsi="Arial" w:cs="Arial"/>
            <w:sz w:val="28"/>
            <w:szCs w:val="28"/>
            <w:lang w:val="en-US"/>
          </w:rPr>
          <w:t>https://doi.org/10.1093/ndt/gfn469</w:t>
        </w:r>
      </w:hyperlink>
      <w:r>
        <w:rPr>
          <w:rFonts w:ascii="Arial" w:hAnsi="Arial" w:cs="Arial"/>
          <w:sz w:val="28"/>
          <w:szCs w:val="28"/>
          <w:lang w:val="en-US"/>
        </w:rPr>
        <w:t>.</w:t>
      </w:r>
    </w:p>
    <w:p w14:paraId="4B74F126"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The EMPA-KIDNEY Collaborative Group (2022). Empagliflozin in Patients with Chronic Kidney Disease. </w:t>
      </w:r>
      <w:r>
        <w:rPr>
          <w:rFonts w:ascii="Arial" w:hAnsi="Arial" w:cs="Arial"/>
          <w:i/>
          <w:iCs/>
          <w:sz w:val="28"/>
          <w:szCs w:val="28"/>
          <w:lang w:val="en-US"/>
        </w:rPr>
        <w:t>New England Journal of Medicine</w:t>
      </w:r>
      <w:r>
        <w:rPr>
          <w:rFonts w:ascii="Arial" w:hAnsi="Arial" w:cs="Arial"/>
          <w:sz w:val="28"/>
          <w:szCs w:val="28"/>
          <w:lang w:val="en-US"/>
        </w:rPr>
        <w:t>, [online] 388(2). doi:</w:t>
      </w:r>
      <w:hyperlink r:id="rId65" w:history="1">
        <w:r>
          <w:rPr>
            <w:rFonts w:ascii="Arial" w:hAnsi="Arial" w:cs="Arial"/>
            <w:sz w:val="28"/>
            <w:szCs w:val="28"/>
            <w:lang w:val="en-US"/>
          </w:rPr>
          <w:t>https://doi.org/10.1056/nejmoa2204233</w:t>
        </w:r>
      </w:hyperlink>
      <w:r>
        <w:rPr>
          <w:rFonts w:ascii="Arial" w:hAnsi="Arial" w:cs="Arial"/>
          <w:sz w:val="28"/>
          <w:szCs w:val="28"/>
          <w:lang w:val="en-US"/>
        </w:rPr>
        <w:t>.</w:t>
      </w:r>
    </w:p>
    <w:p w14:paraId="60542C93"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UK kidney foundation (2022). </w:t>
      </w:r>
      <w:r>
        <w:rPr>
          <w:rFonts w:ascii="Arial" w:hAnsi="Arial" w:cs="Arial"/>
          <w:i/>
          <w:iCs/>
          <w:sz w:val="28"/>
          <w:szCs w:val="28"/>
          <w:lang w:val="en-US"/>
        </w:rPr>
        <w:t>Annual report</w:t>
      </w:r>
      <w:r>
        <w:rPr>
          <w:rFonts w:ascii="Arial" w:hAnsi="Arial" w:cs="Arial"/>
          <w:sz w:val="28"/>
          <w:szCs w:val="28"/>
          <w:lang w:val="en-US"/>
        </w:rPr>
        <w:t xml:space="preserve">. [online] UK Kidney. Available at: </w:t>
      </w:r>
      <w:hyperlink r:id="rId66" w:history="1">
        <w:r>
          <w:rPr>
            <w:rFonts w:ascii="Arial" w:hAnsi="Arial" w:cs="Arial"/>
            <w:sz w:val="28"/>
            <w:szCs w:val="28"/>
            <w:lang w:val="en-US"/>
          </w:rPr>
          <w:t>https://www.ukkidney.org/audit-research/annual-report</w:t>
        </w:r>
      </w:hyperlink>
      <w:r>
        <w:rPr>
          <w:rFonts w:ascii="Arial" w:hAnsi="Arial" w:cs="Arial"/>
          <w:sz w:val="28"/>
          <w:szCs w:val="28"/>
          <w:lang w:val="en-US"/>
        </w:rPr>
        <w:t>.</w:t>
      </w:r>
    </w:p>
    <w:p w14:paraId="183EE137"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Wagner, E.H., Austin, B.T. and Von Korff, M. (1996). Organizing Care for Patients with Chronic Illness. </w:t>
      </w:r>
      <w:r>
        <w:rPr>
          <w:rFonts w:ascii="Arial" w:hAnsi="Arial" w:cs="Arial"/>
          <w:i/>
          <w:iCs/>
          <w:sz w:val="28"/>
          <w:szCs w:val="28"/>
          <w:lang w:val="en-US"/>
        </w:rPr>
        <w:t>The Milbank Quarterly</w:t>
      </w:r>
      <w:r>
        <w:rPr>
          <w:rFonts w:ascii="Arial" w:hAnsi="Arial" w:cs="Arial"/>
          <w:sz w:val="28"/>
          <w:szCs w:val="28"/>
          <w:lang w:val="en-US"/>
        </w:rPr>
        <w:t>, 74(4), pp.511–544. doi:</w:t>
      </w:r>
      <w:hyperlink r:id="rId67" w:history="1">
        <w:r>
          <w:rPr>
            <w:rFonts w:ascii="Arial" w:hAnsi="Arial" w:cs="Arial"/>
            <w:sz w:val="28"/>
            <w:szCs w:val="28"/>
            <w:lang w:val="en-US"/>
          </w:rPr>
          <w:t>https://doi.org/10.2307/3350391</w:t>
        </w:r>
      </w:hyperlink>
      <w:r>
        <w:rPr>
          <w:rFonts w:ascii="Arial" w:hAnsi="Arial" w:cs="Arial"/>
          <w:sz w:val="28"/>
          <w:szCs w:val="28"/>
          <w:lang w:val="en-US"/>
        </w:rPr>
        <w:t>.</w:t>
      </w:r>
    </w:p>
    <w:p w14:paraId="3F52BE57"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 xml:space="preserve">WHO (2023). </w:t>
      </w:r>
      <w:r>
        <w:rPr>
          <w:rFonts w:ascii="Arial" w:hAnsi="Arial" w:cs="Arial"/>
          <w:i/>
          <w:iCs/>
          <w:sz w:val="28"/>
          <w:szCs w:val="28"/>
          <w:lang w:val="en-US"/>
        </w:rPr>
        <w:t xml:space="preserve">Integrated people-centred care - </w:t>
      </w:r>
      <w:r>
        <w:rPr>
          <w:rFonts w:ascii="Arial" w:hAnsi="Arial" w:cs="Arial"/>
          <w:i/>
          <w:iCs/>
          <w:sz w:val="28"/>
          <w:szCs w:val="28"/>
          <w:lang w:val="en-US"/>
        </w:rPr>
        <w:lastRenderedPageBreak/>
        <w:t>GLOBAL</w:t>
      </w:r>
      <w:r>
        <w:rPr>
          <w:rFonts w:ascii="Arial" w:hAnsi="Arial" w:cs="Arial"/>
          <w:sz w:val="28"/>
          <w:szCs w:val="28"/>
          <w:lang w:val="en-US"/>
        </w:rPr>
        <w:t xml:space="preserve">. [online] www.who.int. Available at: </w:t>
      </w:r>
      <w:hyperlink r:id="rId68" w:anchor="tab=tab_1" w:history="1">
        <w:r>
          <w:rPr>
            <w:rFonts w:ascii="Arial" w:hAnsi="Arial" w:cs="Arial"/>
            <w:sz w:val="28"/>
            <w:szCs w:val="28"/>
            <w:lang w:val="en-US"/>
          </w:rPr>
          <w:t>https://www.who.int/health-topics/integrated-people-centered-care#tab=tab_1</w:t>
        </w:r>
      </w:hyperlink>
      <w:r>
        <w:rPr>
          <w:rFonts w:ascii="Arial" w:hAnsi="Arial" w:cs="Arial"/>
          <w:sz w:val="28"/>
          <w:szCs w:val="28"/>
          <w:lang w:val="en-US"/>
        </w:rPr>
        <w:t>.</w:t>
      </w:r>
    </w:p>
    <w:p w14:paraId="645CF4C2" w14:textId="77777777" w:rsidR="008E2A38" w:rsidRDefault="008E2A38" w:rsidP="00F71506">
      <w:pPr>
        <w:widowControl w:val="0"/>
        <w:numPr>
          <w:ilvl w:val="0"/>
          <w:numId w:val="46"/>
        </w:numPr>
        <w:autoSpaceDE w:val="0"/>
        <w:autoSpaceDN w:val="0"/>
        <w:adjustRightInd w:val="0"/>
        <w:spacing w:before="0" w:after="240" w:line="360" w:lineRule="auto"/>
        <w:rPr>
          <w:rFonts w:ascii="Arial" w:hAnsi="Arial" w:cs="Arial"/>
          <w:sz w:val="28"/>
          <w:szCs w:val="28"/>
          <w:lang w:val="en-US"/>
        </w:rPr>
      </w:pPr>
      <w:r>
        <w:rPr>
          <w:rFonts w:ascii="Arial" w:hAnsi="Arial" w:cs="Arial"/>
          <w:sz w:val="28"/>
          <w:szCs w:val="28"/>
          <w:lang w:val="en-US"/>
        </w:rPr>
        <w:t>Wong, Y.H.S., Wong, G., Johnson, D.W., McDonald, S., Clayton, P., Boudville, N., Viecelli, A.K., Lok, C., Pilmore, H., Hawley, C., Roberts, M.A., Walker, R., Ooi, E., Polkinghorne, K.R. and Lim, W.H. (2021). Socio</w:t>
      </w:r>
      <w:r>
        <w:rPr>
          <w:rFonts w:ascii="Cambria Math" w:hAnsi="Cambria Math" w:cs="Cambria Math"/>
          <w:sz w:val="28"/>
          <w:szCs w:val="28"/>
          <w:lang w:val="en-US"/>
        </w:rPr>
        <w:t>‐</w:t>
      </w:r>
      <w:r>
        <w:rPr>
          <w:rFonts w:ascii="Arial" w:hAnsi="Arial" w:cs="Arial"/>
          <w:sz w:val="28"/>
          <w:szCs w:val="28"/>
          <w:lang w:val="en-US"/>
        </w:rPr>
        <w:t>economic disparity, access to care and patient</w:t>
      </w:r>
      <w:r>
        <w:rPr>
          <w:rFonts w:ascii="Cambria Math" w:hAnsi="Cambria Math" w:cs="Cambria Math"/>
          <w:sz w:val="28"/>
          <w:szCs w:val="28"/>
          <w:lang w:val="en-US"/>
        </w:rPr>
        <w:t>‐</w:t>
      </w:r>
      <w:r>
        <w:rPr>
          <w:rFonts w:ascii="Arial" w:hAnsi="Arial" w:cs="Arial"/>
          <w:sz w:val="28"/>
          <w:szCs w:val="28"/>
          <w:lang w:val="en-US"/>
        </w:rPr>
        <w:t xml:space="preserve">relevant outcomes after kidney allograft failure. </w:t>
      </w:r>
      <w:r>
        <w:rPr>
          <w:rFonts w:ascii="Arial" w:hAnsi="Arial" w:cs="Arial"/>
          <w:i/>
          <w:iCs/>
          <w:sz w:val="28"/>
          <w:szCs w:val="28"/>
          <w:lang w:val="en-US"/>
        </w:rPr>
        <w:t>Transplant International</w:t>
      </w:r>
      <w:r>
        <w:rPr>
          <w:rFonts w:ascii="Arial" w:hAnsi="Arial" w:cs="Arial"/>
          <w:sz w:val="28"/>
          <w:szCs w:val="28"/>
          <w:lang w:val="en-US"/>
        </w:rPr>
        <w:t>, 34(11), pp.2329–2340. doi:</w:t>
      </w:r>
      <w:hyperlink r:id="rId69" w:history="1">
        <w:r>
          <w:rPr>
            <w:rFonts w:ascii="Arial" w:hAnsi="Arial" w:cs="Arial"/>
            <w:sz w:val="28"/>
            <w:szCs w:val="28"/>
            <w:lang w:val="en-US"/>
          </w:rPr>
          <w:t>https://doi.org/10.1111/tri.14002</w:t>
        </w:r>
      </w:hyperlink>
      <w:r>
        <w:rPr>
          <w:rFonts w:ascii="Arial" w:hAnsi="Arial" w:cs="Arial"/>
          <w:sz w:val="28"/>
          <w:szCs w:val="28"/>
          <w:lang w:val="en-US"/>
        </w:rPr>
        <w:t>.</w:t>
      </w:r>
    </w:p>
    <w:p w14:paraId="62E975F8" w14:textId="77777777" w:rsidR="00257505" w:rsidRPr="008D7EB4" w:rsidRDefault="00257505" w:rsidP="008D7EB4">
      <w:pPr>
        <w:spacing w:line="360" w:lineRule="auto"/>
        <w:rPr>
          <w:rFonts w:ascii="Arial" w:hAnsi="Arial" w:cs="Arial"/>
          <w:sz w:val="22"/>
          <w:szCs w:val="22"/>
        </w:rPr>
      </w:pPr>
    </w:p>
    <w:sectPr w:rsidR="00257505" w:rsidRPr="008D7EB4" w:rsidSect="004D5DB7">
      <w:footerReference w:type="default" r:id="rId70"/>
      <w:pgSz w:w="16838" w:h="11906" w:orient="landscape"/>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26865" w14:textId="77777777" w:rsidR="00BF0FF3" w:rsidRDefault="00BF0FF3" w:rsidP="00BD33E3">
      <w:pPr>
        <w:spacing w:before="0" w:after="0" w:line="240" w:lineRule="auto"/>
      </w:pPr>
      <w:r>
        <w:separator/>
      </w:r>
    </w:p>
  </w:endnote>
  <w:endnote w:type="continuationSeparator" w:id="0">
    <w:p w14:paraId="66F67698" w14:textId="77777777" w:rsidR="00BF0FF3" w:rsidRDefault="00BF0FF3" w:rsidP="00BD33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167392"/>
      <w:docPartObj>
        <w:docPartGallery w:val="Page Numbers (Bottom of Page)"/>
        <w:docPartUnique/>
      </w:docPartObj>
    </w:sdtPr>
    <w:sdtEndPr>
      <w:rPr>
        <w:color w:val="7F7F7F" w:themeColor="background1" w:themeShade="7F"/>
        <w:spacing w:val="60"/>
      </w:rPr>
    </w:sdtEndPr>
    <w:sdtContent>
      <w:p w14:paraId="471D1429" w14:textId="0F9F859C" w:rsidR="00BD33E3" w:rsidRDefault="00BD33E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786FC4C" w14:textId="77777777" w:rsidR="00BD33E3" w:rsidRDefault="00BD33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AA739" w14:textId="77777777" w:rsidR="00BF0FF3" w:rsidRDefault="00BF0FF3" w:rsidP="00BD33E3">
      <w:pPr>
        <w:spacing w:before="0" w:after="0" w:line="240" w:lineRule="auto"/>
      </w:pPr>
      <w:r>
        <w:separator/>
      </w:r>
    </w:p>
  </w:footnote>
  <w:footnote w:type="continuationSeparator" w:id="0">
    <w:p w14:paraId="3AB62791" w14:textId="77777777" w:rsidR="00BF0FF3" w:rsidRDefault="00BF0FF3" w:rsidP="00BD33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D3F05"/>
    <w:multiLevelType w:val="multilevel"/>
    <w:tmpl w:val="70B8BF34"/>
    <w:lvl w:ilvl="0">
      <w:start w:val="4"/>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02146E5E"/>
    <w:multiLevelType w:val="multilevel"/>
    <w:tmpl w:val="D5C8E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11314"/>
    <w:multiLevelType w:val="hybridMultilevel"/>
    <w:tmpl w:val="FFDE7F00"/>
    <w:lvl w:ilvl="0" w:tplc="D79611FA">
      <w:start w:val="1"/>
      <w:numFmt w:val="decimal"/>
      <w:lvlText w:val="%1."/>
      <w:lvlJc w:val="left"/>
      <w:pPr>
        <w:ind w:left="720" w:hanging="360"/>
      </w:pPr>
      <w:rPr>
        <w:rFonts w:hint="default"/>
        <w:b/>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8E863CC"/>
    <w:multiLevelType w:val="hybridMultilevel"/>
    <w:tmpl w:val="4F4EC98A"/>
    <w:lvl w:ilvl="0" w:tplc="AEA456DA">
      <w:start w:val="1"/>
      <w:numFmt w:val="bullet"/>
      <w:lvlText w:val="-"/>
      <w:lvlJc w:val="left"/>
      <w:pPr>
        <w:ind w:left="1080" w:hanging="360"/>
      </w:pPr>
      <w:rPr>
        <w:rFonts w:ascii="Arial" w:eastAsiaTheme="minorEastAsia" w:hAnsi="Arial" w:cs="Aria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0565BF4"/>
    <w:multiLevelType w:val="multilevel"/>
    <w:tmpl w:val="C1D23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1077EB"/>
    <w:multiLevelType w:val="multilevel"/>
    <w:tmpl w:val="7AC2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02562B"/>
    <w:multiLevelType w:val="multilevel"/>
    <w:tmpl w:val="CEF4E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642471"/>
    <w:multiLevelType w:val="multilevel"/>
    <w:tmpl w:val="9450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51342E"/>
    <w:multiLevelType w:val="hybridMultilevel"/>
    <w:tmpl w:val="78AE3322"/>
    <w:lvl w:ilvl="0" w:tplc="508ECCC6">
      <w:start w:val="1"/>
      <w:numFmt w:val="decimal"/>
      <w:lvlText w:val="%1."/>
      <w:lvlJc w:val="left"/>
      <w:pPr>
        <w:ind w:left="720" w:hanging="360"/>
      </w:pPr>
      <w:rPr>
        <w:rFonts w:ascii="Segoe UI Emoji" w:hAnsi="Segoe UI Emoji" w:cs="Segoe UI Emoji"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A946414"/>
    <w:multiLevelType w:val="hybridMultilevel"/>
    <w:tmpl w:val="3B4AE5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2CF0BCB"/>
    <w:multiLevelType w:val="multilevel"/>
    <w:tmpl w:val="27288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8D4F26"/>
    <w:multiLevelType w:val="multilevel"/>
    <w:tmpl w:val="3796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7F26C1"/>
    <w:multiLevelType w:val="multilevel"/>
    <w:tmpl w:val="E7F8D94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190A1F"/>
    <w:multiLevelType w:val="multilevel"/>
    <w:tmpl w:val="7DC8C9A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627C4D"/>
    <w:multiLevelType w:val="multilevel"/>
    <w:tmpl w:val="EA00C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C38A9"/>
    <w:multiLevelType w:val="multilevel"/>
    <w:tmpl w:val="D0BE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B372F7"/>
    <w:multiLevelType w:val="multilevel"/>
    <w:tmpl w:val="9E60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3C6D94"/>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2BE6A33"/>
    <w:multiLevelType w:val="multilevel"/>
    <w:tmpl w:val="D3DC3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A4585C"/>
    <w:multiLevelType w:val="multilevel"/>
    <w:tmpl w:val="1B0E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E57B93"/>
    <w:multiLevelType w:val="multilevel"/>
    <w:tmpl w:val="F7A0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8445E3"/>
    <w:multiLevelType w:val="hybridMultilevel"/>
    <w:tmpl w:val="B582E9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5D037E3"/>
    <w:multiLevelType w:val="hybridMultilevel"/>
    <w:tmpl w:val="B12EC48A"/>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61919AE"/>
    <w:multiLevelType w:val="multilevel"/>
    <w:tmpl w:val="A7A88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DF3912"/>
    <w:multiLevelType w:val="multilevel"/>
    <w:tmpl w:val="70B8BF34"/>
    <w:lvl w:ilvl="0">
      <w:start w:val="4"/>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5" w15:restartNumberingAfterBreak="0">
    <w:nsid w:val="38D20092"/>
    <w:multiLevelType w:val="multilevel"/>
    <w:tmpl w:val="36DE5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E7C6AB0"/>
    <w:multiLevelType w:val="multilevel"/>
    <w:tmpl w:val="842C1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971FA2"/>
    <w:multiLevelType w:val="multilevel"/>
    <w:tmpl w:val="6E505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945D13"/>
    <w:multiLevelType w:val="hybridMultilevel"/>
    <w:tmpl w:val="596AB85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4A2064F1"/>
    <w:multiLevelType w:val="multilevel"/>
    <w:tmpl w:val="8EE8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D487646"/>
    <w:multiLevelType w:val="hybridMultilevel"/>
    <w:tmpl w:val="A3EC35B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4D643CD2"/>
    <w:multiLevelType w:val="multilevel"/>
    <w:tmpl w:val="2B16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FA532E"/>
    <w:multiLevelType w:val="multilevel"/>
    <w:tmpl w:val="1554987E"/>
    <w:lvl w:ilvl="0">
      <w:start w:val="1"/>
      <w:numFmt w:val="decimal"/>
      <w:lvlText w:val="%1."/>
      <w:lvlJc w:val="left"/>
      <w:pPr>
        <w:ind w:left="786" w:hanging="360"/>
      </w:pPr>
      <w:rPr>
        <w:rFonts w:hint="default"/>
        <w:b/>
        <w:bCs/>
      </w:rPr>
    </w:lvl>
    <w:lvl w:ilvl="1">
      <w:start w:val="1"/>
      <w:numFmt w:val="decimal"/>
      <w:isLgl/>
      <w:lvlText w:val="%1.%2"/>
      <w:lvlJc w:val="left"/>
      <w:pPr>
        <w:ind w:left="1146" w:hanging="720"/>
      </w:pPr>
      <w:rPr>
        <w:rFonts w:hint="default"/>
        <w:u w:val="none"/>
      </w:rPr>
    </w:lvl>
    <w:lvl w:ilvl="2">
      <w:start w:val="1"/>
      <w:numFmt w:val="decimal"/>
      <w:isLgl/>
      <w:lvlText w:val="%1.%2.%3"/>
      <w:lvlJc w:val="left"/>
      <w:pPr>
        <w:ind w:left="1506" w:hanging="1080"/>
      </w:pPr>
      <w:rPr>
        <w:rFonts w:hint="default"/>
        <w:u w:val="none"/>
      </w:rPr>
    </w:lvl>
    <w:lvl w:ilvl="3">
      <w:start w:val="1"/>
      <w:numFmt w:val="decimal"/>
      <w:isLgl/>
      <w:lvlText w:val="%1.%2.%3.%4"/>
      <w:lvlJc w:val="left"/>
      <w:pPr>
        <w:ind w:left="1866" w:hanging="1440"/>
      </w:pPr>
      <w:rPr>
        <w:rFonts w:hint="default"/>
        <w:u w:val="none"/>
      </w:rPr>
    </w:lvl>
    <w:lvl w:ilvl="4">
      <w:start w:val="1"/>
      <w:numFmt w:val="decimal"/>
      <w:isLgl/>
      <w:lvlText w:val="%1.%2.%3.%4.%5"/>
      <w:lvlJc w:val="left"/>
      <w:pPr>
        <w:ind w:left="1866" w:hanging="1440"/>
      </w:pPr>
      <w:rPr>
        <w:rFonts w:hint="default"/>
        <w:u w:val="none"/>
      </w:rPr>
    </w:lvl>
    <w:lvl w:ilvl="5">
      <w:start w:val="1"/>
      <w:numFmt w:val="decimal"/>
      <w:isLgl/>
      <w:lvlText w:val="%1.%2.%3.%4.%5.%6"/>
      <w:lvlJc w:val="left"/>
      <w:pPr>
        <w:ind w:left="2226" w:hanging="1800"/>
      </w:pPr>
      <w:rPr>
        <w:rFonts w:hint="default"/>
        <w:u w:val="none"/>
      </w:rPr>
    </w:lvl>
    <w:lvl w:ilvl="6">
      <w:start w:val="1"/>
      <w:numFmt w:val="decimal"/>
      <w:isLgl/>
      <w:lvlText w:val="%1.%2.%3.%4.%5.%6.%7"/>
      <w:lvlJc w:val="left"/>
      <w:pPr>
        <w:ind w:left="2586" w:hanging="2160"/>
      </w:pPr>
      <w:rPr>
        <w:rFonts w:hint="default"/>
        <w:u w:val="none"/>
      </w:rPr>
    </w:lvl>
    <w:lvl w:ilvl="7">
      <w:start w:val="1"/>
      <w:numFmt w:val="decimal"/>
      <w:isLgl/>
      <w:lvlText w:val="%1.%2.%3.%4.%5.%6.%7.%8"/>
      <w:lvlJc w:val="left"/>
      <w:pPr>
        <w:ind w:left="2946" w:hanging="2520"/>
      </w:pPr>
      <w:rPr>
        <w:rFonts w:hint="default"/>
        <w:u w:val="none"/>
      </w:rPr>
    </w:lvl>
    <w:lvl w:ilvl="8">
      <w:start w:val="1"/>
      <w:numFmt w:val="decimal"/>
      <w:isLgl/>
      <w:lvlText w:val="%1.%2.%3.%4.%5.%6.%7.%8.%9"/>
      <w:lvlJc w:val="left"/>
      <w:pPr>
        <w:ind w:left="3306" w:hanging="2880"/>
      </w:pPr>
      <w:rPr>
        <w:rFonts w:hint="default"/>
        <w:u w:val="none"/>
      </w:rPr>
    </w:lvl>
  </w:abstractNum>
  <w:abstractNum w:abstractNumId="33" w15:restartNumberingAfterBreak="0">
    <w:nsid w:val="555856F7"/>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A424F7B"/>
    <w:multiLevelType w:val="multilevel"/>
    <w:tmpl w:val="E13E8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732E13"/>
    <w:multiLevelType w:val="multilevel"/>
    <w:tmpl w:val="B3904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104B22"/>
    <w:multiLevelType w:val="multilevel"/>
    <w:tmpl w:val="4B627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E36F55"/>
    <w:multiLevelType w:val="multilevel"/>
    <w:tmpl w:val="AF38A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3A16CE7"/>
    <w:multiLevelType w:val="multilevel"/>
    <w:tmpl w:val="408C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090888"/>
    <w:multiLevelType w:val="multilevel"/>
    <w:tmpl w:val="147C1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C90DA6"/>
    <w:multiLevelType w:val="multilevel"/>
    <w:tmpl w:val="7402F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62B549B"/>
    <w:multiLevelType w:val="multilevel"/>
    <w:tmpl w:val="FFDE9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170E23"/>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6C7B0C42"/>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0A965B3"/>
    <w:multiLevelType w:val="hybridMultilevel"/>
    <w:tmpl w:val="0650A4DC"/>
    <w:lvl w:ilvl="0" w:tplc="771E425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7205712C"/>
    <w:multiLevelType w:val="multilevel"/>
    <w:tmpl w:val="D3C0E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1D6F66"/>
    <w:multiLevelType w:val="multilevel"/>
    <w:tmpl w:val="DBCEF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B5A0305"/>
    <w:multiLevelType w:val="multilevel"/>
    <w:tmpl w:val="0B3E88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1796052">
    <w:abstractNumId w:val="11"/>
  </w:num>
  <w:num w:numId="2" w16cid:durableId="1458791964">
    <w:abstractNumId w:val="23"/>
  </w:num>
  <w:num w:numId="3" w16cid:durableId="1176336150">
    <w:abstractNumId w:val="32"/>
  </w:num>
  <w:num w:numId="4" w16cid:durableId="1718504323">
    <w:abstractNumId w:val="12"/>
  </w:num>
  <w:num w:numId="5" w16cid:durableId="1403794853">
    <w:abstractNumId w:val="13"/>
  </w:num>
  <w:num w:numId="6" w16cid:durableId="1569799778">
    <w:abstractNumId w:val="18"/>
  </w:num>
  <w:num w:numId="7" w16cid:durableId="1351564570">
    <w:abstractNumId w:val="30"/>
  </w:num>
  <w:num w:numId="8" w16cid:durableId="454907424">
    <w:abstractNumId w:val="33"/>
  </w:num>
  <w:num w:numId="9" w16cid:durableId="141311629">
    <w:abstractNumId w:val="43"/>
  </w:num>
  <w:num w:numId="10" w16cid:durableId="53092902">
    <w:abstractNumId w:val="17"/>
  </w:num>
  <w:num w:numId="11" w16cid:durableId="585649683">
    <w:abstractNumId w:val="42"/>
  </w:num>
  <w:num w:numId="12" w16cid:durableId="1454516881">
    <w:abstractNumId w:val="24"/>
  </w:num>
  <w:num w:numId="13" w16cid:durableId="56052907">
    <w:abstractNumId w:val="0"/>
  </w:num>
  <w:num w:numId="14" w16cid:durableId="904099163">
    <w:abstractNumId w:val="2"/>
  </w:num>
  <w:num w:numId="15" w16cid:durableId="2029600042">
    <w:abstractNumId w:val="28"/>
  </w:num>
  <w:num w:numId="16" w16cid:durableId="1744330730">
    <w:abstractNumId w:val="47"/>
  </w:num>
  <w:num w:numId="17" w16cid:durableId="1710765569">
    <w:abstractNumId w:val="35"/>
  </w:num>
  <w:num w:numId="18" w16cid:durableId="1930918942">
    <w:abstractNumId w:val="46"/>
  </w:num>
  <w:num w:numId="19" w16cid:durableId="245917613">
    <w:abstractNumId w:val="37"/>
  </w:num>
  <w:num w:numId="20" w16cid:durableId="1546915764">
    <w:abstractNumId w:val="19"/>
  </w:num>
  <w:num w:numId="21" w16cid:durableId="711733251">
    <w:abstractNumId w:val="16"/>
  </w:num>
  <w:num w:numId="22" w16cid:durableId="1770733623">
    <w:abstractNumId w:val="15"/>
  </w:num>
  <w:num w:numId="23" w16cid:durableId="560675075">
    <w:abstractNumId w:val="27"/>
  </w:num>
  <w:num w:numId="24" w16cid:durableId="1289774373">
    <w:abstractNumId w:val="36"/>
  </w:num>
  <w:num w:numId="25" w16cid:durableId="695933183">
    <w:abstractNumId w:val="1"/>
  </w:num>
  <w:num w:numId="26" w16cid:durableId="1936135784">
    <w:abstractNumId w:val="6"/>
  </w:num>
  <w:num w:numId="27" w16cid:durableId="1626621481">
    <w:abstractNumId w:val="34"/>
  </w:num>
  <w:num w:numId="28" w16cid:durableId="1475218643">
    <w:abstractNumId w:val="41"/>
  </w:num>
  <w:num w:numId="29" w16cid:durableId="1245647150">
    <w:abstractNumId w:val="10"/>
  </w:num>
  <w:num w:numId="30" w16cid:durableId="617175709">
    <w:abstractNumId w:val="29"/>
  </w:num>
  <w:num w:numId="31" w16cid:durableId="1842118478">
    <w:abstractNumId w:val="4"/>
  </w:num>
  <w:num w:numId="32" w16cid:durableId="1817381327">
    <w:abstractNumId w:val="25"/>
  </w:num>
  <w:num w:numId="33" w16cid:durableId="290132047">
    <w:abstractNumId w:val="45"/>
  </w:num>
  <w:num w:numId="34" w16cid:durableId="467480139">
    <w:abstractNumId w:val="8"/>
  </w:num>
  <w:num w:numId="35" w16cid:durableId="945964660">
    <w:abstractNumId w:val="20"/>
  </w:num>
  <w:num w:numId="36" w16cid:durableId="889264425">
    <w:abstractNumId w:val="7"/>
  </w:num>
  <w:num w:numId="37" w16cid:durableId="1771588103">
    <w:abstractNumId w:val="39"/>
  </w:num>
  <w:num w:numId="38" w16cid:durableId="1085762845">
    <w:abstractNumId w:val="44"/>
  </w:num>
  <w:num w:numId="39" w16cid:durableId="671033299">
    <w:abstractNumId w:val="31"/>
  </w:num>
  <w:num w:numId="40" w16cid:durableId="665060510">
    <w:abstractNumId w:val="26"/>
  </w:num>
  <w:num w:numId="41" w16cid:durableId="51538026">
    <w:abstractNumId w:val="38"/>
  </w:num>
  <w:num w:numId="42" w16cid:durableId="1813477494">
    <w:abstractNumId w:val="5"/>
  </w:num>
  <w:num w:numId="43" w16cid:durableId="993071038">
    <w:abstractNumId w:val="40"/>
  </w:num>
  <w:num w:numId="44" w16cid:durableId="1548688578">
    <w:abstractNumId w:val="14"/>
  </w:num>
  <w:num w:numId="45" w16cid:durableId="360404751">
    <w:abstractNumId w:val="9"/>
  </w:num>
  <w:num w:numId="46" w16cid:durableId="1930767050">
    <w:abstractNumId w:val="21"/>
  </w:num>
  <w:num w:numId="47" w16cid:durableId="1357080568">
    <w:abstractNumId w:val="22"/>
  </w:num>
  <w:num w:numId="48" w16cid:durableId="14642765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14F5B"/>
    <w:rsid w:val="00021B2E"/>
    <w:rsid w:val="00024954"/>
    <w:rsid w:val="00047738"/>
    <w:rsid w:val="00053EC9"/>
    <w:rsid w:val="00062338"/>
    <w:rsid w:val="00075EC6"/>
    <w:rsid w:val="0009025E"/>
    <w:rsid w:val="000910DB"/>
    <w:rsid w:val="0009235E"/>
    <w:rsid w:val="00094DA9"/>
    <w:rsid w:val="000A08A8"/>
    <w:rsid w:val="000A5855"/>
    <w:rsid w:val="000C42EC"/>
    <w:rsid w:val="000C7F77"/>
    <w:rsid w:val="00114762"/>
    <w:rsid w:val="00116AC7"/>
    <w:rsid w:val="00151CD1"/>
    <w:rsid w:val="00154DD5"/>
    <w:rsid w:val="00156555"/>
    <w:rsid w:val="001742F4"/>
    <w:rsid w:val="00175B17"/>
    <w:rsid w:val="00180C37"/>
    <w:rsid w:val="001A5E1E"/>
    <w:rsid w:val="001A5E6E"/>
    <w:rsid w:val="001B208F"/>
    <w:rsid w:val="001B66F2"/>
    <w:rsid w:val="001D08C1"/>
    <w:rsid w:val="001F3612"/>
    <w:rsid w:val="001F7880"/>
    <w:rsid w:val="002008AA"/>
    <w:rsid w:val="00201385"/>
    <w:rsid w:val="00202B8E"/>
    <w:rsid w:val="00205C1C"/>
    <w:rsid w:val="00226C02"/>
    <w:rsid w:val="00231C95"/>
    <w:rsid w:val="002531F3"/>
    <w:rsid w:val="00256D62"/>
    <w:rsid w:val="00257505"/>
    <w:rsid w:val="00282695"/>
    <w:rsid w:val="00282B70"/>
    <w:rsid w:val="0028714A"/>
    <w:rsid w:val="00294A87"/>
    <w:rsid w:val="00297246"/>
    <w:rsid w:val="002A5B76"/>
    <w:rsid w:val="002A6110"/>
    <w:rsid w:val="002D0C86"/>
    <w:rsid w:val="002D3960"/>
    <w:rsid w:val="002D6182"/>
    <w:rsid w:val="002E41D1"/>
    <w:rsid w:val="002E4E92"/>
    <w:rsid w:val="002F0ABA"/>
    <w:rsid w:val="002F4E3B"/>
    <w:rsid w:val="002F649F"/>
    <w:rsid w:val="003002CE"/>
    <w:rsid w:val="00311C08"/>
    <w:rsid w:val="00313626"/>
    <w:rsid w:val="00314717"/>
    <w:rsid w:val="0031474D"/>
    <w:rsid w:val="0032772B"/>
    <w:rsid w:val="0033747B"/>
    <w:rsid w:val="00351D1A"/>
    <w:rsid w:val="0037140C"/>
    <w:rsid w:val="00381375"/>
    <w:rsid w:val="0038399A"/>
    <w:rsid w:val="00394AB9"/>
    <w:rsid w:val="003A1BA8"/>
    <w:rsid w:val="003A366A"/>
    <w:rsid w:val="003A5715"/>
    <w:rsid w:val="003A726A"/>
    <w:rsid w:val="003D0218"/>
    <w:rsid w:val="003D27AF"/>
    <w:rsid w:val="003D2832"/>
    <w:rsid w:val="003E6E99"/>
    <w:rsid w:val="003F4486"/>
    <w:rsid w:val="00416DA6"/>
    <w:rsid w:val="00427D81"/>
    <w:rsid w:val="00452388"/>
    <w:rsid w:val="004557E2"/>
    <w:rsid w:val="004644E5"/>
    <w:rsid w:val="00472424"/>
    <w:rsid w:val="004741C0"/>
    <w:rsid w:val="004A06CF"/>
    <w:rsid w:val="004A36F3"/>
    <w:rsid w:val="004A46DB"/>
    <w:rsid w:val="004B0574"/>
    <w:rsid w:val="004B10EE"/>
    <w:rsid w:val="004B3B5F"/>
    <w:rsid w:val="004D3443"/>
    <w:rsid w:val="004D5DB7"/>
    <w:rsid w:val="004D7E25"/>
    <w:rsid w:val="004F421F"/>
    <w:rsid w:val="0050127F"/>
    <w:rsid w:val="005024D0"/>
    <w:rsid w:val="005109DC"/>
    <w:rsid w:val="00521A93"/>
    <w:rsid w:val="0053119E"/>
    <w:rsid w:val="00534A71"/>
    <w:rsid w:val="00543CF1"/>
    <w:rsid w:val="00551B6B"/>
    <w:rsid w:val="00552EC7"/>
    <w:rsid w:val="00554670"/>
    <w:rsid w:val="00555E99"/>
    <w:rsid w:val="005560F3"/>
    <w:rsid w:val="005830F2"/>
    <w:rsid w:val="00583879"/>
    <w:rsid w:val="00587469"/>
    <w:rsid w:val="00592F18"/>
    <w:rsid w:val="005A4D51"/>
    <w:rsid w:val="005A7012"/>
    <w:rsid w:val="005B040B"/>
    <w:rsid w:val="005B35B1"/>
    <w:rsid w:val="005C0CCB"/>
    <w:rsid w:val="005C3494"/>
    <w:rsid w:val="005D50A5"/>
    <w:rsid w:val="005D7292"/>
    <w:rsid w:val="005E2E70"/>
    <w:rsid w:val="005E3FC0"/>
    <w:rsid w:val="005E40E1"/>
    <w:rsid w:val="00600A22"/>
    <w:rsid w:val="006065F1"/>
    <w:rsid w:val="00607361"/>
    <w:rsid w:val="006109A0"/>
    <w:rsid w:val="00611CF8"/>
    <w:rsid w:val="00613B22"/>
    <w:rsid w:val="00616CAB"/>
    <w:rsid w:val="00630F15"/>
    <w:rsid w:val="00636941"/>
    <w:rsid w:val="006402E2"/>
    <w:rsid w:val="0064374C"/>
    <w:rsid w:val="00656E5C"/>
    <w:rsid w:val="00662179"/>
    <w:rsid w:val="006736F5"/>
    <w:rsid w:val="006763FA"/>
    <w:rsid w:val="00691ADA"/>
    <w:rsid w:val="00693370"/>
    <w:rsid w:val="006A44E3"/>
    <w:rsid w:val="006C2A88"/>
    <w:rsid w:val="006C4883"/>
    <w:rsid w:val="006C5497"/>
    <w:rsid w:val="006C6687"/>
    <w:rsid w:val="006D26A3"/>
    <w:rsid w:val="006F53C8"/>
    <w:rsid w:val="00700F5A"/>
    <w:rsid w:val="00710B46"/>
    <w:rsid w:val="0072059A"/>
    <w:rsid w:val="00720687"/>
    <w:rsid w:val="007265F6"/>
    <w:rsid w:val="00727B3E"/>
    <w:rsid w:val="00733B8C"/>
    <w:rsid w:val="0074135A"/>
    <w:rsid w:val="007513EB"/>
    <w:rsid w:val="00757038"/>
    <w:rsid w:val="00762432"/>
    <w:rsid w:val="00763A95"/>
    <w:rsid w:val="00766FAE"/>
    <w:rsid w:val="0077014C"/>
    <w:rsid w:val="007842CD"/>
    <w:rsid w:val="00785372"/>
    <w:rsid w:val="00790CCA"/>
    <w:rsid w:val="00797F9F"/>
    <w:rsid w:val="007A0C3E"/>
    <w:rsid w:val="007A7FF7"/>
    <w:rsid w:val="007B167E"/>
    <w:rsid w:val="007B18A8"/>
    <w:rsid w:val="007B41BB"/>
    <w:rsid w:val="007B746F"/>
    <w:rsid w:val="007C69FD"/>
    <w:rsid w:val="007D5117"/>
    <w:rsid w:val="007E141F"/>
    <w:rsid w:val="007F18ED"/>
    <w:rsid w:val="007F2E30"/>
    <w:rsid w:val="007F5FA9"/>
    <w:rsid w:val="00800D08"/>
    <w:rsid w:val="008019FD"/>
    <w:rsid w:val="00801DDA"/>
    <w:rsid w:val="00802F06"/>
    <w:rsid w:val="0081098E"/>
    <w:rsid w:val="00811760"/>
    <w:rsid w:val="008427D5"/>
    <w:rsid w:val="00842AD8"/>
    <w:rsid w:val="0087105B"/>
    <w:rsid w:val="00871B26"/>
    <w:rsid w:val="00877313"/>
    <w:rsid w:val="00891E41"/>
    <w:rsid w:val="008942E1"/>
    <w:rsid w:val="008947FE"/>
    <w:rsid w:val="00895794"/>
    <w:rsid w:val="00896859"/>
    <w:rsid w:val="00896C0C"/>
    <w:rsid w:val="008A4852"/>
    <w:rsid w:val="008B0436"/>
    <w:rsid w:val="008B1D2A"/>
    <w:rsid w:val="008C2486"/>
    <w:rsid w:val="008D5E97"/>
    <w:rsid w:val="008D75A3"/>
    <w:rsid w:val="008D7EB4"/>
    <w:rsid w:val="008E2A38"/>
    <w:rsid w:val="008E318F"/>
    <w:rsid w:val="008E4678"/>
    <w:rsid w:val="008E520D"/>
    <w:rsid w:val="008F418E"/>
    <w:rsid w:val="008F5057"/>
    <w:rsid w:val="008F7BAC"/>
    <w:rsid w:val="00900537"/>
    <w:rsid w:val="00903387"/>
    <w:rsid w:val="00906941"/>
    <w:rsid w:val="00914EBC"/>
    <w:rsid w:val="009215D2"/>
    <w:rsid w:val="00923671"/>
    <w:rsid w:val="00924728"/>
    <w:rsid w:val="00934024"/>
    <w:rsid w:val="00934D9F"/>
    <w:rsid w:val="0093744B"/>
    <w:rsid w:val="00945006"/>
    <w:rsid w:val="00957354"/>
    <w:rsid w:val="00960ED7"/>
    <w:rsid w:val="0096166D"/>
    <w:rsid w:val="009729B8"/>
    <w:rsid w:val="009731CD"/>
    <w:rsid w:val="00973DEC"/>
    <w:rsid w:val="00974EFB"/>
    <w:rsid w:val="009770D9"/>
    <w:rsid w:val="00977CA4"/>
    <w:rsid w:val="00982CE2"/>
    <w:rsid w:val="009A04FD"/>
    <w:rsid w:val="009A37B3"/>
    <w:rsid w:val="009A722E"/>
    <w:rsid w:val="009B3488"/>
    <w:rsid w:val="009C41A1"/>
    <w:rsid w:val="009C760A"/>
    <w:rsid w:val="009D37DB"/>
    <w:rsid w:val="009D61DC"/>
    <w:rsid w:val="009E01B5"/>
    <w:rsid w:val="009F4CF5"/>
    <w:rsid w:val="009F658E"/>
    <w:rsid w:val="00A02D24"/>
    <w:rsid w:val="00A06912"/>
    <w:rsid w:val="00A22DB4"/>
    <w:rsid w:val="00A31A9B"/>
    <w:rsid w:val="00A32912"/>
    <w:rsid w:val="00A3422C"/>
    <w:rsid w:val="00A35EC6"/>
    <w:rsid w:val="00A509B1"/>
    <w:rsid w:val="00A50B57"/>
    <w:rsid w:val="00A51200"/>
    <w:rsid w:val="00A549D4"/>
    <w:rsid w:val="00A76F8E"/>
    <w:rsid w:val="00A77F90"/>
    <w:rsid w:val="00A90736"/>
    <w:rsid w:val="00A93CE2"/>
    <w:rsid w:val="00A97012"/>
    <w:rsid w:val="00AA0B88"/>
    <w:rsid w:val="00AA6CF4"/>
    <w:rsid w:val="00AB7F11"/>
    <w:rsid w:val="00AC441E"/>
    <w:rsid w:val="00AD7EAA"/>
    <w:rsid w:val="00AF5CAF"/>
    <w:rsid w:val="00B053CD"/>
    <w:rsid w:val="00B0612E"/>
    <w:rsid w:val="00B17B6B"/>
    <w:rsid w:val="00B27EFE"/>
    <w:rsid w:val="00B33A68"/>
    <w:rsid w:val="00B43351"/>
    <w:rsid w:val="00B436A6"/>
    <w:rsid w:val="00B46101"/>
    <w:rsid w:val="00B57144"/>
    <w:rsid w:val="00B6181A"/>
    <w:rsid w:val="00B72333"/>
    <w:rsid w:val="00B74C86"/>
    <w:rsid w:val="00B77161"/>
    <w:rsid w:val="00B77964"/>
    <w:rsid w:val="00B829AB"/>
    <w:rsid w:val="00BA0837"/>
    <w:rsid w:val="00BA28B9"/>
    <w:rsid w:val="00BB2BB0"/>
    <w:rsid w:val="00BB69B0"/>
    <w:rsid w:val="00BB6FDD"/>
    <w:rsid w:val="00BC1CBE"/>
    <w:rsid w:val="00BC6716"/>
    <w:rsid w:val="00BD15D6"/>
    <w:rsid w:val="00BD283D"/>
    <w:rsid w:val="00BD33E3"/>
    <w:rsid w:val="00BE525A"/>
    <w:rsid w:val="00BF0FF3"/>
    <w:rsid w:val="00BF73DF"/>
    <w:rsid w:val="00C00192"/>
    <w:rsid w:val="00C63A01"/>
    <w:rsid w:val="00C70CE9"/>
    <w:rsid w:val="00C738E7"/>
    <w:rsid w:val="00C8448C"/>
    <w:rsid w:val="00C87CCD"/>
    <w:rsid w:val="00CA26AF"/>
    <w:rsid w:val="00CA501D"/>
    <w:rsid w:val="00CA7C9D"/>
    <w:rsid w:val="00CB5A29"/>
    <w:rsid w:val="00CC065D"/>
    <w:rsid w:val="00CD4C8E"/>
    <w:rsid w:val="00CE1794"/>
    <w:rsid w:val="00D068BE"/>
    <w:rsid w:val="00D1306D"/>
    <w:rsid w:val="00D234D4"/>
    <w:rsid w:val="00D3313B"/>
    <w:rsid w:val="00D42E1B"/>
    <w:rsid w:val="00D46224"/>
    <w:rsid w:val="00D67C0B"/>
    <w:rsid w:val="00D704AD"/>
    <w:rsid w:val="00D706B5"/>
    <w:rsid w:val="00D83FDF"/>
    <w:rsid w:val="00D9146F"/>
    <w:rsid w:val="00DA4BE2"/>
    <w:rsid w:val="00DA71B4"/>
    <w:rsid w:val="00DC33DF"/>
    <w:rsid w:val="00DD5772"/>
    <w:rsid w:val="00DE62F4"/>
    <w:rsid w:val="00DF3743"/>
    <w:rsid w:val="00DF7B85"/>
    <w:rsid w:val="00E05F00"/>
    <w:rsid w:val="00E06D0B"/>
    <w:rsid w:val="00E10E44"/>
    <w:rsid w:val="00E12EC0"/>
    <w:rsid w:val="00E16603"/>
    <w:rsid w:val="00E31716"/>
    <w:rsid w:val="00E35272"/>
    <w:rsid w:val="00E42D87"/>
    <w:rsid w:val="00E464EC"/>
    <w:rsid w:val="00E47366"/>
    <w:rsid w:val="00E51A60"/>
    <w:rsid w:val="00E5536D"/>
    <w:rsid w:val="00E61A80"/>
    <w:rsid w:val="00E61B2F"/>
    <w:rsid w:val="00E66C24"/>
    <w:rsid w:val="00E67D7E"/>
    <w:rsid w:val="00E87E38"/>
    <w:rsid w:val="00E948F9"/>
    <w:rsid w:val="00EA1659"/>
    <w:rsid w:val="00EC2A20"/>
    <w:rsid w:val="00EC3292"/>
    <w:rsid w:val="00ED1383"/>
    <w:rsid w:val="00ED320C"/>
    <w:rsid w:val="00EE1B96"/>
    <w:rsid w:val="00EE2685"/>
    <w:rsid w:val="00EE3597"/>
    <w:rsid w:val="00F01105"/>
    <w:rsid w:val="00F03DAA"/>
    <w:rsid w:val="00F12A74"/>
    <w:rsid w:val="00F12F83"/>
    <w:rsid w:val="00F15959"/>
    <w:rsid w:val="00F179D3"/>
    <w:rsid w:val="00F24D45"/>
    <w:rsid w:val="00F27ADD"/>
    <w:rsid w:val="00F27C87"/>
    <w:rsid w:val="00F50E51"/>
    <w:rsid w:val="00F703F8"/>
    <w:rsid w:val="00F71506"/>
    <w:rsid w:val="00F71A15"/>
    <w:rsid w:val="00F72DF4"/>
    <w:rsid w:val="00F80973"/>
    <w:rsid w:val="00F870D1"/>
    <w:rsid w:val="00F9608B"/>
    <w:rsid w:val="00FB27C6"/>
    <w:rsid w:val="00FB5A98"/>
    <w:rsid w:val="00FC2364"/>
    <w:rsid w:val="00FC24C5"/>
    <w:rsid w:val="00FC34A7"/>
    <w:rsid w:val="00FD3BFF"/>
    <w:rsid w:val="00FD7C04"/>
    <w:rsid w:val="00FE1907"/>
    <w:rsid w:val="00FE4674"/>
    <w:rsid w:val="00FE6C9D"/>
    <w:rsid w:val="00FE703B"/>
    <w:rsid w:val="00FF26CD"/>
    <w:rsid w:val="00FF7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469"/>
  </w:style>
  <w:style w:type="paragraph" w:styleId="Heading1">
    <w:name w:val="heading 1"/>
    <w:basedOn w:val="Normal"/>
    <w:next w:val="Normal"/>
    <w:link w:val="Heading1Char"/>
    <w:uiPriority w:val="9"/>
    <w:qFormat/>
    <w:rsid w:val="00D46224"/>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46224"/>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D46224"/>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D46224"/>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D46224"/>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D46224"/>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D46224"/>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D4622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46224"/>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224"/>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D46224"/>
    <w:rPr>
      <w:caps/>
      <w:spacing w:val="15"/>
      <w:shd w:val="clear" w:color="auto" w:fill="DBE5F1" w:themeFill="accent1" w:themeFillTint="33"/>
    </w:rPr>
  </w:style>
  <w:style w:type="character" w:customStyle="1" w:styleId="Heading3Char">
    <w:name w:val="Heading 3 Char"/>
    <w:basedOn w:val="DefaultParagraphFont"/>
    <w:link w:val="Heading3"/>
    <w:uiPriority w:val="9"/>
    <w:rsid w:val="00D46224"/>
    <w:rPr>
      <w:caps/>
      <w:color w:val="243F60" w:themeColor="accent1" w:themeShade="7F"/>
      <w:spacing w:val="15"/>
    </w:rPr>
  </w:style>
  <w:style w:type="character" w:customStyle="1" w:styleId="Heading4Char">
    <w:name w:val="Heading 4 Char"/>
    <w:basedOn w:val="DefaultParagraphFont"/>
    <w:link w:val="Heading4"/>
    <w:uiPriority w:val="9"/>
    <w:semiHidden/>
    <w:rsid w:val="00D46224"/>
    <w:rPr>
      <w:caps/>
      <w:color w:val="365F91" w:themeColor="accent1" w:themeShade="BF"/>
      <w:spacing w:val="10"/>
    </w:rPr>
  </w:style>
  <w:style w:type="character" w:customStyle="1" w:styleId="Heading5Char">
    <w:name w:val="Heading 5 Char"/>
    <w:basedOn w:val="DefaultParagraphFont"/>
    <w:link w:val="Heading5"/>
    <w:uiPriority w:val="9"/>
    <w:semiHidden/>
    <w:rsid w:val="00D46224"/>
    <w:rPr>
      <w:caps/>
      <w:color w:val="365F91" w:themeColor="accent1" w:themeShade="BF"/>
      <w:spacing w:val="10"/>
    </w:rPr>
  </w:style>
  <w:style w:type="character" w:customStyle="1" w:styleId="Heading6Char">
    <w:name w:val="Heading 6 Char"/>
    <w:basedOn w:val="DefaultParagraphFont"/>
    <w:link w:val="Heading6"/>
    <w:uiPriority w:val="9"/>
    <w:semiHidden/>
    <w:rsid w:val="00D46224"/>
    <w:rPr>
      <w:caps/>
      <w:color w:val="365F91" w:themeColor="accent1" w:themeShade="BF"/>
      <w:spacing w:val="10"/>
    </w:rPr>
  </w:style>
  <w:style w:type="character" w:customStyle="1" w:styleId="Heading7Char">
    <w:name w:val="Heading 7 Char"/>
    <w:basedOn w:val="DefaultParagraphFont"/>
    <w:link w:val="Heading7"/>
    <w:uiPriority w:val="9"/>
    <w:semiHidden/>
    <w:rsid w:val="00D46224"/>
    <w:rPr>
      <w:caps/>
      <w:color w:val="365F91" w:themeColor="accent1" w:themeShade="BF"/>
      <w:spacing w:val="10"/>
    </w:rPr>
  </w:style>
  <w:style w:type="character" w:customStyle="1" w:styleId="Heading8Char">
    <w:name w:val="Heading 8 Char"/>
    <w:basedOn w:val="DefaultParagraphFont"/>
    <w:link w:val="Heading8"/>
    <w:uiPriority w:val="9"/>
    <w:semiHidden/>
    <w:rsid w:val="00D46224"/>
    <w:rPr>
      <w:caps/>
      <w:spacing w:val="10"/>
      <w:sz w:val="18"/>
      <w:szCs w:val="18"/>
    </w:rPr>
  </w:style>
  <w:style w:type="character" w:customStyle="1" w:styleId="Heading9Char">
    <w:name w:val="Heading 9 Char"/>
    <w:basedOn w:val="DefaultParagraphFont"/>
    <w:link w:val="Heading9"/>
    <w:uiPriority w:val="9"/>
    <w:semiHidden/>
    <w:rsid w:val="00D46224"/>
    <w:rPr>
      <w:i/>
      <w:iCs/>
      <w:caps/>
      <w:spacing w:val="10"/>
      <w:sz w:val="18"/>
      <w:szCs w:val="18"/>
    </w:rPr>
  </w:style>
  <w:style w:type="paragraph" w:styleId="Caption">
    <w:name w:val="caption"/>
    <w:basedOn w:val="Normal"/>
    <w:next w:val="Normal"/>
    <w:uiPriority w:val="35"/>
    <w:semiHidden/>
    <w:unhideWhenUsed/>
    <w:qFormat/>
    <w:rsid w:val="00D46224"/>
    <w:rPr>
      <w:b/>
      <w:bCs/>
      <w:color w:val="365F91" w:themeColor="accent1" w:themeShade="BF"/>
      <w:sz w:val="16"/>
      <w:szCs w:val="16"/>
    </w:rPr>
  </w:style>
  <w:style w:type="paragraph" w:styleId="Title">
    <w:name w:val="Title"/>
    <w:basedOn w:val="Normal"/>
    <w:next w:val="Normal"/>
    <w:link w:val="TitleChar"/>
    <w:uiPriority w:val="10"/>
    <w:qFormat/>
    <w:rsid w:val="00D46224"/>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D46224"/>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D4622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46224"/>
    <w:rPr>
      <w:caps/>
      <w:color w:val="595959" w:themeColor="text1" w:themeTint="A6"/>
      <w:spacing w:val="10"/>
      <w:sz w:val="21"/>
      <w:szCs w:val="21"/>
    </w:rPr>
  </w:style>
  <w:style w:type="character" w:styleId="Strong">
    <w:name w:val="Strong"/>
    <w:uiPriority w:val="22"/>
    <w:qFormat/>
    <w:rsid w:val="00D46224"/>
    <w:rPr>
      <w:b/>
      <w:bCs/>
    </w:rPr>
  </w:style>
  <w:style w:type="character" w:styleId="Emphasis">
    <w:name w:val="Emphasis"/>
    <w:uiPriority w:val="20"/>
    <w:qFormat/>
    <w:rsid w:val="00D46224"/>
    <w:rPr>
      <w:caps/>
      <w:color w:val="243F60" w:themeColor="accent1" w:themeShade="7F"/>
      <w:spacing w:val="5"/>
    </w:rPr>
  </w:style>
  <w:style w:type="paragraph" w:styleId="NoSpacing">
    <w:name w:val="No Spacing"/>
    <w:link w:val="NoSpacingChar"/>
    <w:uiPriority w:val="1"/>
    <w:qFormat/>
    <w:rsid w:val="00D46224"/>
    <w:pPr>
      <w:spacing w:after="0" w:line="240" w:lineRule="auto"/>
    </w:pPr>
  </w:style>
  <w:style w:type="paragraph" w:styleId="Quote">
    <w:name w:val="Quote"/>
    <w:basedOn w:val="Normal"/>
    <w:next w:val="Normal"/>
    <w:link w:val="QuoteChar"/>
    <w:uiPriority w:val="29"/>
    <w:qFormat/>
    <w:rsid w:val="00D46224"/>
    <w:rPr>
      <w:i/>
      <w:iCs/>
      <w:sz w:val="24"/>
      <w:szCs w:val="24"/>
    </w:rPr>
  </w:style>
  <w:style w:type="character" w:customStyle="1" w:styleId="QuoteChar">
    <w:name w:val="Quote Char"/>
    <w:basedOn w:val="DefaultParagraphFont"/>
    <w:link w:val="Quote"/>
    <w:uiPriority w:val="29"/>
    <w:rsid w:val="00D46224"/>
    <w:rPr>
      <w:i/>
      <w:iCs/>
      <w:sz w:val="24"/>
      <w:szCs w:val="24"/>
    </w:rPr>
  </w:style>
  <w:style w:type="paragraph" w:styleId="IntenseQuote">
    <w:name w:val="Intense Quote"/>
    <w:basedOn w:val="Normal"/>
    <w:next w:val="Normal"/>
    <w:link w:val="IntenseQuoteChar"/>
    <w:uiPriority w:val="30"/>
    <w:qFormat/>
    <w:rsid w:val="00D46224"/>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D46224"/>
    <w:rPr>
      <w:color w:val="4F81BD" w:themeColor="accent1"/>
      <w:sz w:val="24"/>
      <w:szCs w:val="24"/>
    </w:rPr>
  </w:style>
  <w:style w:type="character" w:styleId="SubtleEmphasis">
    <w:name w:val="Subtle Emphasis"/>
    <w:uiPriority w:val="19"/>
    <w:qFormat/>
    <w:rsid w:val="00D46224"/>
    <w:rPr>
      <w:i/>
      <w:iCs/>
      <w:color w:val="243F60" w:themeColor="accent1" w:themeShade="7F"/>
    </w:rPr>
  </w:style>
  <w:style w:type="character" w:styleId="IntenseEmphasis">
    <w:name w:val="Intense Emphasis"/>
    <w:uiPriority w:val="21"/>
    <w:qFormat/>
    <w:rsid w:val="00D46224"/>
    <w:rPr>
      <w:b/>
      <w:bCs/>
      <w:caps/>
      <w:color w:val="243F60" w:themeColor="accent1" w:themeShade="7F"/>
      <w:spacing w:val="10"/>
    </w:rPr>
  </w:style>
  <w:style w:type="character" w:styleId="SubtleReference">
    <w:name w:val="Subtle Reference"/>
    <w:uiPriority w:val="31"/>
    <w:qFormat/>
    <w:rsid w:val="00D46224"/>
    <w:rPr>
      <w:b/>
      <w:bCs/>
      <w:color w:val="4F81BD" w:themeColor="accent1"/>
    </w:rPr>
  </w:style>
  <w:style w:type="character" w:styleId="IntenseReference">
    <w:name w:val="Intense Reference"/>
    <w:uiPriority w:val="32"/>
    <w:qFormat/>
    <w:rsid w:val="00D46224"/>
    <w:rPr>
      <w:b/>
      <w:bCs/>
      <w:i/>
      <w:iCs/>
      <w:caps/>
      <w:color w:val="4F81BD" w:themeColor="accent1"/>
    </w:rPr>
  </w:style>
  <w:style w:type="character" w:styleId="BookTitle">
    <w:name w:val="Book Title"/>
    <w:uiPriority w:val="33"/>
    <w:qFormat/>
    <w:rsid w:val="00D46224"/>
    <w:rPr>
      <w:b/>
      <w:bCs/>
      <w:i/>
      <w:iCs/>
      <w:spacing w:val="0"/>
    </w:rPr>
  </w:style>
  <w:style w:type="paragraph" w:styleId="TOCHeading">
    <w:name w:val="TOC Heading"/>
    <w:basedOn w:val="Heading1"/>
    <w:next w:val="Normal"/>
    <w:uiPriority w:val="39"/>
    <w:semiHidden/>
    <w:unhideWhenUsed/>
    <w:qFormat/>
    <w:rsid w:val="00D46224"/>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42D87"/>
    <w:rPr>
      <w:rFonts w:ascii="Times New Roman" w:hAnsi="Times New Roman" w:cs="Times New Roman"/>
      <w:sz w:val="24"/>
      <w:szCs w:val="24"/>
    </w:rPr>
  </w:style>
  <w:style w:type="character" w:customStyle="1" w:styleId="NoSpacingChar">
    <w:name w:val="No Spacing Char"/>
    <w:basedOn w:val="DefaultParagraphFont"/>
    <w:link w:val="NoSpacing"/>
    <w:uiPriority w:val="1"/>
    <w:rsid w:val="00AD7EAA"/>
  </w:style>
  <w:style w:type="paragraph" w:styleId="Header">
    <w:name w:val="header"/>
    <w:basedOn w:val="Normal"/>
    <w:link w:val="HeaderChar"/>
    <w:uiPriority w:val="99"/>
    <w:unhideWhenUsed/>
    <w:rsid w:val="00BD33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D33E3"/>
  </w:style>
  <w:style w:type="paragraph" w:styleId="Footer">
    <w:name w:val="footer"/>
    <w:basedOn w:val="Normal"/>
    <w:link w:val="FooterChar"/>
    <w:uiPriority w:val="99"/>
    <w:unhideWhenUsed/>
    <w:rsid w:val="00BD33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D33E3"/>
  </w:style>
  <w:style w:type="paragraph" w:styleId="ListParagraph">
    <w:name w:val="List Paragraph"/>
    <w:basedOn w:val="Normal"/>
    <w:uiPriority w:val="34"/>
    <w:qFormat/>
    <w:rsid w:val="001B20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dc.gov/kidney-disease/risk-factors/index.html" TargetMode="External"/><Relationship Id="rId21" Type="http://schemas.openxmlformats.org/officeDocument/2006/relationships/hyperlink" Target="https://www.medkart.in/blog/what-is-rickets-symptoms-causes-and-how-to-manage?srsltid=AfmBOopqzwwOwO-NWArrTsHWuGVMhE9cv-hkZ4UbflsXwHSk3qOkd-8-" TargetMode="External"/><Relationship Id="rId42" Type="http://schemas.openxmlformats.org/officeDocument/2006/relationships/hyperlink" Target="https://www.kidneyresearchuk.org/2023/06/05/kidney-disease-is-a-public-health-emergency-that-threatens-to-overwhelm-the-nhs-major-new-report-reveals/" TargetMode="External"/><Relationship Id="rId47" Type="http://schemas.openxmlformats.org/officeDocument/2006/relationships/hyperlink" Target="https://medwayhospitals.com/2-types-of-dialysis/" TargetMode="External"/><Relationship Id="rId63" Type="http://schemas.openxmlformats.org/officeDocument/2006/relationships/hyperlink" Target="https://doi.org/10.1016/s2214-109x(14)70002-6" TargetMode="External"/><Relationship Id="rId68" Type="http://schemas.openxmlformats.org/officeDocument/2006/relationships/hyperlink" Target="https://www.who.int/health-topics/integrated-people-centered-care"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doi.org/10.3399/bjgp16x684745" TargetMode="External"/><Relationship Id="rId11" Type="http://schemas.openxmlformats.org/officeDocument/2006/relationships/image" Target="media/image1.jpeg"/><Relationship Id="rId24" Type="http://schemas.openxmlformats.org/officeDocument/2006/relationships/hyperlink" Target="https://doi.org/10.2215/CJN.06770711" TargetMode="External"/><Relationship Id="rId32" Type="http://schemas.openxmlformats.org/officeDocument/2006/relationships/hyperlink" Target="https://doi.org/10.1056/nejmoa2024816" TargetMode="External"/><Relationship Id="rId37" Type="http://schemas.openxmlformats.org/officeDocument/2006/relationships/hyperlink" Target="https://doi.org/10.1038/kisup.2013.79" TargetMode="External"/><Relationship Id="rId40" Type="http://schemas.openxmlformats.org/officeDocument/2006/relationships/hyperlink" Target="https://www.niddk.nih.gov/news/media-library/11236?utm" TargetMode="External"/><Relationship Id="rId45" Type="http://schemas.openxmlformats.org/officeDocument/2006/relationships/hyperlink" Target="https://doi.org/10.2471/blt.17.206441" TargetMode="External"/><Relationship Id="rId53" Type="http://schemas.openxmlformats.org/officeDocument/2006/relationships/hyperlink" Target="https://www.nhs.uk/conditions/kidney-disease/" TargetMode="External"/><Relationship Id="rId58" Type="http://schemas.openxmlformats.org/officeDocument/2006/relationships/hyperlink" Target="https://www.kidney.org/kidney-topics/risk-factors-chronic-kidney-disease" TargetMode="External"/><Relationship Id="rId66" Type="http://schemas.openxmlformats.org/officeDocument/2006/relationships/hyperlink" Target="https://www.ukkidney.org/audit-research/annual-report" TargetMode="External"/><Relationship Id="rId5" Type="http://schemas.openxmlformats.org/officeDocument/2006/relationships/numbering" Target="numbering.xml"/><Relationship Id="rId61" Type="http://schemas.openxmlformats.org/officeDocument/2006/relationships/hyperlink" Target="https://doi.org/10.1016/s0140-6736(18)32203-7" TargetMode="External"/><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hyperlink" Target="https://doi.org/10.3390/diabetology3030031" TargetMode="External"/><Relationship Id="rId27" Type="http://schemas.openxmlformats.org/officeDocument/2006/relationships/hyperlink" Target="https://my.clevelandclinic.org/health/diseases/5791-polycystic-kidney-disease" TargetMode="External"/><Relationship Id="rId30" Type="http://schemas.openxmlformats.org/officeDocument/2006/relationships/hyperlink" Target="https://doi.org/10.1016/s0140-6736(18)31694-5" TargetMode="External"/><Relationship Id="rId35" Type="http://schemas.openxmlformats.org/officeDocument/2006/relationships/hyperlink" Target="https://www.thinkkidneys.nhs.uk/kquip/blog/kidney-health-delivering-excellence-progress-report-2017-launched/" TargetMode="External"/><Relationship Id="rId43" Type="http://schemas.openxmlformats.org/officeDocument/2006/relationships/hyperlink" Target="https://doi.org/10.1056/nejm199311113292004" TargetMode="External"/><Relationship Id="rId48" Type="http://schemas.openxmlformats.org/officeDocument/2006/relationships/hyperlink" Target="https://www.medicalindependent.ie/clinical-news/chronic-kidney-disease/" TargetMode="External"/><Relationship Id="rId56" Type="http://schemas.openxmlformats.org/officeDocument/2006/relationships/hyperlink" Target="https://www.nice.org.uk/guidance/ng203" TargetMode="External"/><Relationship Id="rId64" Type="http://schemas.openxmlformats.org/officeDocument/2006/relationships/hyperlink" Target="https://doi.org/10.1093/ndt/gfn469" TargetMode="External"/><Relationship Id="rId69" Type="http://schemas.openxmlformats.org/officeDocument/2006/relationships/hyperlink" Target="https://doi.org/10.1111/tri.14002" TargetMode="External"/><Relationship Id="rId8" Type="http://schemas.openxmlformats.org/officeDocument/2006/relationships/webSettings" Target="webSettings.xml"/><Relationship Id="rId51" Type="http://schemas.openxmlformats.org/officeDocument/2006/relationships/hyperlink" Target="https://doi.org/10.3949/ccjm.83a.15065"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doi.org/10.1056/nejmoa011161" TargetMode="External"/><Relationship Id="rId33" Type="http://schemas.openxmlformats.org/officeDocument/2006/relationships/hyperlink" Target="https://doi.org/10.1371/journal.pone.0158765" TargetMode="External"/><Relationship Id="rId38" Type="http://schemas.openxmlformats.org/officeDocument/2006/relationships/hyperlink" Target="https://kdigo.org/guidelines/blood-pressure-in-ckd/" TargetMode="External"/><Relationship Id="rId46" Type="http://schemas.openxmlformats.org/officeDocument/2006/relationships/hyperlink" Target="https://www.mayoclinic.org/diseases-conditions/chronic-kidney-disease/symptoms-causes/syc-20354521" TargetMode="External"/><Relationship Id="rId59" Type="http://schemas.openxmlformats.org/officeDocument/2006/relationships/hyperlink" Target="https://doi.org/10.1186/1477-7525-10-71" TargetMode="External"/><Relationship Id="rId67" Type="http://schemas.openxmlformats.org/officeDocument/2006/relationships/hyperlink" Target="https://doi.org/10.2307/3350391" TargetMode="External"/><Relationship Id="rId20" Type="http://schemas.openxmlformats.org/officeDocument/2006/relationships/image" Target="media/image10.jpeg"/><Relationship Id="rId41" Type="http://schemas.openxmlformats.org/officeDocument/2006/relationships/hyperlink" Target="https://www.kidneyresearchuk.org/wp-content/uploads/2023/06/Economics-of-Kidney-Disease-full-report_accessible.pdf" TargetMode="External"/><Relationship Id="rId54" Type="http://schemas.openxmlformats.org/officeDocument/2006/relationships/hyperlink" Target="https://www.england.nhs.uk/long-term-plan/" TargetMode="External"/><Relationship Id="rId62" Type="http://schemas.openxmlformats.org/officeDocument/2006/relationships/hyperlink" Target="https://doi.org/10.1016/s0140-6736(98)04433-x"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doi.org/10.1053/ajkd.2002.32001" TargetMode="External"/><Relationship Id="rId28" Type="http://schemas.openxmlformats.org/officeDocument/2006/relationships/hyperlink" Target="https://doi.org/10.1377/hlthaff.28.1.75" TargetMode="External"/><Relationship Id="rId36" Type="http://schemas.openxmlformats.org/officeDocument/2006/relationships/hyperlink" Target="https://doi.org/10.1007/s12325-023-02608-9" TargetMode="External"/><Relationship Id="rId49" Type="http://schemas.openxmlformats.org/officeDocument/2006/relationships/hyperlink" Target="https://doi.org/10.1038/sj.ki.5000414" TargetMode="External"/><Relationship Id="rId57" Type="http://schemas.openxmlformats.org/officeDocument/2006/relationships/hyperlink" Target="https://www.niddk.nih.gov/news/media-library/22694" TargetMode="External"/><Relationship Id="rId10" Type="http://schemas.openxmlformats.org/officeDocument/2006/relationships/endnotes" Target="endnotes.xml"/><Relationship Id="rId31" Type="http://schemas.openxmlformats.org/officeDocument/2006/relationships/hyperlink" Target="https://doi.org/10.1056/nejmoa041031" TargetMode="External"/><Relationship Id="rId44" Type="http://schemas.openxmlformats.org/officeDocument/2006/relationships/hyperlink" Target="https://doi.org/10.1207/s15324796abm2601_01" TargetMode="External"/><Relationship Id="rId52" Type="http://schemas.openxmlformats.org/officeDocument/2006/relationships/hyperlink" Target="https://www.whittington.nhs.uk/default.asp?c=31000" TargetMode="External"/><Relationship Id="rId60" Type="http://schemas.openxmlformats.org/officeDocument/2006/relationships/hyperlink" Target="https://doi.org/10.1038/ki.2013.77" TargetMode="External"/><Relationship Id="rId65" Type="http://schemas.openxmlformats.org/officeDocument/2006/relationships/hyperlink" Target="https://doi.org/10.1056/nejmoa2204233"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hyperlink" Target="https://kdigo.org/wp-content/uploads/2017/02/KDIGO_2012_CKD_GL.pdf" TargetMode="External"/><Relationship Id="rId34" Type="http://schemas.openxmlformats.org/officeDocument/2006/relationships/hyperlink" Target="https://doi.org/10.1681/asn.2012040392" TargetMode="External"/><Relationship Id="rId50" Type="http://schemas.openxmlformats.org/officeDocument/2006/relationships/hyperlink" Target="https://doi.org/10.1093/ndt/gfm153" TargetMode="External"/><Relationship Id="rId55" Type="http://schemas.openxmlformats.org/officeDocument/2006/relationships/hyperlink" Target="https://assets.publishing.service.gov.uk/media/66df23b99210ba34a3ebabdc/nhsbt-annual-report-and-accounts-2023-to-2024-accessible-vers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4.xml><?xml version="1.0" encoding="utf-8"?>
<ds:datastoreItem xmlns:ds="http://schemas.openxmlformats.org/officeDocument/2006/customXml" ds:itemID="{D40D5C3F-1064-4F08-BE19-EA0D13715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31</Pages>
  <Words>6174</Words>
  <Characters>35194</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Chronic kidney disease(CKD)</vt:lpstr>
    </vt:vector>
  </TitlesOfParts>
  <Company/>
  <LinksUpToDate>false</LinksUpToDate>
  <CharactersWithSpaces>41286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Chronic kidney diase(CKD)</dc:title>
  <dc:subject>Clinical and Public Health Perspective</dc:subject>
  <dc:creator>Annette Helliwell</dc:creator>
  <cp:keywords/>
  <dc:description/>
  <cp:lastModifiedBy>Ardra Sudhan</cp:lastModifiedBy>
  <cp:revision>7</cp:revision>
  <dcterms:created xsi:type="dcterms:W3CDTF">2026-03-16T11:51:00Z</dcterms:created>
  <dcterms:modified xsi:type="dcterms:W3CDTF">2026-03-16T12:38:00Z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