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997C67" w14:textId="77777777" w:rsidR="001A2F7C" w:rsidRPr="00A74B3E" w:rsidRDefault="001A2F7C" w:rsidP="001A2F7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7C466EF4" w14:textId="77777777" w:rsidR="001A2F7C" w:rsidRPr="00A74B3E" w:rsidRDefault="001A2F7C" w:rsidP="001A2F7C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1A2F7C" w:rsidRPr="00A74B3E" w14:paraId="7ED0CB4E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351B8A4A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7C951843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ACEA 50</w:t>
            </w:r>
          </w:p>
        </w:tc>
      </w:tr>
      <w:tr w:rsidR="001A2F7C" w:rsidRPr="00A74B3E" w14:paraId="46B227E9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2B14710A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4A41504B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Manufacturing Systems and Simulation</w:t>
            </w:r>
          </w:p>
        </w:tc>
      </w:tr>
      <w:tr w:rsidR="001A2F7C" w:rsidRPr="00A74B3E" w14:paraId="4C2952B8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3BB1E73E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30107F2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99AA143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1A2F7C" w:rsidRPr="00A74B3E" w14:paraId="01B3C91E" w14:textId="77777777" w:rsidTr="00B61AFF">
        <w:tc>
          <w:tcPr>
            <w:tcW w:w="1689" w:type="dxa"/>
          </w:tcPr>
          <w:p w14:paraId="68572C57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bookmarkStart w:id="0" w:name="_Hlk151255607"/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34CFB17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Muller, M (2019) Essentials of Inventory Management, 3</w:t>
            </w:r>
            <w:r w:rsidRPr="00D9219B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>, Edition, Harper Collins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B499A5D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A2F7C" w:rsidRPr="00A74B3E" w14:paraId="4864133E" w14:textId="77777777" w:rsidTr="00B61AFF">
        <w:tc>
          <w:tcPr>
            <w:tcW w:w="1689" w:type="dxa"/>
          </w:tcPr>
          <w:p w14:paraId="69372397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35D51B2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Reid, D and Sanders, N (2012) Operations Management: An Integrated Approach.5</w:t>
            </w:r>
            <w:r w:rsidRPr="00156B2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John Wiley and 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13CB1E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A2F7C" w:rsidRPr="00A74B3E" w14:paraId="000640DD" w14:textId="77777777" w:rsidTr="00B61AFF">
        <w:tc>
          <w:tcPr>
            <w:tcW w:w="1689" w:type="dxa"/>
          </w:tcPr>
          <w:p w14:paraId="42430717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2073E7D5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Slack, N and Brandon-Jones, A (2018) Operations and Process Management: Principles and Practice for Strategic Input, 5</w:t>
            </w:r>
            <w:r w:rsidRPr="00156B2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Pearson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918E21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A2F7C" w:rsidRPr="00A74B3E" w14:paraId="59002ED4" w14:textId="77777777" w:rsidTr="00B61AFF">
        <w:tc>
          <w:tcPr>
            <w:tcW w:w="1689" w:type="dxa"/>
          </w:tcPr>
          <w:p w14:paraId="0AF30C98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2936E070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Womack, JP and Jones, D (2003) Lean Thinking, Free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94CF92E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bookmarkEnd w:id="0"/>
      <w:tr w:rsidR="001A2F7C" w:rsidRPr="00A74B3E" w14:paraId="2CCCDF62" w14:textId="77777777" w:rsidTr="00B61AFF">
        <w:tc>
          <w:tcPr>
            <w:tcW w:w="1689" w:type="dxa"/>
          </w:tcPr>
          <w:p w14:paraId="7711620A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0EB1077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Cudney, E and Kestle, R (2011) Implementing Lean Six Sigma Throughout the Supply Chain, CRC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4E3A8BC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A2F7C" w:rsidRPr="00A74B3E" w14:paraId="2A3FF805" w14:textId="77777777" w:rsidTr="00B61AFF">
        <w:tc>
          <w:tcPr>
            <w:tcW w:w="1689" w:type="dxa"/>
          </w:tcPr>
          <w:p w14:paraId="4AA27716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5BF6194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Bucheno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J and Holweg, M (2008) The Lean Toolbox, 5</w:t>
            </w:r>
            <w:r w:rsidRPr="00156B2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Picisie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A0F5BC2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A2F7C" w:rsidRPr="00A74B3E" w14:paraId="63ABEE76" w14:textId="77777777" w:rsidTr="00B61AFF">
        <w:tc>
          <w:tcPr>
            <w:tcW w:w="1689" w:type="dxa"/>
          </w:tcPr>
          <w:p w14:paraId="731AA9C9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F07948" w14:textId="77777777" w:rsidR="001A2F7C" w:rsidRPr="00A74B3E" w:rsidRDefault="001A2F7C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Hines, P Found, P Griffiths, G and Harrison, R (2011) Staying Lean:  Thriving, Not Just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Surving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2</w:t>
            </w:r>
            <w:r w:rsidRPr="00156B2D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Productivity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69A357" w14:textId="77777777" w:rsidR="001A2F7C" w:rsidRPr="00A74B3E" w:rsidRDefault="001A2F7C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55E80500" w14:textId="77777777" w:rsidR="001A2F7C" w:rsidRPr="00A74B3E" w:rsidRDefault="001A2F7C" w:rsidP="001A2F7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114AC90" w14:textId="77777777" w:rsidR="001A2F7C" w:rsidRPr="00156B2D" w:rsidRDefault="001A2F7C" w:rsidP="001A2F7C">
      <w:pPr>
        <w:pStyle w:val="fixed"/>
        <w:ind w:left="0" w:firstLine="0"/>
        <w:rPr>
          <w:rFonts w:cs="Arial"/>
          <w:sz w:val="22"/>
          <w:szCs w:val="22"/>
          <w:u w:val="single"/>
        </w:rPr>
      </w:pPr>
    </w:p>
    <w:p w14:paraId="512CE8CD" w14:textId="77777777" w:rsidR="001A2F7C" w:rsidRDefault="001A2F7C" w:rsidP="001A2F7C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Journals</w:t>
      </w:r>
    </w:p>
    <w:p w14:paraId="42EBEE2B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Quality World</w:t>
      </w:r>
    </w:p>
    <w:p w14:paraId="701CBE76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Quality Progress</w:t>
      </w:r>
    </w:p>
    <w:p w14:paraId="19C3A2B7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International Journal of Production Economics</w:t>
      </w:r>
    </w:p>
    <w:p w14:paraId="0146050D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International Journal of Quality and Reliability Management</w:t>
      </w:r>
    </w:p>
    <w:p w14:paraId="763C6A88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International Journal of Quality Science</w:t>
      </w:r>
    </w:p>
    <w:p w14:paraId="06CFE70F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Total Quality Management</w:t>
      </w:r>
    </w:p>
    <w:p w14:paraId="70DFEF02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Journal of Operations Management</w:t>
      </w:r>
    </w:p>
    <w:p w14:paraId="59E10148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Process Engineer</w:t>
      </w:r>
    </w:p>
    <w:p w14:paraId="27FB142E" w14:textId="77777777" w:rsidR="001A2F7C" w:rsidRPr="00156B2D" w:rsidRDefault="001A2F7C" w:rsidP="001A2F7C">
      <w:pPr>
        <w:rPr>
          <w:rFonts w:ascii="Arial" w:hAnsi="Arial" w:cs="Arial"/>
          <w:sz w:val="22"/>
          <w:szCs w:val="22"/>
        </w:rPr>
      </w:pPr>
    </w:p>
    <w:p w14:paraId="6641E733" w14:textId="77777777" w:rsidR="001A2F7C" w:rsidRDefault="001A2F7C" w:rsidP="001A2F7C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Websites</w:t>
      </w:r>
    </w:p>
    <w:p w14:paraId="094F7C1A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hyperlink r:id="rId4" w:history="1">
        <w:r w:rsidRPr="00EE6051">
          <w:rPr>
            <w:rStyle w:val="Hyperlink"/>
            <w:rFonts w:ascii="Arial" w:hAnsi="Arial" w:cs="Arial"/>
            <w:sz w:val="22"/>
            <w:szCs w:val="22"/>
          </w:rPr>
          <w:t>www.thecqi.org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4958AC7D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hyperlink r:id="rId5" w:history="1">
        <w:r w:rsidRPr="00EE6051">
          <w:rPr>
            <w:rStyle w:val="Hyperlink"/>
            <w:rFonts w:ascii="Arial" w:hAnsi="Arial" w:cs="Arial"/>
            <w:sz w:val="22"/>
            <w:szCs w:val="22"/>
          </w:rPr>
          <w:t>www.asq.org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69DE1658" w14:textId="77777777" w:rsidR="001A2F7C" w:rsidRDefault="001A2F7C" w:rsidP="001A2F7C">
      <w:pPr>
        <w:rPr>
          <w:rFonts w:ascii="Arial" w:hAnsi="Arial" w:cs="Arial"/>
          <w:sz w:val="22"/>
          <w:szCs w:val="22"/>
        </w:rPr>
      </w:pPr>
      <w:hyperlink r:id="rId6" w:history="1">
        <w:r w:rsidRPr="00EE6051">
          <w:rPr>
            <w:rStyle w:val="Hyperlink"/>
            <w:rFonts w:ascii="Arial" w:hAnsi="Arial" w:cs="Arial"/>
            <w:sz w:val="22"/>
            <w:szCs w:val="22"/>
          </w:rPr>
          <w:t>www.emeraldinsight.com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080C0D22" w14:textId="77777777" w:rsidR="001A2F7C" w:rsidRPr="008C6EEB" w:rsidRDefault="001A2F7C" w:rsidP="001A2F7C">
      <w:pPr>
        <w:rPr>
          <w:rFonts w:ascii="Arial" w:hAnsi="Arial" w:cs="Arial"/>
          <w:sz w:val="22"/>
          <w:szCs w:val="22"/>
        </w:rPr>
      </w:pPr>
      <w:hyperlink r:id="rId7" w:history="1">
        <w:r w:rsidRPr="00EE6051">
          <w:rPr>
            <w:rStyle w:val="Hyperlink"/>
            <w:rFonts w:ascii="Arial" w:hAnsi="Arial" w:cs="Arial"/>
            <w:sz w:val="22"/>
            <w:szCs w:val="22"/>
          </w:rPr>
          <w:t>www.isspro.co.uk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108FA3EF" w14:textId="77777777" w:rsidR="00000000" w:rsidRDefault="00000000"/>
    <w:sectPr w:rsidR="0042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F7C"/>
    <w:rsid w:val="001A2F7C"/>
    <w:rsid w:val="00497875"/>
    <w:rsid w:val="005E02D1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B1F2F"/>
  <w15:chartTrackingRefBased/>
  <w15:docId w15:val="{3918066A-35D4-4683-84B4-46105A0F9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2F7C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2F7C"/>
    <w:pPr>
      <w:keepNext/>
      <w:keepLines/>
      <w:overflowPunct/>
      <w:autoSpaceDE/>
      <w:autoSpaceDN/>
      <w:adjustRightInd/>
      <w:spacing w:before="360" w:after="80" w:line="259" w:lineRule="auto"/>
      <w:jc w:val="left"/>
      <w:textAlignment w:val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160" w:after="80" w:line="259" w:lineRule="auto"/>
      <w:jc w:val="left"/>
      <w:textAlignment w:val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160" w:after="80" w:line="259" w:lineRule="auto"/>
      <w:jc w:val="left"/>
      <w:textAlignment w:val="auto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80" w:after="40" w:line="259" w:lineRule="auto"/>
      <w:jc w:val="left"/>
      <w:textAlignment w:val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 w:val="22"/>
      <w:szCs w:val="22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80" w:after="40" w:line="259" w:lineRule="auto"/>
      <w:jc w:val="left"/>
      <w:textAlignment w:val="auto"/>
      <w:outlineLvl w:val="4"/>
    </w:pPr>
    <w:rPr>
      <w:rFonts w:asciiTheme="minorHAnsi" w:eastAsiaTheme="majorEastAsia" w:hAnsiTheme="minorHAnsi" w:cstheme="majorBidi"/>
      <w:color w:val="2F5496" w:themeColor="accent1" w:themeShade="BF"/>
      <w:sz w:val="22"/>
      <w:szCs w:val="22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40" w:line="259" w:lineRule="auto"/>
      <w:jc w:val="left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before="40" w:line="259" w:lineRule="auto"/>
      <w:jc w:val="left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line="259" w:lineRule="auto"/>
      <w:jc w:val="left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2F7C"/>
    <w:pPr>
      <w:keepNext/>
      <w:keepLines/>
      <w:overflowPunct/>
      <w:autoSpaceDE/>
      <w:autoSpaceDN/>
      <w:adjustRightInd/>
      <w:spacing w:line="259" w:lineRule="auto"/>
      <w:jc w:val="left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2F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2F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2F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2F7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2F7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2F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2F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2F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2F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2F7C"/>
    <w:pPr>
      <w:overflowPunct/>
      <w:autoSpaceDE/>
      <w:autoSpaceDN/>
      <w:adjustRightInd/>
      <w:spacing w:after="80"/>
      <w:contextualSpacing/>
      <w:jc w:val="left"/>
      <w:textAlignment w:val="auto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1A2F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2F7C"/>
    <w:pPr>
      <w:numPr>
        <w:ilvl w:val="1"/>
      </w:numPr>
      <w:overflowPunct/>
      <w:autoSpaceDE/>
      <w:autoSpaceDN/>
      <w:adjustRightInd/>
      <w:spacing w:after="160" w:line="259" w:lineRule="auto"/>
      <w:jc w:val="left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1A2F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2F7C"/>
    <w:pPr>
      <w:overflowPunct/>
      <w:autoSpaceDE/>
      <w:autoSpaceDN/>
      <w:adjustRightInd/>
      <w:spacing w:before="160" w:after="160" w:line="259" w:lineRule="auto"/>
      <w:jc w:val="center"/>
      <w:textAlignment w:val="auto"/>
    </w:pPr>
    <w:rPr>
      <w:rFonts w:asciiTheme="minorHAnsi" w:eastAsiaTheme="minorEastAsia" w:hAnsiTheme="minorHAnsi" w:cstheme="minorBidi"/>
      <w:i/>
      <w:iCs/>
      <w:color w:val="404040" w:themeColor="text1" w:themeTint="BF"/>
      <w:sz w:val="22"/>
      <w:szCs w:val="22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1A2F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2F7C"/>
    <w:pPr>
      <w:overflowPunct/>
      <w:autoSpaceDE/>
      <w:autoSpaceDN/>
      <w:adjustRightInd/>
      <w:spacing w:after="160" w:line="259" w:lineRule="auto"/>
      <w:ind w:left="720"/>
      <w:contextualSpacing/>
      <w:jc w:val="left"/>
      <w:textAlignment w:val="auto"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IntenseEmphasis">
    <w:name w:val="Intense Emphasis"/>
    <w:basedOn w:val="DefaultParagraphFont"/>
    <w:uiPriority w:val="21"/>
    <w:qFormat/>
    <w:rsid w:val="001A2F7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2F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overflowPunct/>
      <w:autoSpaceDE/>
      <w:autoSpaceDN/>
      <w:adjustRightInd/>
      <w:spacing w:before="360" w:after="360" w:line="259" w:lineRule="auto"/>
      <w:ind w:left="864" w:right="864"/>
      <w:jc w:val="center"/>
      <w:textAlignment w:val="auto"/>
    </w:pPr>
    <w:rPr>
      <w:rFonts w:asciiTheme="minorHAnsi" w:eastAsiaTheme="minorEastAsia" w:hAnsiTheme="minorHAnsi" w:cstheme="minorBidi"/>
      <w:i/>
      <w:iCs/>
      <w:color w:val="2F5496" w:themeColor="accent1" w:themeShade="BF"/>
      <w:sz w:val="22"/>
      <w:szCs w:val="22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2F7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2F7C"/>
    <w:rPr>
      <w:b/>
      <w:bCs/>
      <w:smallCaps/>
      <w:color w:val="2F5496" w:themeColor="accent1" w:themeShade="BF"/>
      <w:spacing w:val="5"/>
    </w:rPr>
  </w:style>
  <w:style w:type="paragraph" w:customStyle="1" w:styleId="heading">
    <w:name w:val="heading"/>
    <w:basedOn w:val="fixed"/>
    <w:link w:val="headingChar"/>
    <w:rsid w:val="001A2F7C"/>
    <w:pPr>
      <w:spacing w:before="240" w:after="120"/>
    </w:pPr>
  </w:style>
  <w:style w:type="paragraph" w:customStyle="1" w:styleId="fixed">
    <w:name w:val="fixed"/>
    <w:link w:val="fixedChar"/>
    <w:rsid w:val="001A2F7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A2F7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1A2F7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1A2F7C"/>
    <w:rPr>
      <w:color w:val="0000FF"/>
      <w:u w:val="single"/>
    </w:rPr>
  </w:style>
  <w:style w:type="table" w:styleId="TableGrid">
    <w:name w:val="Table Grid"/>
    <w:basedOn w:val="TableNormal"/>
    <w:uiPriority w:val="59"/>
    <w:rsid w:val="001A2F7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isspro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meraldinsight.com" TargetMode="External"/><Relationship Id="rId5" Type="http://schemas.openxmlformats.org/officeDocument/2006/relationships/hyperlink" Target="http://www.asq.org" TargetMode="External"/><Relationship Id="rId4" Type="http://schemas.openxmlformats.org/officeDocument/2006/relationships/hyperlink" Target="http://www.thecqi.org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213</Words>
  <Characters>1220</Characters>
  <Application>Microsoft Office Word</Application>
  <DocSecurity>0</DocSecurity>
  <Lines>10</Lines>
  <Paragraphs>2</Paragraphs>
  <ScaleCrop>false</ScaleCrop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2024-10-09T23:50:00Z</dcterms:created>
  <dcterms:modified xsi:type="dcterms:W3CDTF">2024-10-09T23:52:00Z</dcterms:modified>
</cp:coreProperties>
</file>